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05F" w:rsidRPr="00B4305F" w:rsidRDefault="00B4305F" w:rsidP="00916BC4">
      <w:pPr>
        <w:spacing w:before="120" w:after="120" w:line="300" w:lineRule="exact"/>
        <w:jc w:val="center"/>
        <w:outlineLvl w:val="0"/>
        <w:rPr>
          <w:rFonts w:ascii="Arial" w:hAnsi="Arial"/>
          <w:b/>
          <w:caps/>
          <w:sz w:val="32"/>
          <w:szCs w:val="32"/>
        </w:rPr>
      </w:pPr>
      <w:r w:rsidRPr="00B4305F">
        <w:rPr>
          <w:rFonts w:ascii="Arial" w:hAnsi="Arial"/>
          <w:b/>
          <w:caps/>
          <w:sz w:val="32"/>
          <w:szCs w:val="32"/>
        </w:rPr>
        <w:t>Territory revenue office</w:t>
      </w:r>
    </w:p>
    <w:p w:rsidR="00B4305F" w:rsidRPr="00B4305F" w:rsidRDefault="00B4305F" w:rsidP="00916BC4">
      <w:pPr>
        <w:spacing w:before="120" w:after="120"/>
      </w:pPr>
    </w:p>
    <w:p w:rsidR="00B4305F" w:rsidRPr="00B4305F" w:rsidRDefault="00B4305F" w:rsidP="00916BC4">
      <w:pPr>
        <w:spacing w:before="120" w:after="120" w:line="300" w:lineRule="exact"/>
        <w:jc w:val="center"/>
        <w:outlineLvl w:val="0"/>
        <w:rPr>
          <w:rFonts w:ascii="Arial" w:hAnsi="Arial"/>
          <w:b/>
          <w:caps/>
          <w:sz w:val="32"/>
          <w:szCs w:val="32"/>
        </w:rPr>
      </w:pPr>
      <w:r w:rsidRPr="00B4305F">
        <w:rPr>
          <w:rFonts w:ascii="Arial" w:hAnsi="Arial"/>
          <w:b/>
          <w:caps/>
          <w:sz w:val="32"/>
          <w:szCs w:val="32"/>
        </w:rPr>
        <w:t xml:space="preserve"> REVENUE CIRCULAR </w:t>
      </w:r>
    </w:p>
    <w:p w:rsidR="00B4305F" w:rsidRPr="00B4305F" w:rsidRDefault="00B4305F" w:rsidP="00916BC4">
      <w:pPr>
        <w:spacing w:before="120" w:after="120"/>
        <w:jc w:val="center"/>
        <w:rPr>
          <w:rFonts w:ascii="Arial" w:hAnsi="Arial" w:cs="Arial"/>
          <w:b/>
          <w:bCs/>
          <w:sz w:val="32"/>
          <w:szCs w:val="32"/>
        </w:rPr>
      </w:pPr>
      <w:r w:rsidRPr="00B4305F">
        <w:rPr>
          <w:rFonts w:ascii="Arial" w:hAnsi="Arial" w:cs="Arial"/>
          <w:b/>
          <w:bCs/>
          <w:sz w:val="32"/>
          <w:szCs w:val="32"/>
        </w:rPr>
        <w:t>RC</w:t>
      </w:r>
      <w:r>
        <w:rPr>
          <w:rFonts w:ascii="Arial" w:hAnsi="Arial" w:cs="Arial"/>
          <w:b/>
          <w:bCs/>
          <w:sz w:val="32"/>
          <w:szCs w:val="32"/>
        </w:rPr>
        <w:t>-PRT</w:t>
      </w:r>
      <w:r w:rsidRPr="00B4305F">
        <w:rPr>
          <w:rFonts w:ascii="Arial" w:hAnsi="Arial" w:cs="Arial"/>
          <w:b/>
          <w:bCs/>
          <w:sz w:val="32"/>
          <w:szCs w:val="32"/>
        </w:rPr>
        <w:t>-0</w:t>
      </w:r>
      <w:r w:rsidR="00F80411">
        <w:rPr>
          <w:rFonts w:ascii="Arial" w:hAnsi="Arial" w:cs="Arial"/>
          <w:b/>
          <w:bCs/>
          <w:sz w:val="32"/>
          <w:szCs w:val="32"/>
        </w:rPr>
        <w:t>07</w:t>
      </w:r>
    </w:p>
    <w:p w:rsidR="00B4305F" w:rsidRPr="00B4305F" w:rsidRDefault="00B4305F" w:rsidP="00916BC4">
      <w:pPr>
        <w:spacing w:before="120" w:after="120"/>
        <w:jc w:val="center"/>
        <w:rPr>
          <w:rFonts w:ascii="Arial" w:hAnsi="Arial" w:cs="Arial"/>
          <w:b/>
          <w:bCs/>
          <w:sz w:val="32"/>
          <w:szCs w:val="32"/>
        </w:rPr>
      </w:pPr>
      <w:r w:rsidRPr="00B4305F">
        <w:rPr>
          <w:rFonts w:ascii="Arial" w:hAnsi="Arial" w:cs="Arial"/>
          <w:b/>
          <w:bCs/>
          <w:sz w:val="32"/>
          <w:szCs w:val="32"/>
        </w:rPr>
        <w:t>2015-16 Budget Measures</w:t>
      </w:r>
      <w:r w:rsidR="009B1FB8">
        <w:rPr>
          <w:rFonts w:ascii="Arial" w:hAnsi="Arial" w:cs="Arial"/>
          <w:b/>
          <w:bCs/>
          <w:sz w:val="32"/>
          <w:szCs w:val="32"/>
        </w:rPr>
        <w:t xml:space="preserve"> – Payroll Tax Non</w:t>
      </w:r>
      <w:r w:rsidR="009B1FB8">
        <w:rPr>
          <w:rFonts w:ascii="Arial" w:hAnsi="Arial" w:cs="Arial"/>
          <w:b/>
          <w:bCs/>
          <w:sz w:val="32"/>
          <w:szCs w:val="32"/>
        </w:rPr>
        <w:noBreakHyphen/>
        <w:t>Profit Exemption</w:t>
      </w:r>
    </w:p>
    <w:p w:rsidR="00B4305F" w:rsidRPr="00B4305F" w:rsidRDefault="00B4305F" w:rsidP="00916BC4">
      <w:pPr>
        <w:pBdr>
          <w:bottom w:val="single" w:sz="4" w:space="1" w:color="auto"/>
        </w:pBdr>
        <w:spacing w:before="120" w:after="120"/>
        <w:rPr>
          <w:rFonts w:ascii="Arial" w:hAnsi="Arial"/>
          <w:b/>
          <w:sz w:val="20"/>
          <w:szCs w:val="20"/>
        </w:rPr>
      </w:pPr>
      <w:r w:rsidRPr="00B4305F">
        <w:rPr>
          <w:rFonts w:ascii="Arial" w:hAnsi="Arial"/>
          <w:b/>
          <w:sz w:val="20"/>
          <w:szCs w:val="20"/>
        </w:rPr>
        <w:t>Purpose</w:t>
      </w:r>
    </w:p>
    <w:p w:rsidR="00B4305F" w:rsidRPr="00B4305F" w:rsidRDefault="00B4305F" w:rsidP="00916BC4">
      <w:pPr>
        <w:numPr>
          <w:ilvl w:val="0"/>
          <w:numId w:val="3"/>
        </w:numPr>
        <w:spacing w:before="120" w:after="120"/>
        <w:jc w:val="both"/>
        <w:rPr>
          <w:rFonts w:ascii="Arial" w:hAnsi="Arial" w:cs="Arial"/>
          <w:sz w:val="20"/>
          <w:szCs w:val="20"/>
        </w:rPr>
      </w:pPr>
      <w:r w:rsidRPr="00B726DD">
        <w:rPr>
          <w:rFonts w:ascii="Arial" w:hAnsi="Arial" w:cs="Arial"/>
          <w:sz w:val="20"/>
          <w:szCs w:val="20"/>
        </w:rPr>
        <w:t>This Circular provides information on amendments to the</w:t>
      </w:r>
      <w:r w:rsidR="00AD7CB8" w:rsidRPr="00B726DD">
        <w:rPr>
          <w:rFonts w:ascii="Arial" w:hAnsi="Arial" w:cs="Arial"/>
          <w:sz w:val="20"/>
          <w:szCs w:val="20"/>
        </w:rPr>
        <w:t xml:space="preserve"> non</w:t>
      </w:r>
      <w:r w:rsidR="00AD7CB8" w:rsidRPr="00B726DD">
        <w:rPr>
          <w:rFonts w:ascii="Arial" w:hAnsi="Arial" w:cs="Arial"/>
          <w:sz w:val="20"/>
          <w:szCs w:val="20"/>
        </w:rPr>
        <w:noBreakHyphen/>
        <w:t>profit exemption in the</w:t>
      </w:r>
      <w:r w:rsidRPr="00B726DD">
        <w:rPr>
          <w:rFonts w:ascii="Arial" w:hAnsi="Arial" w:cs="Arial"/>
          <w:sz w:val="20"/>
          <w:szCs w:val="20"/>
        </w:rPr>
        <w:t xml:space="preserve"> </w:t>
      </w:r>
      <w:r w:rsidRPr="00B726DD">
        <w:rPr>
          <w:rFonts w:ascii="Arial" w:hAnsi="Arial" w:cs="Arial"/>
          <w:i/>
          <w:sz w:val="20"/>
          <w:szCs w:val="20"/>
        </w:rPr>
        <w:t>Payroll Tax Act</w:t>
      </w:r>
      <w:r w:rsidR="00045007">
        <w:rPr>
          <w:rFonts w:ascii="Arial" w:hAnsi="Arial" w:cs="Arial"/>
          <w:sz w:val="20"/>
          <w:szCs w:val="20"/>
        </w:rPr>
        <w:t>. The amendments</w:t>
      </w:r>
      <w:r w:rsidR="00F80411">
        <w:rPr>
          <w:rFonts w:ascii="Arial" w:hAnsi="Arial" w:cs="Arial"/>
          <w:sz w:val="20"/>
          <w:szCs w:val="20"/>
        </w:rPr>
        <w:t xml:space="preserve"> form part of the 2015-16 Budget revenue measures announced by the Treasurer on 28 April 2015</w:t>
      </w:r>
      <w:r w:rsidR="00045007">
        <w:rPr>
          <w:rFonts w:ascii="Arial" w:hAnsi="Arial" w:cs="Arial"/>
          <w:sz w:val="20"/>
          <w:szCs w:val="20"/>
        </w:rPr>
        <w:t xml:space="preserve"> and</w:t>
      </w:r>
      <w:r w:rsidR="00AD7CB8" w:rsidRPr="00B726DD">
        <w:rPr>
          <w:rFonts w:ascii="Arial" w:hAnsi="Arial" w:cs="Arial"/>
          <w:sz w:val="20"/>
          <w:szCs w:val="20"/>
        </w:rPr>
        <w:t xml:space="preserve"> are contained in the </w:t>
      </w:r>
      <w:r w:rsidR="00AD7CB8" w:rsidRPr="00B726DD">
        <w:rPr>
          <w:rFonts w:ascii="Arial" w:hAnsi="Arial" w:cs="Arial"/>
          <w:i/>
          <w:sz w:val="20"/>
          <w:szCs w:val="20"/>
        </w:rPr>
        <w:t>Revenue and Other Legislation Amendment Bill 2015</w:t>
      </w:r>
      <w:r w:rsidR="00AD7CB8" w:rsidRPr="00B726DD">
        <w:rPr>
          <w:rFonts w:ascii="Arial" w:hAnsi="Arial" w:cs="Arial"/>
          <w:sz w:val="20"/>
          <w:szCs w:val="20"/>
        </w:rPr>
        <w:t>.</w:t>
      </w:r>
    </w:p>
    <w:p w:rsidR="00B4305F" w:rsidRPr="00B4305F" w:rsidRDefault="00B4305F" w:rsidP="00916BC4">
      <w:pPr>
        <w:pBdr>
          <w:bottom w:val="single" w:sz="4" w:space="1" w:color="auto"/>
        </w:pBdr>
        <w:spacing w:before="120" w:after="120"/>
        <w:jc w:val="both"/>
        <w:rPr>
          <w:rFonts w:ascii="Arial" w:hAnsi="Arial" w:cs="Arial"/>
          <w:b/>
          <w:sz w:val="20"/>
          <w:szCs w:val="20"/>
        </w:rPr>
      </w:pPr>
      <w:r w:rsidRPr="00B4305F">
        <w:rPr>
          <w:rFonts w:ascii="Arial" w:hAnsi="Arial" w:cs="Arial"/>
          <w:b/>
          <w:sz w:val="20"/>
          <w:szCs w:val="20"/>
        </w:rPr>
        <w:t xml:space="preserve">Charities payroll tax exemption reform </w:t>
      </w:r>
    </w:p>
    <w:p w:rsidR="00AD7CB8" w:rsidRDefault="00AD7CB8" w:rsidP="00AD7CB8">
      <w:pPr>
        <w:pStyle w:val="ListNumber"/>
        <w:numPr>
          <w:ilvl w:val="0"/>
          <w:numId w:val="3"/>
        </w:numPr>
        <w:spacing w:before="120" w:after="120"/>
        <w:ind w:left="357" w:hanging="357"/>
        <w:contextualSpacing w:val="0"/>
        <w:jc w:val="both"/>
      </w:pPr>
      <w:r w:rsidRPr="00AD7CB8">
        <w:t xml:space="preserve">Prior to </w:t>
      </w:r>
      <w:r>
        <w:t>the commencement of the amending legislation</w:t>
      </w:r>
      <w:r w:rsidRPr="00AD7CB8">
        <w:t>, the non</w:t>
      </w:r>
      <w:r w:rsidRPr="00AD7CB8">
        <w:noBreakHyphen/>
        <w:t xml:space="preserve">profit exemption at section 48 of the </w:t>
      </w:r>
      <w:r w:rsidRPr="00AD7CB8">
        <w:rPr>
          <w:i/>
        </w:rPr>
        <w:t>Payroll Tax Act</w:t>
      </w:r>
      <w:r w:rsidRPr="00AD7CB8">
        <w:t xml:space="preserve"> provided an exemption for wages paid or payable by a religious institution, public benevolent institution (other than an instrumentality of the Territory</w:t>
      </w:r>
      <w:r>
        <w:t>)</w:t>
      </w:r>
      <w:r w:rsidRPr="00AD7CB8">
        <w:t>, or a non</w:t>
      </w:r>
      <w:r w:rsidRPr="00AD7CB8">
        <w:noBreakHyphen/>
        <w:t>profit organisation having as its sole or dominant purpose a charitable, benevolent, philanthropic or patriotic purpose (other than a school, educational institution, educational company or instrumentality of the Territory).</w:t>
      </w:r>
      <w:r>
        <w:t xml:space="preserve"> </w:t>
      </w:r>
    </w:p>
    <w:p w:rsidR="00AD7CB8" w:rsidRPr="00AD7CB8" w:rsidRDefault="00AD7CB8" w:rsidP="00AD7CB8">
      <w:pPr>
        <w:pStyle w:val="ListNumber"/>
        <w:numPr>
          <w:ilvl w:val="0"/>
          <w:numId w:val="3"/>
        </w:numPr>
        <w:spacing w:before="120" w:after="120"/>
        <w:contextualSpacing w:val="0"/>
        <w:jc w:val="both"/>
      </w:pPr>
      <w:r>
        <w:t xml:space="preserve">The exemption was also </w:t>
      </w:r>
      <w:r w:rsidR="0076045F">
        <w:t xml:space="preserve">confined to </w:t>
      </w:r>
      <w:r>
        <w:t xml:space="preserve">wages paid or payable </w:t>
      </w:r>
      <w:r w:rsidRPr="00AD7CB8">
        <w:t>for work of a kind ordinarily performed in connection with the religious, charitable, benevolent, philanthropic or patriotic purpose of the institution or organisation and</w:t>
      </w:r>
      <w:r>
        <w:t xml:space="preserve"> </w:t>
      </w:r>
      <w:r w:rsidRPr="00AD7CB8">
        <w:t>to a person engaged exclusively in that kind of work.</w:t>
      </w:r>
    </w:p>
    <w:p w:rsidR="00B4305F" w:rsidRPr="00B4305F" w:rsidRDefault="00AD7CB8" w:rsidP="00916BC4">
      <w:pPr>
        <w:numPr>
          <w:ilvl w:val="0"/>
          <w:numId w:val="3"/>
        </w:numPr>
        <w:spacing w:before="120" w:after="120"/>
        <w:jc w:val="both"/>
        <w:rPr>
          <w:rFonts w:ascii="Arial" w:hAnsi="Arial" w:cs="Arial"/>
          <w:b/>
          <w:sz w:val="20"/>
          <w:szCs w:val="20"/>
        </w:rPr>
      </w:pPr>
      <w:r>
        <w:rPr>
          <w:rFonts w:ascii="Arial" w:hAnsi="Arial" w:cs="Arial"/>
          <w:sz w:val="20"/>
          <w:szCs w:val="20"/>
        </w:rPr>
        <w:t xml:space="preserve">The </w:t>
      </w:r>
      <w:r>
        <w:rPr>
          <w:rFonts w:ascii="Arial" w:hAnsi="Arial" w:cs="Arial"/>
          <w:i/>
          <w:sz w:val="20"/>
          <w:szCs w:val="20"/>
        </w:rPr>
        <w:t>Revenue and Other Legislation Amendment Bill 2015</w:t>
      </w:r>
      <w:r>
        <w:rPr>
          <w:rFonts w:ascii="Arial" w:hAnsi="Arial" w:cs="Arial"/>
          <w:sz w:val="20"/>
          <w:szCs w:val="20"/>
        </w:rPr>
        <w:t xml:space="preserve"> contains</w:t>
      </w:r>
      <w:r w:rsidR="00B4305F">
        <w:rPr>
          <w:rFonts w:ascii="Arial" w:hAnsi="Arial" w:cs="Arial"/>
          <w:sz w:val="20"/>
          <w:szCs w:val="20"/>
        </w:rPr>
        <w:t xml:space="preserve"> two</w:t>
      </w:r>
      <w:r w:rsidR="00B4305F" w:rsidRPr="00B4305F">
        <w:rPr>
          <w:rFonts w:ascii="Arial" w:hAnsi="Arial" w:cs="Arial"/>
          <w:sz w:val="20"/>
          <w:szCs w:val="20"/>
        </w:rPr>
        <w:t xml:space="preserve"> significant reforms to the non</w:t>
      </w:r>
      <w:r w:rsidR="008210A9">
        <w:rPr>
          <w:rFonts w:ascii="Arial" w:hAnsi="Arial" w:cs="Arial"/>
          <w:sz w:val="20"/>
          <w:szCs w:val="20"/>
        </w:rPr>
        <w:noBreakHyphen/>
      </w:r>
      <w:r w:rsidR="00B4305F" w:rsidRPr="00B4305F">
        <w:rPr>
          <w:rFonts w:ascii="Arial" w:hAnsi="Arial" w:cs="Arial"/>
          <w:sz w:val="20"/>
          <w:szCs w:val="20"/>
        </w:rPr>
        <w:t xml:space="preserve">profit payroll tax exemption to limit the class of organisations and activities that may receive the exemption. </w:t>
      </w:r>
      <w:r>
        <w:rPr>
          <w:rFonts w:ascii="Arial" w:hAnsi="Arial" w:cs="Arial"/>
          <w:sz w:val="20"/>
          <w:szCs w:val="20"/>
        </w:rPr>
        <w:t>The Bill provides that these reforms are to commence from 1 July 2015.</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 xml:space="preserve">These reforms are </w:t>
      </w:r>
      <w:r w:rsidR="0076045F">
        <w:rPr>
          <w:rFonts w:ascii="Arial" w:hAnsi="Arial" w:cs="Arial"/>
          <w:sz w:val="20"/>
          <w:szCs w:val="20"/>
        </w:rPr>
        <w:t xml:space="preserve">necessary because </w:t>
      </w:r>
      <w:r w:rsidRPr="00B4305F">
        <w:rPr>
          <w:rFonts w:ascii="Arial" w:hAnsi="Arial" w:cs="Arial"/>
          <w:sz w:val="20"/>
          <w:szCs w:val="20"/>
        </w:rPr>
        <w:t xml:space="preserve">of two court cases, </w:t>
      </w:r>
      <w:r w:rsidRPr="00B4305F">
        <w:rPr>
          <w:rFonts w:ascii="Arial" w:hAnsi="Arial" w:cs="Arial"/>
          <w:i/>
          <w:sz w:val="20"/>
          <w:szCs w:val="20"/>
        </w:rPr>
        <w:t xml:space="preserve">Commissioner of Taxation of the Commonwealth of Australia v Word Investments Limited </w:t>
      </w:r>
      <w:r w:rsidRPr="00B4305F">
        <w:rPr>
          <w:rFonts w:ascii="Arial" w:hAnsi="Arial" w:cs="Arial"/>
          <w:sz w:val="20"/>
          <w:szCs w:val="20"/>
        </w:rPr>
        <w:t xml:space="preserve">[2008] HCA 55 (‘Word’); and </w:t>
      </w:r>
      <w:r w:rsidRPr="00B4305F">
        <w:rPr>
          <w:rFonts w:ascii="Arial" w:hAnsi="Arial" w:cs="Arial"/>
          <w:i/>
          <w:sz w:val="20"/>
          <w:szCs w:val="20"/>
        </w:rPr>
        <w:t xml:space="preserve">Chamber of Commerce and Industry of Western Australia (Inc.) and Commissioner of State Revenue </w:t>
      </w:r>
      <w:r w:rsidRPr="00B4305F">
        <w:rPr>
          <w:rFonts w:ascii="Arial" w:hAnsi="Arial" w:cs="Arial"/>
          <w:sz w:val="20"/>
          <w:szCs w:val="20"/>
        </w:rPr>
        <w:t>[2012] WASAT 146</w:t>
      </w:r>
      <w:r w:rsidRPr="00B4305F">
        <w:rPr>
          <w:rFonts w:ascii="Arial" w:hAnsi="Arial" w:cs="Arial"/>
          <w:i/>
          <w:sz w:val="20"/>
          <w:szCs w:val="20"/>
        </w:rPr>
        <w:t xml:space="preserve"> </w:t>
      </w:r>
      <w:r w:rsidRPr="00B4305F">
        <w:rPr>
          <w:rFonts w:ascii="Arial" w:hAnsi="Arial" w:cs="Arial"/>
          <w:sz w:val="20"/>
          <w:szCs w:val="20"/>
        </w:rPr>
        <w:t>(‘CCI’)</w:t>
      </w:r>
      <w:r w:rsidRPr="00B4305F">
        <w:rPr>
          <w:rFonts w:ascii="Arial" w:hAnsi="Arial" w:cs="Arial"/>
          <w:i/>
          <w:sz w:val="20"/>
          <w:szCs w:val="20"/>
        </w:rPr>
        <w:t xml:space="preserve">. </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 xml:space="preserve">In Word, the High Court essentially ruled that commercial or </w:t>
      </w:r>
      <w:r w:rsidR="0076045F">
        <w:rPr>
          <w:rFonts w:ascii="Arial" w:hAnsi="Arial" w:cs="Arial"/>
          <w:sz w:val="20"/>
          <w:szCs w:val="20"/>
        </w:rPr>
        <w:t>profit making</w:t>
      </w:r>
      <w:r w:rsidR="0076045F" w:rsidRPr="00B4305F">
        <w:rPr>
          <w:rFonts w:ascii="Arial" w:hAnsi="Arial" w:cs="Arial"/>
          <w:sz w:val="20"/>
          <w:szCs w:val="20"/>
        </w:rPr>
        <w:t xml:space="preserve"> </w:t>
      </w:r>
      <w:r w:rsidRPr="00B4305F">
        <w:rPr>
          <w:rFonts w:ascii="Arial" w:hAnsi="Arial" w:cs="Arial"/>
          <w:sz w:val="20"/>
          <w:szCs w:val="20"/>
        </w:rPr>
        <w:t xml:space="preserve">activities </w:t>
      </w:r>
      <w:r w:rsidR="0076045F">
        <w:rPr>
          <w:rFonts w:ascii="Arial" w:hAnsi="Arial" w:cs="Arial"/>
          <w:sz w:val="20"/>
          <w:szCs w:val="20"/>
        </w:rPr>
        <w:t xml:space="preserve">provided generally in the market place </w:t>
      </w:r>
      <w:r w:rsidRPr="00B4305F">
        <w:rPr>
          <w:rFonts w:ascii="Arial" w:hAnsi="Arial" w:cs="Arial"/>
          <w:sz w:val="20"/>
          <w:szCs w:val="20"/>
        </w:rPr>
        <w:t>could be regarded as charitable activities if the profits of those activities were directed to a charity or charitable purpose. In CCI, the State Administrative Tribunal</w:t>
      </w:r>
      <w:r w:rsidR="00FC7882">
        <w:rPr>
          <w:rFonts w:ascii="Arial" w:hAnsi="Arial" w:cs="Arial"/>
          <w:sz w:val="20"/>
          <w:szCs w:val="20"/>
        </w:rPr>
        <w:t xml:space="preserve"> of Western Australia</w:t>
      </w:r>
      <w:r w:rsidRPr="00B4305F">
        <w:rPr>
          <w:rFonts w:ascii="Arial" w:hAnsi="Arial" w:cs="Arial"/>
          <w:sz w:val="20"/>
          <w:szCs w:val="20"/>
        </w:rPr>
        <w:t xml:space="preserve"> found the broad common law definition of a ‘charity’ could include entities with a purpose of promoting trade, industry or commerce, provided they were not run primarily</w:t>
      </w:r>
      <w:r w:rsidR="00516565">
        <w:rPr>
          <w:rFonts w:ascii="Arial" w:hAnsi="Arial" w:cs="Arial"/>
          <w:sz w:val="20"/>
          <w:szCs w:val="20"/>
        </w:rPr>
        <w:t xml:space="preserve"> to</w:t>
      </w:r>
      <w:r w:rsidRPr="00B4305F">
        <w:rPr>
          <w:rFonts w:ascii="Arial" w:hAnsi="Arial" w:cs="Arial"/>
          <w:sz w:val="20"/>
          <w:szCs w:val="20"/>
        </w:rPr>
        <w:t xml:space="preserve"> benefit their own members. Collectively, these decisions depart from traditional practice and mean that the non</w:t>
      </w:r>
      <w:r w:rsidRPr="00B4305F">
        <w:rPr>
          <w:rFonts w:ascii="Arial" w:hAnsi="Arial" w:cs="Arial"/>
          <w:sz w:val="20"/>
          <w:szCs w:val="20"/>
        </w:rPr>
        <w:noBreakHyphen/>
        <w:t>profit payroll tax exemption no longer operates as originally intended.</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 xml:space="preserve">To address the outcome of the Word decision, the non-profit payroll tax exemption is </w:t>
      </w:r>
      <w:r w:rsidR="0076045F">
        <w:rPr>
          <w:rFonts w:ascii="Arial" w:hAnsi="Arial" w:cs="Arial"/>
          <w:sz w:val="20"/>
          <w:szCs w:val="20"/>
        </w:rPr>
        <w:t>tightened</w:t>
      </w:r>
      <w:r w:rsidR="0076045F" w:rsidRPr="00B4305F">
        <w:rPr>
          <w:rFonts w:ascii="Arial" w:hAnsi="Arial" w:cs="Arial"/>
          <w:sz w:val="20"/>
          <w:szCs w:val="20"/>
        </w:rPr>
        <w:t xml:space="preserve"> </w:t>
      </w:r>
      <w:r w:rsidRPr="00B4305F">
        <w:rPr>
          <w:rFonts w:ascii="Arial" w:hAnsi="Arial" w:cs="Arial"/>
          <w:sz w:val="20"/>
          <w:szCs w:val="20"/>
        </w:rPr>
        <w:t>to</w:t>
      </w:r>
      <w:r w:rsidR="0076045F">
        <w:rPr>
          <w:rFonts w:ascii="Arial" w:hAnsi="Arial" w:cs="Arial"/>
          <w:sz w:val="20"/>
          <w:szCs w:val="20"/>
        </w:rPr>
        <w:t xml:space="preserve"> specifically</w:t>
      </w:r>
      <w:r w:rsidRPr="00B4305F">
        <w:rPr>
          <w:rFonts w:ascii="Arial" w:hAnsi="Arial" w:cs="Arial"/>
          <w:sz w:val="20"/>
          <w:szCs w:val="20"/>
        </w:rPr>
        <w:t xml:space="preserve"> exclude wages paid to a person engaging in commercial work, or work performed in competition with the private sector. The amendments replicate similar provisions in the </w:t>
      </w:r>
      <w:r w:rsidRPr="00B4305F">
        <w:rPr>
          <w:rFonts w:ascii="Arial" w:hAnsi="Arial" w:cs="Arial"/>
          <w:i/>
          <w:sz w:val="20"/>
          <w:szCs w:val="20"/>
        </w:rPr>
        <w:t>Stamp Duty Act</w:t>
      </w:r>
      <w:r w:rsidRPr="00B4305F">
        <w:rPr>
          <w:rFonts w:ascii="Arial" w:hAnsi="Arial" w:cs="Arial"/>
          <w:sz w:val="20"/>
          <w:szCs w:val="20"/>
        </w:rPr>
        <w:t xml:space="preserve"> and mean that the exemption will not be available for wages paid to a worker who performs a commercial or </w:t>
      </w:r>
      <w:r w:rsidR="0076045F">
        <w:rPr>
          <w:rFonts w:ascii="Arial" w:hAnsi="Arial" w:cs="Arial"/>
          <w:sz w:val="20"/>
          <w:szCs w:val="20"/>
        </w:rPr>
        <w:t>for</w:t>
      </w:r>
      <w:r w:rsidR="0076045F">
        <w:rPr>
          <w:rFonts w:ascii="Arial" w:hAnsi="Arial" w:cs="Arial"/>
          <w:sz w:val="20"/>
          <w:szCs w:val="20"/>
        </w:rPr>
        <w:noBreakHyphen/>
        <w:t>profit</w:t>
      </w:r>
      <w:r w:rsidR="0076045F" w:rsidRPr="00B4305F">
        <w:rPr>
          <w:rFonts w:ascii="Arial" w:hAnsi="Arial" w:cs="Arial"/>
          <w:sz w:val="20"/>
          <w:szCs w:val="20"/>
        </w:rPr>
        <w:t xml:space="preserve"> </w:t>
      </w:r>
      <w:r w:rsidRPr="00B4305F">
        <w:rPr>
          <w:rFonts w:ascii="Arial" w:hAnsi="Arial" w:cs="Arial"/>
          <w:sz w:val="20"/>
          <w:szCs w:val="20"/>
        </w:rPr>
        <w:t>activity, regardless of how the funds raised from that activity are applied (i.e. merely raising money for a charity is not in itself sufficient to attract the exemption). The amendments apply irrespective of whether the commercial or competitive activities are charitable at common law.</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 xml:space="preserve">To clarify the scope of the amendments, activities that constitute a ‘commercial or competitive activity’ have been defined to include anything not related to the charitable purposes of the entity, any commercial activities, such as investment activities, and any activities which compete with a business carried on by another person. This definition is not intended to include small scale traditional fundraising activities that would normally be undertaken by charities, or charitable activities merely done on a cost recovery or nominal fee basis (such as an op shop or soup kitchen). </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 xml:space="preserve">To address the outcomes arising from CCI, the non-profit payroll tax exemption is refocused to ensure it is not available for professional associations or entities which promote trade, industry or commerce. The amendments also confirm, consistent with current </w:t>
      </w:r>
      <w:r w:rsidR="008D7908" w:rsidRPr="00B4305F">
        <w:rPr>
          <w:rFonts w:ascii="Arial" w:hAnsi="Arial" w:cs="Arial"/>
          <w:sz w:val="20"/>
          <w:szCs w:val="20"/>
        </w:rPr>
        <w:t>practice that</w:t>
      </w:r>
      <w:r w:rsidRPr="00B4305F">
        <w:rPr>
          <w:rFonts w:ascii="Arial" w:hAnsi="Arial" w:cs="Arial"/>
          <w:sz w:val="20"/>
          <w:szCs w:val="20"/>
        </w:rPr>
        <w:t xml:space="preserve"> industrial associations (including </w:t>
      </w:r>
      <w:r w:rsidRPr="00B4305F">
        <w:rPr>
          <w:rFonts w:ascii="Arial" w:hAnsi="Arial" w:cs="Arial"/>
          <w:sz w:val="20"/>
          <w:szCs w:val="20"/>
        </w:rPr>
        <w:lastRenderedPageBreak/>
        <w:t xml:space="preserve">employer’s associations and trade unions) and political parties continue to be ineligible to receive the exemption. </w:t>
      </w:r>
    </w:p>
    <w:p w:rsidR="00B4305F" w:rsidRPr="00B4305F" w:rsidRDefault="00B4305F" w:rsidP="00916BC4">
      <w:pPr>
        <w:numPr>
          <w:ilvl w:val="0"/>
          <w:numId w:val="3"/>
        </w:numPr>
        <w:spacing w:before="120" w:after="120"/>
        <w:jc w:val="both"/>
        <w:rPr>
          <w:rFonts w:ascii="Arial" w:hAnsi="Arial" w:cs="Arial"/>
          <w:b/>
          <w:sz w:val="20"/>
          <w:szCs w:val="20"/>
        </w:rPr>
      </w:pPr>
      <w:r w:rsidRPr="00B4305F">
        <w:rPr>
          <w:rFonts w:ascii="Arial" w:hAnsi="Arial" w:cs="Arial"/>
          <w:sz w:val="20"/>
          <w:szCs w:val="20"/>
        </w:rPr>
        <w:t>A ‘professional association’ is an entity that has as one of its purposes the promotion of the interests of its members in any profession.</w:t>
      </w:r>
    </w:p>
    <w:p w:rsidR="00B4305F" w:rsidRPr="00B4305F" w:rsidRDefault="00B4305F" w:rsidP="00916BC4">
      <w:pPr>
        <w:numPr>
          <w:ilvl w:val="0"/>
          <w:numId w:val="3"/>
        </w:numPr>
        <w:spacing w:before="120" w:after="120"/>
        <w:jc w:val="both"/>
        <w:rPr>
          <w:rFonts w:ascii="Arial" w:hAnsi="Arial" w:cs="Arial"/>
          <w:iCs/>
          <w:sz w:val="20"/>
          <w:szCs w:val="20"/>
        </w:rPr>
      </w:pPr>
      <w:r w:rsidRPr="00B4305F">
        <w:rPr>
          <w:rFonts w:ascii="Arial" w:hAnsi="Arial" w:cs="Arial"/>
          <w:iCs/>
          <w:sz w:val="20"/>
          <w:szCs w:val="20"/>
        </w:rPr>
        <w:t>A ‘trade, industry or commerce entity’ is an entity that has a purpose of promoting trade, industry or commerce (whether generally or in respect of any particular kind of trade, industry or commerce). However, a</w:t>
      </w:r>
      <w:r w:rsidR="00C96EEF">
        <w:rPr>
          <w:rFonts w:ascii="Arial" w:hAnsi="Arial" w:cs="Arial"/>
          <w:iCs/>
          <w:sz w:val="20"/>
          <w:szCs w:val="20"/>
        </w:rPr>
        <w:t>n entity is not a</w:t>
      </w:r>
      <w:r w:rsidRPr="00B4305F">
        <w:rPr>
          <w:rFonts w:ascii="Arial" w:hAnsi="Arial" w:cs="Arial"/>
          <w:iCs/>
          <w:sz w:val="20"/>
          <w:szCs w:val="20"/>
        </w:rPr>
        <w:t xml:space="preserve"> ‘trade, industry or commerce entity’ </w:t>
      </w:r>
      <w:r w:rsidR="00C96EEF">
        <w:rPr>
          <w:rFonts w:ascii="Arial" w:hAnsi="Arial" w:cs="Arial"/>
          <w:iCs/>
          <w:sz w:val="20"/>
          <w:szCs w:val="20"/>
        </w:rPr>
        <w:t>if it has a</w:t>
      </w:r>
      <w:r w:rsidRPr="00B4305F">
        <w:rPr>
          <w:rFonts w:ascii="Arial" w:hAnsi="Arial" w:cs="Arial"/>
          <w:iCs/>
          <w:sz w:val="20"/>
          <w:szCs w:val="20"/>
        </w:rPr>
        <w:t xml:space="preserve"> sole or </w:t>
      </w:r>
      <w:r w:rsidR="00C96EEF">
        <w:rPr>
          <w:rFonts w:ascii="Arial" w:hAnsi="Arial" w:cs="Arial"/>
          <w:iCs/>
          <w:sz w:val="20"/>
          <w:szCs w:val="20"/>
        </w:rPr>
        <w:t>pre</w:t>
      </w:r>
      <w:r w:rsidRPr="00B4305F">
        <w:rPr>
          <w:rFonts w:ascii="Arial" w:hAnsi="Arial" w:cs="Arial"/>
          <w:iCs/>
          <w:sz w:val="20"/>
          <w:szCs w:val="20"/>
        </w:rPr>
        <w:t>dominant purpose of the relief of poverty or the advancement of education or religion, as those terms are understood at common law</w:t>
      </w:r>
      <w:r w:rsidR="00C96EEF">
        <w:rPr>
          <w:rFonts w:ascii="Arial" w:hAnsi="Arial" w:cs="Arial"/>
          <w:iCs/>
          <w:sz w:val="20"/>
          <w:szCs w:val="20"/>
        </w:rPr>
        <w:t xml:space="preserve">. An entity with multiple purposes that are each for the relief of poverty, advancement of education, or religion, can have those purposes aggregated to determine whether it is a trade, industry or commerce entity. </w:t>
      </w:r>
    </w:p>
    <w:p w:rsidR="00B4305F" w:rsidRPr="00B4305F" w:rsidRDefault="00B4305F" w:rsidP="00916BC4">
      <w:pPr>
        <w:numPr>
          <w:ilvl w:val="0"/>
          <w:numId w:val="3"/>
        </w:numPr>
        <w:spacing w:before="120" w:after="120"/>
        <w:jc w:val="both"/>
        <w:rPr>
          <w:rFonts w:ascii="Arial" w:hAnsi="Arial" w:cs="Arial"/>
          <w:sz w:val="20"/>
          <w:szCs w:val="20"/>
        </w:rPr>
      </w:pPr>
      <w:r w:rsidRPr="00B4305F">
        <w:rPr>
          <w:rFonts w:ascii="Arial" w:hAnsi="Arial" w:cs="Arial"/>
          <w:sz w:val="20"/>
          <w:szCs w:val="20"/>
        </w:rPr>
        <w:t>An ‘industrial association’ is defined to include:</w:t>
      </w:r>
    </w:p>
    <w:p w:rsidR="00B4305F" w:rsidRPr="00B4305F" w:rsidRDefault="004C2918" w:rsidP="00916BC4">
      <w:pPr>
        <w:numPr>
          <w:ilvl w:val="0"/>
          <w:numId w:val="6"/>
        </w:numPr>
        <w:spacing w:before="120" w:after="120"/>
        <w:ind w:left="720"/>
        <w:jc w:val="both"/>
        <w:rPr>
          <w:rFonts w:ascii="Arial" w:hAnsi="Arial" w:cs="Arial"/>
          <w:sz w:val="20"/>
          <w:szCs w:val="20"/>
        </w:rPr>
      </w:pPr>
      <w:r>
        <w:rPr>
          <w:rFonts w:ascii="Arial" w:hAnsi="Arial" w:cs="Arial"/>
          <w:sz w:val="20"/>
          <w:szCs w:val="20"/>
        </w:rPr>
        <w:t xml:space="preserve">an association of </w:t>
      </w:r>
      <w:r w:rsidR="00B4305F" w:rsidRPr="00B4305F">
        <w:rPr>
          <w:rFonts w:ascii="Arial" w:hAnsi="Arial" w:cs="Arial"/>
          <w:sz w:val="20"/>
          <w:szCs w:val="20"/>
        </w:rPr>
        <w:t xml:space="preserve">employees or employers registered as an organisation or recognised under the </w:t>
      </w:r>
      <w:r w:rsidR="00B4305F" w:rsidRPr="00B4305F">
        <w:rPr>
          <w:rFonts w:ascii="Arial" w:hAnsi="Arial" w:cs="Arial"/>
          <w:i/>
          <w:sz w:val="20"/>
          <w:szCs w:val="20"/>
        </w:rPr>
        <w:t>Fair Work (Registered Organisations) Act</w:t>
      </w:r>
      <w:r>
        <w:rPr>
          <w:rFonts w:ascii="Arial" w:hAnsi="Arial" w:cs="Arial"/>
          <w:i/>
          <w:sz w:val="20"/>
          <w:szCs w:val="20"/>
        </w:rPr>
        <w:t xml:space="preserve"> 2009</w:t>
      </w:r>
      <w:r w:rsidR="00B4305F" w:rsidRPr="00B4305F">
        <w:rPr>
          <w:rFonts w:ascii="Arial" w:hAnsi="Arial" w:cs="Arial"/>
          <w:i/>
          <w:sz w:val="20"/>
          <w:szCs w:val="20"/>
        </w:rPr>
        <w:t xml:space="preserve"> </w:t>
      </w:r>
      <w:r w:rsidR="00B4305F" w:rsidRPr="00B4305F">
        <w:rPr>
          <w:rFonts w:ascii="Arial" w:hAnsi="Arial" w:cs="Arial"/>
          <w:sz w:val="20"/>
          <w:szCs w:val="20"/>
        </w:rPr>
        <w:t>(Cth)</w:t>
      </w:r>
      <w:r w:rsidR="00B4305F" w:rsidRPr="00B4305F">
        <w:rPr>
          <w:rFonts w:ascii="Arial" w:hAnsi="Arial" w:cs="Arial"/>
          <w:i/>
          <w:sz w:val="20"/>
          <w:szCs w:val="20"/>
        </w:rPr>
        <w:t xml:space="preserve">; </w:t>
      </w:r>
    </w:p>
    <w:p w:rsidR="00B4305F" w:rsidRPr="00B4305F" w:rsidRDefault="004C2918" w:rsidP="00916BC4">
      <w:pPr>
        <w:numPr>
          <w:ilvl w:val="0"/>
          <w:numId w:val="6"/>
        </w:numPr>
        <w:spacing w:before="120" w:after="120"/>
        <w:ind w:left="720"/>
        <w:jc w:val="both"/>
        <w:rPr>
          <w:rFonts w:ascii="Arial" w:hAnsi="Arial" w:cs="Arial"/>
          <w:sz w:val="20"/>
          <w:szCs w:val="20"/>
        </w:rPr>
      </w:pPr>
      <w:r>
        <w:rPr>
          <w:rFonts w:ascii="Arial" w:hAnsi="Arial" w:cs="Arial"/>
          <w:sz w:val="20"/>
          <w:szCs w:val="20"/>
        </w:rPr>
        <w:t xml:space="preserve">an association of </w:t>
      </w:r>
      <w:r w:rsidR="00B4305F" w:rsidRPr="00B4305F">
        <w:rPr>
          <w:rFonts w:ascii="Arial" w:hAnsi="Arial" w:cs="Arial"/>
          <w:sz w:val="20"/>
          <w:szCs w:val="20"/>
        </w:rPr>
        <w:t>employers or employees registered or recognised under the law of a State or Territory; and</w:t>
      </w:r>
    </w:p>
    <w:p w:rsidR="00B4305F" w:rsidRPr="00B4305F" w:rsidRDefault="00B4305F" w:rsidP="00916BC4">
      <w:pPr>
        <w:numPr>
          <w:ilvl w:val="0"/>
          <w:numId w:val="6"/>
        </w:numPr>
        <w:spacing w:before="120" w:after="120"/>
        <w:ind w:left="720"/>
        <w:jc w:val="both"/>
        <w:rPr>
          <w:rFonts w:ascii="Arial" w:hAnsi="Arial" w:cs="Arial"/>
          <w:sz w:val="20"/>
          <w:szCs w:val="20"/>
        </w:rPr>
      </w:pPr>
      <w:r w:rsidRPr="00B4305F">
        <w:rPr>
          <w:rFonts w:ascii="Arial" w:hAnsi="Arial" w:cs="Arial"/>
          <w:sz w:val="20"/>
          <w:szCs w:val="20"/>
        </w:rPr>
        <w:t>an association of employees, the predominant purpose of which is the protection and promotion of the employees’ interests in matters concerning their employment.</w:t>
      </w:r>
    </w:p>
    <w:p w:rsidR="00B4305F" w:rsidRPr="00B4305F" w:rsidRDefault="00B4305F" w:rsidP="00916BC4">
      <w:pPr>
        <w:numPr>
          <w:ilvl w:val="0"/>
          <w:numId w:val="3"/>
        </w:numPr>
        <w:spacing w:before="120" w:after="120"/>
        <w:jc w:val="both"/>
        <w:rPr>
          <w:rFonts w:ascii="Arial" w:hAnsi="Arial" w:cs="Arial"/>
          <w:sz w:val="20"/>
          <w:szCs w:val="20"/>
        </w:rPr>
      </w:pPr>
      <w:r w:rsidRPr="00B4305F">
        <w:rPr>
          <w:rFonts w:ascii="Arial" w:hAnsi="Arial" w:cs="Arial"/>
          <w:sz w:val="20"/>
          <w:szCs w:val="20"/>
        </w:rPr>
        <w:t xml:space="preserve">A ‘political party’ is an entity that has, as one of its purposes, the promotion of the election to the Legislative Assembly, or Parliament (whether Commonwealth, State or another Territory) of a candidate, or candidates endorsed by it or by an entity of which it forms part. </w:t>
      </w:r>
    </w:p>
    <w:p w:rsidR="00B4305F" w:rsidRPr="00B4305F" w:rsidRDefault="00B4305F" w:rsidP="00916BC4">
      <w:pPr>
        <w:spacing w:before="120" w:after="120"/>
        <w:jc w:val="both"/>
        <w:rPr>
          <w:rFonts w:ascii="Arial" w:hAnsi="Arial" w:cs="Arial"/>
          <w:i/>
          <w:sz w:val="20"/>
          <w:szCs w:val="20"/>
        </w:rPr>
      </w:pPr>
      <w:r w:rsidRPr="00B4305F">
        <w:rPr>
          <w:rFonts w:ascii="Arial" w:hAnsi="Arial" w:cs="Arial"/>
          <w:i/>
          <w:sz w:val="20"/>
          <w:szCs w:val="20"/>
        </w:rPr>
        <w:t>Commissioner’s discretion</w:t>
      </w:r>
    </w:p>
    <w:p w:rsidR="00B4305F" w:rsidRPr="00B4305F" w:rsidRDefault="00B4305F" w:rsidP="00916BC4">
      <w:pPr>
        <w:numPr>
          <w:ilvl w:val="0"/>
          <w:numId w:val="3"/>
        </w:numPr>
        <w:spacing w:before="120" w:after="120"/>
        <w:jc w:val="both"/>
        <w:rPr>
          <w:rFonts w:ascii="Arial" w:hAnsi="Arial" w:cs="Arial"/>
          <w:sz w:val="20"/>
          <w:szCs w:val="20"/>
        </w:rPr>
      </w:pPr>
      <w:r w:rsidRPr="00B4305F">
        <w:rPr>
          <w:rFonts w:ascii="Arial" w:hAnsi="Arial" w:cs="Arial"/>
          <w:sz w:val="20"/>
          <w:szCs w:val="20"/>
        </w:rPr>
        <w:t>A new discretion is also introduced which allows the Commissioner</w:t>
      </w:r>
      <w:r w:rsidR="0076045F">
        <w:rPr>
          <w:rFonts w:ascii="Arial" w:hAnsi="Arial" w:cs="Arial"/>
          <w:sz w:val="20"/>
          <w:szCs w:val="20"/>
        </w:rPr>
        <w:t xml:space="preserve"> of Territory Revenue</w:t>
      </w:r>
      <w:r w:rsidRPr="00B4305F">
        <w:rPr>
          <w:rFonts w:ascii="Arial" w:hAnsi="Arial" w:cs="Arial"/>
          <w:sz w:val="20"/>
          <w:szCs w:val="20"/>
        </w:rPr>
        <w:t xml:space="preserve"> to deem an entity </w:t>
      </w:r>
      <w:r w:rsidR="004C2918">
        <w:rPr>
          <w:rFonts w:ascii="Arial" w:hAnsi="Arial" w:cs="Arial"/>
          <w:sz w:val="20"/>
          <w:szCs w:val="20"/>
        </w:rPr>
        <w:t>that</w:t>
      </w:r>
      <w:r w:rsidR="004C2918" w:rsidRPr="00B4305F">
        <w:rPr>
          <w:rFonts w:ascii="Arial" w:hAnsi="Arial" w:cs="Arial"/>
          <w:sz w:val="20"/>
          <w:szCs w:val="20"/>
        </w:rPr>
        <w:t xml:space="preserve"> </w:t>
      </w:r>
      <w:r w:rsidRPr="00B4305F">
        <w:rPr>
          <w:rFonts w:ascii="Arial" w:hAnsi="Arial" w:cs="Arial"/>
          <w:sz w:val="20"/>
          <w:szCs w:val="20"/>
        </w:rPr>
        <w:t xml:space="preserve">would otherwise be excluded as a ‘trade, industry or commerce entity’ or a ‘professional association’ to be a non-profit entity. This discretion allows the Commissioner to continue to provide a payroll tax exemption to entities that are unintentionally captured by the definitions of a ‘trade, industry or commerce entity’ or ‘professional association’ as a result of these amendments. </w:t>
      </w:r>
    </w:p>
    <w:p w:rsidR="00B4305F" w:rsidRPr="00B4305F" w:rsidRDefault="00B4305F" w:rsidP="00916BC4">
      <w:pPr>
        <w:numPr>
          <w:ilvl w:val="0"/>
          <w:numId w:val="3"/>
        </w:numPr>
        <w:spacing w:before="120" w:after="120"/>
        <w:jc w:val="both"/>
        <w:rPr>
          <w:rFonts w:ascii="Arial" w:hAnsi="Arial" w:cs="Arial"/>
          <w:sz w:val="20"/>
          <w:szCs w:val="20"/>
        </w:rPr>
      </w:pPr>
      <w:r w:rsidRPr="00B4305F">
        <w:rPr>
          <w:rFonts w:ascii="Arial" w:hAnsi="Arial" w:cs="Arial"/>
          <w:sz w:val="20"/>
          <w:szCs w:val="20"/>
        </w:rPr>
        <w:t xml:space="preserve">In determining whether a ‘trade, industry or commerce entity’ or a ‘professional association’ will </w:t>
      </w:r>
      <w:r w:rsidR="004C2918">
        <w:rPr>
          <w:rFonts w:ascii="Arial" w:hAnsi="Arial" w:cs="Arial"/>
          <w:sz w:val="20"/>
          <w:szCs w:val="20"/>
        </w:rPr>
        <w:t xml:space="preserve">be accepted by </w:t>
      </w:r>
      <w:r w:rsidRPr="00B4305F">
        <w:rPr>
          <w:rFonts w:ascii="Arial" w:hAnsi="Arial" w:cs="Arial"/>
          <w:sz w:val="20"/>
          <w:szCs w:val="20"/>
        </w:rPr>
        <w:t>the Commissioner</w:t>
      </w:r>
      <w:r w:rsidR="004C2918">
        <w:rPr>
          <w:rFonts w:ascii="Arial" w:hAnsi="Arial" w:cs="Arial"/>
          <w:sz w:val="20"/>
          <w:szCs w:val="20"/>
        </w:rPr>
        <w:t xml:space="preserve"> as a non</w:t>
      </w:r>
      <w:r w:rsidR="004C2918">
        <w:rPr>
          <w:rFonts w:ascii="Arial" w:hAnsi="Arial" w:cs="Arial"/>
          <w:sz w:val="20"/>
          <w:szCs w:val="20"/>
        </w:rPr>
        <w:noBreakHyphen/>
        <w:t>profit entity</w:t>
      </w:r>
      <w:r w:rsidRPr="00B4305F">
        <w:rPr>
          <w:rFonts w:ascii="Arial" w:hAnsi="Arial" w:cs="Arial"/>
          <w:sz w:val="20"/>
          <w:szCs w:val="20"/>
        </w:rPr>
        <w:t>, the Commissioner may have regard to a range of factors, including the following:</w:t>
      </w:r>
    </w:p>
    <w:p w:rsidR="00B4305F" w:rsidRPr="00B4305F" w:rsidRDefault="00B4305F" w:rsidP="00916BC4">
      <w:pPr>
        <w:numPr>
          <w:ilvl w:val="0"/>
          <w:numId w:val="7"/>
        </w:numPr>
        <w:spacing w:before="120" w:after="120"/>
        <w:jc w:val="both"/>
        <w:rPr>
          <w:rFonts w:ascii="Arial" w:hAnsi="Arial" w:cs="Arial"/>
          <w:sz w:val="20"/>
          <w:szCs w:val="20"/>
        </w:rPr>
      </w:pPr>
      <w:r w:rsidRPr="00B4305F">
        <w:rPr>
          <w:rFonts w:ascii="Arial" w:hAnsi="Arial" w:cs="Arial"/>
          <w:sz w:val="20"/>
          <w:szCs w:val="20"/>
        </w:rPr>
        <w:t>the significance of the excluding feature of the entity in relation to the purposes of the entity considered as a whole;</w:t>
      </w:r>
    </w:p>
    <w:p w:rsidR="00B4305F" w:rsidRPr="00B4305F" w:rsidRDefault="00B4305F" w:rsidP="00916BC4">
      <w:pPr>
        <w:numPr>
          <w:ilvl w:val="0"/>
          <w:numId w:val="7"/>
        </w:numPr>
        <w:spacing w:before="120" w:after="120"/>
        <w:jc w:val="both"/>
        <w:rPr>
          <w:rFonts w:ascii="Arial" w:hAnsi="Arial" w:cs="Arial"/>
          <w:sz w:val="20"/>
          <w:szCs w:val="20"/>
        </w:rPr>
      </w:pPr>
      <w:r w:rsidRPr="00B4305F">
        <w:rPr>
          <w:rFonts w:ascii="Arial" w:hAnsi="Arial" w:cs="Arial"/>
          <w:sz w:val="20"/>
          <w:szCs w:val="20"/>
        </w:rPr>
        <w:t xml:space="preserve">the extent to which the entity’s purposes are for the </w:t>
      </w:r>
      <w:r w:rsidRPr="00B4305F">
        <w:rPr>
          <w:rFonts w:ascii="Arial" w:hAnsi="Arial" w:cs="Arial"/>
          <w:iCs/>
          <w:sz w:val="20"/>
          <w:szCs w:val="20"/>
        </w:rPr>
        <w:t>relief of poverty, the advancement of education or religion</w:t>
      </w:r>
      <w:r w:rsidRPr="00B4305F">
        <w:rPr>
          <w:rFonts w:ascii="Arial" w:hAnsi="Arial" w:cs="Arial"/>
          <w:sz w:val="20"/>
          <w:szCs w:val="20"/>
        </w:rPr>
        <w:t xml:space="preserve">, or are otherwise beneficial to the community; </w:t>
      </w:r>
    </w:p>
    <w:p w:rsidR="00B4305F" w:rsidRPr="00B4305F" w:rsidRDefault="00B4305F" w:rsidP="00916BC4">
      <w:pPr>
        <w:numPr>
          <w:ilvl w:val="0"/>
          <w:numId w:val="7"/>
        </w:numPr>
        <w:spacing w:before="120" w:after="120"/>
        <w:jc w:val="both"/>
        <w:rPr>
          <w:rFonts w:ascii="Arial" w:hAnsi="Arial" w:cs="Arial"/>
          <w:sz w:val="20"/>
          <w:szCs w:val="20"/>
        </w:rPr>
      </w:pPr>
      <w:r w:rsidRPr="00B4305F">
        <w:rPr>
          <w:rFonts w:ascii="Arial" w:hAnsi="Arial" w:cs="Arial"/>
          <w:sz w:val="20"/>
          <w:szCs w:val="20"/>
        </w:rPr>
        <w:t>the extent to which the entity’s purposes are, or are intended to be, beneficial to any class of persons (whether or not members of the entity) rather than the community generally; and</w:t>
      </w:r>
    </w:p>
    <w:p w:rsidR="00B4305F" w:rsidRPr="00B4305F" w:rsidRDefault="00B4305F" w:rsidP="00916BC4">
      <w:pPr>
        <w:numPr>
          <w:ilvl w:val="0"/>
          <w:numId w:val="7"/>
        </w:numPr>
        <w:spacing w:before="120" w:after="120"/>
        <w:jc w:val="both"/>
        <w:rPr>
          <w:rFonts w:ascii="Arial" w:hAnsi="Arial" w:cs="Arial"/>
          <w:sz w:val="20"/>
          <w:szCs w:val="20"/>
        </w:rPr>
      </w:pPr>
      <w:r w:rsidRPr="00B4305F">
        <w:rPr>
          <w:rFonts w:ascii="Arial" w:hAnsi="Arial" w:cs="Arial"/>
          <w:sz w:val="20"/>
          <w:szCs w:val="20"/>
        </w:rPr>
        <w:t xml:space="preserve">any other factors the Commissioner considers relevant. </w:t>
      </w:r>
    </w:p>
    <w:p w:rsidR="00B4305F" w:rsidRPr="00B4305F" w:rsidRDefault="00B4305F" w:rsidP="00916BC4">
      <w:pPr>
        <w:numPr>
          <w:ilvl w:val="0"/>
          <w:numId w:val="3"/>
        </w:numPr>
        <w:spacing w:before="120" w:after="120"/>
        <w:jc w:val="both"/>
        <w:rPr>
          <w:rFonts w:ascii="Arial" w:hAnsi="Arial" w:cs="Arial"/>
          <w:sz w:val="20"/>
          <w:szCs w:val="20"/>
        </w:rPr>
      </w:pPr>
      <w:r w:rsidRPr="00B4305F">
        <w:rPr>
          <w:rFonts w:ascii="Arial" w:hAnsi="Arial" w:cs="Arial"/>
          <w:sz w:val="20"/>
          <w:szCs w:val="20"/>
        </w:rPr>
        <w:t>An excluding feature of an entity means a purpose, object or activity that would, but for a determination by the Commissioner, cause the entity to be ineligible for the non-profit payroll tax exemption.</w:t>
      </w:r>
    </w:p>
    <w:p w:rsidR="00B4305F" w:rsidRPr="00B4305F" w:rsidRDefault="00045007" w:rsidP="00916BC4">
      <w:pPr>
        <w:numPr>
          <w:ilvl w:val="0"/>
          <w:numId w:val="3"/>
        </w:numPr>
        <w:spacing w:before="120" w:after="120"/>
        <w:jc w:val="both"/>
        <w:rPr>
          <w:rFonts w:ascii="Arial" w:hAnsi="Arial" w:cs="Arial"/>
          <w:b/>
          <w:i/>
          <w:sz w:val="20"/>
          <w:szCs w:val="20"/>
        </w:rPr>
      </w:pPr>
      <w:r>
        <w:rPr>
          <w:rFonts w:ascii="Arial" w:hAnsi="Arial" w:cs="Arial"/>
          <w:sz w:val="20"/>
          <w:szCs w:val="20"/>
        </w:rPr>
        <w:t xml:space="preserve">An employer aggrieved by a decision by the Commissioner not to </w:t>
      </w:r>
      <w:r w:rsidR="00B4305F" w:rsidRPr="00B4305F">
        <w:rPr>
          <w:rFonts w:ascii="Arial" w:hAnsi="Arial" w:cs="Arial"/>
          <w:sz w:val="20"/>
          <w:szCs w:val="20"/>
        </w:rPr>
        <w:t>exercise this discretion</w:t>
      </w:r>
      <w:r>
        <w:rPr>
          <w:rFonts w:ascii="Arial" w:hAnsi="Arial" w:cs="Arial"/>
          <w:sz w:val="20"/>
          <w:szCs w:val="20"/>
        </w:rPr>
        <w:t>, and any consequential assessment</w:t>
      </w:r>
      <w:r w:rsidR="00B4305F" w:rsidRPr="00B4305F">
        <w:rPr>
          <w:rFonts w:ascii="Arial" w:hAnsi="Arial" w:cs="Arial"/>
          <w:sz w:val="20"/>
          <w:szCs w:val="20"/>
        </w:rPr>
        <w:t xml:space="preserve"> will be subject to the objection and appeals provisions at Part 11 of the </w:t>
      </w:r>
      <w:r w:rsidR="00B4305F" w:rsidRPr="00B4305F">
        <w:rPr>
          <w:rFonts w:ascii="Arial" w:hAnsi="Arial" w:cs="Arial"/>
          <w:i/>
          <w:sz w:val="20"/>
          <w:szCs w:val="20"/>
        </w:rPr>
        <w:t>Taxation Administration Act</w:t>
      </w:r>
      <w:r w:rsidR="00B4305F" w:rsidRPr="00B4305F">
        <w:rPr>
          <w:rFonts w:ascii="Arial" w:hAnsi="Arial" w:cs="Arial"/>
          <w:sz w:val="20"/>
          <w:szCs w:val="20"/>
        </w:rPr>
        <w:t xml:space="preserve">. </w:t>
      </w:r>
    </w:p>
    <w:p w:rsidR="00B4305F" w:rsidRPr="00B4305F" w:rsidRDefault="00B4305F" w:rsidP="00916BC4">
      <w:pPr>
        <w:keepNext/>
        <w:pBdr>
          <w:bottom w:val="single" w:sz="4" w:space="1" w:color="auto"/>
        </w:pBdr>
        <w:spacing w:before="120" w:after="120"/>
        <w:jc w:val="both"/>
        <w:rPr>
          <w:rFonts w:ascii="Arial" w:hAnsi="Arial"/>
          <w:b/>
          <w:bCs/>
          <w:sz w:val="20"/>
          <w:szCs w:val="20"/>
        </w:rPr>
      </w:pPr>
    </w:p>
    <w:p w:rsidR="00B4305F" w:rsidRPr="00B4305F" w:rsidRDefault="00B4305F" w:rsidP="00916BC4">
      <w:pPr>
        <w:spacing w:before="120" w:after="120"/>
        <w:jc w:val="both"/>
        <w:rPr>
          <w:rFonts w:ascii="Arial" w:hAnsi="Arial"/>
          <w:b/>
          <w:i/>
          <w:sz w:val="20"/>
          <w:szCs w:val="20"/>
        </w:rPr>
      </w:pPr>
      <w:r w:rsidRPr="00B4305F">
        <w:rPr>
          <w:rFonts w:ascii="Arial" w:hAnsi="Arial"/>
          <w:b/>
          <w:i/>
          <w:sz w:val="20"/>
          <w:szCs w:val="20"/>
        </w:rPr>
        <w:t xml:space="preserve">Further Information </w:t>
      </w:r>
    </w:p>
    <w:p w:rsidR="00B4305F" w:rsidRPr="00B4305F" w:rsidRDefault="00B4305F" w:rsidP="00916BC4">
      <w:pPr>
        <w:numPr>
          <w:ilvl w:val="0"/>
          <w:numId w:val="3"/>
        </w:numPr>
        <w:spacing w:before="120" w:after="120"/>
        <w:rPr>
          <w:rFonts w:ascii="Arial" w:hAnsi="Arial" w:cs="Arial"/>
          <w:sz w:val="20"/>
          <w:szCs w:val="20"/>
        </w:rPr>
      </w:pPr>
      <w:r w:rsidRPr="00B4305F">
        <w:rPr>
          <w:rFonts w:ascii="Arial" w:hAnsi="Arial" w:cs="Arial"/>
          <w:sz w:val="20"/>
          <w:szCs w:val="20"/>
        </w:rPr>
        <w:t xml:space="preserve">Please refer to the Revenue and Other Legislation Amendment Bill 2015 and explanatory statement for precise details of the amendments. </w:t>
      </w:r>
    </w:p>
    <w:p w:rsidR="00D71126" w:rsidRDefault="00D71126" w:rsidP="00916BC4">
      <w:pPr>
        <w:pBdr>
          <w:bottom w:val="single" w:sz="4" w:space="1" w:color="auto"/>
        </w:pBdr>
        <w:spacing w:before="120" w:after="120"/>
        <w:rPr>
          <w:rFonts w:ascii="Arial" w:hAnsi="Arial" w:cs="Arial"/>
          <w:b/>
          <w:sz w:val="20"/>
          <w:szCs w:val="20"/>
        </w:rPr>
      </w:pPr>
    </w:p>
    <w:p w:rsidR="00D71126" w:rsidRDefault="00D71126" w:rsidP="00916BC4">
      <w:pPr>
        <w:pBdr>
          <w:bottom w:val="single" w:sz="4" w:space="1" w:color="auto"/>
        </w:pBdr>
        <w:spacing w:before="120" w:after="120"/>
        <w:rPr>
          <w:rFonts w:ascii="Arial" w:hAnsi="Arial" w:cs="Arial"/>
          <w:b/>
          <w:sz w:val="20"/>
          <w:szCs w:val="20"/>
        </w:rPr>
      </w:pPr>
    </w:p>
    <w:p w:rsidR="00D71126" w:rsidRDefault="00D71126" w:rsidP="00916BC4">
      <w:pPr>
        <w:pBdr>
          <w:bottom w:val="single" w:sz="4" w:space="1" w:color="auto"/>
        </w:pBdr>
        <w:spacing w:before="120" w:after="120"/>
        <w:rPr>
          <w:rFonts w:ascii="Arial" w:hAnsi="Arial" w:cs="Arial"/>
          <w:b/>
          <w:sz w:val="20"/>
          <w:szCs w:val="20"/>
        </w:rPr>
      </w:pPr>
    </w:p>
    <w:p w:rsidR="00D71126" w:rsidRDefault="00D71126" w:rsidP="00916BC4">
      <w:pPr>
        <w:pBdr>
          <w:bottom w:val="single" w:sz="4" w:space="1" w:color="auto"/>
        </w:pBdr>
        <w:spacing w:before="120" w:after="120"/>
        <w:rPr>
          <w:rFonts w:ascii="Arial" w:hAnsi="Arial" w:cs="Arial"/>
          <w:b/>
          <w:sz w:val="20"/>
          <w:szCs w:val="20"/>
        </w:rPr>
      </w:pPr>
    </w:p>
    <w:p w:rsidR="00D71126" w:rsidRDefault="00D71126" w:rsidP="00916BC4">
      <w:pPr>
        <w:pBdr>
          <w:bottom w:val="single" w:sz="4" w:space="1" w:color="auto"/>
        </w:pBdr>
        <w:spacing w:before="120" w:after="120"/>
        <w:rPr>
          <w:rFonts w:ascii="Arial" w:hAnsi="Arial" w:cs="Arial"/>
          <w:b/>
          <w:sz w:val="20"/>
          <w:szCs w:val="20"/>
        </w:rPr>
      </w:pPr>
    </w:p>
    <w:p w:rsidR="00B4305F" w:rsidRPr="00B4305F" w:rsidRDefault="00B4305F" w:rsidP="00916BC4">
      <w:pPr>
        <w:pBdr>
          <w:bottom w:val="single" w:sz="4" w:space="1" w:color="auto"/>
        </w:pBdr>
        <w:spacing w:before="120" w:after="120"/>
        <w:rPr>
          <w:rFonts w:ascii="Arial" w:hAnsi="Arial" w:cs="Arial"/>
          <w:b/>
          <w:sz w:val="20"/>
          <w:szCs w:val="20"/>
        </w:rPr>
      </w:pPr>
      <w:r w:rsidRPr="00B4305F">
        <w:rPr>
          <w:rFonts w:ascii="Arial" w:hAnsi="Arial" w:cs="Arial"/>
          <w:b/>
          <w:sz w:val="20"/>
          <w:szCs w:val="20"/>
        </w:rPr>
        <w:lastRenderedPageBreak/>
        <w:t>Revenue Circulars</w:t>
      </w:r>
    </w:p>
    <w:p w:rsidR="00B4305F" w:rsidRPr="00B4305F" w:rsidRDefault="00B4305F" w:rsidP="00916BC4">
      <w:pPr>
        <w:numPr>
          <w:ilvl w:val="0"/>
          <w:numId w:val="1"/>
        </w:numPr>
        <w:spacing w:before="120" w:after="120"/>
        <w:ind w:left="539" w:hanging="539"/>
        <w:jc w:val="both"/>
        <w:rPr>
          <w:rFonts w:ascii="Arial" w:hAnsi="Arial" w:cs="Arial"/>
          <w:sz w:val="20"/>
          <w:szCs w:val="20"/>
        </w:rPr>
      </w:pPr>
      <w:r w:rsidRPr="00B4305F">
        <w:rPr>
          <w:rFonts w:ascii="Arial" w:hAnsi="Arial" w:cs="Arial"/>
          <w:sz w:val="20"/>
          <w:szCs w:val="20"/>
        </w:rPr>
        <w:t xml:space="preserve">Commissioner’s Guideline </w:t>
      </w:r>
      <w:hyperlink r:id="rId11" w:tooltip="Link to CG-HI-001" w:history="1">
        <w:r w:rsidRPr="00B4305F">
          <w:rPr>
            <w:rFonts w:ascii="Arial" w:hAnsi="Arial"/>
            <w:color w:val="0000FF"/>
            <w:sz w:val="20"/>
            <w:szCs w:val="20"/>
            <w:u w:val="single"/>
          </w:rPr>
          <w:t xml:space="preserve">CG-GEN-001: </w:t>
        </w:r>
        <w:r w:rsidRPr="00B4305F">
          <w:rPr>
            <w:rFonts w:ascii="Arial" w:hAnsi="Arial"/>
            <w:i/>
            <w:color w:val="0000FF"/>
            <w:sz w:val="20"/>
            <w:szCs w:val="20"/>
            <w:u w:val="single"/>
          </w:rPr>
          <w:t>Revenue Circulars, Commissioner's Guidelines and Payroll Tax Rulings: explanation and status</w:t>
        </w:r>
      </w:hyperlink>
      <w:r w:rsidRPr="00B4305F">
        <w:rPr>
          <w:rFonts w:ascii="Arial" w:hAnsi="Arial" w:cs="Arial"/>
          <w:sz w:val="20"/>
          <w:szCs w:val="20"/>
        </w:rPr>
        <w:t>, which sets out information on the revenue publication system, is incorporated into and is to be read as one with this Circular. All Circulars and Guidelines are available from TRO’s website.</w:t>
      </w:r>
    </w:p>
    <w:p w:rsidR="00B4305F" w:rsidRPr="00B4305F" w:rsidRDefault="00B4305F" w:rsidP="00916BC4">
      <w:pPr>
        <w:spacing w:before="120" w:after="120"/>
        <w:jc w:val="both"/>
        <w:rPr>
          <w:rFonts w:ascii="Arial" w:hAnsi="Arial"/>
          <w:b/>
          <w:i/>
          <w:sz w:val="20"/>
          <w:szCs w:val="20"/>
        </w:rPr>
      </w:pPr>
    </w:p>
    <w:p w:rsidR="00B4305F" w:rsidRPr="00B4305F" w:rsidRDefault="00402089" w:rsidP="00916BC4">
      <w:pPr>
        <w:spacing w:before="120" w:after="120"/>
        <w:jc w:val="both"/>
        <w:rPr>
          <w:rFonts w:ascii="Arial" w:hAnsi="Arial"/>
          <w:b/>
          <w:i/>
          <w:sz w:val="20"/>
          <w:szCs w:val="20"/>
        </w:rPr>
      </w:pPr>
      <w:permStart w:id="1925199244" w:edGrp="everyone"/>
      <w:r w:rsidRPr="00AE78AA">
        <w:rPr>
          <w:rFonts w:ascii="Arial" w:hAnsi="Arial"/>
          <w:b/>
          <w:i/>
          <w:noProof/>
          <w:sz w:val="20"/>
          <w:szCs w:val="20"/>
        </w:rPr>
        <w:drawing>
          <wp:anchor distT="0" distB="0" distL="114300" distR="114300" simplePos="0" relativeHeight="251658240" behindDoc="0" locked="0" layoutInCell="1" allowOverlap="1" wp14:anchorId="30EDDA0F" wp14:editId="2FD3393B">
            <wp:simplePos x="0" y="0"/>
            <wp:positionH relativeFrom="column">
              <wp:posOffset>-47625</wp:posOffset>
            </wp:positionH>
            <wp:positionV relativeFrom="paragraph">
              <wp:posOffset>-283845</wp:posOffset>
            </wp:positionV>
            <wp:extent cx="2019300" cy="342900"/>
            <wp:effectExtent l="0" t="0" r="0" b="0"/>
            <wp:wrapNone/>
            <wp:docPr id="2" name="Picture 2" descr="Grant Parsons electronic signatur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nt Parsons electronic signature2.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342900"/>
                    </a:xfrm>
                    <a:prstGeom prst="rect">
                      <a:avLst/>
                    </a:prstGeom>
                    <a:noFill/>
                  </pic:spPr>
                </pic:pic>
              </a:graphicData>
            </a:graphic>
            <wp14:sizeRelH relativeFrom="page">
              <wp14:pctWidth>0</wp14:pctWidth>
            </wp14:sizeRelH>
            <wp14:sizeRelV relativeFrom="page">
              <wp14:pctHeight>0</wp14:pctHeight>
            </wp14:sizeRelV>
          </wp:anchor>
        </w:drawing>
      </w:r>
      <w:permEnd w:id="1925199244"/>
    </w:p>
    <w:p w:rsidR="00B4305F" w:rsidRPr="00D120D0" w:rsidRDefault="00B4305F" w:rsidP="00916BC4">
      <w:pPr>
        <w:spacing w:before="120" w:after="120"/>
        <w:jc w:val="both"/>
        <w:rPr>
          <w:rFonts w:ascii="Arial" w:hAnsi="Arial"/>
          <w:sz w:val="22"/>
          <w:szCs w:val="22"/>
        </w:rPr>
      </w:pPr>
      <w:r w:rsidRPr="00D120D0">
        <w:rPr>
          <w:rFonts w:ascii="Arial" w:hAnsi="Arial"/>
          <w:sz w:val="22"/>
          <w:szCs w:val="22"/>
        </w:rPr>
        <w:t>Grant Parsons</w:t>
      </w:r>
    </w:p>
    <w:p w:rsidR="00B4305F" w:rsidRPr="00D120D0" w:rsidRDefault="00B4305F" w:rsidP="00916BC4">
      <w:pPr>
        <w:spacing w:before="120" w:after="120"/>
        <w:jc w:val="both"/>
        <w:rPr>
          <w:rFonts w:ascii="Arial" w:hAnsi="Arial"/>
          <w:b/>
          <w:sz w:val="20"/>
          <w:szCs w:val="20"/>
        </w:rPr>
      </w:pPr>
      <w:r w:rsidRPr="00D120D0">
        <w:rPr>
          <w:rFonts w:ascii="Arial" w:hAnsi="Arial"/>
          <w:b/>
          <w:sz w:val="20"/>
          <w:szCs w:val="20"/>
        </w:rPr>
        <w:t>COMMISSIONER OF TERRITORY REVENUE</w:t>
      </w:r>
    </w:p>
    <w:p w:rsidR="00B4305F" w:rsidRPr="00B4305F" w:rsidRDefault="00B4305F" w:rsidP="00916BC4">
      <w:pPr>
        <w:spacing w:before="120" w:after="120"/>
        <w:jc w:val="both"/>
        <w:rPr>
          <w:rFonts w:ascii="Arial" w:hAnsi="Arial"/>
          <w:b/>
          <w:i/>
          <w:sz w:val="20"/>
          <w:szCs w:val="20"/>
        </w:rPr>
      </w:pPr>
    </w:p>
    <w:p w:rsidR="00B4305F" w:rsidRPr="00D120D0" w:rsidRDefault="00B4305F" w:rsidP="00916BC4">
      <w:pPr>
        <w:spacing w:before="120" w:after="120"/>
        <w:jc w:val="both"/>
        <w:rPr>
          <w:rFonts w:ascii="Arial" w:hAnsi="Arial"/>
          <w:sz w:val="22"/>
          <w:szCs w:val="22"/>
        </w:rPr>
      </w:pPr>
      <w:r w:rsidRPr="00D120D0">
        <w:rPr>
          <w:rFonts w:ascii="Arial" w:hAnsi="Arial"/>
          <w:sz w:val="22"/>
          <w:szCs w:val="22"/>
        </w:rPr>
        <w:t>Date of issue:</w:t>
      </w:r>
      <w:r w:rsidRPr="00D120D0">
        <w:rPr>
          <w:rFonts w:ascii="Arial" w:hAnsi="Arial"/>
          <w:sz w:val="22"/>
          <w:szCs w:val="22"/>
        </w:rPr>
        <w:tab/>
      </w:r>
      <w:r w:rsidR="00185610" w:rsidRPr="00D120D0">
        <w:rPr>
          <w:rFonts w:ascii="Arial" w:hAnsi="Arial"/>
          <w:sz w:val="22"/>
          <w:szCs w:val="22"/>
        </w:rPr>
        <w:t>28 April 2015</w:t>
      </w:r>
    </w:p>
    <w:p w:rsidR="00B4305F" w:rsidRPr="00B4305F" w:rsidRDefault="00B4305F" w:rsidP="00916BC4">
      <w:pPr>
        <w:spacing w:before="120" w:after="120"/>
        <w:jc w:val="both"/>
        <w:rPr>
          <w:rFonts w:ascii="Arial" w:hAnsi="Arial"/>
          <w:b/>
          <w:i/>
          <w:sz w:val="20"/>
          <w:szCs w:val="20"/>
        </w:rPr>
      </w:pPr>
    </w:p>
    <w:tbl>
      <w:tblPr>
        <w:tblW w:w="8945" w:type="dxa"/>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140"/>
        <w:gridCol w:w="4805"/>
      </w:tblGrid>
      <w:tr w:rsidR="00B4305F" w:rsidRPr="00B4305F" w:rsidTr="00CA52D2">
        <w:tc>
          <w:tcPr>
            <w:tcW w:w="8945" w:type="dxa"/>
            <w:gridSpan w:val="2"/>
          </w:tcPr>
          <w:p w:rsidR="00B4305F" w:rsidRPr="00B4305F" w:rsidRDefault="00B4305F" w:rsidP="00916BC4">
            <w:pPr>
              <w:spacing w:before="120" w:after="120" w:line="240" w:lineRule="atLeast"/>
              <w:rPr>
                <w:rFonts w:ascii="Arial" w:hAnsi="Arial" w:cs="Arial"/>
                <w:sz w:val="20"/>
                <w:szCs w:val="20"/>
              </w:rPr>
            </w:pPr>
            <w:r w:rsidRPr="00B4305F">
              <w:rPr>
                <w:rFonts w:ascii="Arial" w:hAnsi="Arial" w:cs="Arial"/>
                <w:sz w:val="20"/>
                <w:szCs w:val="20"/>
              </w:rPr>
              <w:t>For further information, contact the Territory Revenue Office</w:t>
            </w:r>
          </w:p>
        </w:tc>
      </w:tr>
      <w:tr w:rsidR="00B4305F" w:rsidRPr="00B4305F" w:rsidTr="00CA52D2">
        <w:tc>
          <w:tcPr>
            <w:tcW w:w="4140" w:type="dxa"/>
          </w:tcPr>
          <w:p w:rsidR="00B4305F" w:rsidRPr="00B4305F" w:rsidRDefault="00B4305F" w:rsidP="00916BC4">
            <w:pPr>
              <w:spacing w:before="120" w:after="120"/>
              <w:rPr>
                <w:rFonts w:ascii="Arial" w:hAnsi="Arial" w:cs="Arial"/>
                <w:sz w:val="20"/>
                <w:szCs w:val="20"/>
              </w:rPr>
            </w:pPr>
            <w:r w:rsidRPr="00B4305F">
              <w:rPr>
                <w:rFonts w:ascii="Arial" w:hAnsi="Arial" w:cs="Arial"/>
                <w:sz w:val="20"/>
                <w:szCs w:val="20"/>
              </w:rPr>
              <w:t>GPO BOX</w:t>
            </w:r>
            <w:r w:rsidR="001B794D">
              <w:rPr>
                <w:rFonts w:ascii="Arial" w:hAnsi="Arial" w:cs="Arial"/>
                <w:sz w:val="20"/>
                <w:szCs w:val="20"/>
              </w:rPr>
              <w:t xml:space="preserve"> 197</w:t>
            </w:r>
            <w:bookmarkStart w:id="0" w:name="_GoBack"/>
            <w:bookmarkEnd w:id="0"/>
            <w:r w:rsidRPr="00B4305F">
              <w:rPr>
                <w:rFonts w:ascii="Arial" w:hAnsi="Arial" w:cs="Arial"/>
                <w:sz w:val="20"/>
                <w:szCs w:val="20"/>
              </w:rPr>
              <w:t>4</w:t>
            </w:r>
          </w:p>
          <w:p w:rsidR="00B4305F" w:rsidRPr="00B4305F" w:rsidRDefault="00B4305F" w:rsidP="00916BC4">
            <w:pPr>
              <w:spacing w:before="120" w:after="120"/>
              <w:rPr>
                <w:rFonts w:ascii="Arial" w:hAnsi="Arial" w:cs="Arial"/>
                <w:sz w:val="20"/>
                <w:szCs w:val="20"/>
              </w:rPr>
            </w:pPr>
            <w:r w:rsidRPr="00B4305F">
              <w:rPr>
                <w:rFonts w:ascii="Arial" w:hAnsi="Arial" w:cs="Arial"/>
                <w:sz w:val="20"/>
                <w:szCs w:val="20"/>
              </w:rPr>
              <w:t>Darwin NT 0801</w:t>
            </w:r>
          </w:p>
          <w:p w:rsidR="00B4305F" w:rsidRPr="00B4305F" w:rsidRDefault="00B4305F" w:rsidP="00916BC4">
            <w:pPr>
              <w:spacing w:before="120" w:after="120"/>
              <w:rPr>
                <w:rFonts w:ascii="Arial" w:hAnsi="Arial" w:cs="Arial"/>
                <w:sz w:val="20"/>
                <w:szCs w:val="20"/>
              </w:rPr>
            </w:pPr>
            <w:r w:rsidRPr="00B4305F">
              <w:rPr>
                <w:rFonts w:ascii="Arial" w:hAnsi="Arial" w:cs="Arial"/>
                <w:sz w:val="20"/>
                <w:szCs w:val="20"/>
              </w:rPr>
              <w:t xml:space="preserve">Email: </w:t>
            </w:r>
            <w:hyperlink r:id="rId13" w:history="1">
              <w:r w:rsidRPr="00B4305F">
                <w:rPr>
                  <w:rFonts w:ascii="Arial" w:hAnsi="Arial" w:cs="Arial"/>
                  <w:color w:val="0000FF"/>
                  <w:sz w:val="20"/>
                  <w:szCs w:val="20"/>
                  <w:u w:val="single"/>
                </w:rPr>
                <w:t>ntrevenue@nt.gov.au</w:t>
              </w:r>
            </w:hyperlink>
          </w:p>
        </w:tc>
        <w:tc>
          <w:tcPr>
            <w:tcW w:w="4805" w:type="dxa"/>
          </w:tcPr>
          <w:p w:rsidR="00B4305F" w:rsidRPr="00B4305F" w:rsidRDefault="00B4305F" w:rsidP="00916BC4">
            <w:pPr>
              <w:spacing w:before="120" w:after="120"/>
              <w:rPr>
                <w:rFonts w:ascii="Arial" w:hAnsi="Arial" w:cs="Arial"/>
                <w:sz w:val="20"/>
                <w:szCs w:val="20"/>
              </w:rPr>
            </w:pPr>
            <w:r w:rsidRPr="00B4305F">
              <w:rPr>
                <w:rFonts w:ascii="Arial" w:hAnsi="Arial" w:cs="Arial"/>
                <w:sz w:val="20"/>
                <w:szCs w:val="20"/>
              </w:rPr>
              <w:t>Phone: 1300 305 353</w:t>
            </w:r>
          </w:p>
          <w:p w:rsidR="00B4305F" w:rsidRPr="00B4305F" w:rsidRDefault="00B4305F" w:rsidP="00916BC4">
            <w:pPr>
              <w:spacing w:before="120" w:after="120"/>
              <w:rPr>
                <w:rFonts w:ascii="Arial" w:hAnsi="Arial" w:cs="Arial"/>
                <w:sz w:val="20"/>
                <w:szCs w:val="20"/>
              </w:rPr>
            </w:pPr>
            <w:r w:rsidRPr="00B4305F">
              <w:rPr>
                <w:rFonts w:ascii="Arial" w:hAnsi="Arial" w:cs="Arial"/>
                <w:sz w:val="20"/>
                <w:szCs w:val="20"/>
              </w:rPr>
              <w:t>Fax: 08 8999 5577</w:t>
            </w:r>
          </w:p>
          <w:p w:rsidR="00B4305F" w:rsidRPr="00B4305F" w:rsidRDefault="00B4305F" w:rsidP="00916BC4">
            <w:pPr>
              <w:spacing w:before="120" w:after="120"/>
              <w:rPr>
                <w:rFonts w:ascii="Arial" w:hAnsi="Arial" w:cs="Arial"/>
                <w:bCs/>
                <w:sz w:val="20"/>
                <w:szCs w:val="20"/>
              </w:rPr>
            </w:pPr>
            <w:r w:rsidRPr="00B4305F">
              <w:rPr>
                <w:rFonts w:ascii="Arial" w:hAnsi="Arial" w:cs="Arial"/>
                <w:sz w:val="20"/>
                <w:szCs w:val="20"/>
              </w:rPr>
              <w:t xml:space="preserve">Website: </w:t>
            </w:r>
            <w:hyperlink r:id="rId14" w:history="1">
              <w:r w:rsidRPr="00B4305F">
                <w:rPr>
                  <w:rFonts w:ascii="Arial" w:hAnsi="Arial" w:cs="Arial"/>
                  <w:color w:val="0000FF"/>
                  <w:sz w:val="20"/>
                  <w:szCs w:val="20"/>
                  <w:u w:val="single"/>
                </w:rPr>
                <w:t>www.revenue.nt.gov.au</w:t>
              </w:r>
            </w:hyperlink>
            <w:r w:rsidRPr="00B4305F">
              <w:rPr>
                <w:rFonts w:ascii="Arial" w:hAnsi="Arial" w:cs="Arial"/>
                <w:sz w:val="20"/>
                <w:szCs w:val="20"/>
              </w:rPr>
              <w:t xml:space="preserve"> </w:t>
            </w:r>
          </w:p>
        </w:tc>
      </w:tr>
    </w:tbl>
    <w:p w:rsidR="00B4305F" w:rsidRPr="00B4305F" w:rsidRDefault="00B4305F" w:rsidP="00916BC4">
      <w:pPr>
        <w:rPr>
          <w:rFonts w:ascii="Arial" w:hAnsi="Arial" w:cs="Arial"/>
          <w:sz w:val="20"/>
          <w:szCs w:val="20"/>
        </w:rPr>
      </w:pPr>
    </w:p>
    <w:p w:rsidR="005E57E9" w:rsidRDefault="005E57E9" w:rsidP="00916BC4"/>
    <w:sectPr w:rsidR="005E57E9" w:rsidSect="000832C4">
      <w:headerReference w:type="even" r:id="rId15"/>
      <w:headerReference w:type="default" r:id="rId16"/>
      <w:footerReference w:type="default" r:id="rId17"/>
      <w:headerReference w:type="first" r:id="rId18"/>
      <w:footerReference w:type="first" r:id="rId19"/>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534" w:rsidRDefault="006A1534">
      <w:r>
        <w:separator/>
      </w:r>
    </w:p>
  </w:endnote>
  <w:endnote w:type="continuationSeparator" w:id="0">
    <w:p w:rsidR="006A1534" w:rsidRDefault="006A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6A1534" w:rsidP="000832C4">
    <w:pPr>
      <w:pStyle w:val="Footer"/>
      <w:tabs>
        <w:tab w:val="right" w:pos="9720"/>
      </w:tabs>
      <w:rPr>
        <w:sz w:val="16"/>
        <w:szCs w:val="16"/>
      </w:rPr>
    </w:pPr>
  </w:p>
  <w:p w:rsidR="003F4E7A" w:rsidRPr="00664CE8" w:rsidRDefault="00B4305F" w:rsidP="000832C4">
    <w:pPr>
      <w:pStyle w:val="Footer"/>
      <w:tabs>
        <w:tab w:val="right" w:pos="9720"/>
      </w:tabs>
      <w:rPr>
        <w:rFonts w:ascii="Arial" w:hAnsi="Arial" w:cs="Arial"/>
        <w:sz w:val="18"/>
        <w:szCs w:val="18"/>
      </w:rPr>
    </w:pPr>
    <w:r w:rsidRPr="00664CE8">
      <w:rPr>
        <w:rFonts w:ascii="Arial" w:hAnsi="Arial" w:cs="Arial"/>
        <w:sz w:val="18"/>
        <w:szCs w:val="18"/>
      </w:rPr>
      <w:t xml:space="preserve">Page </w:t>
    </w:r>
    <w:r w:rsidRPr="00664CE8">
      <w:rPr>
        <w:rFonts w:ascii="Arial" w:hAnsi="Arial" w:cs="Arial"/>
        <w:sz w:val="18"/>
        <w:szCs w:val="18"/>
      </w:rPr>
      <w:fldChar w:fldCharType="begin"/>
    </w:r>
    <w:r w:rsidRPr="00664CE8">
      <w:rPr>
        <w:rFonts w:ascii="Arial" w:hAnsi="Arial" w:cs="Arial"/>
        <w:sz w:val="18"/>
        <w:szCs w:val="18"/>
      </w:rPr>
      <w:instrText xml:space="preserve"> PAGE </w:instrText>
    </w:r>
    <w:r w:rsidRPr="00664CE8">
      <w:rPr>
        <w:rFonts w:ascii="Arial" w:hAnsi="Arial" w:cs="Arial"/>
        <w:sz w:val="18"/>
        <w:szCs w:val="18"/>
      </w:rPr>
      <w:fldChar w:fldCharType="separate"/>
    </w:r>
    <w:r w:rsidR="001B794D">
      <w:rPr>
        <w:rFonts w:ascii="Arial" w:hAnsi="Arial" w:cs="Arial"/>
        <w:noProof/>
        <w:sz w:val="18"/>
        <w:szCs w:val="18"/>
      </w:rPr>
      <w:t>2</w:t>
    </w:r>
    <w:r w:rsidRPr="00664CE8">
      <w:rPr>
        <w:rFonts w:ascii="Arial" w:hAnsi="Arial" w:cs="Arial"/>
        <w:sz w:val="18"/>
        <w:szCs w:val="18"/>
      </w:rPr>
      <w:fldChar w:fldCharType="end"/>
    </w:r>
    <w:r w:rsidRPr="00664CE8">
      <w:rPr>
        <w:rFonts w:ascii="Arial" w:hAnsi="Arial" w:cs="Arial"/>
        <w:sz w:val="18"/>
        <w:szCs w:val="18"/>
      </w:rPr>
      <w:t xml:space="preserve"> of </w:t>
    </w:r>
    <w:r w:rsidRPr="00664CE8">
      <w:rPr>
        <w:rFonts w:ascii="Arial" w:hAnsi="Arial" w:cs="Arial"/>
        <w:sz w:val="18"/>
        <w:szCs w:val="18"/>
      </w:rPr>
      <w:fldChar w:fldCharType="begin"/>
    </w:r>
    <w:r w:rsidRPr="00664CE8">
      <w:rPr>
        <w:rFonts w:ascii="Arial" w:hAnsi="Arial" w:cs="Arial"/>
        <w:sz w:val="18"/>
        <w:szCs w:val="18"/>
      </w:rPr>
      <w:instrText xml:space="preserve"> NUMPAGES </w:instrText>
    </w:r>
    <w:r w:rsidRPr="00664CE8">
      <w:rPr>
        <w:rFonts w:ascii="Arial" w:hAnsi="Arial" w:cs="Arial"/>
        <w:sz w:val="18"/>
        <w:szCs w:val="18"/>
      </w:rPr>
      <w:fldChar w:fldCharType="separate"/>
    </w:r>
    <w:r w:rsidR="001B794D">
      <w:rPr>
        <w:rFonts w:ascii="Arial" w:hAnsi="Arial" w:cs="Arial"/>
        <w:noProof/>
        <w:sz w:val="18"/>
        <w:szCs w:val="18"/>
      </w:rPr>
      <w:t>3</w:t>
    </w:r>
    <w:r w:rsidRPr="00664CE8">
      <w:rPr>
        <w:rFonts w:ascii="Arial" w:hAnsi="Arial" w:cs="Arial"/>
        <w:sz w:val="18"/>
        <w:szCs w:val="18"/>
      </w:rPr>
      <w:fldChar w:fldCharType="end"/>
    </w:r>
    <w:r w:rsidRPr="00664CE8">
      <w:rPr>
        <w:rFonts w:ascii="Arial" w:hAnsi="Arial" w:cs="Arial"/>
        <w:sz w:val="18"/>
        <w:szCs w:val="18"/>
      </w:rPr>
      <w:tab/>
      <w:t>RC-</w:t>
    </w:r>
    <w:r w:rsidR="001702C3" w:rsidRPr="00664CE8">
      <w:rPr>
        <w:rFonts w:ascii="Arial" w:hAnsi="Arial" w:cs="Arial"/>
        <w:sz w:val="18"/>
        <w:szCs w:val="18"/>
      </w:rPr>
      <w:t>PRT-007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Pr="00664CE8" w:rsidRDefault="006A1534" w:rsidP="000832C4">
    <w:pPr>
      <w:pStyle w:val="Footer"/>
      <w:tabs>
        <w:tab w:val="right" w:pos="9720"/>
      </w:tabs>
      <w:rPr>
        <w:rFonts w:ascii="Arial" w:hAnsi="Arial" w:cs="Arial"/>
        <w:sz w:val="18"/>
        <w:szCs w:val="18"/>
      </w:rPr>
    </w:pPr>
  </w:p>
  <w:p w:rsidR="003F4E7A" w:rsidRPr="00664CE8" w:rsidRDefault="00B4305F" w:rsidP="000832C4">
    <w:pPr>
      <w:pStyle w:val="Footer"/>
      <w:tabs>
        <w:tab w:val="right" w:pos="9720"/>
      </w:tabs>
      <w:rPr>
        <w:rFonts w:ascii="Arial" w:hAnsi="Arial" w:cs="Arial"/>
        <w:sz w:val="18"/>
        <w:szCs w:val="18"/>
      </w:rPr>
    </w:pPr>
    <w:r w:rsidRPr="00664CE8">
      <w:rPr>
        <w:rFonts w:ascii="Arial" w:hAnsi="Arial" w:cs="Arial"/>
        <w:sz w:val="18"/>
        <w:szCs w:val="18"/>
      </w:rPr>
      <w:t xml:space="preserve">Page </w:t>
    </w:r>
    <w:r w:rsidRPr="00664CE8">
      <w:rPr>
        <w:rFonts w:ascii="Arial" w:hAnsi="Arial" w:cs="Arial"/>
        <w:sz w:val="18"/>
        <w:szCs w:val="18"/>
      </w:rPr>
      <w:fldChar w:fldCharType="begin"/>
    </w:r>
    <w:r w:rsidRPr="00664CE8">
      <w:rPr>
        <w:rFonts w:ascii="Arial" w:hAnsi="Arial" w:cs="Arial"/>
        <w:sz w:val="18"/>
        <w:szCs w:val="18"/>
      </w:rPr>
      <w:instrText xml:space="preserve"> PAGE </w:instrText>
    </w:r>
    <w:r w:rsidRPr="00664CE8">
      <w:rPr>
        <w:rFonts w:ascii="Arial" w:hAnsi="Arial" w:cs="Arial"/>
        <w:sz w:val="18"/>
        <w:szCs w:val="18"/>
      </w:rPr>
      <w:fldChar w:fldCharType="separate"/>
    </w:r>
    <w:r w:rsidR="001B794D">
      <w:rPr>
        <w:rFonts w:ascii="Arial" w:hAnsi="Arial" w:cs="Arial"/>
        <w:noProof/>
        <w:sz w:val="18"/>
        <w:szCs w:val="18"/>
      </w:rPr>
      <w:t>1</w:t>
    </w:r>
    <w:r w:rsidRPr="00664CE8">
      <w:rPr>
        <w:rFonts w:ascii="Arial" w:hAnsi="Arial" w:cs="Arial"/>
        <w:sz w:val="18"/>
        <w:szCs w:val="18"/>
      </w:rPr>
      <w:fldChar w:fldCharType="end"/>
    </w:r>
    <w:r w:rsidRPr="00664CE8">
      <w:rPr>
        <w:rFonts w:ascii="Arial" w:hAnsi="Arial" w:cs="Arial"/>
        <w:sz w:val="18"/>
        <w:szCs w:val="18"/>
      </w:rPr>
      <w:t xml:space="preserve"> of </w:t>
    </w:r>
    <w:r w:rsidRPr="00664CE8">
      <w:rPr>
        <w:rFonts w:ascii="Arial" w:hAnsi="Arial" w:cs="Arial"/>
        <w:sz w:val="18"/>
        <w:szCs w:val="18"/>
      </w:rPr>
      <w:fldChar w:fldCharType="begin"/>
    </w:r>
    <w:r w:rsidRPr="00664CE8">
      <w:rPr>
        <w:rFonts w:ascii="Arial" w:hAnsi="Arial" w:cs="Arial"/>
        <w:sz w:val="18"/>
        <w:szCs w:val="18"/>
      </w:rPr>
      <w:instrText xml:space="preserve"> NUMPAGES </w:instrText>
    </w:r>
    <w:r w:rsidRPr="00664CE8">
      <w:rPr>
        <w:rFonts w:ascii="Arial" w:hAnsi="Arial" w:cs="Arial"/>
        <w:sz w:val="18"/>
        <w:szCs w:val="18"/>
      </w:rPr>
      <w:fldChar w:fldCharType="separate"/>
    </w:r>
    <w:r w:rsidR="001B794D">
      <w:rPr>
        <w:rFonts w:ascii="Arial" w:hAnsi="Arial" w:cs="Arial"/>
        <w:noProof/>
        <w:sz w:val="18"/>
        <w:szCs w:val="18"/>
      </w:rPr>
      <w:t>3</w:t>
    </w:r>
    <w:r w:rsidRPr="00664CE8">
      <w:rPr>
        <w:rFonts w:ascii="Arial" w:hAnsi="Arial" w:cs="Arial"/>
        <w:sz w:val="18"/>
        <w:szCs w:val="18"/>
      </w:rPr>
      <w:fldChar w:fldCharType="end"/>
    </w:r>
    <w:r w:rsidRPr="00664CE8">
      <w:rPr>
        <w:rFonts w:ascii="Arial" w:hAnsi="Arial" w:cs="Arial"/>
        <w:sz w:val="18"/>
        <w:szCs w:val="18"/>
      </w:rPr>
      <w:tab/>
      <w:t>RC-</w:t>
    </w:r>
    <w:r w:rsidR="00F32C77" w:rsidRPr="00664CE8">
      <w:rPr>
        <w:rFonts w:ascii="Arial" w:hAnsi="Arial" w:cs="Arial"/>
        <w:sz w:val="18"/>
        <w:szCs w:val="18"/>
      </w:rPr>
      <w:t>PRT-007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534" w:rsidRDefault="006A1534">
      <w:r>
        <w:separator/>
      </w:r>
    </w:p>
  </w:footnote>
  <w:footnote w:type="continuationSeparator" w:id="0">
    <w:p w:rsidR="006A1534" w:rsidRDefault="006A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B4305F" w:rsidP="000832C4">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F4E7A" w:rsidRDefault="006A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Pr="003765CD" w:rsidRDefault="006A1534" w:rsidP="000832C4">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6A1534" w:rsidP="000832C4">
    <w:pPr>
      <w:pStyle w:val="NTTHeaderInfo"/>
      <w:rPr>
        <w:b/>
        <w:noProof/>
      </w:rPr>
    </w:pPr>
  </w:p>
  <w:p w:rsidR="003F4E7A" w:rsidRDefault="00B4305F" w:rsidP="000832C4">
    <w:pPr>
      <w:pStyle w:val="NTTHeaderInfo"/>
      <w:tabs>
        <w:tab w:val="left" w:pos="195"/>
      </w:tabs>
      <w:jc w:val="left"/>
      <w:rPr>
        <w:b/>
        <w:noProof/>
      </w:rPr>
    </w:pPr>
    <w:r>
      <w:rPr>
        <w:noProof/>
      </w:rPr>
      <w:drawing>
        <wp:anchor distT="0" distB="0" distL="114300" distR="114300" simplePos="0" relativeHeight="251659264" behindDoc="1" locked="0" layoutInCell="0" allowOverlap="1" wp14:anchorId="2F5AADB1" wp14:editId="44C618EC">
          <wp:simplePos x="0" y="0"/>
          <wp:positionH relativeFrom="page">
            <wp:posOffset>180340</wp:posOffset>
          </wp:positionH>
          <wp:positionV relativeFrom="page">
            <wp:posOffset>180340</wp:posOffset>
          </wp:positionV>
          <wp:extent cx="7188200" cy="895350"/>
          <wp:effectExtent l="19050" t="0" r="0" b="0"/>
          <wp:wrapNone/>
          <wp:docPr id="1"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srcRect/>
                  <a:stretch>
                    <a:fillRect/>
                  </a:stretch>
                </pic:blipFill>
                <pic:spPr bwMode="auto">
                  <a:xfrm>
                    <a:off x="0" y="0"/>
                    <a:ext cx="7188200" cy="895350"/>
                  </a:xfrm>
                  <a:prstGeom prst="rect">
                    <a:avLst/>
                  </a:prstGeom>
                  <a:noFill/>
                </pic:spPr>
              </pic:pic>
            </a:graphicData>
          </a:graphic>
        </wp:anchor>
      </w:drawing>
    </w:r>
    <w:r>
      <w:rPr>
        <w:b/>
        <w:noProof/>
      </w:rPr>
      <w:tab/>
    </w:r>
  </w:p>
  <w:p w:rsidR="003F4E7A" w:rsidRDefault="006A1534">
    <w:pPr>
      <w:pStyle w:val="Header"/>
    </w:pPr>
  </w:p>
  <w:p w:rsidR="003F4E7A" w:rsidRDefault="006A1534">
    <w:pPr>
      <w:pStyle w:val="Header"/>
    </w:pPr>
  </w:p>
  <w:p w:rsidR="003F4E7A" w:rsidRDefault="006A1534">
    <w:pPr>
      <w:pStyle w:val="Header"/>
    </w:pPr>
  </w:p>
  <w:p w:rsidR="003F4E7A" w:rsidRDefault="006A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03CE7"/>
    <w:multiLevelType w:val="multilevel"/>
    <w:tmpl w:val="A7D656CE"/>
    <w:styleLink w:val="Text"/>
    <w:lvl w:ilvl="0">
      <w:start w:val="1"/>
      <w:numFmt w:val="decimal"/>
      <w:pStyle w:val="ListNumber"/>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263E4454"/>
    <w:multiLevelType w:val="hybridMultilevel"/>
    <w:tmpl w:val="0C1E19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66F0AC9"/>
    <w:multiLevelType w:val="hybridMultilevel"/>
    <w:tmpl w:val="0B62FE1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6D2EAF"/>
    <w:multiLevelType w:val="hybridMultilevel"/>
    <w:tmpl w:val="415AA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83267E"/>
    <w:multiLevelType w:val="hybridMultilevel"/>
    <w:tmpl w:val="F7EEF63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0"/>
    <w:lvlOverride w:ilvl="0">
      <w:lvl w:ilvl="0">
        <w:start w:val="1"/>
        <w:numFmt w:val="decimal"/>
        <w:pStyle w:val="ListNumber"/>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
    <w:abstractNumId w:val="0"/>
  </w:num>
  <w:num w:numId="3">
    <w:abstractNumId w:val="0"/>
    <w:lvlOverride w:ilvl="0">
      <w:lvl w:ilvl="0">
        <w:start w:val="1"/>
        <w:numFmt w:val="decimal"/>
        <w:pStyle w:val="ListNumber"/>
        <w:lvlText w:val="%1."/>
        <w:lvlJc w:val="left"/>
        <w:pPr>
          <w:ind w:left="360" w:hanging="360"/>
        </w:pPr>
        <w:rPr>
          <w:rFonts w:ascii="Arial" w:hAnsi="Arial" w:cs="Arial" w:hint="default"/>
          <w:b w:val="0"/>
          <w:i w:val="0"/>
          <w:sz w:val="20"/>
          <w:szCs w:val="2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rOuVjAaGxu2CJcf5+FTwNUP8tDSxBOniwV5ujiO43zfSwtwAvE3PnRrg4ZE0BvL4AWc8qzYHz2g0bqA9CTKzw==" w:salt="+kZG5l7+R4L25aJP0wek6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5F"/>
    <w:rsid w:val="00004DF4"/>
    <w:rsid w:val="00007932"/>
    <w:rsid w:val="0001433A"/>
    <w:rsid w:val="00015048"/>
    <w:rsid w:val="000222EB"/>
    <w:rsid w:val="000229D6"/>
    <w:rsid w:val="00040EA1"/>
    <w:rsid w:val="00041260"/>
    <w:rsid w:val="00041478"/>
    <w:rsid w:val="00045007"/>
    <w:rsid w:val="00084A9D"/>
    <w:rsid w:val="00090175"/>
    <w:rsid w:val="0009593A"/>
    <w:rsid w:val="000A72EB"/>
    <w:rsid w:val="000D004F"/>
    <w:rsid w:val="000D127C"/>
    <w:rsid w:val="00100503"/>
    <w:rsid w:val="00110D6F"/>
    <w:rsid w:val="00113182"/>
    <w:rsid w:val="001165D8"/>
    <w:rsid w:val="0012064E"/>
    <w:rsid w:val="00120805"/>
    <w:rsid w:val="00126D92"/>
    <w:rsid w:val="00131A74"/>
    <w:rsid w:val="0014612B"/>
    <w:rsid w:val="0015627E"/>
    <w:rsid w:val="00164438"/>
    <w:rsid w:val="001702C3"/>
    <w:rsid w:val="00185610"/>
    <w:rsid w:val="00192A41"/>
    <w:rsid w:val="001937E9"/>
    <w:rsid w:val="001B60BB"/>
    <w:rsid w:val="001B7109"/>
    <w:rsid w:val="001B794D"/>
    <w:rsid w:val="001C16E1"/>
    <w:rsid w:val="001D5D1A"/>
    <w:rsid w:val="001D69CF"/>
    <w:rsid w:val="00201F36"/>
    <w:rsid w:val="00210722"/>
    <w:rsid w:val="00213985"/>
    <w:rsid w:val="00225546"/>
    <w:rsid w:val="0023606D"/>
    <w:rsid w:val="00236439"/>
    <w:rsid w:val="0024135A"/>
    <w:rsid w:val="00254D14"/>
    <w:rsid w:val="0026309C"/>
    <w:rsid w:val="00275708"/>
    <w:rsid w:val="00275E9C"/>
    <w:rsid w:val="00277ED6"/>
    <w:rsid w:val="002973DC"/>
    <w:rsid w:val="002A68F3"/>
    <w:rsid w:val="002A699B"/>
    <w:rsid w:val="002B4903"/>
    <w:rsid w:val="002D083B"/>
    <w:rsid w:val="002D632E"/>
    <w:rsid w:val="00306847"/>
    <w:rsid w:val="00325A82"/>
    <w:rsid w:val="00350F1F"/>
    <w:rsid w:val="0036581A"/>
    <w:rsid w:val="00370AB7"/>
    <w:rsid w:val="0037186A"/>
    <w:rsid w:val="00375C78"/>
    <w:rsid w:val="00380B9F"/>
    <w:rsid w:val="00380BD9"/>
    <w:rsid w:val="003939AE"/>
    <w:rsid w:val="003A443E"/>
    <w:rsid w:val="003C2851"/>
    <w:rsid w:val="003D1503"/>
    <w:rsid w:val="003F1E50"/>
    <w:rsid w:val="003F4AEB"/>
    <w:rsid w:val="003F5106"/>
    <w:rsid w:val="003F769A"/>
    <w:rsid w:val="00402089"/>
    <w:rsid w:val="004174F1"/>
    <w:rsid w:val="00417ABA"/>
    <w:rsid w:val="00420DE3"/>
    <w:rsid w:val="00422E01"/>
    <w:rsid w:val="00433B9C"/>
    <w:rsid w:val="004547EF"/>
    <w:rsid w:val="004608C2"/>
    <w:rsid w:val="004676C3"/>
    <w:rsid w:val="004737AF"/>
    <w:rsid w:val="00481B0E"/>
    <w:rsid w:val="0048413F"/>
    <w:rsid w:val="004957C1"/>
    <w:rsid w:val="00497D9F"/>
    <w:rsid w:val="004B2D1A"/>
    <w:rsid w:val="004B4A66"/>
    <w:rsid w:val="004B6E35"/>
    <w:rsid w:val="004C2918"/>
    <w:rsid w:val="004E0FE9"/>
    <w:rsid w:val="004E39DB"/>
    <w:rsid w:val="004F4CAA"/>
    <w:rsid w:val="00502E61"/>
    <w:rsid w:val="005152FD"/>
    <w:rsid w:val="00516565"/>
    <w:rsid w:val="0053173A"/>
    <w:rsid w:val="0053315C"/>
    <w:rsid w:val="00541CE4"/>
    <w:rsid w:val="00542660"/>
    <w:rsid w:val="00570B4A"/>
    <w:rsid w:val="00575C58"/>
    <w:rsid w:val="005D2EDD"/>
    <w:rsid w:val="005D5EC6"/>
    <w:rsid w:val="005E5361"/>
    <w:rsid w:val="005E57E9"/>
    <w:rsid w:val="005F243E"/>
    <w:rsid w:val="005F4068"/>
    <w:rsid w:val="0060211D"/>
    <w:rsid w:val="00605D4E"/>
    <w:rsid w:val="00621B22"/>
    <w:rsid w:val="0063610C"/>
    <w:rsid w:val="0064688B"/>
    <w:rsid w:val="00651720"/>
    <w:rsid w:val="006554A1"/>
    <w:rsid w:val="00664CE8"/>
    <w:rsid w:val="00665183"/>
    <w:rsid w:val="00674807"/>
    <w:rsid w:val="00690D4A"/>
    <w:rsid w:val="00692815"/>
    <w:rsid w:val="006A1534"/>
    <w:rsid w:val="006A654C"/>
    <w:rsid w:val="006B045B"/>
    <w:rsid w:val="006C513A"/>
    <w:rsid w:val="006D4DFF"/>
    <w:rsid w:val="006D6E3C"/>
    <w:rsid w:val="006E625B"/>
    <w:rsid w:val="006F6E95"/>
    <w:rsid w:val="007060DD"/>
    <w:rsid w:val="00706F7C"/>
    <w:rsid w:val="00713823"/>
    <w:rsid w:val="0071706C"/>
    <w:rsid w:val="00733652"/>
    <w:rsid w:val="007601CF"/>
    <w:rsid w:val="0076045F"/>
    <w:rsid w:val="0076154E"/>
    <w:rsid w:val="00763E69"/>
    <w:rsid w:val="00781B90"/>
    <w:rsid w:val="007977C2"/>
    <w:rsid w:val="007A6056"/>
    <w:rsid w:val="007A76A8"/>
    <w:rsid w:val="007C481D"/>
    <w:rsid w:val="007D2353"/>
    <w:rsid w:val="007D3BB6"/>
    <w:rsid w:val="008210A9"/>
    <w:rsid w:val="00821143"/>
    <w:rsid w:val="008244AC"/>
    <w:rsid w:val="00865920"/>
    <w:rsid w:val="00881459"/>
    <w:rsid w:val="00893D34"/>
    <w:rsid w:val="008955D7"/>
    <w:rsid w:val="00897C5B"/>
    <w:rsid w:val="008A0D00"/>
    <w:rsid w:val="008A552D"/>
    <w:rsid w:val="008D7908"/>
    <w:rsid w:val="008E70B4"/>
    <w:rsid w:val="008E7D3C"/>
    <w:rsid w:val="008E7EEB"/>
    <w:rsid w:val="008F7630"/>
    <w:rsid w:val="009026E4"/>
    <w:rsid w:val="00916BC4"/>
    <w:rsid w:val="00920BC5"/>
    <w:rsid w:val="00950F09"/>
    <w:rsid w:val="00977BEE"/>
    <w:rsid w:val="0098322F"/>
    <w:rsid w:val="00987A84"/>
    <w:rsid w:val="00997FE5"/>
    <w:rsid w:val="009A0073"/>
    <w:rsid w:val="009A1BE3"/>
    <w:rsid w:val="009A246A"/>
    <w:rsid w:val="009B1FB8"/>
    <w:rsid w:val="009E01A4"/>
    <w:rsid w:val="009E08E3"/>
    <w:rsid w:val="009E6918"/>
    <w:rsid w:val="00A04CFE"/>
    <w:rsid w:val="00A06825"/>
    <w:rsid w:val="00A07CD7"/>
    <w:rsid w:val="00A10CBD"/>
    <w:rsid w:val="00A1214C"/>
    <w:rsid w:val="00A16663"/>
    <w:rsid w:val="00A312EA"/>
    <w:rsid w:val="00A36F2C"/>
    <w:rsid w:val="00A46BB3"/>
    <w:rsid w:val="00A76193"/>
    <w:rsid w:val="00A83232"/>
    <w:rsid w:val="00A91EC6"/>
    <w:rsid w:val="00A927D6"/>
    <w:rsid w:val="00A95028"/>
    <w:rsid w:val="00AA38CF"/>
    <w:rsid w:val="00AB0268"/>
    <w:rsid w:val="00AB19EF"/>
    <w:rsid w:val="00AB236C"/>
    <w:rsid w:val="00AC016D"/>
    <w:rsid w:val="00AC4FC1"/>
    <w:rsid w:val="00AD17DD"/>
    <w:rsid w:val="00AD3707"/>
    <w:rsid w:val="00AD6F9C"/>
    <w:rsid w:val="00AD7CB8"/>
    <w:rsid w:val="00AE2B7A"/>
    <w:rsid w:val="00AE78AA"/>
    <w:rsid w:val="00AF4002"/>
    <w:rsid w:val="00AF4783"/>
    <w:rsid w:val="00B077C7"/>
    <w:rsid w:val="00B116A7"/>
    <w:rsid w:val="00B16D4D"/>
    <w:rsid w:val="00B27EEA"/>
    <w:rsid w:val="00B31546"/>
    <w:rsid w:val="00B32CEA"/>
    <w:rsid w:val="00B345E8"/>
    <w:rsid w:val="00B4278E"/>
    <w:rsid w:val="00B4305F"/>
    <w:rsid w:val="00B726DD"/>
    <w:rsid w:val="00B751DF"/>
    <w:rsid w:val="00B76075"/>
    <w:rsid w:val="00B965DC"/>
    <w:rsid w:val="00BA1A60"/>
    <w:rsid w:val="00BC3904"/>
    <w:rsid w:val="00BC50E0"/>
    <w:rsid w:val="00BE1570"/>
    <w:rsid w:val="00BE49BA"/>
    <w:rsid w:val="00BE7676"/>
    <w:rsid w:val="00BF2FDA"/>
    <w:rsid w:val="00BF3A32"/>
    <w:rsid w:val="00C070D4"/>
    <w:rsid w:val="00C27301"/>
    <w:rsid w:val="00C35166"/>
    <w:rsid w:val="00C51BC5"/>
    <w:rsid w:val="00C65D17"/>
    <w:rsid w:val="00C74F8A"/>
    <w:rsid w:val="00C96EEF"/>
    <w:rsid w:val="00CA2298"/>
    <w:rsid w:val="00CB2AF7"/>
    <w:rsid w:val="00CB4200"/>
    <w:rsid w:val="00CC0420"/>
    <w:rsid w:val="00CD5AF3"/>
    <w:rsid w:val="00CE01FB"/>
    <w:rsid w:val="00CE08BE"/>
    <w:rsid w:val="00CE0C3E"/>
    <w:rsid w:val="00CE2F5E"/>
    <w:rsid w:val="00CF2316"/>
    <w:rsid w:val="00CF3A97"/>
    <w:rsid w:val="00CF7445"/>
    <w:rsid w:val="00D01FB1"/>
    <w:rsid w:val="00D120D0"/>
    <w:rsid w:val="00D149D7"/>
    <w:rsid w:val="00D15D2B"/>
    <w:rsid w:val="00D20F92"/>
    <w:rsid w:val="00D338AC"/>
    <w:rsid w:val="00D441CA"/>
    <w:rsid w:val="00D507DC"/>
    <w:rsid w:val="00D605BC"/>
    <w:rsid w:val="00D64F03"/>
    <w:rsid w:val="00D71126"/>
    <w:rsid w:val="00D84A53"/>
    <w:rsid w:val="00D939AE"/>
    <w:rsid w:val="00DB59D2"/>
    <w:rsid w:val="00DC74E2"/>
    <w:rsid w:val="00DE0FBB"/>
    <w:rsid w:val="00DF131F"/>
    <w:rsid w:val="00DF5F18"/>
    <w:rsid w:val="00E1045F"/>
    <w:rsid w:val="00E110B3"/>
    <w:rsid w:val="00E1346D"/>
    <w:rsid w:val="00E158CC"/>
    <w:rsid w:val="00E207F7"/>
    <w:rsid w:val="00E2375D"/>
    <w:rsid w:val="00E338B8"/>
    <w:rsid w:val="00E453D6"/>
    <w:rsid w:val="00E75860"/>
    <w:rsid w:val="00E77110"/>
    <w:rsid w:val="00E9070F"/>
    <w:rsid w:val="00E94D31"/>
    <w:rsid w:val="00EA1206"/>
    <w:rsid w:val="00EA2692"/>
    <w:rsid w:val="00EB4B1F"/>
    <w:rsid w:val="00ED1FBB"/>
    <w:rsid w:val="00EF0BDE"/>
    <w:rsid w:val="00EF7061"/>
    <w:rsid w:val="00EF7297"/>
    <w:rsid w:val="00F00C91"/>
    <w:rsid w:val="00F021B7"/>
    <w:rsid w:val="00F14F00"/>
    <w:rsid w:val="00F16644"/>
    <w:rsid w:val="00F32C77"/>
    <w:rsid w:val="00F40DE1"/>
    <w:rsid w:val="00F436CB"/>
    <w:rsid w:val="00F44CCA"/>
    <w:rsid w:val="00F53416"/>
    <w:rsid w:val="00F61A4E"/>
    <w:rsid w:val="00F80411"/>
    <w:rsid w:val="00F971AF"/>
    <w:rsid w:val="00FA6701"/>
    <w:rsid w:val="00FA72A7"/>
    <w:rsid w:val="00FB15F9"/>
    <w:rsid w:val="00FC7882"/>
    <w:rsid w:val="00FD5AA9"/>
    <w:rsid w:val="00FE54BF"/>
    <w:rsid w:val="00FF318E"/>
    <w:rsid w:val="00FF5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DBEBA"/>
  <w15:docId w15:val="{D7D761B4-BCF8-42EC-9234-504E773A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B430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4305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rsid w:val="00B4305F"/>
    <w:pPr>
      <w:tabs>
        <w:tab w:val="center" w:pos="4513"/>
        <w:tab w:val="right" w:pos="9026"/>
      </w:tabs>
    </w:pPr>
  </w:style>
  <w:style w:type="character" w:customStyle="1" w:styleId="FooterChar">
    <w:name w:val="Footer Char"/>
    <w:basedOn w:val="DefaultParagraphFont"/>
    <w:link w:val="Footer"/>
    <w:rsid w:val="00B4305F"/>
    <w:rPr>
      <w:sz w:val="24"/>
      <w:szCs w:val="24"/>
    </w:rPr>
  </w:style>
  <w:style w:type="paragraph" w:styleId="Header">
    <w:name w:val="header"/>
    <w:basedOn w:val="Normal"/>
    <w:link w:val="HeaderChar"/>
    <w:rsid w:val="00B4305F"/>
    <w:pPr>
      <w:tabs>
        <w:tab w:val="center" w:pos="4513"/>
        <w:tab w:val="right" w:pos="9026"/>
      </w:tabs>
    </w:pPr>
  </w:style>
  <w:style w:type="character" w:customStyle="1" w:styleId="HeaderChar">
    <w:name w:val="Header Char"/>
    <w:basedOn w:val="DefaultParagraphFont"/>
    <w:link w:val="Header"/>
    <w:rsid w:val="00B4305F"/>
    <w:rPr>
      <w:sz w:val="24"/>
      <w:szCs w:val="24"/>
    </w:rPr>
  </w:style>
  <w:style w:type="paragraph" w:customStyle="1" w:styleId="NTTHeaderInfo">
    <w:name w:val="NTT Header Info"/>
    <w:uiPriority w:val="99"/>
    <w:rsid w:val="00B4305F"/>
    <w:pPr>
      <w:spacing w:line="240" w:lineRule="exact"/>
      <w:jc w:val="right"/>
    </w:pPr>
    <w:rPr>
      <w:rFonts w:ascii="Arial" w:hAnsi="Arial"/>
      <w:sz w:val="18"/>
      <w:szCs w:val="18"/>
    </w:rPr>
  </w:style>
  <w:style w:type="paragraph" w:customStyle="1" w:styleId="NTTBodyText">
    <w:name w:val="NTT Body Text"/>
    <w:uiPriority w:val="99"/>
    <w:rsid w:val="00B4305F"/>
    <w:pPr>
      <w:spacing w:after="120" w:line="300" w:lineRule="exact"/>
    </w:pPr>
    <w:rPr>
      <w:rFonts w:ascii="Arial" w:hAnsi="Arial"/>
      <w:szCs w:val="24"/>
    </w:rPr>
  </w:style>
  <w:style w:type="character" w:styleId="PageNumber">
    <w:name w:val="page number"/>
    <w:basedOn w:val="DefaultParagraphFont"/>
    <w:uiPriority w:val="99"/>
    <w:rsid w:val="00B4305F"/>
    <w:rPr>
      <w:rFonts w:cs="Times New Roman"/>
    </w:rPr>
  </w:style>
  <w:style w:type="numbering" w:customStyle="1" w:styleId="Text">
    <w:name w:val="Text"/>
    <w:rsid w:val="00B4305F"/>
    <w:pPr>
      <w:numPr>
        <w:numId w:val="2"/>
      </w:numPr>
    </w:pPr>
  </w:style>
  <w:style w:type="paragraph" w:styleId="ListNumber">
    <w:name w:val="List Number"/>
    <w:basedOn w:val="Normal"/>
    <w:rsid w:val="00B4305F"/>
    <w:pPr>
      <w:numPr>
        <w:numId w:val="1"/>
      </w:numPr>
      <w:contextualSpacing/>
    </w:pPr>
    <w:rPr>
      <w:rFonts w:ascii="Arial" w:hAnsi="Arial" w:cs="Arial"/>
      <w:sz w:val="20"/>
      <w:szCs w:val="20"/>
    </w:rPr>
  </w:style>
  <w:style w:type="character" w:styleId="CommentReference">
    <w:name w:val="annotation reference"/>
    <w:basedOn w:val="DefaultParagraphFont"/>
    <w:rsid w:val="00B4305F"/>
    <w:rPr>
      <w:sz w:val="16"/>
      <w:szCs w:val="16"/>
    </w:rPr>
  </w:style>
  <w:style w:type="paragraph" w:styleId="CommentText">
    <w:name w:val="annotation text"/>
    <w:basedOn w:val="Normal"/>
    <w:link w:val="CommentTextChar"/>
    <w:rsid w:val="00B4305F"/>
    <w:rPr>
      <w:sz w:val="20"/>
      <w:szCs w:val="20"/>
    </w:rPr>
  </w:style>
  <w:style w:type="character" w:customStyle="1" w:styleId="CommentTextChar">
    <w:name w:val="Comment Text Char"/>
    <w:basedOn w:val="DefaultParagraphFont"/>
    <w:link w:val="CommentText"/>
    <w:rsid w:val="00B4305F"/>
  </w:style>
  <w:style w:type="paragraph" w:styleId="BalloonText">
    <w:name w:val="Balloon Text"/>
    <w:basedOn w:val="Normal"/>
    <w:link w:val="BalloonTextChar"/>
    <w:rsid w:val="00B4305F"/>
    <w:rPr>
      <w:rFonts w:ascii="Tahoma" w:hAnsi="Tahoma" w:cs="Tahoma"/>
      <w:sz w:val="16"/>
      <w:szCs w:val="16"/>
    </w:rPr>
  </w:style>
  <w:style w:type="character" w:customStyle="1" w:styleId="BalloonTextChar">
    <w:name w:val="Balloon Text Char"/>
    <w:basedOn w:val="DefaultParagraphFont"/>
    <w:link w:val="BalloonText"/>
    <w:rsid w:val="00B4305F"/>
    <w:rPr>
      <w:rFonts w:ascii="Tahoma" w:hAnsi="Tahoma" w:cs="Tahoma"/>
      <w:sz w:val="16"/>
      <w:szCs w:val="16"/>
    </w:rPr>
  </w:style>
  <w:style w:type="paragraph" w:styleId="CommentSubject">
    <w:name w:val="annotation subject"/>
    <w:basedOn w:val="CommentText"/>
    <w:next w:val="CommentText"/>
    <w:link w:val="CommentSubjectChar"/>
    <w:rsid w:val="00B4305F"/>
    <w:rPr>
      <w:b/>
      <w:bCs/>
    </w:rPr>
  </w:style>
  <w:style w:type="character" w:customStyle="1" w:styleId="CommentSubjectChar">
    <w:name w:val="Comment Subject Char"/>
    <w:basedOn w:val="CommentTextChar"/>
    <w:link w:val="CommentSubject"/>
    <w:rsid w:val="00B43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revenue@nt.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nt.gov.au/PMS/Publications/TaxesRoyaltiesGrants/GeneralAdmin/CG-GEN-00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n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 xmlns="378e824e-6e02-4c0d-8321-dd86fba681ee">Payroll Tax (PRT)</Tax_x0020_Type>
    <Release_x0020_Date xmlns="378e824e-6e02-4c0d-8321-dd86fba681ee">2015-04-27T14:30:00+00:00</Release_x0020_Date>
    <Publication_x0020_Title xmlns="378e824e-6e02-4c0d-8321-dd86fba681ee">2015-16 Budget Measures – Payroll Tax Non-Profit Exemption </Publication_x0020_Title>
    <Sub_x0020_Sub_x0020_Category xmlns="378e824e-6e02-4c0d-8321-dd86fba681ee" xsi:nil="true"/>
    <Details xmlns="378e824e-6e02-4c0d-8321-dd86fba681ee" xsi:nil="true"/>
    <Main_x0020_Category xmlns="378e824e-6e02-4c0d-8321-dd86fba681ee">6</Main_x0020_Category>
    <Tax_x0020_Type_x0020_Topic xmlns="378e824e-6e02-4c0d-8321-dd86fba681ee">Exemptions</Tax_x0020_Type_x0020_Topic>
    <Sub_x0020_Category xmlns="378e824e-6e02-4c0d-8321-dd86fba681ee">25</Sub_x0020_Category>
    <Identifier xmlns="378e824e-6e02-4c0d-8321-dd86fba681ee">RC-PRT-007</Identifier>
    <Notify xmlns="378e824e-6e02-4c0d-8321-dd86fba681ee">true</Notify>
    <Publication_x0020_Type xmlns="378e824e-6e02-4c0d-8321-dd86fba681ee">Revenue Circulars (RC)</Publication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F135-8043-472A-8FED-A6E25C7E2FED}">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2ACAEBC4-B312-45F1-9C6A-C7456BF2B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D1044-F6CB-49CA-8E81-5D7B3A447811}">
  <ds:schemaRefs>
    <ds:schemaRef ds:uri="http://schemas.microsoft.com/sharepoint/v3/contenttype/forms"/>
  </ds:schemaRefs>
</ds:datastoreItem>
</file>

<file path=customXml/itemProps4.xml><?xml version="1.0" encoding="utf-8"?>
<ds:datastoreItem xmlns:ds="http://schemas.openxmlformats.org/officeDocument/2006/customXml" ds:itemID="{DC77C388-60BC-47B0-AA64-047EC0F7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1258</Words>
  <Characters>7174</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Budget Measures – Payroll Tax Non-Profit Exemption </dc:title>
  <dc:subject/>
  <dc:creator>Kara Godbaz</dc:creator>
  <cp:keywords/>
  <dc:description/>
  <cp:lastModifiedBy>Jessica Symonds</cp:lastModifiedBy>
  <cp:revision>11</cp:revision>
  <cp:lastPrinted>2015-04-24T06:57:00Z</cp:lastPrinted>
  <dcterms:created xsi:type="dcterms:W3CDTF">2015-04-24T05:56:00Z</dcterms:created>
  <dcterms:modified xsi:type="dcterms:W3CDTF">2021-09-14T00:28:00Z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