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8C8" w:rsidRPr="00B908C8" w:rsidRDefault="00B908C8" w:rsidP="00DC2737">
      <w:pPr>
        <w:spacing w:before="120" w:after="120" w:line="300" w:lineRule="exact"/>
        <w:jc w:val="center"/>
        <w:outlineLvl w:val="0"/>
        <w:rPr>
          <w:rFonts w:ascii="Arial" w:hAnsi="Arial"/>
          <w:b/>
          <w:caps/>
          <w:sz w:val="32"/>
          <w:szCs w:val="32"/>
        </w:rPr>
      </w:pPr>
      <w:permStart w:id="33890665" w:edGrp="everyone"/>
      <w:permEnd w:id="33890665"/>
      <w:r w:rsidRPr="00B908C8">
        <w:rPr>
          <w:rFonts w:ascii="Arial" w:hAnsi="Arial"/>
          <w:b/>
          <w:caps/>
          <w:sz w:val="32"/>
          <w:szCs w:val="32"/>
        </w:rPr>
        <w:t>Territory revenue office</w:t>
      </w:r>
    </w:p>
    <w:p w:rsidR="00B908C8" w:rsidRPr="00B908C8" w:rsidRDefault="00B908C8" w:rsidP="00DC2737">
      <w:pPr>
        <w:spacing w:before="120" w:after="120"/>
      </w:pPr>
    </w:p>
    <w:p w:rsidR="00B908C8" w:rsidRPr="00B908C8" w:rsidRDefault="00B908C8" w:rsidP="00DC2737">
      <w:pPr>
        <w:spacing w:before="120" w:after="120" w:line="300" w:lineRule="exact"/>
        <w:jc w:val="center"/>
        <w:outlineLvl w:val="0"/>
        <w:rPr>
          <w:rFonts w:ascii="Arial" w:hAnsi="Arial"/>
          <w:b/>
          <w:caps/>
          <w:sz w:val="32"/>
          <w:szCs w:val="32"/>
        </w:rPr>
      </w:pPr>
      <w:r w:rsidRPr="00B908C8">
        <w:rPr>
          <w:rFonts w:ascii="Arial" w:hAnsi="Arial"/>
          <w:b/>
          <w:caps/>
          <w:sz w:val="32"/>
          <w:szCs w:val="32"/>
        </w:rPr>
        <w:t xml:space="preserve"> REVENUE CIRCULAR </w:t>
      </w:r>
    </w:p>
    <w:p w:rsidR="00B908C8" w:rsidRPr="00B908C8" w:rsidRDefault="00B908C8" w:rsidP="00DC2737">
      <w:pPr>
        <w:spacing w:before="120" w:after="120"/>
        <w:jc w:val="center"/>
        <w:rPr>
          <w:rFonts w:ascii="Arial" w:hAnsi="Arial" w:cs="Arial"/>
          <w:b/>
          <w:bCs/>
          <w:sz w:val="32"/>
          <w:szCs w:val="32"/>
        </w:rPr>
      </w:pPr>
      <w:r w:rsidRPr="00B908C8">
        <w:rPr>
          <w:rFonts w:ascii="Arial" w:hAnsi="Arial" w:cs="Arial"/>
          <w:b/>
          <w:bCs/>
          <w:sz w:val="32"/>
          <w:szCs w:val="32"/>
        </w:rPr>
        <w:t>RC-GEN-016</w:t>
      </w:r>
    </w:p>
    <w:p w:rsidR="00B908C8" w:rsidRPr="00B908C8" w:rsidRDefault="00B908C8" w:rsidP="00DC2737">
      <w:pPr>
        <w:spacing w:before="120" w:after="120"/>
        <w:jc w:val="center"/>
        <w:rPr>
          <w:rFonts w:ascii="Arial" w:hAnsi="Arial" w:cs="Arial"/>
          <w:b/>
          <w:bCs/>
          <w:sz w:val="32"/>
          <w:szCs w:val="32"/>
        </w:rPr>
      </w:pPr>
      <w:r w:rsidRPr="00B908C8">
        <w:rPr>
          <w:rFonts w:ascii="Arial" w:hAnsi="Arial" w:cs="Arial"/>
          <w:b/>
          <w:bCs/>
          <w:sz w:val="32"/>
          <w:szCs w:val="32"/>
        </w:rPr>
        <w:t>2015-16 Budget Measures</w:t>
      </w:r>
    </w:p>
    <w:p w:rsidR="00B908C8" w:rsidRPr="00B908C8" w:rsidRDefault="00B908C8" w:rsidP="00DC2737">
      <w:pPr>
        <w:pBdr>
          <w:bottom w:val="single" w:sz="4" w:space="1" w:color="auto"/>
        </w:pBdr>
        <w:spacing w:before="120" w:after="120"/>
        <w:rPr>
          <w:rFonts w:ascii="Arial" w:hAnsi="Arial"/>
          <w:b/>
          <w:sz w:val="20"/>
          <w:szCs w:val="20"/>
        </w:rPr>
      </w:pPr>
      <w:r w:rsidRPr="00B908C8">
        <w:rPr>
          <w:rFonts w:ascii="Arial" w:hAnsi="Arial"/>
          <w:b/>
          <w:sz w:val="20"/>
          <w:szCs w:val="20"/>
        </w:rPr>
        <w:t>Purpose</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 xml:space="preserve">This Circular provides information on amendments to the </w:t>
      </w:r>
      <w:r w:rsidRPr="00B908C8">
        <w:rPr>
          <w:rFonts w:ascii="Arial" w:hAnsi="Arial" w:cs="Arial"/>
          <w:i/>
          <w:sz w:val="20"/>
          <w:szCs w:val="20"/>
        </w:rPr>
        <w:t xml:space="preserve">First Home Owner Grant Act, Gaming  Control Act, Payroll Tax Act, Stamp Duty Act </w:t>
      </w:r>
      <w:r w:rsidRPr="00B908C8">
        <w:rPr>
          <w:rFonts w:ascii="Arial" w:hAnsi="Arial" w:cs="Arial"/>
          <w:sz w:val="20"/>
          <w:szCs w:val="20"/>
        </w:rPr>
        <w:t xml:space="preserve">and the </w:t>
      </w:r>
      <w:r w:rsidRPr="00B908C8">
        <w:rPr>
          <w:rFonts w:ascii="Arial" w:hAnsi="Arial" w:cs="Arial"/>
          <w:i/>
          <w:sz w:val="20"/>
          <w:szCs w:val="20"/>
        </w:rPr>
        <w:t xml:space="preserve">Taxation Administration Act </w:t>
      </w:r>
      <w:r w:rsidRPr="00B908C8">
        <w:rPr>
          <w:rFonts w:ascii="Arial" w:hAnsi="Arial" w:cs="Arial"/>
          <w:sz w:val="20"/>
          <w:szCs w:val="20"/>
        </w:rPr>
        <w:t xml:space="preserve">that implement the </w:t>
      </w:r>
      <w:r w:rsidRPr="00B908C8">
        <w:rPr>
          <w:rFonts w:ascii="Arial" w:hAnsi="Arial" w:cs="Arial"/>
          <w:sz w:val="20"/>
          <w:szCs w:val="20"/>
        </w:rPr>
        <w:br/>
        <w:t>2015</w:t>
      </w:r>
      <w:r w:rsidRPr="00B908C8">
        <w:rPr>
          <w:rFonts w:ascii="Arial" w:hAnsi="Arial" w:cs="Arial"/>
          <w:sz w:val="20"/>
          <w:szCs w:val="20"/>
        </w:rPr>
        <w:noBreakHyphen/>
        <w:t xml:space="preserve">16 Budget revenue measures administered by the Territory Revenue Office (TRO). These measures were announced by </w:t>
      </w:r>
      <w:r w:rsidR="0095229A">
        <w:rPr>
          <w:rFonts w:ascii="Arial" w:hAnsi="Arial" w:cs="Arial"/>
          <w:sz w:val="20"/>
          <w:szCs w:val="20"/>
        </w:rPr>
        <w:t xml:space="preserve">the Treasurer on 28 April 2015 and will be legislated in due course. </w:t>
      </w:r>
    </w:p>
    <w:p w:rsidR="00B908C8" w:rsidRPr="00B908C8" w:rsidRDefault="00B908C8" w:rsidP="00DC2737">
      <w:pPr>
        <w:keepNext/>
        <w:pBdr>
          <w:bottom w:val="single" w:sz="4" w:space="1" w:color="auto"/>
        </w:pBdr>
        <w:spacing w:before="120" w:after="120"/>
        <w:jc w:val="both"/>
        <w:rPr>
          <w:rFonts w:ascii="Arial" w:hAnsi="Arial"/>
          <w:b/>
          <w:bCs/>
          <w:sz w:val="20"/>
          <w:szCs w:val="22"/>
        </w:rPr>
      </w:pPr>
      <w:r w:rsidRPr="00B908C8">
        <w:rPr>
          <w:rFonts w:ascii="Arial" w:hAnsi="Arial"/>
          <w:b/>
          <w:bCs/>
          <w:sz w:val="20"/>
          <w:szCs w:val="20"/>
        </w:rPr>
        <w:t xml:space="preserve">For Home Buyers </w:t>
      </w:r>
    </w:p>
    <w:p w:rsidR="00B908C8" w:rsidRPr="00B908C8" w:rsidRDefault="00B908C8" w:rsidP="00DC2737">
      <w:pPr>
        <w:keepNext/>
        <w:spacing w:before="120" w:after="120"/>
        <w:jc w:val="both"/>
        <w:rPr>
          <w:rFonts w:ascii="Arial" w:hAnsi="Arial"/>
          <w:b/>
          <w:bCs/>
          <w:i/>
          <w:iCs/>
          <w:sz w:val="20"/>
          <w:szCs w:val="20"/>
        </w:rPr>
      </w:pPr>
      <w:r w:rsidRPr="00B908C8">
        <w:rPr>
          <w:rFonts w:ascii="Arial" w:hAnsi="Arial"/>
          <w:b/>
          <w:bCs/>
          <w:i/>
          <w:iCs/>
          <w:sz w:val="20"/>
          <w:szCs w:val="20"/>
        </w:rPr>
        <w:t xml:space="preserve">Increase the stamp duty senior, pensioner and carer concession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 xml:space="preserve">From 28 April 2015, the stamp duty senior, pensioner and carer concession is increased from $8500 to $10 000 for conveyances </w:t>
      </w:r>
      <w:r w:rsidR="00AB5F5C">
        <w:rPr>
          <w:rFonts w:ascii="Arial" w:hAnsi="Arial" w:cs="Arial"/>
          <w:sz w:val="20"/>
          <w:szCs w:val="20"/>
        </w:rPr>
        <w:t xml:space="preserve">entered into </w:t>
      </w:r>
      <w:r w:rsidRPr="00B908C8">
        <w:rPr>
          <w:rFonts w:ascii="Arial" w:hAnsi="Arial" w:cs="Arial"/>
          <w:sz w:val="20"/>
          <w:szCs w:val="20"/>
        </w:rPr>
        <w:t xml:space="preserve">on or after this date.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 xml:space="preserve">Transitional arrangements </w:t>
      </w:r>
      <w:r w:rsidR="001165BB">
        <w:rPr>
          <w:rFonts w:ascii="Arial" w:hAnsi="Arial" w:cs="Arial"/>
          <w:sz w:val="20"/>
          <w:szCs w:val="20"/>
        </w:rPr>
        <w:t>will provide that</w:t>
      </w:r>
      <w:r w:rsidRPr="00B908C8">
        <w:rPr>
          <w:rFonts w:ascii="Arial" w:hAnsi="Arial" w:cs="Arial"/>
          <w:sz w:val="20"/>
          <w:szCs w:val="20"/>
        </w:rPr>
        <w:t xml:space="preserve"> the former $8500 concession is applicable to conveyances </w:t>
      </w:r>
      <w:r w:rsidR="00AB5F5C">
        <w:rPr>
          <w:rFonts w:ascii="Arial" w:hAnsi="Arial" w:cs="Arial"/>
          <w:sz w:val="20"/>
          <w:szCs w:val="20"/>
        </w:rPr>
        <w:t>entered into</w:t>
      </w:r>
      <w:r w:rsidRPr="00B908C8">
        <w:rPr>
          <w:rFonts w:ascii="Arial" w:hAnsi="Arial" w:cs="Arial"/>
          <w:sz w:val="20"/>
          <w:szCs w:val="20"/>
        </w:rPr>
        <w:t xml:space="preserve"> on or  after 28 April 2015 where: </w:t>
      </w:r>
    </w:p>
    <w:p w:rsidR="00B908C8" w:rsidRPr="00B908C8" w:rsidRDefault="00B908C8" w:rsidP="00DC2737">
      <w:pPr>
        <w:numPr>
          <w:ilvl w:val="0"/>
          <w:numId w:val="5"/>
        </w:numPr>
        <w:spacing w:before="120" w:after="120"/>
        <w:ind w:left="924" w:hanging="357"/>
        <w:jc w:val="both"/>
        <w:rPr>
          <w:rFonts w:ascii="Arial" w:hAnsi="Arial" w:cs="Arial"/>
          <w:sz w:val="20"/>
          <w:szCs w:val="20"/>
        </w:rPr>
      </w:pPr>
      <w:r w:rsidRPr="00B908C8">
        <w:rPr>
          <w:rFonts w:ascii="Arial" w:hAnsi="Arial" w:cs="Arial"/>
          <w:sz w:val="20"/>
          <w:szCs w:val="20"/>
        </w:rPr>
        <w:t xml:space="preserve">the conveyance replaces an earlier conveyance, </w:t>
      </w:r>
      <w:r w:rsidR="003E3829">
        <w:rPr>
          <w:rFonts w:ascii="Arial" w:hAnsi="Arial" w:cs="Arial"/>
          <w:sz w:val="20"/>
          <w:szCs w:val="20"/>
        </w:rPr>
        <w:t>entered into</w:t>
      </w:r>
      <w:r w:rsidRPr="00B908C8">
        <w:rPr>
          <w:rFonts w:ascii="Arial" w:hAnsi="Arial" w:cs="Arial"/>
          <w:sz w:val="20"/>
          <w:szCs w:val="20"/>
        </w:rPr>
        <w:t xml:space="preserve"> before 28 April 2015, of the same or substantially similar land; or </w:t>
      </w:r>
    </w:p>
    <w:p w:rsidR="00B908C8" w:rsidRPr="00B908C8" w:rsidRDefault="00B908C8" w:rsidP="00DC2737">
      <w:pPr>
        <w:numPr>
          <w:ilvl w:val="0"/>
          <w:numId w:val="5"/>
        </w:numPr>
        <w:spacing w:before="120" w:after="120"/>
        <w:ind w:left="924" w:hanging="357"/>
        <w:jc w:val="both"/>
        <w:rPr>
          <w:rFonts w:ascii="Arial" w:hAnsi="Arial" w:cs="Arial"/>
          <w:sz w:val="20"/>
          <w:szCs w:val="20"/>
        </w:rPr>
      </w:pPr>
      <w:r w:rsidRPr="00B908C8">
        <w:rPr>
          <w:rFonts w:ascii="Arial" w:hAnsi="Arial" w:cs="Arial"/>
          <w:sz w:val="20"/>
          <w:szCs w:val="20"/>
        </w:rPr>
        <w:t>the conveyees entered into a contract or option, before 28 April 2015, to purchase the same or substantially similar land; or</w:t>
      </w:r>
    </w:p>
    <w:p w:rsidR="00B908C8" w:rsidRPr="00B908C8" w:rsidRDefault="00B908C8" w:rsidP="00DC2737">
      <w:pPr>
        <w:numPr>
          <w:ilvl w:val="0"/>
          <w:numId w:val="5"/>
        </w:numPr>
        <w:spacing w:before="120" w:after="120"/>
        <w:ind w:left="924" w:hanging="357"/>
        <w:jc w:val="both"/>
        <w:rPr>
          <w:rFonts w:ascii="Arial" w:hAnsi="Arial" w:cs="Arial"/>
          <w:sz w:val="20"/>
          <w:szCs w:val="20"/>
        </w:rPr>
      </w:pPr>
      <w:r w:rsidRPr="00B908C8">
        <w:rPr>
          <w:rFonts w:ascii="Arial" w:hAnsi="Arial" w:cs="Arial"/>
          <w:sz w:val="20"/>
          <w:szCs w:val="20"/>
        </w:rPr>
        <w:t xml:space="preserve">the conveyor had an option, granted before 28 April 2015, to require the conveyees to purchase the same or substantially similar land.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Applicants should be aware that substantial penalties may be imposed if an applicant replaces a contract entered into before 28 April 2015 with a new contract in an attempt to receive the benefit of the increased concession amount. TRO conducts investigations to ensure that all applicants meet the eligibility requirements applying at the relevant time.</w:t>
      </w:r>
    </w:p>
    <w:p w:rsidR="00B908C8" w:rsidRPr="00B908C8" w:rsidRDefault="00B908C8" w:rsidP="00DC2737">
      <w:pPr>
        <w:spacing w:before="120" w:after="120"/>
        <w:jc w:val="both"/>
        <w:rPr>
          <w:rFonts w:ascii="Arial" w:hAnsi="Arial"/>
          <w:bCs/>
          <w:sz w:val="20"/>
          <w:szCs w:val="20"/>
        </w:rPr>
      </w:pPr>
      <w:r w:rsidRPr="00B908C8">
        <w:rPr>
          <w:rFonts w:ascii="Arial" w:hAnsi="Arial"/>
          <w:b/>
          <w:bCs/>
          <w:i/>
          <w:iCs/>
          <w:sz w:val="20"/>
          <w:szCs w:val="20"/>
        </w:rPr>
        <w:t xml:space="preserve">Home Occupancy Requirements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From 28 April 2015, the first home owner grant, the stamp duty principal place of residence rebate and the senior, pensioner and carer concession will only require one, rather than all, of the applicants to satisfy the occupancy requirements of the home incentive schemes.</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For the purposes of the stamp duty senior, pensioner and carer concession, at least one person who is a senior</w:t>
      </w:r>
      <w:r w:rsidR="005B237D">
        <w:rPr>
          <w:rFonts w:ascii="Arial" w:hAnsi="Arial" w:cs="Arial"/>
          <w:sz w:val="20"/>
          <w:szCs w:val="20"/>
        </w:rPr>
        <w:t xml:space="preserve"> (i.e. at least 60 years of age)</w:t>
      </w:r>
      <w:r w:rsidRPr="00B908C8">
        <w:rPr>
          <w:rFonts w:ascii="Arial" w:hAnsi="Arial" w:cs="Arial"/>
          <w:sz w:val="20"/>
          <w:szCs w:val="20"/>
        </w:rPr>
        <w:t xml:space="preserve">, or the holder of an NT Pensioner and Carer Concession </w:t>
      </w:r>
      <w:r w:rsidR="00164AE1">
        <w:rPr>
          <w:rFonts w:ascii="Arial" w:hAnsi="Arial" w:cs="Arial"/>
          <w:sz w:val="20"/>
          <w:szCs w:val="20"/>
        </w:rPr>
        <w:t>C</w:t>
      </w:r>
      <w:r w:rsidRPr="00B908C8">
        <w:rPr>
          <w:rFonts w:ascii="Arial" w:hAnsi="Arial" w:cs="Arial"/>
          <w:sz w:val="20"/>
          <w:szCs w:val="20"/>
        </w:rPr>
        <w:t xml:space="preserve">ard, is required to comply with the scheme’s occupancy requirements.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 xml:space="preserve">The change to the occupancy requirements apply to conveyances </w:t>
      </w:r>
      <w:r w:rsidR="00AB5F5C">
        <w:rPr>
          <w:rFonts w:ascii="Arial" w:hAnsi="Arial" w:cs="Arial"/>
          <w:sz w:val="20"/>
          <w:szCs w:val="20"/>
        </w:rPr>
        <w:t>entered into</w:t>
      </w:r>
      <w:r w:rsidRPr="00B908C8">
        <w:rPr>
          <w:rFonts w:ascii="Arial" w:hAnsi="Arial" w:cs="Arial"/>
          <w:sz w:val="20"/>
          <w:szCs w:val="20"/>
        </w:rPr>
        <w:t xml:space="preserve"> on or after 28 April 2015. Conveyances entered into before 28 April 2015 continue to be subject to the previous occupancy requirements, including the Commissioner’s discretion to exempt applicants from </w:t>
      </w:r>
      <w:r w:rsidR="005B237D">
        <w:rPr>
          <w:rFonts w:ascii="Arial" w:hAnsi="Arial" w:cs="Arial"/>
          <w:sz w:val="20"/>
          <w:szCs w:val="20"/>
        </w:rPr>
        <w:t>occupying the home</w:t>
      </w:r>
      <w:r w:rsidRPr="00B908C8">
        <w:rPr>
          <w:rFonts w:ascii="Arial" w:hAnsi="Arial" w:cs="Arial"/>
          <w:sz w:val="20"/>
          <w:szCs w:val="20"/>
        </w:rPr>
        <w:t xml:space="preserve">. Generally, that discretion will be exercised in a manner consistent with the new </w:t>
      </w:r>
      <w:r w:rsidR="00AB5F5C">
        <w:rPr>
          <w:rFonts w:ascii="Arial" w:hAnsi="Arial" w:cs="Arial"/>
          <w:sz w:val="20"/>
          <w:szCs w:val="20"/>
        </w:rPr>
        <w:t>occupancy</w:t>
      </w:r>
      <w:r w:rsidRPr="00B908C8">
        <w:rPr>
          <w:rFonts w:ascii="Arial" w:hAnsi="Arial" w:cs="Arial"/>
          <w:sz w:val="20"/>
          <w:szCs w:val="20"/>
        </w:rPr>
        <w:t xml:space="preserve"> requirements.</w:t>
      </w:r>
    </w:p>
    <w:p w:rsidR="000963D9" w:rsidRPr="00840577" w:rsidRDefault="00B908C8" w:rsidP="000963D9">
      <w:pPr>
        <w:numPr>
          <w:ilvl w:val="0"/>
          <w:numId w:val="3"/>
        </w:numPr>
        <w:spacing w:before="120" w:after="120"/>
        <w:jc w:val="both"/>
        <w:rPr>
          <w:rFonts w:asciiTheme="minorHAnsi" w:eastAsiaTheme="minorHAnsi" w:hAnsiTheme="minorHAnsi" w:cstheme="minorBidi"/>
          <w:sz w:val="22"/>
          <w:szCs w:val="22"/>
          <w:lang w:eastAsia="en-US"/>
        </w:rPr>
      </w:pPr>
      <w:r w:rsidRPr="00840577">
        <w:rPr>
          <w:rFonts w:ascii="Arial" w:hAnsi="Arial" w:cs="Arial"/>
          <w:sz w:val="20"/>
          <w:szCs w:val="20"/>
        </w:rPr>
        <w:t xml:space="preserve">For further details, please refer to the First Home Owner Grant Application Form and Guide to the Application, </w:t>
      </w:r>
      <w:hyperlink r:id="rId11" w:tooltip="Web link to F-HI-001" w:history="1">
        <w:r w:rsidRPr="00840577">
          <w:rPr>
            <w:rFonts w:ascii="Arial" w:hAnsi="Arial" w:cs="Arial"/>
            <w:color w:val="0000FF"/>
            <w:sz w:val="20"/>
            <w:szCs w:val="20"/>
            <w:u w:val="single"/>
          </w:rPr>
          <w:t>F-HI-001</w:t>
        </w:r>
      </w:hyperlink>
      <w:r w:rsidRPr="00840577">
        <w:rPr>
          <w:rFonts w:ascii="Arial" w:hAnsi="Arial" w:cs="Arial"/>
          <w:sz w:val="20"/>
          <w:szCs w:val="20"/>
        </w:rPr>
        <w:t>,</w:t>
      </w:r>
      <w:hyperlink w:history="1"/>
      <w:r w:rsidRPr="00840577">
        <w:rPr>
          <w:rFonts w:ascii="Arial" w:hAnsi="Arial" w:cs="Arial"/>
          <w:sz w:val="20"/>
          <w:szCs w:val="20"/>
        </w:rPr>
        <w:t xml:space="preserve"> and Commissioner’s Guideline </w:t>
      </w:r>
      <w:hyperlink r:id="rId12" w:tooltip="CH-HI-011 Guideline" w:history="1">
        <w:r w:rsidRPr="00840577">
          <w:rPr>
            <w:rFonts w:ascii="Arial" w:hAnsi="Arial" w:cs="Arial"/>
            <w:color w:val="0000FF"/>
            <w:sz w:val="20"/>
            <w:szCs w:val="20"/>
            <w:u w:val="single"/>
          </w:rPr>
          <w:t>CG-HI-001:</w:t>
        </w:r>
        <w:r w:rsidRPr="00840577">
          <w:rPr>
            <w:rFonts w:ascii="Arial" w:hAnsi="Arial" w:cs="Arial"/>
            <w:i/>
            <w:color w:val="0000FF"/>
            <w:sz w:val="20"/>
            <w:szCs w:val="20"/>
            <w:u w:val="single"/>
          </w:rPr>
          <w:t xml:space="preserve"> Stamp Duty Home Incentive Schemes</w:t>
        </w:r>
      </w:hyperlink>
      <w:r w:rsidRPr="00840577">
        <w:rPr>
          <w:rFonts w:ascii="Arial" w:hAnsi="Arial" w:cs="Arial"/>
          <w:sz w:val="20"/>
          <w:szCs w:val="20"/>
        </w:rPr>
        <w:t xml:space="preserve">. If you are unsure about any aspect concerning your eligibility for the first home owner grant, stamp duty principal place of residence rebate or senior, pensioner and carer concession, it is important that you or your lawyer or conveyancer contact TRO for clarification before proceeding with your </w:t>
      </w:r>
      <w:r w:rsidR="003941D8" w:rsidRPr="00840577">
        <w:rPr>
          <w:rFonts w:ascii="Arial" w:hAnsi="Arial" w:cs="Arial"/>
          <w:sz w:val="20"/>
          <w:szCs w:val="20"/>
        </w:rPr>
        <w:t>applicati</w:t>
      </w:r>
      <w:r w:rsidR="00840577">
        <w:rPr>
          <w:rFonts w:asciiTheme="minorHAnsi" w:eastAsiaTheme="minorHAnsi" w:hAnsiTheme="minorHAnsi" w:cstheme="minorBidi"/>
          <w:sz w:val="22"/>
          <w:szCs w:val="22"/>
          <w:lang w:eastAsia="en-US"/>
        </w:rPr>
        <w:t>on.</w:t>
      </w:r>
    </w:p>
    <w:p w:rsidR="00DF1484" w:rsidRDefault="00DF1484" w:rsidP="002000CF">
      <w:pPr>
        <w:tabs>
          <w:tab w:val="left" w:pos="2043"/>
          <w:tab w:val="left" w:pos="2897"/>
          <w:tab w:val="left" w:pos="3650"/>
        </w:tabs>
        <w:rPr>
          <w:rFonts w:ascii="Arial" w:hAnsi="Arial"/>
          <w:b/>
          <w:bCs/>
          <w:sz w:val="20"/>
          <w:szCs w:val="20"/>
        </w:rPr>
      </w:pPr>
    </w:p>
    <w:p w:rsidR="00B908C8" w:rsidRPr="00B908C8" w:rsidRDefault="00B908C8" w:rsidP="00DC2737">
      <w:pPr>
        <w:keepNext/>
        <w:pBdr>
          <w:bottom w:val="single" w:sz="4" w:space="0" w:color="auto"/>
        </w:pBdr>
        <w:spacing w:before="120" w:after="120"/>
        <w:jc w:val="both"/>
        <w:rPr>
          <w:rFonts w:ascii="Arial" w:hAnsi="Arial"/>
          <w:b/>
          <w:bCs/>
          <w:sz w:val="20"/>
          <w:szCs w:val="20"/>
        </w:rPr>
      </w:pPr>
      <w:r w:rsidRPr="00B908C8">
        <w:rPr>
          <w:rFonts w:ascii="Arial" w:hAnsi="Arial"/>
          <w:b/>
          <w:bCs/>
          <w:sz w:val="20"/>
          <w:szCs w:val="20"/>
        </w:rPr>
        <w:lastRenderedPageBreak/>
        <w:t xml:space="preserve">For </w:t>
      </w:r>
      <w:r w:rsidR="005B237D">
        <w:rPr>
          <w:rFonts w:ascii="Arial" w:hAnsi="Arial"/>
          <w:b/>
          <w:bCs/>
          <w:sz w:val="20"/>
          <w:szCs w:val="20"/>
        </w:rPr>
        <w:t xml:space="preserve">insurers and </w:t>
      </w:r>
      <w:r w:rsidRPr="00B908C8">
        <w:rPr>
          <w:rFonts w:ascii="Arial" w:hAnsi="Arial"/>
          <w:b/>
          <w:bCs/>
          <w:sz w:val="20"/>
          <w:szCs w:val="20"/>
        </w:rPr>
        <w:t>life insurance policy holders</w:t>
      </w:r>
    </w:p>
    <w:p w:rsidR="00B908C8" w:rsidRPr="00B908C8" w:rsidRDefault="00B908C8" w:rsidP="00DC2737">
      <w:pPr>
        <w:spacing w:before="120" w:after="120"/>
        <w:jc w:val="both"/>
        <w:rPr>
          <w:rFonts w:ascii="Arial" w:hAnsi="Arial"/>
          <w:bCs/>
          <w:iCs/>
          <w:sz w:val="20"/>
          <w:szCs w:val="20"/>
        </w:rPr>
      </w:pPr>
      <w:r w:rsidRPr="00B908C8">
        <w:rPr>
          <w:rFonts w:ascii="Arial" w:hAnsi="Arial"/>
          <w:b/>
          <w:bCs/>
          <w:i/>
          <w:iCs/>
          <w:sz w:val="20"/>
          <w:szCs w:val="20"/>
        </w:rPr>
        <w:t>Abolish stamp duty on life insurance and clarify that life insurance riders are taxed as general insurance</w:t>
      </w:r>
    </w:p>
    <w:p w:rsidR="00B908C8" w:rsidRPr="003E3829" w:rsidRDefault="00B908C8" w:rsidP="00DC2737">
      <w:pPr>
        <w:numPr>
          <w:ilvl w:val="0"/>
          <w:numId w:val="3"/>
        </w:numPr>
        <w:spacing w:before="120" w:after="120"/>
        <w:jc w:val="both"/>
        <w:rPr>
          <w:rFonts w:ascii="Arial" w:hAnsi="Arial"/>
          <w:bCs/>
          <w:iCs/>
          <w:sz w:val="20"/>
          <w:szCs w:val="20"/>
        </w:rPr>
      </w:pPr>
      <w:r w:rsidRPr="003E3829">
        <w:rPr>
          <w:rFonts w:ascii="Arial" w:hAnsi="Arial"/>
          <w:bCs/>
          <w:iCs/>
          <w:sz w:val="20"/>
          <w:szCs w:val="20"/>
        </w:rPr>
        <w:t xml:space="preserve">From 1 July 2015, stamp duty on life insurance will be abolished. </w:t>
      </w:r>
      <w:r w:rsidR="00550B4E" w:rsidRPr="003E3829">
        <w:rPr>
          <w:rFonts w:ascii="Arial" w:hAnsi="Arial"/>
          <w:bCs/>
          <w:iCs/>
          <w:sz w:val="20"/>
          <w:szCs w:val="20"/>
        </w:rPr>
        <w:t>C</w:t>
      </w:r>
      <w:r w:rsidRPr="003E3829">
        <w:rPr>
          <w:rFonts w:ascii="Arial" w:hAnsi="Arial"/>
          <w:bCs/>
          <w:iCs/>
          <w:sz w:val="20"/>
          <w:szCs w:val="20"/>
        </w:rPr>
        <w:t>onsequential amendments have</w:t>
      </w:r>
      <w:r w:rsidR="00550B4E" w:rsidRPr="003E3829">
        <w:rPr>
          <w:rFonts w:ascii="Arial" w:hAnsi="Arial"/>
          <w:bCs/>
          <w:iCs/>
          <w:sz w:val="20"/>
          <w:szCs w:val="20"/>
        </w:rPr>
        <w:t xml:space="preserve"> also</w:t>
      </w:r>
      <w:r w:rsidRPr="003E3829">
        <w:rPr>
          <w:rFonts w:ascii="Arial" w:hAnsi="Arial"/>
          <w:bCs/>
          <w:iCs/>
          <w:sz w:val="20"/>
          <w:szCs w:val="20"/>
        </w:rPr>
        <w:t xml:space="preserve"> been made to distinguish between life polic</w:t>
      </w:r>
      <w:r w:rsidR="00550B4E" w:rsidRPr="003E3829">
        <w:rPr>
          <w:rFonts w:ascii="Arial" w:hAnsi="Arial"/>
          <w:bCs/>
          <w:iCs/>
          <w:sz w:val="20"/>
          <w:szCs w:val="20"/>
        </w:rPr>
        <w:t xml:space="preserve">ies and life insurance riders. </w:t>
      </w:r>
    </w:p>
    <w:p w:rsidR="00550B4E" w:rsidRDefault="00550B4E" w:rsidP="00DC2737">
      <w:pPr>
        <w:numPr>
          <w:ilvl w:val="0"/>
          <w:numId w:val="3"/>
        </w:numPr>
        <w:spacing w:before="120" w:after="120"/>
        <w:jc w:val="both"/>
        <w:rPr>
          <w:rFonts w:ascii="Arial" w:hAnsi="Arial"/>
          <w:bCs/>
          <w:iCs/>
          <w:sz w:val="20"/>
          <w:szCs w:val="20"/>
        </w:rPr>
      </w:pPr>
      <w:r w:rsidRPr="003E3829">
        <w:rPr>
          <w:rFonts w:ascii="Arial" w:hAnsi="Arial"/>
          <w:bCs/>
          <w:iCs/>
          <w:sz w:val="20"/>
          <w:szCs w:val="20"/>
        </w:rPr>
        <w:t xml:space="preserve">Please refer to Revenue Circular </w:t>
      </w:r>
      <w:hyperlink r:id="rId13" w:history="1">
        <w:r w:rsidRPr="00567685">
          <w:rPr>
            <w:rStyle w:val="Hyperlink"/>
            <w:rFonts w:ascii="Arial" w:hAnsi="Arial"/>
            <w:bCs/>
            <w:iCs/>
            <w:sz w:val="20"/>
            <w:szCs w:val="20"/>
          </w:rPr>
          <w:t>RC-SD-004</w:t>
        </w:r>
      </w:hyperlink>
      <w:r w:rsidRPr="003E3829">
        <w:rPr>
          <w:rFonts w:ascii="Arial" w:hAnsi="Arial"/>
          <w:bCs/>
          <w:iCs/>
          <w:sz w:val="20"/>
          <w:szCs w:val="20"/>
        </w:rPr>
        <w:t xml:space="preserve"> for specific information on these amendments. </w:t>
      </w:r>
    </w:p>
    <w:p w:rsidR="007229AD" w:rsidRPr="007229AD" w:rsidRDefault="007229AD" w:rsidP="00DF1484">
      <w:pPr>
        <w:pStyle w:val="ListNumber"/>
        <w:numPr>
          <w:ilvl w:val="0"/>
          <w:numId w:val="0"/>
        </w:numPr>
        <w:spacing w:before="120" w:after="120"/>
        <w:jc w:val="both"/>
        <w:rPr>
          <w:bCs/>
          <w:iCs/>
        </w:rPr>
      </w:pPr>
      <w:r>
        <w:rPr>
          <w:b/>
          <w:bCs/>
          <w:i/>
          <w:iCs/>
        </w:rPr>
        <w:t>Miscellaneous  insurance duty reforms</w:t>
      </w:r>
    </w:p>
    <w:p w:rsidR="007229AD" w:rsidRDefault="007229AD" w:rsidP="007229AD">
      <w:pPr>
        <w:numPr>
          <w:ilvl w:val="0"/>
          <w:numId w:val="3"/>
        </w:numPr>
        <w:spacing w:before="120" w:after="120"/>
        <w:jc w:val="both"/>
        <w:rPr>
          <w:rFonts w:ascii="Arial" w:hAnsi="Arial" w:cs="Arial"/>
          <w:sz w:val="20"/>
          <w:szCs w:val="20"/>
        </w:rPr>
      </w:pPr>
      <w:r w:rsidRPr="007229AD">
        <w:rPr>
          <w:rFonts w:ascii="Arial" w:hAnsi="Arial" w:cs="Arial"/>
          <w:sz w:val="20"/>
          <w:szCs w:val="20"/>
        </w:rPr>
        <w:t xml:space="preserve">An existing stamp duty exemption for health insurance policies is amended to ensure that health insurance policies held by overseas student and temporary visa holders are exempt from duty. </w:t>
      </w:r>
    </w:p>
    <w:p w:rsidR="007229AD" w:rsidRPr="007229AD" w:rsidRDefault="007229AD" w:rsidP="007229AD">
      <w:pPr>
        <w:numPr>
          <w:ilvl w:val="0"/>
          <w:numId w:val="3"/>
        </w:numPr>
        <w:spacing w:before="120" w:after="120"/>
        <w:jc w:val="both"/>
        <w:rPr>
          <w:rFonts w:ascii="Arial" w:hAnsi="Arial"/>
          <w:bCs/>
          <w:iCs/>
          <w:sz w:val="20"/>
          <w:szCs w:val="20"/>
        </w:rPr>
      </w:pPr>
      <w:r w:rsidRPr="007229AD">
        <w:rPr>
          <w:rFonts w:ascii="Arial" w:hAnsi="Arial" w:cs="Arial"/>
          <w:sz w:val="20"/>
          <w:szCs w:val="20"/>
        </w:rPr>
        <w:t xml:space="preserve">An exemption from stamp duty is introduced for the issue of residential building insurance policies and fidelity certificates required under the </w:t>
      </w:r>
      <w:r w:rsidRPr="007229AD">
        <w:rPr>
          <w:rFonts w:ascii="Arial" w:hAnsi="Arial" w:cs="Arial"/>
          <w:i/>
          <w:sz w:val="20"/>
          <w:szCs w:val="20"/>
        </w:rPr>
        <w:t xml:space="preserve">Building Act. </w:t>
      </w:r>
      <w:r w:rsidRPr="007229AD">
        <w:rPr>
          <w:rFonts w:ascii="Arial" w:hAnsi="Arial" w:cs="Arial"/>
          <w:sz w:val="20"/>
          <w:szCs w:val="20"/>
        </w:rPr>
        <w:t xml:space="preserve"> </w:t>
      </w:r>
    </w:p>
    <w:p w:rsidR="00B908C8" w:rsidRPr="00D463E2" w:rsidRDefault="00B908C8" w:rsidP="006E4266">
      <w:pPr>
        <w:keepNext/>
        <w:pBdr>
          <w:bottom w:val="single" w:sz="4" w:space="0" w:color="auto"/>
        </w:pBdr>
        <w:spacing w:before="120" w:after="120"/>
        <w:jc w:val="both"/>
        <w:rPr>
          <w:rFonts w:ascii="Arial" w:hAnsi="Arial"/>
          <w:b/>
          <w:bCs/>
          <w:sz w:val="20"/>
          <w:szCs w:val="20"/>
        </w:rPr>
      </w:pPr>
      <w:r w:rsidRPr="00D463E2">
        <w:rPr>
          <w:rFonts w:ascii="Arial" w:hAnsi="Arial"/>
          <w:b/>
          <w:bCs/>
          <w:iCs/>
          <w:sz w:val="20"/>
          <w:szCs w:val="20"/>
        </w:rPr>
        <w:t xml:space="preserve">For Employers </w:t>
      </w:r>
    </w:p>
    <w:p w:rsidR="00B908C8" w:rsidRPr="003E3829" w:rsidRDefault="00B908C8" w:rsidP="00DC2737">
      <w:pPr>
        <w:spacing w:before="120" w:after="120"/>
        <w:jc w:val="both"/>
        <w:rPr>
          <w:rFonts w:ascii="Arial" w:hAnsi="Arial" w:cs="Arial"/>
          <w:b/>
          <w:i/>
          <w:sz w:val="20"/>
          <w:szCs w:val="20"/>
        </w:rPr>
      </w:pPr>
      <w:r w:rsidRPr="003E3829">
        <w:rPr>
          <w:rFonts w:ascii="Arial" w:hAnsi="Arial" w:cs="Arial"/>
          <w:b/>
          <w:i/>
          <w:sz w:val="20"/>
          <w:szCs w:val="20"/>
        </w:rPr>
        <w:t xml:space="preserve">Charities payroll tax exemption reform </w:t>
      </w:r>
    </w:p>
    <w:p w:rsidR="00B908C8" w:rsidRPr="003E3829" w:rsidRDefault="00B908C8" w:rsidP="00DC2737">
      <w:pPr>
        <w:numPr>
          <w:ilvl w:val="0"/>
          <w:numId w:val="3"/>
        </w:numPr>
        <w:spacing w:before="120" w:after="120"/>
        <w:jc w:val="both"/>
        <w:rPr>
          <w:rFonts w:ascii="Arial" w:hAnsi="Arial" w:cs="Arial"/>
          <w:b/>
          <w:sz w:val="20"/>
          <w:szCs w:val="20"/>
        </w:rPr>
      </w:pPr>
      <w:r w:rsidRPr="003E3829">
        <w:rPr>
          <w:rFonts w:ascii="Arial" w:hAnsi="Arial" w:cs="Arial"/>
          <w:sz w:val="20"/>
          <w:szCs w:val="20"/>
        </w:rPr>
        <w:t xml:space="preserve">From 1 July 2015, two significant reforms </w:t>
      </w:r>
      <w:r w:rsidR="00035C0F" w:rsidRPr="003E3829">
        <w:rPr>
          <w:rFonts w:ascii="Arial" w:hAnsi="Arial" w:cs="Arial"/>
          <w:sz w:val="20"/>
          <w:szCs w:val="20"/>
        </w:rPr>
        <w:t xml:space="preserve">will be </w:t>
      </w:r>
      <w:r w:rsidRPr="003E3829">
        <w:rPr>
          <w:rFonts w:ascii="Arial" w:hAnsi="Arial" w:cs="Arial"/>
          <w:sz w:val="20"/>
          <w:szCs w:val="20"/>
        </w:rPr>
        <w:t xml:space="preserve">made to the non-profit payroll tax exemption to limit the class of organisations and activities that may receive the exemption. </w:t>
      </w:r>
    </w:p>
    <w:p w:rsidR="00550B4E" w:rsidRPr="003E3829" w:rsidRDefault="00550B4E" w:rsidP="00DC2737">
      <w:pPr>
        <w:numPr>
          <w:ilvl w:val="0"/>
          <w:numId w:val="3"/>
        </w:numPr>
        <w:spacing w:before="120" w:after="120"/>
        <w:jc w:val="both"/>
        <w:rPr>
          <w:rFonts w:ascii="Arial" w:hAnsi="Arial" w:cs="Arial"/>
          <w:b/>
          <w:sz w:val="20"/>
          <w:szCs w:val="20"/>
        </w:rPr>
      </w:pPr>
      <w:r w:rsidRPr="003E3829">
        <w:rPr>
          <w:rFonts w:ascii="Arial" w:hAnsi="Arial" w:cs="Arial"/>
          <w:sz w:val="20"/>
          <w:szCs w:val="20"/>
        </w:rPr>
        <w:t xml:space="preserve">Please refer to Revenue </w:t>
      </w:r>
      <w:r w:rsidRPr="00567685">
        <w:rPr>
          <w:rFonts w:ascii="Arial" w:hAnsi="Arial" w:cs="Arial"/>
          <w:sz w:val="20"/>
          <w:szCs w:val="20"/>
        </w:rPr>
        <w:t xml:space="preserve">Circular </w:t>
      </w:r>
      <w:hyperlink r:id="rId14" w:history="1">
        <w:r w:rsidRPr="00567685">
          <w:rPr>
            <w:rStyle w:val="Hyperlink"/>
            <w:rFonts w:ascii="Arial" w:hAnsi="Arial" w:cs="Arial"/>
            <w:sz w:val="20"/>
            <w:szCs w:val="20"/>
          </w:rPr>
          <w:t>RC-PRT-007</w:t>
        </w:r>
      </w:hyperlink>
      <w:r w:rsidRPr="00567685">
        <w:rPr>
          <w:rFonts w:ascii="Arial" w:hAnsi="Arial" w:cs="Arial"/>
          <w:sz w:val="20"/>
          <w:szCs w:val="20"/>
        </w:rPr>
        <w:t xml:space="preserve"> for</w:t>
      </w:r>
      <w:r w:rsidRPr="003E3829">
        <w:rPr>
          <w:rFonts w:ascii="Arial" w:hAnsi="Arial" w:cs="Arial"/>
          <w:sz w:val="20"/>
          <w:szCs w:val="20"/>
        </w:rPr>
        <w:t xml:space="preserve"> specific information on these amendments. </w:t>
      </w:r>
    </w:p>
    <w:p w:rsidR="00B908C8" w:rsidRPr="00B908C8" w:rsidRDefault="00B908C8" w:rsidP="00DC2737">
      <w:pPr>
        <w:spacing w:before="120" w:after="120"/>
        <w:jc w:val="both"/>
        <w:rPr>
          <w:rFonts w:ascii="Arial" w:hAnsi="Arial" w:cs="Arial"/>
          <w:b/>
          <w:i/>
          <w:sz w:val="20"/>
          <w:szCs w:val="20"/>
        </w:rPr>
      </w:pPr>
      <w:r w:rsidRPr="00B908C8">
        <w:rPr>
          <w:rFonts w:ascii="Arial" w:hAnsi="Arial" w:cs="Arial"/>
          <w:b/>
          <w:i/>
          <w:sz w:val="20"/>
          <w:szCs w:val="20"/>
        </w:rPr>
        <w:t xml:space="preserve">Remove the payroll tax exemption for apprentices and trainees </w:t>
      </w:r>
    </w:p>
    <w:p w:rsidR="007229AD" w:rsidRDefault="00B908C8" w:rsidP="00DF1484">
      <w:pPr>
        <w:numPr>
          <w:ilvl w:val="0"/>
          <w:numId w:val="3"/>
        </w:numPr>
        <w:spacing w:before="120" w:after="120"/>
        <w:jc w:val="both"/>
        <w:rPr>
          <w:rFonts w:ascii="Arial" w:hAnsi="Arial" w:cs="Arial"/>
          <w:sz w:val="20"/>
          <w:szCs w:val="20"/>
        </w:rPr>
      </w:pPr>
      <w:r w:rsidRPr="007229AD">
        <w:rPr>
          <w:rFonts w:ascii="Arial" w:hAnsi="Arial" w:cs="Arial"/>
          <w:sz w:val="20"/>
          <w:szCs w:val="20"/>
        </w:rPr>
        <w:t xml:space="preserve">The payroll tax exemption for apprentices and trainees is removed from 1 July 2015. Government has announced additional funding for grants programs for employers that employ apprentices and trainees, including the new “Training for the Future” program. </w:t>
      </w:r>
      <w:r w:rsidR="001165BB" w:rsidRPr="007229AD">
        <w:rPr>
          <w:rFonts w:ascii="Arial" w:hAnsi="Arial" w:cs="Arial"/>
          <w:sz w:val="20"/>
          <w:szCs w:val="20"/>
        </w:rPr>
        <w:t xml:space="preserve">Eligible </w:t>
      </w:r>
      <w:r w:rsidRPr="007229AD">
        <w:rPr>
          <w:rFonts w:ascii="Arial" w:hAnsi="Arial" w:cs="Arial"/>
          <w:sz w:val="20"/>
          <w:szCs w:val="20"/>
        </w:rPr>
        <w:t xml:space="preserve">employers should refer to the Department of Business to see if they are eligible for grants under the new and existing assistance schemes.  </w:t>
      </w:r>
    </w:p>
    <w:p w:rsidR="007229AD" w:rsidRPr="00DF1484" w:rsidRDefault="007229AD" w:rsidP="00DF1484">
      <w:pPr>
        <w:pStyle w:val="ListNumber"/>
        <w:numPr>
          <w:ilvl w:val="0"/>
          <w:numId w:val="0"/>
        </w:numPr>
        <w:spacing w:before="120" w:after="120"/>
        <w:jc w:val="both"/>
        <w:rPr>
          <w:b/>
          <w:bCs/>
          <w:i/>
          <w:iCs/>
        </w:rPr>
      </w:pPr>
      <w:r>
        <w:rPr>
          <w:b/>
          <w:bCs/>
          <w:i/>
          <w:iCs/>
        </w:rPr>
        <w:t>Miscellaneous</w:t>
      </w:r>
      <w:r w:rsidRPr="007229AD">
        <w:rPr>
          <w:b/>
          <w:bCs/>
          <w:i/>
          <w:iCs/>
        </w:rPr>
        <w:t xml:space="preserve"> payroll tax</w:t>
      </w:r>
      <w:r>
        <w:rPr>
          <w:b/>
          <w:bCs/>
          <w:i/>
          <w:iCs/>
        </w:rPr>
        <w:t xml:space="preserve"> </w:t>
      </w:r>
      <w:r w:rsidRPr="007229AD">
        <w:rPr>
          <w:b/>
          <w:bCs/>
          <w:i/>
          <w:iCs/>
        </w:rPr>
        <w:t>reform</w:t>
      </w:r>
    </w:p>
    <w:p w:rsidR="007229AD" w:rsidRPr="00B908C8" w:rsidRDefault="007229AD" w:rsidP="007229AD">
      <w:pPr>
        <w:numPr>
          <w:ilvl w:val="0"/>
          <w:numId w:val="3"/>
        </w:numPr>
        <w:spacing w:before="120" w:after="120"/>
        <w:jc w:val="both"/>
        <w:rPr>
          <w:rFonts w:ascii="Arial" w:hAnsi="Arial" w:cs="Arial"/>
          <w:sz w:val="20"/>
          <w:szCs w:val="20"/>
        </w:rPr>
      </w:pPr>
      <w:r>
        <w:rPr>
          <w:rFonts w:ascii="Arial" w:hAnsi="Arial" w:cs="Arial"/>
          <w:sz w:val="20"/>
          <w:szCs w:val="20"/>
        </w:rPr>
        <w:t>T</w:t>
      </w:r>
      <w:r w:rsidRPr="00B908C8">
        <w:rPr>
          <w:rFonts w:ascii="Arial" w:hAnsi="Arial" w:cs="Arial"/>
          <w:sz w:val="20"/>
          <w:szCs w:val="20"/>
        </w:rPr>
        <w:t xml:space="preserve">he ‘insurance sellers’ and ‘door-to-door salesperson’ payroll tax exclusions </w:t>
      </w:r>
      <w:r>
        <w:rPr>
          <w:rFonts w:ascii="Arial" w:hAnsi="Arial" w:cs="Arial"/>
          <w:sz w:val="20"/>
          <w:szCs w:val="20"/>
        </w:rPr>
        <w:t xml:space="preserve">from the relevant contract provisions </w:t>
      </w:r>
      <w:r w:rsidRPr="00B908C8">
        <w:rPr>
          <w:rFonts w:ascii="Arial" w:hAnsi="Arial" w:cs="Arial"/>
          <w:sz w:val="20"/>
          <w:szCs w:val="20"/>
        </w:rPr>
        <w:t>will no longer be available</w:t>
      </w:r>
      <w:r w:rsidR="00DF1484">
        <w:rPr>
          <w:rFonts w:ascii="Arial" w:hAnsi="Arial" w:cs="Arial"/>
          <w:sz w:val="20"/>
          <w:szCs w:val="20"/>
        </w:rPr>
        <w:t xml:space="preserve"> from 1 July 2015</w:t>
      </w:r>
      <w:r w:rsidRPr="00B908C8">
        <w:rPr>
          <w:rFonts w:ascii="Arial" w:hAnsi="Arial" w:cs="Arial"/>
          <w:sz w:val="20"/>
          <w:szCs w:val="20"/>
        </w:rPr>
        <w:t xml:space="preserve">. The removal of these exclusions does not affect </w:t>
      </w:r>
      <w:r>
        <w:rPr>
          <w:rFonts w:ascii="Arial" w:hAnsi="Arial" w:cs="Arial"/>
          <w:sz w:val="20"/>
          <w:szCs w:val="20"/>
        </w:rPr>
        <w:t xml:space="preserve">payments </w:t>
      </w:r>
      <w:r w:rsidRPr="00B77D2D">
        <w:rPr>
          <w:rFonts w:ascii="Arial" w:hAnsi="Arial" w:cs="Arial"/>
          <w:sz w:val="20"/>
          <w:szCs w:val="20"/>
        </w:rPr>
        <w:t>to a genuine independent business</w:t>
      </w:r>
      <w:r>
        <w:rPr>
          <w:rFonts w:ascii="Arial" w:hAnsi="Arial" w:cs="Arial"/>
          <w:sz w:val="20"/>
          <w:szCs w:val="20"/>
        </w:rPr>
        <w:t xml:space="preserve"> of</w:t>
      </w:r>
      <w:r w:rsidRPr="00B908C8">
        <w:rPr>
          <w:rFonts w:ascii="Arial" w:hAnsi="Arial" w:cs="Arial"/>
          <w:sz w:val="20"/>
          <w:szCs w:val="20"/>
        </w:rPr>
        <w:t xml:space="preserve"> an insurance seller or door</w:t>
      </w:r>
      <w:r>
        <w:rPr>
          <w:rFonts w:ascii="Arial" w:hAnsi="Arial" w:cs="Arial"/>
          <w:sz w:val="20"/>
          <w:szCs w:val="20"/>
        </w:rPr>
        <w:noBreakHyphen/>
      </w:r>
      <w:r w:rsidRPr="00B908C8">
        <w:rPr>
          <w:rFonts w:ascii="Arial" w:hAnsi="Arial" w:cs="Arial"/>
          <w:sz w:val="20"/>
          <w:szCs w:val="20"/>
        </w:rPr>
        <w:t>to</w:t>
      </w:r>
      <w:r>
        <w:rPr>
          <w:rFonts w:ascii="Arial" w:hAnsi="Arial" w:cs="Arial"/>
          <w:sz w:val="20"/>
          <w:szCs w:val="20"/>
        </w:rPr>
        <w:noBreakHyphen/>
      </w:r>
      <w:r w:rsidRPr="00B908C8">
        <w:rPr>
          <w:rFonts w:ascii="Arial" w:hAnsi="Arial" w:cs="Arial"/>
          <w:sz w:val="20"/>
          <w:szCs w:val="20"/>
        </w:rPr>
        <w:t xml:space="preserve">door salesperson, which are not subject to payroll tax. </w:t>
      </w:r>
    </w:p>
    <w:p w:rsidR="007229AD" w:rsidRPr="00B908C8" w:rsidRDefault="007229AD" w:rsidP="007229AD">
      <w:pPr>
        <w:numPr>
          <w:ilvl w:val="0"/>
          <w:numId w:val="3"/>
        </w:numPr>
        <w:spacing w:before="120" w:after="120"/>
        <w:jc w:val="both"/>
        <w:rPr>
          <w:rFonts w:ascii="Arial" w:hAnsi="Arial" w:cs="Arial"/>
          <w:sz w:val="20"/>
          <w:szCs w:val="20"/>
        </w:rPr>
      </w:pPr>
      <w:r w:rsidRPr="00B908C8">
        <w:rPr>
          <w:rFonts w:ascii="Arial" w:hAnsi="Arial" w:cs="Arial"/>
          <w:sz w:val="20"/>
          <w:szCs w:val="20"/>
        </w:rPr>
        <w:t xml:space="preserve">The operation of the ‘owner-driver’ payroll tax exclusion has been clarified following the New South Wales Court of Appeal’s decision in </w:t>
      </w:r>
      <w:r w:rsidRPr="00B908C8">
        <w:rPr>
          <w:rFonts w:ascii="Arial" w:hAnsi="Arial" w:cs="Arial"/>
          <w:i/>
          <w:sz w:val="20"/>
          <w:szCs w:val="20"/>
        </w:rPr>
        <w:t xml:space="preserve">The Smith’s Snackfood Company Limited v Chief Commissioner of State Revenue (NSW) </w:t>
      </w:r>
      <w:r w:rsidRPr="00B908C8">
        <w:rPr>
          <w:rFonts w:ascii="Arial" w:hAnsi="Arial" w:cs="Arial"/>
          <w:sz w:val="20"/>
          <w:szCs w:val="20"/>
        </w:rPr>
        <w:t>[2013] NSWCA 470 which highlighted wording deficiencies and broadened the ex</w:t>
      </w:r>
      <w:r>
        <w:rPr>
          <w:rFonts w:ascii="Arial" w:hAnsi="Arial" w:cs="Arial"/>
          <w:sz w:val="20"/>
          <w:szCs w:val="20"/>
        </w:rPr>
        <w:t>clusion</w:t>
      </w:r>
      <w:r w:rsidRPr="00B908C8">
        <w:rPr>
          <w:rFonts w:ascii="Arial" w:hAnsi="Arial" w:cs="Arial"/>
          <w:sz w:val="20"/>
          <w:szCs w:val="20"/>
        </w:rPr>
        <w:t xml:space="preserve"> beyond its traditional operation and intended scope. To address these issues, the ex</w:t>
      </w:r>
      <w:r>
        <w:rPr>
          <w:rFonts w:ascii="Arial" w:hAnsi="Arial" w:cs="Arial"/>
          <w:sz w:val="20"/>
          <w:szCs w:val="20"/>
        </w:rPr>
        <w:t>clusion</w:t>
      </w:r>
      <w:r w:rsidRPr="00B908C8">
        <w:rPr>
          <w:rFonts w:ascii="Arial" w:hAnsi="Arial" w:cs="Arial"/>
          <w:sz w:val="20"/>
          <w:szCs w:val="20"/>
        </w:rPr>
        <w:t xml:space="preserve"> is amended to clarify that</w:t>
      </w:r>
      <w:r>
        <w:rPr>
          <w:rFonts w:ascii="Arial" w:hAnsi="Arial" w:cs="Arial"/>
          <w:sz w:val="20"/>
          <w:szCs w:val="20"/>
        </w:rPr>
        <w:t xml:space="preserve"> it </w:t>
      </w:r>
      <w:r w:rsidRPr="00B908C8">
        <w:rPr>
          <w:rFonts w:ascii="Arial" w:hAnsi="Arial" w:cs="Arial"/>
          <w:sz w:val="20"/>
          <w:szCs w:val="20"/>
        </w:rPr>
        <w:t xml:space="preserve">applies to services solely for or ancillary to the conveyance of goods. </w:t>
      </w:r>
    </w:p>
    <w:p w:rsidR="007229AD" w:rsidRDefault="007229AD" w:rsidP="007229AD">
      <w:pPr>
        <w:numPr>
          <w:ilvl w:val="0"/>
          <w:numId w:val="3"/>
        </w:numPr>
        <w:spacing w:before="120" w:after="120"/>
        <w:jc w:val="both"/>
        <w:rPr>
          <w:rFonts w:ascii="Arial" w:hAnsi="Arial" w:cs="Arial"/>
          <w:sz w:val="20"/>
          <w:szCs w:val="20"/>
        </w:rPr>
      </w:pPr>
      <w:r w:rsidRPr="00B908C8">
        <w:rPr>
          <w:rFonts w:ascii="Arial" w:hAnsi="Arial" w:cs="Arial"/>
          <w:sz w:val="20"/>
          <w:szCs w:val="20"/>
        </w:rPr>
        <w:t>The exclusions from payroll tax for contractors are also amended to ensure that they are not available on an apportionment basis. That is, if a contract is partly for excluded services and non</w:t>
      </w:r>
      <w:r w:rsidRPr="00B908C8">
        <w:rPr>
          <w:rFonts w:ascii="Arial" w:hAnsi="Arial" w:cs="Arial"/>
          <w:sz w:val="20"/>
          <w:szCs w:val="20"/>
        </w:rPr>
        <w:noBreakHyphen/>
        <w:t xml:space="preserve">excluded services, the exclusions do not apply. </w:t>
      </w:r>
    </w:p>
    <w:p w:rsidR="007229AD" w:rsidRPr="005F61CA" w:rsidRDefault="007229AD" w:rsidP="007229AD">
      <w:pPr>
        <w:keepNext/>
        <w:numPr>
          <w:ilvl w:val="0"/>
          <w:numId w:val="3"/>
        </w:numPr>
        <w:pBdr>
          <w:bottom w:val="single" w:sz="4" w:space="1" w:color="auto"/>
        </w:pBdr>
        <w:spacing w:before="120" w:after="120"/>
        <w:jc w:val="both"/>
        <w:rPr>
          <w:rFonts w:ascii="Arial" w:hAnsi="Arial"/>
          <w:b/>
          <w:bCs/>
          <w:sz w:val="20"/>
          <w:szCs w:val="20"/>
        </w:rPr>
      </w:pPr>
      <w:r w:rsidRPr="005F61CA">
        <w:rPr>
          <w:rFonts w:ascii="Arial" w:hAnsi="Arial" w:cs="Arial"/>
          <w:sz w:val="20"/>
          <w:szCs w:val="20"/>
        </w:rPr>
        <w:t>The above reforms are also necessary to maintain payroll tax harmonisation by adopting model provisions enacted interstate.</w:t>
      </w:r>
    </w:p>
    <w:p w:rsidR="00B908C8" w:rsidRPr="00B908C8" w:rsidRDefault="00B908C8" w:rsidP="00DC2737">
      <w:pPr>
        <w:keepNext/>
        <w:pBdr>
          <w:bottom w:val="single" w:sz="4" w:space="1" w:color="auto"/>
        </w:pBdr>
        <w:spacing w:before="120" w:after="120"/>
        <w:jc w:val="both"/>
        <w:rPr>
          <w:rFonts w:ascii="Arial" w:hAnsi="Arial"/>
          <w:b/>
          <w:bCs/>
          <w:sz w:val="20"/>
          <w:szCs w:val="20"/>
        </w:rPr>
      </w:pPr>
      <w:r w:rsidRPr="00B908C8">
        <w:rPr>
          <w:rFonts w:ascii="Arial" w:hAnsi="Arial"/>
          <w:b/>
          <w:bCs/>
          <w:sz w:val="20"/>
          <w:szCs w:val="20"/>
        </w:rPr>
        <w:t>For Casinos</w:t>
      </w:r>
    </w:p>
    <w:p w:rsidR="00B908C8" w:rsidRPr="00B908C8" w:rsidRDefault="00B908C8" w:rsidP="00DC2737">
      <w:pPr>
        <w:keepNext/>
        <w:spacing w:before="120" w:after="120"/>
        <w:jc w:val="both"/>
        <w:rPr>
          <w:rFonts w:ascii="Arial" w:hAnsi="Arial"/>
          <w:b/>
          <w:bCs/>
          <w:i/>
          <w:sz w:val="20"/>
          <w:szCs w:val="20"/>
        </w:rPr>
      </w:pPr>
      <w:r w:rsidRPr="00B908C8">
        <w:rPr>
          <w:rFonts w:ascii="Arial" w:hAnsi="Arial"/>
          <w:b/>
          <w:bCs/>
          <w:i/>
          <w:sz w:val="20"/>
          <w:szCs w:val="20"/>
        </w:rPr>
        <w:t xml:space="preserve">Community Benefit Levy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From 1 July 2015, Territory casinos will be required to pay the community benefit levy to the Director</w:t>
      </w:r>
      <w:r w:rsidRPr="00B908C8">
        <w:rPr>
          <w:rFonts w:ascii="Arial" w:hAnsi="Arial" w:cs="Arial"/>
          <w:sz w:val="20"/>
          <w:szCs w:val="20"/>
        </w:rPr>
        <w:noBreakHyphen/>
        <w:t>General of Licen</w:t>
      </w:r>
      <w:r w:rsidR="00164AE1">
        <w:rPr>
          <w:rFonts w:ascii="Arial" w:hAnsi="Arial" w:cs="Arial"/>
          <w:sz w:val="20"/>
          <w:szCs w:val="20"/>
        </w:rPr>
        <w:t>s</w:t>
      </w:r>
      <w:r w:rsidRPr="00B908C8">
        <w:rPr>
          <w:rFonts w:ascii="Arial" w:hAnsi="Arial" w:cs="Arial"/>
          <w:sz w:val="20"/>
          <w:szCs w:val="20"/>
        </w:rPr>
        <w:t xml:space="preserve">ing each month. </w:t>
      </w:r>
    </w:p>
    <w:p w:rsidR="00B908C8" w:rsidRPr="00B908C8" w:rsidRDefault="00B908C8" w:rsidP="00DC2737">
      <w:pPr>
        <w:numPr>
          <w:ilvl w:val="0"/>
          <w:numId w:val="3"/>
        </w:numPr>
        <w:jc w:val="both"/>
        <w:rPr>
          <w:rFonts w:ascii="Arial" w:hAnsi="Arial" w:cs="Arial"/>
          <w:bCs/>
          <w:sz w:val="20"/>
          <w:szCs w:val="20"/>
        </w:rPr>
      </w:pPr>
      <w:r w:rsidRPr="00B908C8">
        <w:rPr>
          <w:rFonts w:ascii="Arial" w:hAnsi="Arial" w:cs="Arial"/>
          <w:bCs/>
          <w:sz w:val="20"/>
          <w:szCs w:val="20"/>
        </w:rPr>
        <w:t>To ensure the casino community benefit levy operates, as much as possible, under the same administration and procedures as the existing community benefit levy scheme in place for Territory</w:t>
      </w:r>
      <w:r w:rsidR="007229AD">
        <w:rPr>
          <w:rFonts w:ascii="Arial" w:hAnsi="Arial" w:cs="Arial"/>
          <w:bCs/>
          <w:sz w:val="20"/>
          <w:szCs w:val="20"/>
        </w:rPr>
        <w:t> </w:t>
      </w:r>
      <w:r w:rsidRPr="00B908C8">
        <w:rPr>
          <w:rFonts w:ascii="Arial" w:hAnsi="Arial" w:cs="Arial"/>
          <w:bCs/>
          <w:sz w:val="20"/>
          <w:szCs w:val="20"/>
        </w:rPr>
        <w:t xml:space="preserve">hotels, a number of procedural and administrative provisions contained in the </w:t>
      </w:r>
      <w:r w:rsidRPr="00B908C8">
        <w:rPr>
          <w:rFonts w:ascii="Arial" w:hAnsi="Arial" w:cs="Arial"/>
          <w:bCs/>
          <w:i/>
          <w:sz w:val="20"/>
          <w:szCs w:val="20"/>
        </w:rPr>
        <w:t>Gaming Machine Act</w:t>
      </w:r>
      <w:r w:rsidRPr="00B908C8">
        <w:rPr>
          <w:rFonts w:ascii="Arial" w:hAnsi="Arial" w:cs="Arial"/>
          <w:bCs/>
          <w:sz w:val="20"/>
          <w:szCs w:val="20"/>
        </w:rPr>
        <w:t xml:space="preserve"> are extended to apply to casinos. </w:t>
      </w:r>
    </w:p>
    <w:p w:rsidR="00B908C8" w:rsidRPr="00B908C8" w:rsidRDefault="00B908C8" w:rsidP="00DC2737">
      <w:pPr>
        <w:keepNext/>
        <w:numPr>
          <w:ilvl w:val="0"/>
          <w:numId w:val="3"/>
        </w:numPr>
        <w:spacing w:before="120" w:after="120"/>
        <w:jc w:val="both"/>
        <w:rPr>
          <w:rFonts w:ascii="Arial" w:hAnsi="Arial"/>
          <w:bCs/>
          <w:sz w:val="20"/>
          <w:szCs w:val="20"/>
        </w:rPr>
      </w:pPr>
      <w:r w:rsidRPr="00B908C8">
        <w:rPr>
          <w:rFonts w:ascii="Arial" w:hAnsi="Arial"/>
          <w:bCs/>
          <w:sz w:val="20"/>
          <w:szCs w:val="20"/>
        </w:rPr>
        <w:t>The</w:t>
      </w:r>
      <w:r w:rsidRPr="00DF1484">
        <w:rPr>
          <w:rFonts w:ascii="Arial" w:hAnsi="Arial"/>
          <w:bCs/>
          <w:i/>
          <w:sz w:val="20"/>
          <w:szCs w:val="20"/>
        </w:rPr>
        <w:t xml:space="preserve"> Gaming Control (Taxes and Levies) Regulations</w:t>
      </w:r>
      <w:r w:rsidRPr="00B908C8">
        <w:rPr>
          <w:rFonts w:ascii="Arial" w:hAnsi="Arial"/>
          <w:bCs/>
          <w:sz w:val="20"/>
          <w:szCs w:val="20"/>
        </w:rPr>
        <w:t xml:space="preserve"> will provide for various procedural matters relating to the payment of the community benefit levy by Territory casinos. These procedural matters include:</w:t>
      </w:r>
    </w:p>
    <w:p w:rsidR="00B908C8" w:rsidRPr="00B908C8" w:rsidRDefault="00B908C8" w:rsidP="00DC2737">
      <w:pPr>
        <w:numPr>
          <w:ilvl w:val="0"/>
          <w:numId w:val="4"/>
        </w:numPr>
        <w:tabs>
          <w:tab w:val="left" w:pos="900"/>
          <w:tab w:val="left" w:pos="1440"/>
          <w:tab w:val="left" w:pos="2160"/>
          <w:tab w:val="left" w:pos="2880"/>
          <w:tab w:val="left" w:pos="3600"/>
          <w:tab w:val="left" w:pos="4320"/>
          <w:tab w:val="left" w:pos="5040"/>
          <w:tab w:val="left" w:pos="5760"/>
        </w:tabs>
        <w:spacing w:before="120" w:after="120"/>
        <w:ind w:right="331"/>
        <w:jc w:val="both"/>
        <w:rPr>
          <w:rFonts w:ascii="Arial" w:hAnsi="Arial" w:cs="Arial"/>
          <w:snapToGrid w:val="0"/>
          <w:sz w:val="20"/>
          <w:lang w:eastAsia="en-US"/>
        </w:rPr>
      </w:pPr>
      <w:r w:rsidRPr="00B908C8">
        <w:rPr>
          <w:rFonts w:ascii="Arial" w:hAnsi="Arial" w:cs="Arial"/>
          <w:snapToGrid w:val="0"/>
          <w:sz w:val="20"/>
          <w:lang w:eastAsia="en-US"/>
        </w:rPr>
        <w:t xml:space="preserve">prescribing  the rate of the community benefit levy </w:t>
      </w:r>
      <w:r w:rsidR="00B77D2D">
        <w:rPr>
          <w:rFonts w:ascii="Arial" w:hAnsi="Arial" w:cs="Arial"/>
          <w:snapToGrid w:val="0"/>
          <w:sz w:val="20"/>
          <w:lang w:eastAsia="en-US"/>
        </w:rPr>
        <w:t>as</w:t>
      </w:r>
      <w:r w:rsidR="00B77D2D" w:rsidRPr="00B908C8">
        <w:rPr>
          <w:rFonts w:ascii="Arial" w:hAnsi="Arial" w:cs="Arial"/>
          <w:snapToGrid w:val="0"/>
          <w:sz w:val="20"/>
          <w:lang w:eastAsia="en-US"/>
        </w:rPr>
        <w:t xml:space="preserve"> </w:t>
      </w:r>
      <w:r w:rsidRPr="00B908C8">
        <w:rPr>
          <w:rFonts w:ascii="Arial" w:hAnsi="Arial" w:cs="Arial"/>
          <w:snapToGrid w:val="0"/>
          <w:sz w:val="20"/>
          <w:lang w:eastAsia="en-US"/>
        </w:rPr>
        <w:t xml:space="preserve">10 per cent of </w:t>
      </w:r>
      <w:r w:rsidR="007229AD">
        <w:rPr>
          <w:rFonts w:ascii="Arial" w:hAnsi="Arial" w:cs="Arial"/>
          <w:snapToGrid w:val="0"/>
          <w:sz w:val="20"/>
          <w:lang w:eastAsia="en-US"/>
        </w:rPr>
        <w:t>a</w:t>
      </w:r>
      <w:r w:rsidR="007229AD" w:rsidRPr="00B908C8">
        <w:rPr>
          <w:rFonts w:ascii="Arial" w:hAnsi="Arial" w:cs="Arial"/>
          <w:snapToGrid w:val="0"/>
          <w:sz w:val="20"/>
          <w:lang w:eastAsia="en-US"/>
        </w:rPr>
        <w:t xml:space="preserve"> </w:t>
      </w:r>
      <w:r w:rsidRPr="00B908C8">
        <w:rPr>
          <w:rFonts w:ascii="Arial" w:hAnsi="Arial" w:cs="Arial"/>
          <w:snapToGrid w:val="0"/>
          <w:sz w:val="20"/>
          <w:lang w:eastAsia="en-US"/>
        </w:rPr>
        <w:t>casino</w:t>
      </w:r>
      <w:r w:rsidR="007229AD">
        <w:rPr>
          <w:rFonts w:ascii="Arial" w:hAnsi="Arial" w:cs="Arial"/>
          <w:snapToGrid w:val="0"/>
          <w:sz w:val="20"/>
          <w:lang w:eastAsia="en-US"/>
        </w:rPr>
        <w:t>’</w:t>
      </w:r>
      <w:r w:rsidRPr="00B908C8">
        <w:rPr>
          <w:rFonts w:ascii="Arial" w:hAnsi="Arial" w:cs="Arial"/>
          <w:snapToGrid w:val="0"/>
          <w:sz w:val="20"/>
          <w:lang w:eastAsia="en-US"/>
        </w:rPr>
        <w:t xml:space="preserve">s gross monthly profit from gaming machines; </w:t>
      </w:r>
    </w:p>
    <w:p w:rsidR="00B908C8" w:rsidRPr="00B908C8" w:rsidRDefault="00B908C8" w:rsidP="00DC2737">
      <w:pPr>
        <w:numPr>
          <w:ilvl w:val="0"/>
          <w:numId w:val="4"/>
        </w:numPr>
        <w:tabs>
          <w:tab w:val="left" w:pos="900"/>
          <w:tab w:val="left" w:pos="1440"/>
          <w:tab w:val="left" w:pos="2160"/>
          <w:tab w:val="left" w:pos="2880"/>
          <w:tab w:val="left" w:pos="3600"/>
          <w:tab w:val="left" w:pos="4320"/>
          <w:tab w:val="left" w:pos="5040"/>
          <w:tab w:val="left" w:pos="5760"/>
        </w:tabs>
        <w:spacing w:before="120" w:after="120"/>
        <w:ind w:right="331"/>
        <w:jc w:val="both"/>
        <w:rPr>
          <w:rFonts w:ascii="Arial" w:hAnsi="Arial" w:cs="Arial"/>
          <w:snapToGrid w:val="0"/>
          <w:sz w:val="20"/>
          <w:lang w:eastAsia="en-US"/>
        </w:rPr>
      </w:pPr>
      <w:r w:rsidRPr="00B908C8">
        <w:rPr>
          <w:rFonts w:ascii="Arial" w:hAnsi="Arial" w:cs="Arial"/>
          <w:snapToGrid w:val="0"/>
          <w:sz w:val="20"/>
          <w:lang w:eastAsia="en-US"/>
        </w:rPr>
        <w:t xml:space="preserve">prescribing the manner </w:t>
      </w:r>
      <w:r w:rsidR="007229AD">
        <w:rPr>
          <w:rFonts w:ascii="Arial" w:hAnsi="Arial" w:cs="Arial"/>
          <w:snapToGrid w:val="0"/>
          <w:sz w:val="20"/>
          <w:lang w:eastAsia="en-US"/>
        </w:rPr>
        <w:t xml:space="preserve">of </w:t>
      </w:r>
      <w:r w:rsidRPr="00B908C8">
        <w:rPr>
          <w:rFonts w:ascii="Arial" w:hAnsi="Arial" w:cs="Arial"/>
          <w:snapToGrid w:val="0"/>
          <w:sz w:val="20"/>
          <w:lang w:eastAsia="en-US"/>
        </w:rPr>
        <w:t xml:space="preserve">payment of the community benefit levy; </w:t>
      </w:r>
    </w:p>
    <w:p w:rsidR="00B908C8" w:rsidRPr="00B908C8" w:rsidRDefault="00B908C8" w:rsidP="00DC2737">
      <w:pPr>
        <w:numPr>
          <w:ilvl w:val="0"/>
          <w:numId w:val="4"/>
        </w:numPr>
        <w:tabs>
          <w:tab w:val="left" w:pos="900"/>
          <w:tab w:val="left" w:pos="1440"/>
          <w:tab w:val="left" w:pos="2160"/>
          <w:tab w:val="left" w:pos="2880"/>
          <w:tab w:val="left" w:pos="3600"/>
          <w:tab w:val="left" w:pos="4320"/>
          <w:tab w:val="left" w:pos="5040"/>
          <w:tab w:val="left" w:pos="5760"/>
        </w:tabs>
        <w:spacing w:before="120" w:after="120"/>
        <w:ind w:right="331"/>
        <w:jc w:val="both"/>
        <w:rPr>
          <w:rFonts w:ascii="Arial" w:hAnsi="Arial" w:cs="Arial"/>
          <w:snapToGrid w:val="0"/>
          <w:sz w:val="20"/>
          <w:lang w:eastAsia="en-US"/>
        </w:rPr>
      </w:pPr>
      <w:r w:rsidRPr="00B908C8">
        <w:rPr>
          <w:rFonts w:ascii="Arial" w:hAnsi="Arial" w:cs="Arial"/>
          <w:snapToGrid w:val="0"/>
          <w:sz w:val="20"/>
          <w:lang w:eastAsia="en-US"/>
        </w:rPr>
        <w:t>setting the day for payment of the levy as the tenth business day of each month; and</w:t>
      </w:r>
    </w:p>
    <w:p w:rsidR="00B908C8" w:rsidRPr="00B908C8" w:rsidRDefault="00B908C8" w:rsidP="00DC2737">
      <w:pPr>
        <w:numPr>
          <w:ilvl w:val="0"/>
          <w:numId w:val="4"/>
        </w:numPr>
        <w:tabs>
          <w:tab w:val="left" w:pos="900"/>
          <w:tab w:val="left" w:pos="1440"/>
          <w:tab w:val="left" w:pos="2160"/>
          <w:tab w:val="left" w:pos="2880"/>
          <w:tab w:val="left" w:pos="3600"/>
          <w:tab w:val="left" w:pos="4320"/>
          <w:tab w:val="left" w:pos="5040"/>
          <w:tab w:val="left" w:pos="5760"/>
        </w:tabs>
        <w:spacing w:before="120" w:after="120"/>
        <w:ind w:right="331"/>
        <w:jc w:val="both"/>
        <w:rPr>
          <w:rFonts w:ascii="Arial" w:hAnsi="Arial" w:cs="Arial"/>
          <w:snapToGrid w:val="0"/>
          <w:sz w:val="20"/>
          <w:lang w:eastAsia="en-US"/>
        </w:rPr>
      </w:pPr>
      <w:r w:rsidRPr="00B908C8">
        <w:rPr>
          <w:rFonts w:ascii="Arial" w:hAnsi="Arial" w:cs="Arial"/>
          <w:snapToGrid w:val="0"/>
          <w:sz w:val="20"/>
          <w:lang w:eastAsia="en-US"/>
        </w:rPr>
        <w:lastRenderedPageBreak/>
        <w:t xml:space="preserve">setting the penalty applicable for </w:t>
      </w:r>
      <w:r w:rsidR="007229AD">
        <w:rPr>
          <w:rFonts w:ascii="Arial" w:hAnsi="Arial" w:cs="Arial"/>
          <w:snapToGrid w:val="0"/>
          <w:sz w:val="20"/>
          <w:lang w:eastAsia="en-US"/>
        </w:rPr>
        <w:t xml:space="preserve">late </w:t>
      </w:r>
      <w:r w:rsidRPr="00B908C8">
        <w:rPr>
          <w:rFonts w:ascii="Arial" w:hAnsi="Arial" w:cs="Arial"/>
          <w:snapToGrid w:val="0"/>
          <w:sz w:val="20"/>
          <w:lang w:eastAsia="en-US"/>
        </w:rPr>
        <w:t xml:space="preserve">payment of the levy at 5 per cent. </w:t>
      </w:r>
    </w:p>
    <w:p w:rsidR="00B908C8" w:rsidRPr="00B908C8" w:rsidRDefault="00B908C8" w:rsidP="00DC2737">
      <w:pPr>
        <w:keepNext/>
        <w:pBdr>
          <w:bottom w:val="single" w:sz="4" w:space="1" w:color="auto"/>
        </w:pBdr>
        <w:spacing w:before="120" w:after="120"/>
        <w:jc w:val="both"/>
        <w:rPr>
          <w:rFonts w:ascii="Arial" w:hAnsi="Arial"/>
          <w:b/>
          <w:bCs/>
          <w:sz w:val="20"/>
          <w:szCs w:val="20"/>
        </w:rPr>
      </w:pPr>
      <w:r w:rsidRPr="00B908C8">
        <w:rPr>
          <w:rFonts w:ascii="Arial" w:hAnsi="Arial"/>
          <w:b/>
          <w:bCs/>
          <w:sz w:val="20"/>
          <w:szCs w:val="20"/>
        </w:rPr>
        <w:t>Miscellaneous revenue amendments</w:t>
      </w:r>
    </w:p>
    <w:p w:rsidR="00B908C8" w:rsidRPr="00B908C8" w:rsidRDefault="00B908C8" w:rsidP="00DC2737">
      <w:pPr>
        <w:spacing w:before="120" w:after="120"/>
        <w:jc w:val="both"/>
        <w:rPr>
          <w:rFonts w:ascii="Arial" w:hAnsi="Arial"/>
          <w:sz w:val="20"/>
          <w:szCs w:val="20"/>
        </w:rPr>
      </w:pPr>
      <w:r w:rsidRPr="00B908C8">
        <w:rPr>
          <w:rFonts w:ascii="Arial" w:hAnsi="Arial"/>
          <w:sz w:val="20"/>
          <w:szCs w:val="20"/>
        </w:rPr>
        <w:t xml:space="preserve">The following measures, effective from 1 July 2015 unless otherwise stated, give effect to minor reforms of a range of revenue laws aimed at ensuring the effective and efficient operation of the Territory’s revenue legislation. </w:t>
      </w:r>
    </w:p>
    <w:p w:rsidR="00B908C8" w:rsidRPr="00B908C8" w:rsidRDefault="00B908C8" w:rsidP="00DC2737">
      <w:pPr>
        <w:spacing w:before="120" w:after="120"/>
        <w:rPr>
          <w:rFonts w:ascii="Arial" w:hAnsi="Arial" w:cs="Arial"/>
          <w:i/>
          <w:sz w:val="20"/>
          <w:szCs w:val="20"/>
        </w:rPr>
      </w:pPr>
      <w:r w:rsidRPr="00B908C8">
        <w:rPr>
          <w:rFonts w:ascii="Arial" w:hAnsi="Arial" w:cs="Arial"/>
          <w:b/>
          <w:i/>
          <w:sz w:val="20"/>
          <w:szCs w:val="20"/>
        </w:rPr>
        <w:t xml:space="preserve">Stamp Duty Act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 xml:space="preserve">From 28 April 2015, a clarification is made to ensure </w:t>
      </w:r>
      <w:r w:rsidR="005F2DD2">
        <w:rPr>
          <w:rFonts w:ascii="Arial" w:hAnsi="Arial" w:cs="Arial"/>
          <w:sz w:val="20"/>
          <w:szCs w:val="20"/>
        </w:rPr>
        <w:t>that a motor vehicle certificate of registration issued following the conveyance</w:t>
      </w:r>
      <w:r w:rsidR="005F2DD2" w:rsidRPr="00B908C8">
        <w:rPr>
          <w:rFonts w:ascii="Arial" w:hAnsi="Arial" w:cs="Arial"/>
          <w:sz w:val="20"/>
          <w:szCs w:val="20"/>
        </w:rPr>
        <w:t xml:space="preserve"> </w:t>
      </w:r>
      <w:r w:rsidRPr="00B908C8">
        <w:rPr>
          <w:rFonts w:ascii="Arial" w:hAnsi="Arial" w:cs="Arial"/>
          <w:sz w:val="20"/>
          <w:szCs w:val="20"/>
        </w:rPr>
        <w:t xml:space="preserve">of </w:t>
      </w:r>
      <w:r w:rsidR="005F2DD2">
        <w:rPr>
          <w:rFonts w:ascii="Arial" w:hAnsi="Arial" w:cs="Arial"/>
          <w:sz w:val="20"/>
          <w:szCs w:val="20"/>
        </w:rPr>
        <w:t xml:space="preserve">a </w:t>
      </w:r>
      <w:r w:rsidRPr="00B908C8">
        <w:rPr>
          <w:rFonts w:ascii="Arial" w:hAnsi="Arial" w:cs="Arial"/>
          <w:sz w:val="20"/>
          <w:szCs w:val="20"/>
        </w:rPr>
        <w:t>motor vehicle between parent and stepchild</w:t>
      </w:r>
      <w:r w:rsidR="005F2DD2">
        <w:rPr>
          <w:rFonts w:ascii="Arial" w:hAnsi="Arial" w:cs="Arial"/>
          <w:sz w:val="20"/>
          <w:szCs w:val="20"/>
        </w:rPr>
        <w:t>,</w:t>
      </w:r>
      <w:r w:rsidRPr="00B908C8">
        <w:rPr>
          <w:rFonts w:ascii="Arial" w:hAnsi="Arial" w:cs="Arial"/>
          <w:sz w:val="20"/>
          <w:szCs w:val="20"/>
        </w:rPr>
        <w:t xml:space="preserve"> by way of gift</w:t>
      </w:r>
      <w:r w:rsidR="005F2DD2">
        <w:rPr>
          <w:rFonts w:ascii="Arial" w:hAnsi="Arial" w:cs="Arial"/>
          <w:sz w:val="20"/>
          <w:szCs w:val="20"/>
        </w:rPr>
        <w:t>,</w:t>
      </w:r>
      <w:r w:rsidRPr="00B908C8">
        <w:rPr>
          <w:rFonts w:ascii="Arial" w:hAnsi="Arial" w:cs="Arial"/>
          <w:sz w:val="20"/>
          <w:szCs w:val="20"/>
        </w:rPr>
        <w:t xml:space="preserve"> </w:t>
      </w:r>
      <w:r w:rsidR="007229AD">
        <w:rPr>
          <w:rFonts w:ascii="Arial" w:hAnsi="Arial" w:cs="Arial"/>
          <w:sz w:val="20"/>
          <w:szCs w:val="20"/>
        </w:rPr>
        <w:t>is</w:t>
      </w:r>
      <w:r w:rsidR="007229AD" w:rsidRPr="00B908C8">
        <w:rPr>
          <w:rFonts w:ascii="Arial" w:hAnsi="Arial" w:cs="Arial"/>
          <w:sz w:val="20"/>
          <w:szCs w:val="20"/>
        </w:rPr>
        <w:t xml:space="preserve"> </w:t>
      </w:r>
      <w:r w:rsidRPr="00B908C8">
        <w:rPr>
          <w:rFonts w:ascii="Arial" w:hAnsi="Arial" w:cs="Arial"/>
          <w:sz w:val="20"/>
          <w:szCs w:val="20"/>
        </w:rPr>
        <w:t xml:space="preserve">exempt from stamp duty.  </w:t>
      </w:r>
    </w:p>
    <w:p w:rsidR="00DF1484" w:rsidRDefault="00B908C8" w:rsidP="00DC2737">
      <w:pPr>
        <w:numPr>
          <w:ilvl w:val="0"/>
          <w:numId w:val="3"/>
        </w:numPr>
        <w:spacing w:before="120" w:after="120"/>
        <w:jc w:val="both"/>
        <w:rPr>
          <w:rFonts w:ascii="Arial" w:hAnsi="Arial" w:cs="Arial"/>
          <w:sz w:val="20"/>
          <w:szCs w:val="20"/>
        </w:rPr>
      </w:pPr>
      <w:r w:rsidRPr="006F0483">
        <w:rPr>
          <w:rFonts w:ascii="Arial" w:hAnsi="Arial" w:cs="Arial"/>
          <w:sz w:val="20"/>
          <w:szCs w:val="20"/>
        </w:rPr>
        <w:t xml:space="preserve">An exemption is also inserted for statutory vestings which create trusts for sale and trusts for partition under the provisions of the </w:t>
      </w:r>
      <w:r w:rsidRPr="006F0483">
        <w:rPr>
          <w:rFonts w:ascii="Arial" w:hAnsi="Arial" w:cs="Arial"/>
          <w:i/>
          <w:sz w:val="20"/>
          <w:szCs w:val="20"/>
        </w:rPr>
        <w:t>Law of Property Act</w:t>
      </w:r>
      <w:r w:rsidRPr="006F0483">
        <w:rPr>
          <w:rFonts w:ascii="Arial" w:hAnsi="Arial" w:cs="Arial"/>
          <w:sz w:val="20"/>
          <w:szCs w:val="20"/>
        </w:rPr>
        <w:t xml:space="preserve">. Similarly, a new pro rata concession has been introduced where there is a conveyance of property under a trust for sale back to a beneficial owner. The new concession ensures the original owner’s </w:t>
      </w:r>
      <w:r w:rsidR="007229AD" w:rsidRPr="006F0483">
        <w:rPr>
          <w:rFonts w:ascii="Arial" w:hAnsi="Arial" w:cs="Arial"/>
          <w:sz w:val="20"/>
          <w:szCs w:val="20"/>
        </w:rPr>
        <w:t>interest</w:t>
      </w:r>
      <w:r w:rsidRPr="006F0483">
        <w:rPr>
          <w:rFonts w:ascii="Arial" w:hAnsi="Arial" w:cs="Arial"/>
          <w:sz w:val="20"/>
          <w:szCs w:val="20"/>
        </w:rPr>
        <w:t xml:space="preserve"> is accounted for in calculating the duty payable.</w:t>
      </w:r>
    </w:p>
    <w:p w:rsidR="00B908C8" w:rsidRPr="00B908C8" w:rsidRDefault="00B908C8" w:rsidP="00DC2737">
      <w:pPr>
        <w:numPr>
          <w:ilvl w:val="0"/>
          <w:numId w:val="3"/>
        </w:numPr>
        <w:spacing w:before="120" w:after="120"/>
        <w:jc w:val="both"/>
        <w:rPr>
          <w:rFonts w:ascii="Arial" w:hAnsi="Arial" w:cs="Arial"/>
          <w:sz w:val="20"/>
          <w:szCs w:val="20"/>
        </w:rPr>
      </w:pPr>
      <w:r w:rsidRPr="006F0483">
        <w:rPr>
          <w:rFonts w:ascii="Arial" w:hAnsi="Arial" w:cs="Arial"/>
          <w:sz w:val="20"/>
          <w:szCs w:val="20"/>
        </w:rPr>
        <w:t xml:space="preserve"> </w:t>
      </w:r>
      <w:r w:rsidRPr="00B908C8">
        <w:rPr>
          <w:rFonts w:ascii="Arial" w:hAnsi="Arial" w:cs="Arial"/>
          <w:sz w:val="20"/>
          <w:szCs w:val="20"/>
        </w:rPr>
        <w:t>The circumstances in which an anti</w:t>
      </w:r>
      <w:r w:rsidRPr="00B908C8">
        <w:rPr>
          <w:rFonts w:ascii="Arial" w:hAnsi="Arial" w:cs="Arial"/>
          <w:sz w:val="20"/>
          <w:szCs w:val="20"/>
        </w:rPr>
        <w:noBreakHyphen/>
        <w:t>avoidance provision will operate to disregard arrangements that reduce the value of property have been clarified. The amendments ensure that agreements or arrangements which reduce the value of property will only be disregarded where there is a tax avoidance purpose. A list of factors has been inserted which the Commissioner may consider in determining whether an agreement or arrangement was entered into for the pur</w:t>
      </w:r>
      <w:r w:rsidR="001165BB">
        <w:rPr>
          <w:rFonts w:ascii="Arial" w:hAnsi="Arial" w:cs="Arial"/>
          <w:sz w:val="20"/>
          <w:szCs w:val="20"/>
        </w:rPr>
        <w:t xml:space="preserve">pose of reducing property value, thus aligning the Territory’s provision with those applying in other jurisdictions. </w:t>
      </w:r>
    </w:p>
    <w:p w:rsidR="00B908C8" w:rsidRPr="00B908C8" w:rsidRDefault="00B908C8" w:rsidP="00DC2737">
      <w:pPr>
        <w:spacing w:before="120" w:after="120"/>
        <w:ind w:left="567" w:hanging="567"/>
        <w:rPr>
          <w:rFonts w:ascii="Arial" w:hAnsi="Arial" w:cs="Arial"/>
          <w:b/>
          <w:i/>
          <w:sz w:val="20"/>
          <w:szCs w:val="20"/>
        </w:rPr>
      </w:pPr>
      <w:r w:rsidRPr="00B908C8">
        <w:rPr>
          <w:rFonts w:ascii="Arial" w:hAnsi="Arial" w:cs="Arial"/>
          <w:b/>
          <w:i/>
          <w:sz w:val="20"/>
          <w:szCs w:val="20"/>
        </w:rPr>
        <w:t xml:space="preserve">Taxation Administration Act </w:t>
      </w:r>
    </w:p>
    <w:p w:rsidR="00B908C8" w:rsidRPr="00B908C8" w:rsidRDefault="00B908C8" w:rsidP="00DC2737">
      <w:pPr>
        <w:numPr>
          <w:ilvl w:val="0"/>
          <w:numId w:val="3"/>
        </w:numPr>
        <w:spacing w:before="120" w:after="120"/>
        <w:jc w:val="both"/>
        <w:rPr>
          <w:rFonts w:ascii="Arial" w:hAnsi="Arial" w:cs="Arial"/>
          <w:sz w:val="20"/>
          <w:szCs w:val="20"/>
        </w:rPr>
      </w:pPr>
      <w:r w:rsidRPr="00B908C8">
        <w:rPr>
          <w:rFonts w:ascii="Arial" w:hAnsi="Arial" w:cs="Arial"/>
          <w:sz w:val="20"/>
          <w:szCs w:val="20"/>
        </w:rPr>
        <w:t>The Commissioner’s powers in relation to requiring, obtaining or adopting valuatio</w:t>
      </w:r>
      <w:r w:rsidR="001165BB">
        <w:rPr>
          <w:rFonts w:ascii="Arial" w:hAnsi="Arial" w:cs="Arial"/>
          <w:sz w:val="20"/>
          <w:szCs w:val="20"/>
        </w:rPr>
        <w:t xml:space="preserve">n material have been clarified on a no policy change basis. </w:t>
      </w:r>
    </w:p>
    <w:p w:rsidR="00B908C8" w:rsidRPr="00B908C8" w:rsidRDefault="00B908C8" w:rsidP="00DC2737">
      <w:pPr>
        <w:spacing w:before="120" w:after="120"/>
        <w:jc w:val="both"/>
        <w:rPr>
          <w:rFonts w:ascii="Arial" w:hAnsi="Arial"/>
          <w:b/>
          <w:i/>
          <w:sz w:val="20"/>
          <w:szCs w:val="20"/>
        </w:rPr>
      </w:pPr>
      <w:r w:rsidRPr="00B908C8">
        <w:rPr>
          <w:rFonts w:ascii="Arial" w:hAnsi="Arial"/>
          <w:b/>
          <w:i/>
          <w:sz w:val="20"/>
          <w:szCs w:val="20"/>
        </w:rPr>
        <w:t xml:space="preserve">Further Information </w:t>
      </w:r>
    </w:p>
    <w:p w:rsidR="00B908C8" w:rsidRPr="004E1DC8" w:rsidRDefault="00B908C8" w:rsidP="00DC2737">
      <w:pPr>
        <w:numPr>
          <w:ilvl w:val="0"/>
          <w:numId w:val="3"/>
        </w:numPr>
        <w:spacing w:before="120" w:after="120"/>
        <w:rPr>
          <w:rFonts w:ascii="Arial" w:hAnsi="Arial" w:cs="Arial"/>
          <w:sz w:val="20"/>
          <w:szCs w:val="20"/>
        </w:rPr>
      </w:pPr>
      <w:r w:rsidRPr="00B908C8">
        <w:rPr>
          <w:rFonts w:ascii="Arial" w:hAnsi="Arial" w:cs="Arial"/>
          <w:sz w:val="20"/>
          <w:szCs w:val="20"/>
        </w:rPr>
        <w:t xml:space="preserve">Please refer to the Revenue and Other Legislation Amendment Bill 2015 and explanatory statement for precise details of the amendments. </w:t>
      </w:r>
    </w:p>
    <w:p w:rsidR="00B908C8" w:rsidRPr="00B908C8" w:rsidRDefault="00B908C8" w:rsidP="00DC2737">
      <w:pPr>
        <w:pBdr>
          <w:bottom w:val="single" w:sz="4" w:space="1" w:color="auto"/>
        </w:pBdr>
        <w:spacing w:before="120" w:after="120"/>
        <w:rPr>
          <w:rFonts w:ascii="Arial" w:hAnsi="Arial" w:cs="Arial"/>
          <w:b/>
          <w:sz w:val="20"/>
          <w:szCs w:val="20"/>
        </w:rPr>
      </w:pPr>
      <w:r w:rsidRPr="00B908C8">
        <w:rPr>
          <w:rFonts w:ascii="Arial" w:hAnsi="Arial" w:cs="Arial"/>
          <w:b/>
          <w:sz w:val="20"/>
          <w:szCs w:val="20"/>
        </w:rPr>
        <w:t>Revenue Circulars</w:t>
      </w:r>
    </w:p>
    <w:p w:rsidR="00B908C8" w:rsidRPr="00B908C8" w:rsidRDefault="00B908C8" w:rsidP="00DC2737">
      <w:pPr>
        <w:numPr>
          <w:ilvl w:val="0"/>
          <w:numId w:val="1"/>
        </w:numPr>
        <w:spacing w:before="120" w:after="120"/>
        <w:ind w:left="539" w:hanging="539"/>
        <w:jc w:val="both"/>
        <w:rPr>
          <w:rFonts w:ascii="Arial" w:hAnsi="Arial" w:cs="Arial"/>
          <w:sz w:val="20"/>
          <w:szCs w:val="20"/>
        </w:rPr>
      </w:pPr>
      <w:r w:rsidRPr="00B908C8">
        <w:rPr>
          <w:rFonts w:ascii="Arial" w:hAnsi="Arial" w:cs="Arial"/>
          <w:sz w:val="20"/>
          <w:szCs w:val="20"/>
        </w:rPr>
        <w:t xml:space="preserve">Commissioner’s Guideline </w:t>
      </w:r>
      <w:hyperlink r:id="rId15" w:tooltip="Link to CG-HI-001" w:history="1">
        <w:r w:rsidRPr="00B908C8">
          <w:rPr>
            <w:rFonts w:ascii="Arial" w:hAnsi="Arial"/>
            <w:color w:val="0000FF"/>
            <w:sz w:val="20"/>
            <w:szCs w:val="20"/>
            <w:u w:val="single"/>
          </w:rPr>
          <w:t xml:space="preserve">CG-GEN-001: </w:t>
        </w:r>
        <w:r w:rsidRPr="00B908C8">
          <w:rPr>
            <w:rFonts w:ascii="Arial" w:hAnsi="Arial"/>
            <w:i/>
            <w:color w:val="0000FF"/>
            <w:sz w:val="20"/>
            <w:szCs w:val="20"/>
            <w:u w:val="single"/>
          </w:rPr>
          <w:t>Revenue Circulars, Commissioner's Guidelines and Payroll Tax Rulings: explanation and status</w:t>
        </w:r>
      </w:hyperlink>
      <w:r w:rsidRPr="00B908C8">
        <w:rPr>
          <w:rFonts w:ascii="Arial" w:hAnsi="Arial" w:cs="Arial"/>
          <w:sz w:val="20"/>
          <w:szCs w:val="20"/>
        </w:rPr>
        <w:t>, which sets out information on the revenue publication system, is incorporated into and is to be read as one with this Circular. All Circulars and Guidelines are available from TRO’s website.</w:t>
      </w:r>
    </w:p>
    <w:p w:rsidR="00B908C8" w:rsidRPr="00B908C8" w:rsidRDefault="007D1542" w:rsidP="00DC2737">
      <w:pPr>
        <w:spacing w:before="120" w:after="120"/>
        <w:jc w:val="both"/>
        <w:rPr>
          <w:rFonts w:ascii="Arial" w:hAnsi="Arial"/>
          <w:b/>
          <w:i/>
          <w:sz w:val="20"/>
          <w:szCs w:val="20"/>
        </w:rPr>
      </w:pPr>
      <w:r w:rsidRPr="00922862">
        <w:rPr>
          <w:rFonts w:ascii="Arial" w:hAnsi="Arial"/>
          <w:b/>
          <w:i/>
          <w:noProof/>
          <w:sz w:val="20"/>
          <w:szCs w:val="20"/>
        </w:rPr>
        <w:drawing>
          <wp:anchor distT="0" distB="0" distL="114300" distR="114300" simplePos="0" relativeHeight="251658240" behindDoc="0" locked="0" layoutInCell="1" allowOverlap="1" wp14:anchorId="143C3492" wp14:editId="64B98FE4">
            <wp:simplePos x="0" y="0"/>
            <wp:positionH relativeFrom="column">
              <wp:posOffset>-64016</wp:posOffset>
            </wp:positionH>
            <wp:positionV relativeFrom="paragraph">
              <wp:posOffset>14842</wp:posOffset>
            </wp:positionV>
            <wp:extent cx="2019300" cy="342900"/>
            <wp:effectExtent l="0" t="0" r="0" b="0"/>
            <wp:wrapNone/>
            <wp:docPr id="2" name="Picture 2" descr="Grant Parsons electronic signature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rant Parsons electronic signature2.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19300" cy="342900"/>
                    </a:xfrm>
                    <a:prstGeom prst="rect">
                      <a:avLst/>
                    </a:prstGeom>
                    <a:noFill/>
                  </pic:spPr>
                </pic:pic>
              </a:graphicData>
            </a:graphic>
            <wp14:sizeRelH relativeFrom="page">
              <wp14:pctWidth>0</wp14:pctWidth>
            </wp14:sizeRelH>
            <wp14:sizeRelV relativeFrom="page">
              <wp14:pctHeight>0</wp14:pctHeight>
            </wp14:sizeRelV>
          </wp:anchor>
        </w:drawing>
      </w:r>
    </w:p>
    <w:p w:rsidR="00B908C8" w:rsidRPr="00B908C8" w:rsidRDefault="00B908C8" w:rsidP="00DC2737">
      <w:pPr>
        <w:spacing w:before="120" w:after="120"/>
        <w:jc w:val="both"/>
        <w:rPr>
          <w:rFonts w:ascii="Arial" w:hAnsi="Arial"/>
          <w:b/>
          <w:i/>
          <w:sz w:val="20"/>
          <w:szCs w:val="20"/>
        </w:rPr>
      </w:pPr>
    </w:p>
    <w:p w:rsidR="00B908C8" w:rsidRPr="00F5592E" w:rsidRDefault="00B908C8" w:rsidP="00DC2737">
      <w:pPr>
        <w:spacing w:before="120" w:after="120"/>
        <w:jc w:val="both"/>
        <w:rPr>
          <w:rFonts w:ascii="Arial" w:hAnsi="Arial"/>
          <w:sz w:val="22"/>
          <w:szCs w:val="22"/>
        </w:rPr>
      </w:pPr>
      <w:r w:rsidRPr="00F5592E">
        <w:rPr>
          <w:rFonts w:ascii="Arial" w:hAnsi="Arial"/>
          <w:sz w:val="22"/>
          <w:szCs w:val="22"/>
        </w:rPr>
        <w:t>Grant Parsons</w:t>
      </w:r>
    </w:p>
    <w:p w:rsidR="00B908C8" w:rsidRPr="00F5592E" w:rsidRDefault="00B908C8" w:rsidP="00DC2737">
      <w:pPr>
        <w:spacing w:before="120" w:after="120"/>
        <w:jc w:val="both"/>
        <w:rPr>
          <w:rFonts w:ascii="Arial" w:hAnsi="Arial"/>
          <w:b/>
          <w:sz w:val="20"/>
          <w:szCs w:val="20"/>
        </w:rPr>
      </w:pPr>
      <w:r w:rsidRPr="00F5592E">
        <w:rPr>
          <w:rFonts w:ascii="Arial" w:hAnsi="Arial"/>
          <w:b/>
          <w:sz w:val="20"/>
          <w:szCs w:val="20"/>
        </w:rPr>
        <w:t>COMMISSIONER OF TERRITORY REVENUE</w:t>
      </w:r>
    </w:p>
    <w:p w:rsidR="00B908C8" w:rsidRPr="00B908C8" w:rsidRDefault="00B908C8" w:rsidP="00DC2737">
      <w:pPr>
        <w:spacing w:before="120" w:after="120"/>
        <w:jc w:val="both"/>
        <w:rPr>
          <w:rFonts w:ascii="Arial" w:hAnsi="Arial"/>
          <w:b/>
          <w:i/>
          <w:sz w:val="20"/>
          <w:szCs w:val="20"/>
        </w:rPr>
      </w:pPr>
    </w:p>
    <w:p w:rsidR="00B908C8" w:rsidRPr="00F5592E" w:rsidRDefault="00B908C8" w:rsidP="00DC2737">
      <w:pPr>
        <w:spacing w:before="120" w:after="120"/>
        <w:jc w:val="both"/>
        <w:rPr>
          <w:rFonts w:ascii="Arial" w:hAnsi="Arial"/>
          <w:sz w:val="22"/>
          <w:szCs w:val="22"/>
        </w:rPr>
      </w:pPr>
      <w:r w:rsidRPr="00F5592E">
        <w:rPr>
          <w:rFonts w:ascii="Arial" w:hAnsi="Arial"/>
          <w:sz w:val="22"/>
          <w:szCs w:val="22"/>
        </w:rPr>
        <w:t>Date of issue:</w:t>
      </w:r>
      <w:r w:rsidRPr="00F5592E">
        <w:rPr>
          <w:rFonts w:ascii="Arial" w:hAnsi="Arial"/>
          <w:sz w:val="22"/>
          <w:szCs w:val="22"/>
        </w:rPr>
        <w:tab/>
      </w:r>
      <w:r w:rsidR="000363DD" w:rsidRPr="00F5592E">
        <w:rPr>
          <w:rFonts w:ascii="Arial" w:hAnsi="Arial"/>
          <w:sz w:val="22"/>
          <w:szCs w:val="22"/>
        </w:rPr>
        <w:t>28 April 2015</w:t>
      </w:r>
    </w:p>
    <w:p w:rsidR="00B908C8" w:rsidRPr="00B908C8" w:rsidRDefault="00B908C8" w:rsidP="00DC2737">
      <w:pPr>
        <w:spacing w:before="120" w:after="120"/>
        <w:jc w:val="both"/>
        <w:rPr>
          <w:rFonts w:ascii="Arial" w:hAnsi="Arial"/>
          <w:b/>
          <w:i/>
          <w:sz w:val="20"/>
          <w:szCs w:val="20"/>
        </w:rPr>
      </w:pPr>
    </w:p>
    <w:tbl>
      <w:tblPr>
        <w:tblW w:w="8945" w:type="dxa"/>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140"/>
        <w:gridCol w:w="4805"/>
      </w:tblGrid>
      <w:tr w:rsidR="00B908C8" w:rsidRPr="00B908C8" w:rsidTr="00CA52D2">
        <w:tc>
          <w:tcPr>
            <w:tcW w:w="8945" w:type="dxa"/>
            <w:gridSpan w:val="2"/>
          </w:tcPr>
          <w:p w:rsidR="00B908C8" w:rsidRPr="00B908C8" w:rsidRDefault="00B908C8" w:rsidP="00DC2737">
            <w:pPr>
              <w:spacing w:before="120" w:after="120" w:line="240" w:lineRule="atLeast"/>
              <w:rPr>
                <w:rFonts w:ascii="Arial" w:hAnsi="Arial" w:cs="Arial"/>
                <w:sz w:val="20"/>
                <w:szCs w:val="20"/>
              </w:rPr>
            </w:pPr>
            <w:r w:rsidRPr="00B908C8">
              <w:rPr>
                <w:rFonts w:ascii="Arial" w:hAnsi="Arial" w:cs="Arial"/>
                <w:sz w:val="20"/>
                <w:szCs w:val="20"/>
              </w:rPr>
              <w:t>For further information, contact the Territory Revenue Office</w:t>
            </w:r>
          </w:p>
        </w:tc>
      </w:tr>
      <w:tr w:rsidR="00B908C8" w:rsidRPr="00B908C8" w:rsidTr="00CA52D2">
        <w:tc>
          <w:tcPr>
            <w:tcW w:w="4140" w:type="dxa"/>
          </w:tcPr>
          <w:p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GPO BOX 1</w:t>
            </w:r>
            <w:r w:rsidR="004E17F4">
              <w:rPr>
                <w:rFonts w:ascii="Arial" w:hAnsi="Arial" w:cs="Arial"/>
                <w:sz w:val="20"/>
                <w:szCs w:val="20"/>
              </w:rPr>
              <w:t>97</w:t>
            </w:r>
            <w:bookmarkStart w:id="0" w:name="_GoBack"/>
            <w:bookmarkEnd w:id="0"/>
            <w:r w:rsidRPr="00B908C8">
              <w:rPr>
                <w:rFonts w:ascii="Arial" w:hAnsi="Arial" w:cs="Arial"/>
                <w:sz w:val="20"/>
                <w:szCs w:val="20"/>
              </w:rPr>
              <w:t>4</w:t>
            </w:r>
          </w:p>
          <w:p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Darwin NT 0801</w:t>
            </w:r>
          </w:p>
          <w:p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 xml:space="preserve">Email: </w:t>
            </w:r>
            <w:hyperlink r:id="rId17" w:history="1">
              <w:r w:rsidRPr="00B908C8">
                <w:rPr>
                  <w:rFonts w:ascii="Arial" w:hAnsi="Arial" w:cs="Arial"/>
                  <w:color w:val="0000FF"/>
                  <w:sz w:val="20"/>
                  <w:szCs w:val="20"/>
                  <w:u w:val="single"/>
                </w:rPr>
                <w:t>ntrevenue@nt.gov.au</w:t>
              </w:r>
            </w:hyperlink>
          </w:p>
        </w:tc>
        <w:tc>
          <w:tcPr>
            <w:tcW w:w="4805" w:type="dxa"/>
          </w:tcPr>
          <w:p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Phone: 1300 305 353</w:t>
            </w:r>
          </w:p>
          <w:p w:rsidR="00B908C8" w:rsidRPr="00B908C8" w:rsidRDefault="00B908C8" w:rsidP="00DC2737">
            <w:pPr>
              <w:spacing w:before="120" w:after="120"/>
              <w:rPr>
                <w:rFonts w:ascii="Arial" w:hAnsi="Arial" w:cs="Arial"/>
                <w:sz w:val="20"/>
                <w:szCs w:val="20"/>
              </w:rPr>
            </w:pPr>
            <w:r w:rsidRPr="00B908C8">
              <w:rPr>
                <w:rFonts w:ascii="Arial" w:hAnsi="Arial" w:cs="Arial"/>
                <w:sz w:val="20"/>
                <w:szCs w:val="20"/>
              </w:rPr>
              <w:t>Fax: 08 8999 5577</w:t>
            </w:r>
          </w:p>
          <w:p w:rsidR="00B908C8" w:rsidRPr="00B908C8" w:rsidRDefault="00B908C8" w:rsidP="00DC2737">
            <w:pPr>
              <w:spacing w:before="120" w:after="120"/>
              <w:rPr>
                <w:rFonts w:ascii="Arial" w:hAnsi="Arial" w:cs="Arial"/>
                <w:bCs/>
                <w:sz w:val="20"/>
                <w:szCs w:val="20"/>
              </w:rPr>
            </w:pPr>
            <w:r w:rsidRPr="00B908C8">
              <w:rPr>
                <w:rFonts w:ascii="Arial" w:hAnsi="Arial" w:cs="Arial"/>
                <w:sz w:val="20"/>
                <w:szCs w:val="20"/>
              </w:rPr>
              <w:t xml:space="preserve">Website: </w:t>
            </w:r>
            <w:hyperlink r:id="rId18" w:history="1">
              <w:r w:rsidRPr="00B908C8">
                <w:rPr>
                  <w:rFonts w:ascii="Arial" w:hAnsi="Arial" w:cs="Arial"/>
                  <w:color w:val="0000FF"/>
                  <w:sz w:val="20"/>
                  <w:szCs w:val="20"/>
                  <w:u w:val="single"/>
                </w:rPr>
                <w:t>www.revenue.nt.gov.au</w:t>
              </w:r>
            </w:hyperlink>
            <w:r w:rsidRPr="00B908C8">
              <w:rPr>
                <w:rFonts w:ascii="Arial" w:hAnsi="Arial" w:cs="Arial"/>
                <w:sz w:val="20"/>
                <w:szCs w:val="20"/>
              </w:rPr>
              <w:t xml:space="preserve"> </w:t>
            </w:r>
          </w:p>
        </w:tc>
      </w:tr>
    </w:tbl>
    <w:p w:rsidR="00B908C8" w:rsidRPr="00B908C8" w:rsidRDefault="00B908C8" w:rsidP="00DC2737">
      <w:pPr>
        <w:rPr>
          <w:rFonts w:ascii="Arial" w:hAnsi="Arial" w:cs="Arial"/>
          <w:sz w:val="20"/>
          <w:szCs w:val="20"/>
        </w:rPr>
      </w:pPr>
    </w:p>
    <w:p w:rsidR="005E57E9" w:rsidRDefault="005E57E9" w:rsidP="00DC2737"/>
    <w:sectPr w:rsidR="005E57E9" w:rsidSect="000832C4">
      <w:headerReference w:type="even" r:id="rId19"/>
      <w:headerReference w:type="default" r:id="rId20"/>
      <w:footerReference w:type="default" r:id="rId21"/>
      <w:headerReference w:type="first" r:id="rId22"/>
      <w:footerReference w:type="first" r:id="rId23"/>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ABB" w:rsidRDefault="004D7ABB">
      <w:r>
        <w:separator/>
      </w:r>
    </w:p>
  </w:endnote>
  <w:endnote w:type="continuationSeparator" w:id="0">
    <w:p w:rsidR="004D7ABB" w:rsidRDefault="004D7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4D7ABB" w:rsidP="000832C4">
    <w:pPr>
      <w:pStyle w:val="Footer"/>
      <w:tabs>
        <w:tab w:val="right" w:pos="9720"/>
      </w:tabs>
      <w:rPr>
        <w:sz w:val="16"/>
        <w:szCs w:val="16"/>
      </w:rPr>
    </w:pPr>
  </w:p>
  <w:p w:rsidR="003F4E7A" w:rsidRPr="00285292" w:rsidRDefault="00F36F33" w:rsidP="000832C4">
    <w:pPr>
      <w:pStyle w:val="Footer"/>
      <w:tabs>
        <w:tab w:val="right" w:pos="9720"/>
      </w:tabs>
      <w:rPr>
        <w:rFonts w:ascii="Arial" w:hAnsi="Arial" w:cs="Arial"/>
        <w:sz w:val="18"/>
        <w:szCs w:val="18"/>
      </w:rPr>
    </w:pPr>
    <w:r w:rsidRPr="00285292">
      <w:rPr>
        <w:rFonts w:ascii="Arial" w:hAnsi="Arial" w:cs="Arial"/>
        <w:sz w:val="18"/>
        <w:szCs w:val="18"/>
      </w:rPr>
      <w:t xml:space="preserve">Page </w:t>
    </w:r>
    <w:r w:rsidRPr="00285292">
      <w:rPr>
        <w:rFonts w:ascii="Arial" w:hAnsi="Arial" w:cs="Arial"/>
        <w:sz w:val="18"/>
        <w:szCs w:val="18"/>
      </w:rPr>
      <w:fldChar w:fldCharType="begin"/>
    </w:r>
    <w:r w:rsidRPr="00285292">
      <w:rPr>
        <w:rFonts w:ascii="Arial" w:hAnsi="Arial" w:cs="Arial"/>
        <w:sz w:val="18"/>
        <w:szCs w:val="18"/>
      </w:rPr>
      <w:instrText xml:space="preserve"> PAGE </w:instrText>
    </w:r>
    <w:r w:rsidRPr="00285292">
      <w:rPr>
        <w:rFonts w:ascii="Arial" w:hAnsi="Arial" w:cs="Arial"/>
        <w:sz w:val="18"/>
        <w:szCs w:val="18"/>
      </w:rPr>
      <w:fldChar w:fldCharType="separate"/>
    </w:r>
    <w:r w:rsidR="004E17F4">
      <w:rPr>
        <w:rFonts w:ascii="Arial" w:hAnsi="Arial" w:cs="Arial"/>
        <w:noProof/>
        <w:sz w:val="18"/>
        <w:szCs w:val="18"/>
      </w:rPr>
      <w:t>3</w:t>
    </w:r>
    <w:r w:rsidRPr="00285292">
      <w:rPr>
        <w:rFonts w:ascii="Arial" w:hAnsi="Arial" w:cs="Arial"/>
        <w:sz w:val="18"/>
        <w:szCs w:val="18"/>
      </w:rPr>
      <w:fldChar w:fldCharType="end"/>
    </w:r>
    <w:r w:rsidRPr="00285292">
      <w:rPr>
        <w:rFonts w:ascii="Arial" w:hAnsi="Arial" w:cs="Arial"/>
        <w:sz w:val="18"/>
        <w:szCs w:val="18"/>
      </w:rPr>
      <w:t xml:space="preserve"> of </w:t>
    </w:r>
    <w:r w:rsidRPr="00285292">
      <w:rPr>
        <w:rFonts w:ascii="Arial" w:hAnsi="Arial" w:cs="Arial"/>
        <w:sz w:val="18"/>
        <w:szCs w:val="18"/>
      </w:rPr>
      <w:fldChar w:fldCharType="begin"/>
    </w:r>
    <w:r w:rsidRPr="00285292">
      <w:rPr>
        <w:rFonts w:ascii="Arial" w:hAnsi="Arial" w:cs="Arial"/>
        <w:sz w:val="18"/>
        <w:szCs w:val="18"/>
      </w:rPr>
      <w:instrText xml:space="preserve"> NUMPAGES </w:instrText>
    </w:r>
    <w:r w:rsidRPr="00285292">
      <w:rPr>
        <w:rFonts w:ascii="Arial" w:hAnsi="Arial" w:cs="Arial"/>
        <w:sz w:val="18"/>
        <w:szCs w:val="18"/>
      </w:rPr>
      <w:fldChar w:fldCharType="separate"/>
    </w:r>
    <w:r w:rsidR="004E17F4">
      <w:rPr>
        <w:rFonts w:ascii="Arial" w:hAnsi="Arial" w:cs="Arial"/>
        <w:noProof/>
        <w:sz w:val="18"/>
        <w:szCs w:val="18"/>
      </w:rPr>
      <w:t>3</w:t>
    </w:r>
    <w:r w:rsidRPr="00285292">
      <w:rPr>
        <w:rFonts w:ascii="Arial" w:hAnsi="Arial" w:cs="Arial"/>
        <w:sz w:val="18"/>
        <w:szCs w:val="18"/>
      </w:rPr>
      <w:fldChar w:fldCharType="end"/>
    </w:r>
    <w:r w:rsidRPr="00285292">
      <w:rPr>
        <w:rFonts w:ascii="Arial" w:hAnsi="Arial" w:cs="Arial"/>
        <w:sz w:val="18"/>
        <w:szCs w:val="18"/>
      </w:rPr>
      <w:tab/>
      <w:t>RC-GEN-015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285292" w:rsidRDefault="004D7ABB" w:rsidP="000832C4">
    <w:pPr>
      <w:pStyle w:val="Footer"/>
      <w:tabs>
        <w:tab w:val="right" w:pos="9720"/>
      </w:tabs>
      <w:rPr>
        <w:rFonts w:ascii="Arial" w:hAnsi="Arial" w:cs="Arial"/>
        <w:sz w:val="18"/>
        <w:szCs w:val="18"/>
      </w:rPr>
    </w:pPr>
  </w:p>
  <w:p w:rsidR="003F4E7A" w:rsidRPr="00285292" w:rsidRDefault="00F36F33" w:rsidP="000832C4">
    <w:pPr>
      <w:pStyle w:val="Footer"/>
      <w:tabs>
        <w:tab w:val="right" w:pos="9720"/>
      </w:tabs>
      <w:rPr>
        <w:rFonts w:ascii="Arial" w:hAnsi="Arial" w:cs="Arial"/>
        <w:sz w:val="18"/>
        <w:szCs w:val="18"/>
      </w:rPr>
    </w:pPr>
    <w:r w:rsidRPr="00285292">
      <w:rPr>
        <w:rFonts w:ascii="Arial" w:hAnsi="Arial" w:cs="Arial"/>
        <w:sz w:val="18"/>
        <w:szCs w:val="18"/>
      </w:rPr>
      <w:t xml:space="preserve">Page </w:t>
    </w:r>
    <w:r w:rsidRPr="00285292">
      <w:rPr>
        <w:rFonts w:ascii="Arial" w:hAnsi="Arial" w:cs="Arial"/>
        <w:sz w:val="18"/>
        <w:szCs w:val="18"/>
      </w:rPr>
      <w:fldChar w:fldCharType="begin"/>
    </w:r>
    <w:r w:rsidRPr="00285292">
      <w:rPr>
        <w:rFonts w:ascii="Arial" w:hAnsi="Arial" w:cs="Arial"/>
        <w:sz w:val="18"/>
        <w:szCs w:val="18"/>
      </w:rPr>
      <w:instrText xml:space="preserve"> PAGE </w:instrText>
    </w:r>
    <w:r w:rsidRPr="00285292">
      <w:rPr>
        <w:rFonts w:ascii="Arial" w:hAnsi="Arial" w:cs="Arial"/>
        <w:sz w:val="18"/>
        <w:szCs w:val="18"/>
      </w:rPr>
      <w:fldChar w:fldCharType="separate"/>
    </w:r>
    <w:r w:rsidR="004E17F4">
      <w:rPr>
        <w:rFonts w:ascii="Arial" w:hAnsi="Arial" w:cs="Arial"/>
        <w:noProof/>
        <w:sz w:val="18"/>
        <w:szCs w:val="18"/>
      </w:rPr>
      <w:t>1</w:t>
    </w:r>
    <w:r w:rsidRPr="00285292">
      <w:rPr>
        <w:rFonts w:ascii="Arial" w:hAnsi="Arial" w:cs="Arial"/>
        <w:sz w:val="18"/>
        <w:szCs w:val="18"/>
      </w:rPr>
      <w:fldChar w:fldCharType="end"/>
    </w:r>
    <w:r w:rsidRPr="00285292">
      <w:rPr>
        <w:rFonts w:ascii="Arial" w:hAnsi="Arial" w:cs="Arial"/>
        <w:sz w:val="18"/>
        <w:szCs w:val="18"/>
      </w:rPr>
      <w:t xml:space="preserve"> of </w:t>
    </w:r>
    <w:r w:rsidRPr="00285292">
      <w:rPr>
        <w:rFonts w:ascii="Arial" w:hAnsi="Arial" w:cs="Arial"/>
        <w:sz w:val="18"/>
        <w:szCs w:val="18"/>
      </w:rPr>
      <w:fldChar w:fldCharType="begin"/>
    </w:r>
    <w:r w:rsidRPr="00285292">
      <w:rPr>
        <w:rFonts w:ascii="Arial" w:hAnsi="Arial" w:cs="Arial"/>
        <w:sz w:val="18"/>
        <w:szCs w:val="18"/>
      </w:rPr>
      <w:instrText xml:space="preserve"> NUMPAGES </w:instrText>
    </w:r>
    <w:r w:rsidRPr="00285292">
      <w:rPr>
        <w:rFonts w:ascii="Arial" w:hAnsi="Arial" w:cs="Arial"/>
        <w:sz w:val="18"/>
        <w:szCs w:val="18"/>
      </w:rPr>
      <w:fldChar w:fldCharType="separate"/>
    </w:r>
    <w:r w:rsidR="004E17F4">
      <w:rPr>
        <w:rFonts w:ascii="Arial" w:hAnsi="Arial" w:cs="Arial"/>
        <w:noProof/>
        <w:sz w:val="18"/>
        <w:szCs w:val="18"/>
      </w:rPr>
      <w:t>3</w:t>
    </w:r>
    <w:r w:rsidRPr="00285292">
      <w:rPr>
        <w:rFonts w:ascii="Arial" w:hAnsi="Arial" w:cs="Arial"/>
        <w:sz w:val="18"/>
        <w:szCs w:val="18"/>
      </w:rPr>
      <w:fldChar w:fldCharType="end"/>
    </w:r>
    <w:r w:rsidRPr="00285292">
      <w:rPr>
        <w:rFonts w:ascii="Arial" w:hAnsi="Arial" w:cs="Arial"/>
        <w:sz w:val="18"/>
        <w:szCs w:val="18"/>
      </w:rPr>
      <w:tab/>
      <w:t>RC-GEN-01</w:t>
    </w:r>
    <w:r w:rsidR="00105938" w:rsidRPr="00285292">
      <w:rPr>
        <w:rFonts w:ascii="Arial" w:hAnsi="Arial" w:cs="Arial"/>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ABB" w:rsidRDefault="004D7ABB">
      <w:r>
        <w:separator/>
      </w:r>
    </w:p>
  </w:footnote>
  <w:footnote w:type="continuationSeparator" w:id="0">
    <w:p w:rsidR="004D7ABB" w:rsidRDefault="004D7A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F36F33" w:rsidP="000832C4">
    <w:pPr>
      <w:pStyle w:val="Head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3F4E7A" w:rsidRDefault="004D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Pr="003765CD" w:rsidRDefault="004D7ABB" w:rsidP="000832C4">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E7A" w:rsidRDefault="004D7ABB" w:rsidP="000832C4">
    <w:pPr>
      <w:pStyle w:val="NTTHeaderInfo"/>
      <w:rPr>
        <w:b/>
        <w:noProof/>
      </w:rPr>
    </w:pPr>
  </w:p>
  <w:p w:rsidR="003F4E7A" w:rsidRDefault="00F36F33" w:rsidP="000832C4">
    <w:pPr>
      <w:pStyle w:val="NTTHeaderInfo"/>
      <w:tabs>
        <w:tab w:val="left" w:pos="195"/>
      </w:tabs>
      <w:jc w:val="left"/>
      <w:rPr>
        <w:b/>
        <w:noProof/>
      </w:rPr>
    </w:pPr>
    <w:r>
      <w:rPr>
        <w:noProof/>
      </w:rPr>
      <w:drawing>
        <wp:anchor distT="0" distB="0" distL="114300" distR="114300" simplePos="0" relativeHeight="251659264" behindDoc="1" locked="0" layoutInCell="0" allowOverlap="1" wp14:anchorId="6D8849CF" wp14:editId="208488D5">
          <wp:simplePos x="0" y="0"/>
          <wp:positionH relativeFrom="page">
            <wp:posOffset>180340</wp:posOffset>
          </wp:positionH>
          <wp:positionV relativeFrom="page">
            <wp:posOffset>180340</wp:posOffset>
          </wp:positionV>
          <wp:extent cx="7188200" cy="895350"/>
          <wp:effectExtent l="19050" t="0" r="0" b="0"/>
          <wp:wrapNone/>
          <wp:docPr id="1" name="Picture 5"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TG logo and department name header"/>
                  <pic:cNvPicPr>
                    <a:picLocks noChangeAspect="1" noChangeArrowheads="1"/>
                  </pic:cNvPicPr>
                </pic:nvPicPr>
                <pic:blipFill>
                  <a:blip r:embed="rId1"/>
                  <a:srcRect/>
                  <a:stretch>
                    <a:fillRect/>
                  </a:stretch>
                </pic:blipFill>
                <pic:spPr bwMode="auto">
                  <a:xfrm>
                    <a:off x="0" y="0"/>
                    <a:ext cx="7188200" cy="895350"/>
                  </a:xfrm>
                  <a:prstGeom prst="rect">
                    <a:avLst/>
                  </a:prstGeom>
                  <a:noFill/>
                </pic:spPr>
              </pic:pic>
            </a:graphicData>
          </a:graphic>
        </wp:anchor>
      </w:drawing>
    </w:r>
    <w:r>
      <w:rPr>
        <w:b/>
        <w:noProof/>
      </w:rPr>
      <w:tab/>
    </w:r>
  </w:p>
  <w:p w:rsidR="003F4E7A" w:rsidRDefault="004D7ABB">
    <w:pPr>
      <w:pStyle w:val="Header"/>
    </w:pPr>
  </w:p>
  <w:p w:rsidR="003F4E7A" w:rsidRDefault="004D7ABB">
    <w:pPr>
      <w:pStyle w:val="Header"/>
    </w:pPr>
  </w:p>
  <w:p w:rsidR="003F4E7A" w:rsidRDefault="004D7ABB">
    <w:pPr>
      <w:pStyle w:val="Header"/>
    </w:pPr>
  </w:p>
  <w:p w:rsidR="003F4E7A" w:rsidRDefault="004D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03CE7"/>
    <w:multiLevelType w:val="multilevel"/>
    <w:tmpl w:val="C4CA0A26"/>
    <w:styleLink w:val="Text"/>
    <w:lvl w:ilvl="0">
      <w:start w:val="1"/>
      <w:numFmt w:val="decimal"/>
      <w:pStyle w:val="ListNumber"/>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lowerLetter"/>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 w15:restartNumberingAfterBreak="0">
    <w:nsid w:val="263E4454"/>
    <w:multiLevelType w:val="hybridMultilevel"/>
    <w:tmpl w:val="0C1E193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66F0AC9"/>
    <w:multiLevelType w:val="hybridMultilevel"/>
    <w:tmpl w:val="0B62FE1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56D2EAF"/>
    <w:multiLevelType w:val="hybridMultilevel"/>
    <w:tmpl w:val="415AA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B83267E"/>
    <w:multiLevelType w:val="hybridMultilevel"/>
    <w:tmpl w:val="F7EEF63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abstractNumId w:val="0"/>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 w:numId="2">
    <w:abstractNumId w:val="0"/>
  </w:num>
  <w:num w:numId="3">
    <w:abstractNumId w:val="0"/>
    <w:lvlOverride w:ilvl="0">
      <w:lvl w:ilvl="0">
        <w:start w:val="1"/>
        <w:numFmt w:val="decimal"/>
        <w:pStyle w:val="ListNumber"/>
        <w:lvlText w:val="%1."/>
        <w:lvlJc w:val="left"/>
        <w:pPr>
          <w:ind w:left="360" w:hanging="360"/>
        </w:pPr>
        <w:rPr>
          <w:rFonts w:ascii="Arial" w:hAnsi="Arial" w:cs="Arial" w:hint="default"/>
          <w:b w:val="0"/>
          <w:sz w:val="20"/>
          <w:szCs w:val="20"/>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2"/>
  </w:num>
  <w:num w:numId="5">
    <w:abstractNumId w:val="4"/>
  </w:num>
  <w:num w:numId="6">
    <w:abstractNumId w:val="1"/>
  </w:num>
  <w:num w:numId="7">
    <w:abstractNumId w:val="3"/>
  </w:num>
  <w:num w:numId="8">
    <w:abstractNumId w:val="0"/>
    <w:lvlOverride w:ilvl="0">
      <w:lvl w:ilvl="0">
        <w:start w:val="1"/>
        <w:numFmt w:val="decimal"/>
        <w:pStyle w:val="ListNumber"/>
        <w:lvlText w:val="%1."/>
        <w:lvlJc w:val="left"/>
        <w:pPr>
          <w:tabs>
            <w:tab w:val="num" w:pos="2007"/>
          </w:tabs>
          <w:ind w:left="2007" w:hanging="567"/>
        </w:pPr>
        <w:rPr>
          <w:rFonts w:cs="Times New Roman" w:hint="default"/>
        </w:rPr>
      </w:lvl>
    </w:lvlOverride>
    <w:lvlOverride w:ilvl="1">
      <w:lvl w:ilvl="1">
        <w:start w:val="1"/>
        <w:numFmt w:val="decimal"/>
        <w:lvlText w:val="(%2)"/>
        <w:lvlJc w:val="left"/>
        <w:pPr>
          <w:tabs>
            <w:tab w:val="num" w:pos="1134"/>
          </w:tabs>
          <w:ind w:left="1134" w:hanging="567"/>
        </w:pPr>
        <w:rPr>
          <w:rFonts w:cs="Times New Roman" w:hint="default"/>
        </w:rPr>
      </w:lvl>
    </w:lvlOverride>
    <w:lvlOverride w:ilvl="2">
      <w:lvl w:ilvl="2">
        <w:start w:val="1"/>
        <w:numFmt w:val="lowerLetter"/>
        <w:lvlText w:val="(%3)"/>
        <w:lvlJc w:val="left"/>
        <w:pPr>
          <w:tabs>
            <w:tab w:val="num" w:pos="1701"/>
          </w:tabs>
          <w:ind w:left="1701" w:hanging="567"/>
        </w:pPr>
        <w:rPr>
          <w:rFonts w:cs="Times New Roman" w:hint="default"/>
        </w:rPr>
      </w:lvl>
    </w:lvlOverride>
    <w:lvlOverride w:ilvl="3">
      <w:lvl w:ilvl="3">
        <w:start w:val="1"/>
        <w:numFmt w:val="lowerRoman"/>
        <w:lvlText w:val="(%4)"/>
        <w:lvlJc w:val="left"/>
        <w:pPr>
          <w:tabs>
            <w:tab w:val="num" w:pos="2268"/>
          </w:tabs>
          <w:ind w:left="2268" w:hanging="567"/>
        </w:pPr>
        <w:rPr>
          <w:rFonts w:cs="Times New Roman" w:hint="default"/>
        </w:rPr>
      </w:lvl>
    </w:lvlOverride>
    <w:lvlOverride w:ilvl="4">
      <w:lvl w:ilvl="4">
        <w:start w:val="1"/>
        <w:numFmt w:val="decimal"/>
        <w:lvlText w:val="%1.%2.%3.%4.%5."/>
        <w:lvlJc w:val="left"/>
        <w:pPr>
          <w:tabs>
            <w:tab w:val="num" w:pos="2520"/>
          </w:tabs>
          <w:ind w:left="2232" w:hanging="792"/>
        </w:pPr>
        <w:rPr>
          <w:rFonts w:cs="Times New Roman" w:hint="default"/>
        </w:rPr>
      </w:lvl>
    </w:lvlOverride>
    <w:lvlOverride w:ilvl="5">
      <w:lvl w:ilvl="5">
        <w:start w:val="1"/>
        <w:numFmt w:val="decimal"/>
        <w:lvlText w:val="%1.%2.%3.%4.%5.%6."/>
        <w:lvlJc w:val="left"/>
        <w:pPr>
          <w:tabs>
            <w:tab w:val="num" w:pos="2880"/>
          </w:tabs>
          <w:ind w:left="2736" w:hanging="936"/>
        </w:pPr>
        <w:rPr>
          <w:rFonts w:cs="Times New Roman" w:hint="default"/>
        </w:rPr>
      </w:lvl>
    </w:lvlOverride>
    <w:lvlOverride w:ilvl="6">
      <w:lvl w:ilvl="6">
        <w:start w:val="1"/>
        <w:numFmt w:val="decimal"/>
        <w:lvlText w:val="%1.%2.%3.%4.%5.%6.%7."/>
        <w:lvlJc w:val="left"/>
        <w:pPr>
          <w:tabs>
            <w:tab w:val="num" w:pos="3600"/>
          </w:tabs>
          <w:ind w:left="3240" w:hanging="1080"/>
        </w:pPr>
        <w:rPr>
          <w:rFonts w:cs="Times New Roman" w:hint="default"/>
        </w:rPr>
      </w:lvl>
    </w:lvlOverride>
    <w:lvlOverride w:ilvl="7">
      <w:lvl w:ilvl="7">
        <w:start w:val="1"/>
        <w:numFmt w:val="decimal"/>
        <w:lvlText w:val="%1.%2.%3.%4.%5.%6.%7.%8."/>
        <w:lvlJc w:val="left"/>
        <w:pPr>
          <w:tabs>
            <w:tab w:val="num" w:pos="3960"/>
          </w:tabs>
          <w:ind w:left="3744" w:hanging="1224"/>
        </w:pPr>
        <w:rPr>
          <w:rFonts w:cs="Times New Roman" w:hint="default"/>
        </w:rPr>
      </w:lvl>
    </w:lvlOverride>
    <w:lvlOverride w:ilvl="8">
      <w:lvl w:ilvl="8">
        <w:start w:val="1"/>
        <w:numFmt w:val="decimal"/>
        <w:lvlText w:val="%1.%2.%3.%4.%5.%6.%7.%8.%9."/>
        <w:lvlJc w:val="left"/>
        <w:pPr>
          <w:tabs>
            <w:tab w:val="num" w:pos="4680"/>
          </w:tabs>
          <w:ind w:left="4320" w:hanging="144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8C8"/>
    <w:rsid w:val="00004DF4"/>
    <w:rsid w:val="00007932"/>
    <w:rsid w:val="0001433A"/>
    <w:rsid w:val="00015048"/>
    <w:rsid w:val="000222EB"/>
    <w:rsid w:val="000229D6"/>
    <w:rsid w:val="00035C0F"/>
    <w:rsid w:val="000363DD"/>
    <w:rsid w:val="00040EA1"/>
    <w:rsid w:val="00041260"/>
    <w:rsid w:val="00041478"/>
    <w:rsid w:val="00084A9D"/>
    <w:rsid w:val="00090175"/>
    <w:rsid w:val="0009593A"/>
    <w:rsid w:val="000963D9"/>
    <w:rsid w:val="000A72EB"/>
    <w:rsid w:val="000D004F"/>
    <w:rsid w:val="000D127C"/>
    <w:rsid w:val="00100503"/>
    <w:rsid w:val="00105938"/>
    <w:rsid w:val="00110D6F"/>
    <w:rsid w:val="001165BB"/>
    <w:rsid w:val="001165D8"/>
    <w:rsid w:val="0012064E"/>
    <w:rsid w:val="00120805"/>
    <w:rsid w:val="00126D92"/>
    <w:rsid w:val="00131A74"/>
    <w:rsid w:val="0014612B"/>
    <w:rsid w:val="0015627E"/>
    <w:rsid w:val="00164438"/>
    <w:rsid w:val="00164AE1"/>
    <w:rsid w:val="0017440D"/>
    <w:rsid w:val="00192A41"/>
    <w:rsid w:val="001937E9"/>
    <w:rsid w:val="001B60BB"/>
    <w:rsid w:val="001B7109"/>
    <w:rsid w:val="001C16E1"/>
    <w:rsid w:val="001D5D1A"/>
    <w:rsid w:val="001D69CF"/>
    <w:rsid w:val="002000CF"/>
    <w:rsid w:val="00201F36"/>
    <w:rsid w:val="00210722"/>
    <w:rsid w:val="00213985"/>
    <w:rsid w:val="00225546"/>
    <w:rsid w:val="0023606D"/>
    <w:rsid w:val="00236439"/>
    <w:rsid w:val="0024135A"/>
    <w:rsid w:val="00254D14"/>
    <w:rsid w:val="0026309C"/>
    <w:rsid w:val="00275708"/>
    <w:rsid w:val="00275E9C"/>
    <w:rsid w:val="00277ED6"/>
    <w:rsid w:val="00285292"/>
    <w:rsid w:val="002878F0"/>
    <w:rsid w:val="002973DC"/>
    <w:rsid w:val="002A68F3"/>
    <w:rsid w:val="002A699B"/>
    <w:rsid w:val="002B4903"/>
    <w:rsid w:val="002D083B"/>
    <w:rsid w:val="002D632E"/>
    <w:rsid w:val="00306847"/>
    <w:rsid w:val="00325A82"/>
    <w:rsid w:val="00350F1F"/>
    <w:rsid w:val="0036581A"/>
    <w:rsid w:val="00370AB7"/>
    <w:rsid w:val="0037186A"/>
    <w:rsid w:val="00375C78"/>
    <w:rsid w:val="00380B9F"/>
    <w:rsid w:val="00380BD9"/>
    <w:rsid w:val="003939AE"/>
    <w:rsid w:val="003941D8"/>
    <w:rsid w:val="003A443E"/>
    <w:rsid w:val="003B634C"/>
    <w:rsid w:val="003C2851"/>
    <w:rsid w:val="003D1503"/>
    <w:rsid w:val="003E3829"/>
    <w:rsid w:val="003F1E50"/>
    <w:rsid w:val="003F4AEB"/>
    <w:rsid w:val="003F5106"/>
    <w:rsid w:val="003F769A"/>
    <w:rsid w:val="004174F1"/>
    <w:rsid w:val="00417ABA"/>
    <w:rsid w:val="00420DE3"/>
    <w:rsid w:val="00422E01"/>
    <w:rsid w:val="00433B9C"/>
    <w:rsid w:val="004547EF"/>
    <w:rsid w:val="004608C2"/>
    <w:rsid w:val="004676C3"/>
    <w:rsid w:val="004737AF"/>
    <w:rsid w:val="00481B0E"/>
    <w:rsid w:val="0048413F"/>
    <w:rsid w:val="004957C1"/>
    <w:rsid w:val="00497D9F"/>
    <w:rsid w:val="004B2D1A"/>
    <w:rsid w:val="004B4A66"/>
    <w:rsid w:val="004B6E35"/>
    <w:rsid w:val="004D7ABB"/>
    <w:rsid w:val="004E0FE9"/>
    <w:rsid w:val="004E17F4"/>
    <w:rsid w:val="004E1DC8"/>
    <w:rsid w:val="004E39DB"/>
    <w:rsid w:val="00502E61"/>
    <w:rsid w:val="005152FD"/>
    <w:rsid w:val="0053315C"/>
    <w:rsid w:val="005332DD"/>
    <w:rsid w:val="00541CE4"/>
    <w:rsid w:val="00542660"/>
    <w:rsid w:val="00550743"/>
    <w:rsid w:val="00550B4E"/>
    <w:rsid w:val="00567685"/>
    <w:rsid w:val="00570B4A"/>
    <w:rsid w:val="00575C58"/>
    <w:rsid w:val="005964B5"/>
    <w:rsid w:val="005B237D"/>
    <w:rsid w:val="005D2EDD"/>
    <w:rsid w:val="005D5EC6"/>
    <w:rsid w:val="005E5361"/>
    <w:rsid w:val="005E57E9"/>
    <w:rsid w:val="005F243E"/>
    <w:rsid w:val="005F2DD2"/>
    <w:rsid w:val="005F4068"/>
    <w:rsid w:val="0060211D"/>
    <w:rsid w:val="00605D4E"/>
    <w:rsid w:val="00621B22"/>
    <w:rsid w:val="0063610C"/>
    <w:rsid w:val="0064688B"/>
    <w:rsid w:val="00651720"/>
    <w:rsid w:val="006554A1"/>
    <w:rsid w:val="00665183"/>
    <w:rsid w:val="00674807"/>
    <w:rsid w:val="00690D4A"/>
    <w:rsid w:val="00692815"/>
    <w:rsid w:val="006937C3"/>
    <w:rsid w:val="006A654C"/>
    <w:rsid w:val="006B045B"/>
    <w:rsid w:val="006C513A"/>
    <w:rsid w:val="006D3BD2"/>
    <w:rsid w:val="006D4DFF"/>
    <w:rsid w:val="006D6E3C"/>
    <w:rsid w:val="006E4266"/>
    <w:rsid w:val="006E625B"/>
    <w:rsid w:val="006F0483"/>
    <w:rsid w:val="006F6E95"/>
    <w:rsid w:val="007060DD"/>
    <w:rsid w:val="00706F7C"/>
    <w:rsid w:val="00713823"/>
    <w:rsid w:val="0071706C"/>
    <w:rsid w:val="007229AD"/>
    <w:rsid w:val="00733652"/>
    <w:rsid w:val="007601CF"/>
    <w:rsid w:val="0076154E"/>
    <w:rsid w:val="00763E69"/>
    <w:rsid w:val="00781B90"/>
    <w:rsid w:val="007977C2"/>
    <w:rsid w:val="007A6056"/>
    <w:rsid w:val="007A76A8"/>
    <w:rsid w:val="007C481D"/>
    <w:rsid w:val="007D1542"/>
    <w:rsid w:val="007D2353"/>
    <w:rsid w:val="007D3BB6"/>
    <w:rsid w:val="00821143"/>
    <w:rsid w:val="008244AC"/>
    <w:rsid w:val="00840577"/>
    <w:rsid w:val="00865920"/>
    <w:rsid w:val="00881459"/>
    <w:rsid w:val="00893D34"/>
    <w:rsid w:val="008955D7"/>
    <w:rsid w:val="00897C5B"/>
    <w:rsid w:val="008A0D00"/>
    <w:rsid w:val="008A552D"/>
    <w:rsid w:val="008E70B4"/>
    <w:rsid w:val="008E7D3C"/>
    <w:rsid w:val="008E7EEB"/>
    <w:rsid w:val="008F2D43"/>
    <w:rsid w:val="008F7630"/>
    <w:rsid w:val="009026E4"/>
    <w:rsid w:val="00920BC5"/>
    <w:rsid w:val="00922862"/>
    <w:rsid w:val="00950F09"/>
    <w:rsid w:val="0095229A"/>
    <w:rsid w:val="00977BEE"/>
    <w:rsid w:val="0098322F"/>
    <w:rsid w:val="00987A84"/>
    <w:rsid w:val="00997FE5"/>
    <w:rsid w:val="009A0073"/>
    <w:rsid w:val="009A246A"/>
    <w:rsid w:val="009C2522"/>
    <w:rsid w:val="009E01A4"/>
    <w:rsid w:val="009E08E3"/>
    <w:rsid w:val="009E6918"/>
    <w:rsid w:val="00A04CFE"/>
    <w:rsid w:val="00A06825"/>
    <w:rsid w:val="00A07CD7"/>
    <w:rsid w:val="00A10CBD"/>
    <w:rsid w:val="00A1214C"/>
    <w:rsid w:val="00A16663"/>
    <w:rsid w:val="00A312EA"/>
    <w:rsid w:val="00A36F2C"/>
    <w:rsid w:val="00A46BB3"/>
    <w:rsid w:val="00A76193"/>
    <w:rsid w:val="00A83232"/>
    <w:rsid w:val="00A91EC6"/>
    <w:rsid w:val="00A927D6"/>
    <w:rsid w:val="00A95028"/>
    <w:rsid w:val="00AA38CF"/>
    <w:rsid w:val="00AB0268"/>
    <w:rsid w:val="00AB19EF"/>
    <w:rsid w:val="00AB236C"/>
    <w:rsid w:val="00AB5F5C"/>
    <w:rsid w:val="00AC016D"/>
    <w:rsid w:val="00AC4FC1"/>
    <w:rsid w:val="00AD17DD"/>
    <w:rsid w:val="00AD3707"/>
    <w:rsid w:val="00AD6F9C"/>
    <w:rsid w:val="00AE2B7A"/>
    <w:rsid w:val="00AF4002"/>
    <w:rsid w:val="00AF4783"/>
    <w:rsid w:val="00B077C7"/>
    <w:rsid w:val="00B16D4D"/>
    <w:rsid w:val="00B27EEA"/>
    <w:rsid w:val="00B31546"/>
    <w:rsid w:val="00B32CEA"/>
    <w:rsid w:val="00B345E8"/>
    <w:rsid w:val="00B4278E"/>
    <w:rsid w:val="00B751DF"/>
    <w:rsid w:val="00B76075"/>
    <w:rsid w:val="00B77D2D"/>
    <w:rsid w:val="00B908C8"/>
    <w:rsid w:val="00B965DC"/>
    <w:rsid w:val="00BA1A60"/>
    <w:rsid w:val="00BC3904"/>
    <w:rsid w:val="00BC50E0"/>
    <w:rsid w:val="00BD78A7"/>
    <w:rsid w:val="00BE1570"/>
    <w:rsid w:val="00BE49BA"/>
    <w:rsid w:val="00BE7676"/>
    <w:rsid w:val="00BF2FDA"/>
    <w:rsid w:val="00BF3A32"/>
    <w:rsid w:val="00C070D4"/>
    <w:rsid w:val="00C27301"/>
    <w:rsid w:val="00C35166"/>
    <w:rsid w:val="00C51BC5"/>
    <w:rsid w:val="00C65D17"/>
    <w:rsid w:val="00C74F8A"/>
    <w:rsid w:val="00C97DA8"/>
    <w:rsid w:val="00CA2298"/>
    <w:rsid w:val="00CB2AF7"/>
    <w:rsid w:val="00CB4200"/>
    <w:rsid w:val="00CC0420"/>
    <w:rsid w:val="00CD5AF3"/>
    <w:rsid w:val="00CE01FB"/>
    <w:rsid w:val="00CE08BE"/>
    <w:rsid w:val="00CE0C3E"/>
    <w:rsid w:val="00CE2F5E"/>
    <w:rsid w:val="00CF2316"/>
    <w:rsid w:val="00CF3A97"/>
    <w:rsid w:val="00CF7445"/>
    <w:rsid w:val="00D01FB1"/>
    <w:rsid w:val="00D149D7"/>
    <w:rsid w:val="00D15D2B"/>
    <w:rsid w:val="00D20F92"/>
    <w:rsid w:val="00D338AC"/>
    <w:rsid w:val="00D41819"/>
    <w:rsid w:val="00D441CA"/>
    <w:rsid w:val="00D463E2"/>
    <w:rsid w:val="00D507DC"/>
    <w:rsid w:val="00D605BC"/>
    <w:rsid w:val="00D64F03"/>
    <w:rsid w:val="00D84A53"/>
    <w:rsid w:val="00D939AE"/>
    <w:rsid w:val="00DA2955"/>
    <w:rsid w:val="00DB59D2"/>
    <w:rsid w:val="00DC2737"/>
    <w:rsid w:val="00DC74E2"/>
    <w:rsid w:val="00DE0FBB"/>
    <w:rsid w:val="00DF131F"/>
    <w:rsid w:val="00DF1484"/>
    <w:rsid w:val="00DF5F18"/>
    <w:rsid w:val="00E1045F"/>
    <w:rsid w:val="00E110B3"/>
    <w:rsid w:val="00E1346D"/>
    <w:rsid w:val="00E14AFD"/>
    <w:rsid w:val="00E158CC"/>
    <w:rsid w:val="00E207F7"/>
    <w:rsid w:val="00E2375D"/>
    <w:rsid w:val="00E338B8"/>
    <w:rsid w:val="00E453D6"/>
    <w:rsid w:val="00E60C3E"/>
    <w:rsid w:val="00E75860"/>
    <w:rsid w:val="00E77110"/>
    <w:rsid w:val="00E9070F"/>
    <w:rsid w:val="00E94D31"/>
    <w:rsid w:val="00EA1206"/>
    <w:rsid w:val="00EA2692"/>
    <w:rsid w:val="00EB4B1F"/>
    <w:rsid w:val="00ED1FBB"/>
    <w:rsid w:val="00EE415E"/>
    <w:rsid w:val="00EF0BDE"/>
    <w:rsid w:val="00EF7297"/>
    <w:rsid w:val="00F00C91"/>
    <w:rsid w:val="00F021B7"/>
    <w:rsid w:val="00F14F00"/>
    <w:rsid w:val="00F16644"/>
    <w:rsid w:val="00F36F33"/>
    <w:rsid w:val="00F40DE1"/>
    <w:rsid w:val="00F436CB"/>
    <w:rsid w:val="00F44CCA"/>
    <w:rsid w:val="00F53416"/>
    <w:rsid w:val="00F5592E"/>
    <w:rsid w:val="00F61A4E"/>
    <w:rsid w:val="00F92BFD"/>
    <w:rsid w:val="00F971AF"/>
    <w:rsid w:val="00FA6701"/>
    <w:rsid w:val="00FA72A7"/>
    <w:rsid w:val="00FB15F9"/>
    <w:rsid w:val="00FD5AA9"/>
    <w:rsid w:val="00FE54BF"/>
    <w:rsid w:val="00FF318E"/>
    <w:rsid w:val="00FF563E"/>
    <w:rsid w:val="00FF5C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B1202"/>
  <w15:docId w15:val="{690DAB27-D1D0-467A-813A-DB3E6B2A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B908C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B908C8"/>
    <w:rPr>
      <w:rFonts w:asciiTheme="majorHAnsi" w:eastAsiaTheme="majorEastAsia" w:hAnsiTheme="majorHAnsi" w:cstheme="majorBidi"/>
      <w:b/>
      <w:bCs/>
      <w:color w:val="4F81BD" w:themeColor="accent1"/>
      <w:sz w:val="26"/>
      <w:szCs w:val="26"/>
    </w:rPr>
  </w:style>
  <w:style w:type="paragraph" w:styleId="Footer">
    <w:name w:val="footer"/>
    <w:basedOn w:val="Normal"/>
    <w:link w:val="FooterChar"/>
    <w:rsid w:val="00B908C8"/>
    <w:pPr>
      <w:tabs>
        <w:tab w:val="center" w:pos="4513"/>
        <w:tab w:val="right" w:pos="9026"/>
      </w:tabs>
    </w:pPr>
  </w:style>
  <w:style w:type="character" w:customStyle="1" w:styleId="FooterChar">
    <w:name w:val="Footer Char"/>
    <w:basedOn w:val="DefaultParagraphFont"/>
    <w:link w:val="Footer"/>
    <w:rsid w:val="00B908C8"/>
    <w:rPr>
      <w:sz w:val="24"/>
      <w:szCs w:val="24"/>
    </w:rPr>
  </w:style>
  <w:style w:type="paragraph" w:styleId="Header">
    <w:name w:val="header"/>
    <w:basedOn w:val="Normal"/>
    <w:link w:val="HeaderChar"/>
    <w:rsid w:val="00B908C8"/>
    <w:pPr>
      <w:tabs>
        <w:tab w:val="center" w:pos="4513"/>
        <w:tab w:val="right" w:pos="9026"/>
      </w:tabs>
    </w:pPr>
  </w:style>
  <w:style w:type="character" w:customStyle="1" w:styleId="HeaderChar">
    <w:name w:val="Header Char"/>
    <w:basedOn w:val="DefaultParagraphFont"/>
    <w:link w:val="Header"/>
    <w:rsid w:val="00B908C8"/>
    <w:rPr>
      <w:sz w:val="24"/>
      <w:szCs w:val="24"/>
    </w:rPr>
  </w:style>
  <w:style w:type="paragraph" w:customStyle="1" w:styleId="NTTHeaderInfo">
    <w:name w:val="NTT Header Info"/>
    <w:uiPriority w:val="99"/>
    <w:rsid w:val="00B908C8"/>
    <w:pPr>
      <w:spacing w:line="240" w:lineRule="exact"/>
      <w:jc w:val="right"/>
    </w:pPr>
    <w:rPr>
      <w:rFonts w:ascii="Arial" w:hAnsi="Arial"/>
      <w:sz w:val="18"/>
      <w:szCs w:val="18"/>
    </w:rPr>
  </w:style>
  <w:style w:type="paragraph" w:customStyle="1" w:styleId="NTTBodyText">
    <w:name w:val="NTT Body Text"/>
    <w:uiPriority w:val="99"/>
    <w:rsid w:val="00B908C8"/>
    <w:pPr>
      <w:spacing w:after="120" w:line="300" w:lineRule="exact"/>
    </w:pPr>
    <w:rPr>
      <w:rFonts w:ascii="Arial" w:hAnsi="Arial"/>
      <w:szCs w:val="24"/>
    </w:rPr>
  </w:style>
  <w:style w:type="character" w:styleId="PageNumber">
    <w:name w:val="page number"/>
    <w:basedOn w:val="DefaultParagraphFont"/>
    <w:uiPriority w:val="99"/>
    <w:rsid w:val="00B908C8"/>
    <w:rPr>
      <w:rFonts w:cs="Times New Roman"/>
    </w:rPr>
  </w:style>
  <w:style w:type="numbering" w:customStyle="1" w:styleId="Text">
    <w:name w:val="Text"/>
    <w:rsid w:val="00B908C8"/>
    <w:pPr>
      <w:numPr>
        <w:numId w:val="2"/>
      </w:numPr>
    </w:pPr>
  </w:style>
  <w:style w:type="paragraph" w:styleId="ListNumber">
    <w:name w:val="List Number"/>
    <w:basedOn w:val="Normal"/>
    <w:rsid w:val="00B908C8"/>
    <w:pPr>
      <w:numPr>
        <w:numId w:val="1"/>
      </w:numPr>
      <w:contextualSpacing/>
    </w:pPr>
    <w:rPr>
      <w:rFonts w:ascii="Arial" w:hAnsi="Arial" w:cs="Arial"/>
      <w:sz w:val="20"/>
      <w:szCs w:val="20"/>
    </w:rPr>
  </w:style>
  <w:style w:type="character" w:styleId="CommentReference">
    <w:name w:val="annotation reference"/>
    <w:basedOn w:val="DefaultParagraphFont"/>
    <w:rsid w:val="00B908C8"/>
    <w:rPr>
      <w:sz w:val="16"/>
      <w:szCs w:val="16"/>
    </w:rPr>
  </w:style>
  <w:style w:type="paragraph" w:styleId="CommentText">
    <w:name w:val="annotation text"/>
    <w:basedOn w:val="Normal"/>
    <w:link w:val="CommentTextChar"/>
    <w:rsid w:val="00B908C8"/>
    <w:rPr>
      <w:sz w:val="20"/>
      <w:szCs w:val="20"/>
    </w:rPr>
  </w:style>
  <w:style w:type="character" w:customStyle="1" w:styleId="CommentTextChar">
    <w:name w:val="Comment Text Char"/>
    <w:basedOn w:val="DefaultParagraphFont"/>
    <w:link w:val="CommentText"/>
    <w:rsid w:val="00B908C8"/>
  </w:style>
  <w:style w:type="paragraph" w:styleId="BalloonText">
    <w:name w:val="Balloon Text"/>
    <w:basedOn w:val="Normal"/>
    <w:link w:val="BalloonTextChar"/>
    <w:rsid w:val="00B908C8"/>
    <w:rPr>
      <w:rFonts w:ascii="Tahoma" w:hAnsi="Tahoma" w:cs="Tahoma"/>
      <w:sz w:val="16"/>
      <w:szCs w:val="16"/>
    </w:rPr>
  </w:style>
  <w:style w:type="character" w:customStyle="1" w:styleId="BalloonTextChar">
    <w:name w:val="Balloon Text Char"/>
    <w:basedOn w:val="DefaultParagraphFont"/>
    <w:link w:val="BalloonText"/>
    <w:rsid w:val="00B908C8"/>
    <w:rPr>
      <w:rFonts w:ascii="Tahoma" w:hAnsi="Tahoma" w:cs="Tahoma"/>
      <w:sz w:val="16"/>
      <w:szCs w:val="16"/>
    </w:rPr>
  </w:style>
  <w:style w:type="paragraph" w:styleId="CommentSubject">
    <w:name w:val="annotation subject"/>
    <w:basedOn w:val="CommentText"/>
    <w:next w:val="CommentText"/>
    <w:link w:val="CommentSubjectChar"/>
    <w:rsid w:val="00E14AFD"/>
    <w:rPr>
      <w:b/>
      <w:bCs/>
    </w:rPr>
  </w:style>
  <w:style w:type="character" w:customStyle="1" w:styleId="CommentSubjectChar">
    <w:name w:val="Comment Subject Char"/>
    <w:basedOn w:val="CommentTextChar"/>
    <w:link w:val="CommentSubject"/>
    <w:rsid w:val="00E14AFD"/>
    <w:rPr>
      <w:b/>
      <w:bCs/>
    </w:rPr>
  </w:style>
  <w:style w:type="character" w:styleId="Hyperlink">
    <w:name w:val="Hyperlink"/>
    <w:basedOn w:val="DefaultParagraphFont"/>
    <w:rsid w:val="0056768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easury.nt.gov.au/_layouts/download.aspx?SourceUrl=/PMS/Publications/TaxesRoyaltiesGrants/StampDuty/RC-SD-004.docx" TargetMode="External"/><Relationship Id="rId18" Type="http://schemas.openxmlformats.org/officeDocument/2006/relationships/hyperlink" Target="http://www.revenue.nt.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treasury.nt.gov.au/PMS/Publications/TaxesRoyaltiesGrants/HomeOwnerIncent/CG-HI-001.pdf" TargetMode="External"/><Relationship Id="rId17" Type="http://schemas.openxmlformats.org/officeDocument/2006/relationships/hyperlink" Target="mailto:ntrevenue@nt.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easury.nt.gov.au/PMS/Publications/TaxesRoyaltiesGrants/HomeOwnerIncent/F-HI-001.pdf"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treasury.nt.gov.au/PMS/Publications/TaxesRoyaltiesGrants/GeneralAdmin/CG-GEN-001.pdf"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easury.nt.gov.au/_layouts/download.aspx?SourceUrl=/PMS/Publications/TaxesRoyaltiesGrants/PayrollTax/RC-PRT-007.docx"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General (G)</Tax_x0020_Type>
    <Publication_x0020_Title xmlns="378e824e-6e02-4c0d-8321-dd86fba681ee">2015-16 Budget Measures</Publication_x0020_Title>
    <Details xmlns="378e824e-6e02-4c0d-8321-dd86fba681ee" xsi:nil="true"/>
    <Identifier xmlns="378e824e-6e02-4c0d-8321-dd86fba681ee">RC-GEN-016</Identifier>
    <Publication_x0020_Type xmlns="378e824e-6e02-4c0d-8321-dd86fba681ee">Revenue Circulars (RC)</Publication_x0020_Type>
    <Sub_x0020_Sub_x0020_Category xmlns="378e824e-6e02-4c0d-8321-dd86fba681ee" xsi:nil="true"/>
    <Release_x0020_Date xmlns="378e824e-6e02-4c0d-8321-dd86fba681ee">2015-04-27T14:30:00+00:00</Release_x0020_Date>
    <Sub_x0020_Category xmlns="378e824e-6e02-4c0d-8321-dd86fba681ee">26</Sub_x0020_Category>
    <Notify xmlns="378e824e-6e02-4c0d-8321-dd86fba681ee">false</Notif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77AC1-1975-4A95-B45C-E964ECA4E98F}">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E4A7C530-39D5-4B32-AA7D-83E799479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4E0918-565C-4A23-B370-E00794B6A37A}">
  <ds:schemaRefs>
    <ds:schemaRef ds:uri="http://schemas.microsoft.com/sharepoint/v3/contenttype/forms"/>
  </ds:schemaRefs>
</ds:datastoreItem>
</file>

<file path=customXml/itemProps4.xml><?xml version="1.0" encoding="utf-8"?>
<ds:datastoreItem xmlns:ds="http://schemas.openxmlformats.org/officeDocument/2006/customXml" ds:itemID="{B75088B4-6057-4E55-AD1B-4BB9C0257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1524</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NTG</Company>
  <LinksUpToDate>false</LinksUpToDate>
  <CharactersWithSpaces>10194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 Budget Measures</dc:title>
  <dc:subject/>
  <dc:creator>Northern Territory Government</dc:creator>
  <cp:keywords/>
  <dc:description/>
  <cp:lastModifiedBy>Jessica Symonds</cp:lastModifiedBy>
  <cp:revision>26</cp:revision>
  <cp:lastPrinted>2015-04-24T07:16:00Z</cp:lastPrinted>
  <dcterms:created xsi:type="dcterms:W3CDTF">2015-04-24T05:22:00Z</dcterms:created>
  <dcterms:modified xsi:type="dcterms:W3CDTF">2021-09-07T07:32:00Z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