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BF" w:rsidRPr="006B0403" w:rsidRDefault="00A412BF" w:rsidP="00C27A0A">
      <w:pPr>
        <w:pStyle w:val="HeadingOne"/>
      </w:pPr>
      <w:r w:rsidRPr="006B0403">
        <w:t>TERRITORY REVENUE OFFICE</w:t>
      </w:r>
    </w:p>
    <w:p w:rsidR="00A412BF" w:rsidRPr="006B0403" w:rsidRDefault="00A412BF" w:rsidP="00C27A0A">
      <w:pPr>
        <w:pStyle w:val="HeadingOne"/>
      </w:pPr>
      <w:r w:rsidRPr="006B0403">
        <w:t xml:space="preserve">REVENUE CIRCULAR </w:t>
      </w:r>
    </w:p>
    <w:p w:rsidR="00A412BF" w:rsidRPr="006B0403" w:rsidRDefault="00A412BF" w:rsidP="00C27A0A">
      <w:pPr>
        <w:pStyle w:val="HeadingOne"/>
      </w:pPr>
      <w:r w:rsidRPr="006B0403">
        <w:t>RC-GEN-</w:t>
      </w:r>
      <w:r w:rsidR="00D52086" w:rsidRPr="006B0403">
        <w:t>015</w:t>
      </w:r>
      <w:r w:rsidRPr="006B0403">
        <w:t>:</w:t>
      </w:r>
    </w:p>
    <w:p w:rsidR="00A412BF" w:rsidRPr="006B0403" w:rsidRDefault="00D52086" w:rsidP="00C27A0A">
      <w:pPr>
        <w:pStyle w:val="HeadingOne"/>
      </w:pPr>
      <w:r w:rsidRPr="006B0403">
        <w:t>2014</w:t>
      </w:r>
      <w:r w:rsidR="00D747DF">
        <w:noBreakHyphen/>
      </w:r>
      <w:r w:rsidR="007555DE" w:rsidRPr="006B0403">
        <w:t xml:space="preserve">15 </w:t>
      </w:r>
      <w:r w:rsidR="00A412BF" w:rsidRPr="006B0403">
        <w:t>Budget Measures</w:t>
      </w:r>
    </w:p>
    <w:p w:rsidR="00A412BF" w:rsidRPr="006B0403" w:rsidRDefault="00A412BF" w:rsidP="00CB00E3">
      <w:pPr>
        <w:pStyle w:val="HeadingTwo"/>
        <w:jc w:val="both"/>
        <w:rPr>
          <w:b w:val="0"/>
        </w:rPr>
      </w:pPr>
      <w:r w:rsidRPr="006B0403">
        <w:t>Purpose</w:t>
      </w:r>
    </w:p>
    <w:p w:rsidR="00A412BF" w:rsidRPr="006B0403" w:rsidRDefault="00A412BF" w:rsidP="003167C5">
      <w:pPr>
        <w:pStyle w:val="BlockText"/>
        <w:numPr>
          <w:ilvl w:val="0"/>
          <w:numId w:val="15"/>
        </w:numPr>
        <w:tabs>
          <w:tab w:val="clear" w:pos="567"/>
        </w:tabs>
        <w:spacing w:after="200"/>
      </w:pPr>
      <w:r w:rsidRPr="006B0403">
        <w:t xml:space="preserve">This Circular provides information on amendments to the </w:t>
      </w:r>
      <w:r w:rsidRPr="006B0403">
        <w:rPr>
          <w:i/>
        </w:rPr>
        <w:t>First Home Owner Grant Act</w:t>
      </w:r>
      <w:r w:rsidRPr="006B0403">
        <w:t xml:space="preserve"> </w:t>
      </w:r>
      <w:r w:rsidR="00914F3D">
        <w:t xml:space="preserve">and </w:t>
      </w:r>
      <w:r w:rsidR="00914F3D">
        <w:rPr>
          <w:i/>
        </w:rPr>
        <w:t xml:space="preserve">Stamp Duty Act </w:t>
      </w:r>
      <w:r w:rsidRPr="006B0403">
        <w:t xml:space="preserve">that implement the </w:t>
      </w:r>
      <w:r w:rsidR="00D52086" w:rsidRPr="006B0403">
        <w:t>2014</w:t>
      </w:r>
      <w:r w:rsidR="0051621B">
        <w:noBreakHyphen/>
      </w:r>
      <w:r w:rsidR="00D52086" w:rsidRPr="006B0403">
        <w:t xml:space="preserve">15 </w:t>
      </w:r>
      <w:r w:rsidRPr="006B0403">
        <w:t>Budget revenue measures administered by the Territory</w:t>
      </w:r>
      <w:r w:rsidR="001713B8">
        <w:t> </w:t>
      </w:r>
      <w:r w:rsidRPr="006B0403">
        <w:t xml:space="preserve">Revenue Office (TRO). </w:t>
      </w:r>
      <w:r w:rsidR="001713B8">
        <w:t>The Budget was delivere</w:t>
      </w:r>
      <w:r w:rsidRPr="006B0403">
        <w:t xml:space="preserve">d by the Treasurer on </w:t>
      </w:r>
      <w:r w:rsidR="00D52086" w:rsidRPr="006B0403">
        <w:t>13</w:t>
      </w:r>
      <w:r w:rsidR="00682557" w:rsidRPr="006B0403">
        <w:t> </w:t>
      </w:r>
      <w:r w:rsidR="00D52086" w:rsidRPr="006B0403">
        <w:t>May</w:t>
      </w:r>
      <w:r w:rsidR="00682557" w:rsidRPr="006B0403">
        <w:t> </w:t>
      </w:r>
      <w:r w:rsidR="00D52086" w:rsidRPr="006B0403">
        <w:t>2014</w:t>
      </w:r>
      <w:r w:rsidRPr="006B0403">
        <w:t>.</w:t>
      </w:r>
    </w:p>
    <w:p w:rsidR="00A412BF" w:rsidRPr="006B0403" w:rsidRDefault="00A412BF" w:rsidP="00CB00E3">
      <w:pPr>
        <w:pStyle w:val="HeadingTwo"/>
        <w:jc w:val="both"/>
        <w:rPr>
          <w:szCs w:val="22"/>
        </w:rPr>
      </w:pPr>
      <w:r w:rsidRPr="006B0403">
        <w:t>First Home Owner</w:t>
      </w:r>
      <w:r w:rsidR="00914F3D">
        <w:t xml:space="preserve"> Grant</w:t>
      </w:r>
    </w:p>
    <w:p w:rsidR="00A412BF" w:rsidRPr="006B0403" w:rsidRDefault="005511B9" w:rsidP="00CB00E3">
      <w:pPr>
        <w:pStyle w:val="HeadingThree"/>
        <w:spacing w:after="240"/>
        <w:jc w:val="both"/>
      </w:pPr>
      <w:r w:rsidRPr="006B0403">
        <w:t xml:space="preserve">Increase </w:t>
      </w:r>
      <w:r w:rsidR="00D9164A">
        <w:t>in</w:t>
      </w:r>
      <w:r w:rsidRPr="006B0403">
        <w:t xml:space="preserve"> the first home owner grant</w:t>
      </w:r>
      <w:r w:rsidR="00682557" w:rsidRPr="006B0403">
        <w:t xml:space="preserve"> </w:t>
      </w:r>
      <w:r w:rsidR="00D52086" w:rsidRPr="006B0403">
        <w:t>for</w:t>
      </w:r>
      <w:r w:rsidR="00682557" w:rsidRPr="006B0403">
        <w:t xml:space="preserve"> </w:t>
      </w:r>
      <w:r w:rsidR="00D52086" w:rsidRPr="006B0403">
        <w:t>new homes</w:t>
      </w:r>
    </w:p>
    <w:p w:rsidR="00F817AC" w:rsidRPr="006B0403" w:rsidRDefault="00A412BF" w:rsidP="00AE132B">
      <w:pPr>
        <w:pStyle w:val="BlockText"/>
        <w:numPr>
          <w:ilvl w:val="0"/>
          <w:numId w:val="15"/>
        </w:numPr>
        <w:tabs>
          <w:tab w:val="clear" w:pos="567"/>
        </w:tabs>
        <w:spacing w:after="200"/>
      </w:pPr>
      <w:r w:rsidRPr="006B0403">
        <w:t xml:space="preserve">From </w:t>
      </w:r>
      <w:r w:rsidR="00F12962" w:rsidRPr="006B0403">
        <w:t>13</w:t>
      </w:r>
      <w:r w:rsidR="00682557" w:rsidRPr="006B0403">
        <w:t> </w:t>
      </w:r>
      <w:r w:rsidR="0078653A" w:rsidRPr="006B0403">
        <w:t>M</w:t>
      </w:r>
      <w:r w:rsidR="00D52086" w:rsidRPr="006B0403">
        <w:t>ay</w:t>
      </w:r>
      <w:r w:rsidR="00682557" w:rsidRPr="006B0403">
        <w:t> </w:t>
      </w:r>
      <w:r w:rsidR="00D52086" w:rsidRPr="006B0403">
        <w:t>2014</w:t>
      </w:r>
      <w:r w:rsidR="001713B8">
        <w:t>:</w:t>
      </w:r>
    </w:p>
    <w:p w:rsidR="005511B9" w:rsidRPr="006B0403" w:rsidRDefault="005511B9" w:rsidP="00DC3F81">
      <w:pPr>
        <w:pStyle w:val="BlockText"/>
        <w:numPr>
          <w:ilvl w:val="0"/>
          <w:numId w:val="18"/>
        </w:numPr>
        <w:spacing w:after="200"/>
      </w:pPr>
      <w:r w:rsidRPr="006B0403">
        <w:t xml:space="preserve">the </w:t>
      </w:r>
      <w:r w:rsidR="00A412BF" w:rsidRPr="006B0403">
        <w:t>first home owner grant increases from</w:t>
      </w:r>
      <w:r w:rsidR="00D52086" w:rsidRPr="006B0403">
        <w:t xml:space="preserve"> $25</w:t>
      </w:r>
      <w:r w:rsidR="00682557" w:rsidRPr="006B0403">
        <w:t> </w:t>
      </w:r>
      <w:r w:rsidR="00D52086" w:rsidRPr="006B0403">
        <w:t>000</w:t>
      </w:r>
      <w:r w:rsidR="00A412BF" w:rsidRPr="006B0403">
        <w:t xml:space="preserve"> to</w:t>
      </w:r>
      <w:r w:rsidR="00682557" w:rsidRPr="006B0403">
        <w:t xml:space="preserve"> $26 000</w:t>
      </w:r>
      <w:r w:rsidRPr="006B0403">
        <w:t xml:space="preserve"> for transactions involving new homes; and</w:t>
      </w:r>
    </w:p>
    <w:p w:rsidR="00682557" w:rsidRPr="006B0403" w:rsidRDefault="005511B9" w:rsidP="00DC3F81">
      <w:pPr>
        <w:pStyle w:val="BlockText"/>
        <w:numPr>
          <w:ilvl w:val="0"/>
          <w:numId w:val="18"/>
        </w:numPr>
        <w:spacing w:after="200"/>
      </w:pPr>
      <w:r w:rsidRPr="006B0403">
        <w:t>the $600 000 threshold on the value or price of a new home is removed</w:t>
      </w:r>
      <w:r w:rsidR="00DC2AA1" w:rsidRPr="006B0403">
        <w:t>.</w:t>
      </w:r>
    </w:p>
    <w:p w:rsidR="00D747DF" w:rsidRDefault="009E4D98" w:rsidP="00AE132B">
      <w:pPr>
        <w:pStyle w:val="BlockText"/>
        <w:numPr>
          <w:ilvl w:val="0"/>
          <w:numId w:val="15"/>
        </w:numPr>
        <w:tabs>
          <w:tab w:val="clear" w:pos="567"/>
        </w:tabs>
        <w:spacing w:after="200"/>
      </w:pPr>
      <w:r>
        <w:t>Th</w:t>
      </w:r>
      <w:r w:rsidR="00BB46F9">
        <w:t>e</w:t>
      </w:r>
      <w:r>
        <w:t xml:space="preserve"> increased grant is available for comprehensive home building contacts or contracts to purchase a new home (including off</w:t>
      </w:r>
      <w:r>
        <w:noBreakHyphen/>
        <w:t>the</w:t>
      </w:r>
      <w:r>
        <w:noBreakHyphen/>
        <w:t xml:space="preserve">plan </w:t>
      </w:r>
      <w:r w:rsidR="00CC057E">
        <w:t>purchases</w:t>
      </w:r>
      <w:r>
        <w:t xml:space="preserve">) that are made on or after 13 May 2014. </w:t>
      </w:r>
      <w:r w:rsidR="00586DAF">
        <w:t>O</w:t>
      </w:r>
      <w:r>
        <w:t xml:space="preserve">wner builders may also be </w:t>
      </w:r>
      <w:r w:rsidR="0051621B">
        <w:t>eligible for</w:t>
      </w:r>
      <w:r>
        <w:t xml:space="preserve"> the increased grant if construction commences (</w:t>
      </w:r>
      <w:r w:rsidR="0051621B">
        <w:t xml:space="preserve">i.e. </w:t>
      </w:r>
      <w:r w:rsidR="00586DAF">
        <w:t xml:space="preserve">the </w:t>
      </w:r>
      <w:r>
        <w:t>foundations</w:t>
      </w:r>
      <w:r w:rsidR="001713B8">
        <w:t xml:space="preserve"> for the home</w:t>
      </w:r>
      <w:r>
        <w:t xml:space="preserve"> are laid) on or after 13 May 2014. </w:t>
      </w:r>
    </w:p>
    <w:p w:rsidR="00480582" w:rsidRPr="006B0403" w:rsidRDefault="009631A7" w:rsidP="00AA677C">
      <w:pPr>
        <w:pStyle w:val="BlockText"/>
        <w:numPr>
          <w:ilvl w:val="0"/>
          <w:numId w:val="15"/>
        </w:numPr>
        <w:tabs>
          <w:tab w:val="clear" w:pos="567"/>
        </w:tabs>
        <w:spacing w:after="200"/>
      </w:pPr>
      <w:r w:rsidRPr="006B0403">
        <w:t xml:space="preserve">The </w:t>
      </w:r>
      <w:r w:rsidR="00F817AC" w:rsidRPr="006B0403">
        <w:t xml:space="preserve">$600 000 </w:t>
      </w:r>
      <w:r w:rsidRPr="006B0403">
        <w:t xml:space="preserve">threshold and </w:t>
      </w:r>
      <w:r w:rsidR="00F817AC" w:rsidRPr="006B0403">
        <w:t xml:space="preserve">$25 000 </w:t>
      </w:r>
      <w:r w:rsidRPr="006B0403">
        <w:t>grant amount</w:t>
      </w:r>
      <w:r w:rsidR="00291AB4">
        <w:t>s</w:t>
      </w:r>
      <w:r w:rsidRPr="006B0403">
        <w:t xml:space="preserve"> continue to apply </w:t>
      </w:r>
      <w:r w:rsidR="001713B8">
        <w:t>to</w:t>
      </w:r>
      <w:r w:rsidR="001713B8" w:rsidRPr="006B0403">
        <w:t xml:space="preserve"> </w:t>
      </w:r>
      <w:r w:rsidRPr="006B0403">
        <w:t xml:space="preserve">transactions </w:t>
      </w:r>
      <w:r w:rsidR="00480582" w:rsidRPr="006B0403">
        <w:t xml:space="preserve">involving new homes </w:t>
      </w:r>
      <w:r w:rsidR="00914F3D">
        <w:t>entered into</w:t>
      </w:r>
      <w:r w:rsidRPr="006B0403">
        <w:t xml:space="preserve"> prior to 13 May 2014. </w:t>
      </w:r>
      <w:r w:rsidR="00AA677C" w:rsidRPr="006C0254">
        <w:t>These changes do not affect the</w:t>
      </w:r>
      <w:r w:rsidR="00AA677C">
        <w:t xml:space="preserve"> current</w:t>
      </w:r>
      <w:r w:rsidR="00AA677C" w:rsidRPr="006C0254">
        <w:t xml:space="preserve"> grants for established homes, which continue to be available under the existing rules until 1 January 2015</w:t>
      </w:r>
      <w:r w:rsidR="00AA677C">
        <w:t>.</w:t>
      </w:r>
    </w:p>
    <w:p w:rsidR="009631A7" w:rsidRPr="006B0403" w:rsidRDefault="009631A7" w:rsidP="00AE132B">
      <w:pPr>
        <w:pStyle w:val="BlockText"/>
        <w:numPr>
          <w:ilvl w:val="0"/>
          <w:numId w:val="15"/>
        </w:numPr>
        <w:tabs>
          <w:tab w:val="clear" w:pos="567"/>
        </w:tabs>
        <w:spacing w:after="200"/>
      </w:pPr>
      <w:r w:rsidRPr="006B0403">
        <w:t xml:space="preserve">Transitional </w:t>
      </w:r>
      <w:r w:rsidR="00F817AC" w:rsidRPr="006B0403">
        <w:t xml:space="preserve">arrangements </w:t>
      </w:r>
      <w:r w:rsidR="00586DAF">
        <w:t xml:space="preserve">have been put in place </w:t>
      </w:r>
      <w:r w:rsidR="00914F3D">
        <w:t xml:space="preserve">so that </w:t>
      </w:r>
      <w:r w:rsidR="00480582" w:rsidRPr="006B0403">
        <w:t>the $600 000 threshold and $25 000 grant amount</w:t>
      </w:r>
      <w:r w:rsidR="002011FC" w:rsidRPr="006B0403">
        <w:t>s</w:t>
      </w:r>
      <w:r w:rsidR="00480582" w:rsidRPr="006B0403">
        <w:t xml:space="preserve"> </w:t>
      </w:r>
      <w:r w:rsidR="00457F14">
        <w:t xml:space="preserve">continue to </w:t>
      </w:r>
      <w:r w:rsidR="00F817AC" w:rsidRPr="006B0403">
        <w:t xml:space="preserve">apply to </w:t>
      </w:r>
      <w:r w:rsidR="00914F3D">
        <w:t>transactions</w:t>
      </w:r>
      <w:r w:rsidR="00991652">
        <w:t xml:space="preserve"> involving new homes</w:t>
      </w:r>
      <w:r w:rsidR="00914F3D">
        <w:t xml:space="preserve"> where</w:t>
      </w:r>
      <w:r w:rsidR="00F817AC" w:rsidRPr="006B0403">
        <w:t>:</w:t>
      </w:r>
    </w:p>
    <w:p w:rsidR="00F817AC" w:rsidRPr="006B0403" w:rsidRDefault="00914F3D" w:rsidP="009D2C94">
      <w:pPr>
        <w:pStyle w:val="BlockText"/>
        <w:numPr>
          <w:ilvl w:val="0"/>
          <w:numId w:val="18"/>
        </w:numPr>
        <w:spacing w:after="200"/>
      </w:pPr>
      <w:r>
        <w:t>a contract replaces</w:t>
      </w:r>
      <w:r w:rsidRPr="006B0403">
        <w:t xml:space="preserve"> </w:t>
      </w:r>
      <w:r w:rsidR="005511B9" w:rsidRPr="006B0403">
        <w:t>a contract to purchase</w:t>
      </w:r>
      <w:r>
        <w:t xml:space="preserve"> or construct</w:t>
      </w:r>
      <w:r w:rsidR="005511B9" w:rsidRPr="006B0403">
        <w:t xml:space="preserve"> the same or a substantially similar home that was </w:t>
      </w:r>
      <w:r w:rsidR="00586DAF">
        <w:t xml:space="preserve">first </w:t>
      </w:r>
      <w:r w:rsidR="005511B9" w:rsidRPr="006B0403">
        <w:t>made before 13 May 2014; or</w:t>
      </w:r>
    </w:p>
    <w:p w:rsidR="005511B9" w:rsidRDefault="005511B9" w:rsidP="009D2C94">
      <w:pPr>
        <w:pStyle w:val="BlockText"/>
        <w:numPr>
          <w:ilvl w:val="0"/>
          <w:numId w:val="18"/>
        </w:numPr>
        <w:spacing w:after="200"/>
      </w:pPr>
      <w:r w:rsidRPr="006B0403">
        <w:t xml:space="preserve">the purchaser </w:t>
      </w:r>
      <w:r w:rsidR="00914F3D">
        <w:t xml:space="preserve">or vendor entered into a contract or option to require the sale or purchase of the home </w:t>
      </w:r>
      <w:r w:rsidRPr="006B0403">
        <w:t>before 13 May 2014; or</w:t>
      </w:r>
    </w:p>
    <w:p w:rsidR="00914F3D" w:rsidRPr="006B0403" w:rsidRDefault="00914F3D" w:rsidP="009D2C94">
      <w:pPr>
        <w:pStyle w:val="BlockText"/>
        <w:numPr>
          <w:ilvl w:val="0"/>
          <w:numId w:val="18"/>
        </w:numPr>
        <w:spacing w:after="200"/>
      </w:pPr>
      <w:r>
        <w:t>in relation to a comprehensive home building contract, a party to the contact had a right or option granted before 13 May 2014 to require the other party to enter into the contract.</w:t>
      </w:r>
    </w:p>
    <w:p w:rsidR="00DC2AA1" w:rsidRPr="006B0403" w:rsidRDefault="00DC2AA1" w:rsidP="00DC3F81">
      <w:pPr>
        <w:pStyle w:val="BlockText"/>
        <w:numPr>
          <w:ilvl w:val="0"/>
          <w:numId w:val="15"/>
        </w:numPr>
        <w:tabs>
          <w:tab w:val="clear" w:pos="567"/>
        </w:tabs>
        <w:spacing w:after="200"/>
      </w:pPr>
      <w:r w:rsidRPr="006B0403">
        <w:t xml:space="preserve">Applicants should be aware that substantial penalties may be imposed if an applicant replaces a contract entered into before </w:t>
      </w:r>
      <w:r w:rsidR="00480582" w:rsidRPr="006B0403">
        <w:t>13</w:t>
      </w:r>
      <w:r w:rsidRPr="006B0403">
        <w:t xml:space="preserve"> May 2014 with a new contract </w:t>
      </w:r>
      <w:r w:rsidR="00586DAF">
        <w:t xml:space="preserve">after this date </w:t>
      </w:r>
      <w:r w:rsidRPr="006B0403">
        <w:t>in an attempt to receive the benefit of the increased grant</w:t>
      </w:r>
      <w:r w:rsidR="00480582" w:rsidRPr="006B0403">
        <w:t xml:space="preserve"> or</w:t>
      </w:r>
      <w:r w:rsidR="009E4D98">
        <w:t xml:space="preserve"> the removal of the</w:t>
      </w:r>
      <w:r w:rsidR="00480582" w:rsidRPr="006B0403">
        <w:t xml:space="preserve"> threshold</w:t>
      </w:r>
      <w:r w:rsidRPr="006B0403">
        <w:t xml:space="preserve">. </w:t>
      </w:r>
      <w:r w:rsidR="00586DAF">
        <w:t>TRO</w:t>
      </w:r>
      <w:r w:rsidR="009E4D98" w:rsidRPr="006B0403">
        <w:t xml:space="preserve"> </w:t>
      </w:r>
      <w:r w:rsidRPr="006B0403">
        <w:t>conduct</w:t>
      </w:r>
      <w:r w:rsidR="009E4D98">
        <w:t>s</w:t>
      </w:r>
      <w:r w:rsidRPr="006B0403">
        <w:t xml:space="preserve"> investigations to ensure that applicants meet the eligibility requirements applying at the relevant time.</w:t>
      </w:r>
    </w:p>
    <w:p w:rsidR="00F2115A" w:rsidRPr="006B0403" w:rsidRDefault="00F2115A" w:rsidP="00F2115A">
      <w:pPr>
        <w:pStyle w:val="HeadingThree"/>
        <w:spacing w:after="240"/>
        <w:jc w:val="both"/>
      </w:pPr>
      <w:r w:rsidRPr="006B0403">
        <w:rPr>
          <w:i w:val="0"/>
        </w:rPr>
        <w:t>Cessation of the first home owner grant for established homes</w:t>
      </w:r>
    </w:p>
    <w:p w:rsidR="00F2115A" w:rsidRDefault="00F2115A" w:rsidP="001713B8">
      <w:pPr>
        <w:pStyle w:val="BlockText"/>
        <w:numPr>
          <w:ilvl w:val="0"/>
          <w:numId w:val="15"/>
        </w:numPr>
        <w:tabs>
          <w:tab w:val="clear" w:pos="567"/>
        </w:tabs>
        <w:spacing w:after="200"/>
      </w:pPr>
      <w:r w:rsidRPr="006B0403">
        <w:t xml:space="preserve">From 1 January 2015, </w:t>
      </w:r>
      <w:r w:rsidR="00D9164A">
        <w:t>no</w:t>
      </w:r>
      <w:r w:rsidRPr="006B0403">
        <w:t xml:space="preserve"> first home owner grant will be available </w:t>
      </w:r>
      <w:r w:rsidR="005A006A">
        <w:t>to</w:t>
      </w:r>
      <w:r w:rsidR="00586DAF">
        <w:t xml:space="preserve"> first home buyers purchasing</w:t>
      </w:r>
      <w:r w:rsidRPr="006B0403">
        <w:t xml:space="preserve"> established homes.</w:t>
      </w:r>
      <w:r w:rsidR="001713B8">
        <w:t xml:space="preserve"> </w:t>
      </w:r>
      <w:r w:rsidR="00586DAF">
        <w:t>First home buyers who enter into a c</w:t>
      </w:r>
      <w:r w:rsidR="00586DAF" w:rsidRPr="006B0403">
        <w:t xml:space="preserve">ontract </w:t>
      </w:r>
      <w:r w:rsidRPr="006B0403">
        <w:t>to purchase</w:t>
      </w:r>
      <w:r w:rsidR="00586DAF">
        <w:t xml:space="preserve"> an</w:t>
      </w:r>
      <w:r w:rsidRPr="006B0403">
        <w:t xml:space="preserve"> established home </w:t>
      </w:r>
      <w:r>
        <w:t>on or before</w:t>
      </w:r>
      <w:r w:rsidRPr="006B0403">
        <w:t xml:space="preserve"> 31 December 2014 continue to be </w:t>
      </w:r>
      <w:r>
        <w:t xml:space="preserve">able to access the first home owner grant and are </w:t>
      </w:r>
      <w:r w:rsidRPr="006B0403">
        <w:t xml:space="preserve">subject to the </w:t>
      </w:r>
      <w:r>
        <w:t>existing</w:t>
      </w:r>
      <w:r w:rsidRPr="006B0403">
        <w:t xml:space="preserve"> rules, including the $600 000 threshold on the price or value of the home and $12 000 for </w:t>
      </w:r>
      <w:r w:rsidR="009E4D98">
        <w:t xml:space="preserve">established </w:t>
      </w:r>
      <w:r w:rsidRPr="006B0403">
        <w:t>homes in the urban</w:t>
      </w:r>
      <w:r w:rsidR="00D9164A">
        <w:t xml:space="preserve"> area</w:t>
      </w:r>
      <w:r w:rsidRPr="006B0403">
        <w:t xml:space="preserve"> and </w:t>
      </w:r>
      <w:r w:rsidR="00D9164A">
        <w:t xml:space="preserve">$25 000 in </w:t>
      </w:r>
      <w:r w:rsidRPr="006B0403">
        <w:t>rural areas</w:t>
      </w:r>
      <w:r w:rsidR="00D9164A">
        <w:t>,</w:t>
      </w:r>
      <w:r w:rsidRPr="006B0403">
        <w:t xml:space="preserve"> respectively.</w:t>
      </w:r>
    </w:p>
    <w:p w:rsidR="00F2115A" w:rsidRPr="006B0403" w:rsidRDefault="00972542" w:rsidP="009D2C94">
      <w:pPr>
        <w:pStyle w:val="HeadingTwo"/>
        <w:jc w:val="both"/>
      </w:pPr>
      <w:r>
        <w:lastRenderedPageBreak/>
        <w:t>Definition of a “new home”</w:t>
      </w:r>
    </w:p>
    <w:p w:rsidR="00732D04" w:rsidRDefault="00DC2AA1" w:rsidP="003167C5">
      <w:pPr>
        <w:pStyle w:val="BlockText"/>
        <w:numPr>
          <w:ilvl w:val="0"/>
          <w:numId w:val="15"/>
        </w:numPr>
        <w:spacing w:after="200"/>
      </w:pPr>
      <w:r w:rsidRPr="006B0403">
        <w:t xml:space="preserve">The definition of a “new home” has been expanded to include </w:t>
      </w:r>
      <w:r w:rsidR="00E04267">
        <w:t>a discretion to declare a home that has previously been sold but</w:t>
      </w:r>
      <w:r w:rsidR="00591655" w:rsidRPr="006B0403">
        <w:t xml:space="preserve"> not occupied</w:t>
      </w:r>
      <w:r w:rsidR="00E04267">
        <w:t xml:space="preserve"> to be a new home</w:t>
      </w:r>
      <w:r w:rsidR="00591655" w:rsidRPr="006B0403">
        <w:t>.</w:t>
      </w:r>
      <w:r w:rsidR="001713B8">
        <w:t xml:space="preserve"> </w:t>
      </w:r>
      <w:r w:rsidR="00732D04">
        <w:t xml:space="preserve">This discretion provides flexibility in circumstances where a home has the necessary character </w:t>
      </w:r>
      <w:r w:rsidR="001713B8">
        <w:t xml:space="preserve">and appearance </w:t>
      </w:r>
      <w:r w:rsidR="00732D04">
        <w:t xml:space="preserve">of a new home, but cannot technically be considered a new home due to the fact it previously has been sold. </w:t>
      </w:r>
    </w:p>
    <w:p w:rsidR="00732D04" w:rsidRDefault="00635853" w:rsidP="003167C5">
      <w:pPr>
        <w:pStyle w:val="BlockText"/>
        <w:numPr>
          <w:ilvl w:val="0"/>
          <w:numId w:val="15"/>
        </w:numPr>
        <w:spacing w:after="200"/>
      </w:pPr>
      <w:r>
        <w:t>For example, a newly built home may</w:t>
      </w:r>
      <w:r w:rsidDel="00635853">
        <w:t xml:space="preserve"> </w:t>
      </w:r>
      <w:r w:rsidR="00732D04">
        <w:t>be first sold from a developer to an investor and then on</w:t>
      </w:r>
      <w:r w:rsidR="00732D04">
        <w:noBreakHyphen/>
        <w:t>sold to an owner</w:t>
      </w:r>
      <w:r w:rsidR="00732D04">
        <w:noBreakHyphen/>
        <w:t>occupier. In these circumstances, the owner</w:t>
      </w:r>
      <w:r w:rsidR="00732D04">
        <w:noBreakHyphen/>
        <w:t xml:space="preserve">occupier may be able to apply to </w:t>
      </w:r>
      <w:r w:rsidR="00586DAF">
        <w:t xml:space="preserve">have the home declared </w:t>
      </w:r>
      <w:r w:rsidR="00732D04">
        <w:t>to be a new home despite the first sale to the investor.</w:t>
      </w:r>
    </w:p>
    <w:p w:rsidR="00CD7CCD" w:rsidRDefault="00CD7CCD" w:rsidP="003167C5">
      <w:pPr>
        <w:pStyle w:val="BlockText"/>
        <w:numPr>
          <w:ilvl w:val="0"/>
          <w:numId w:val="15"/>
        </w:numPr>
        <w:spacing w:after="200"/>
      </w:pPr>
      <w:r>
        <w:t>This discretion is subject to a number of criteria and importantly, the home must never have been occupied as a place of residence</w:t>
      </w:r>
      <w:r w:rsidR="00350995">
        <w:t>, including as</w:t>
      </w:r>
      <w:r w:rsidR="00350995" w:rsidRPr="001B363E">
        <w:t xml:space="preserve"> </w:t>
      </w:r>
      <w:r w:rsidR="00350995">
        <w:t>residential accommodation (regardless of the duration of the occupation). Of note, a building occupied as residential accommodation includes a hotel, serviced apartments and workers accommodation.</w:t>
      </w:r>
    </w:p>
    <w:p w:rsidR="00CD7CCD" w:rsidRPr="00CD7CCD" w:rsidRDefault="006017A6" w:rsidP="000A5D56">
      <w:pPr>
        <w:pStyle w:val="BlockText"/>
        <w:numPr>
          <w:ilvl w:val="0"/>
          <w:numId w:val="15"/>
        </w:numPr>
        <w:spacing w:after="200"/>
        <w:rPr>
          <w:i/>
        </w:rPr>
      </w:pPr>
      <w:r>
        <w:t>Further information on the definition of a “new home”</w:t>
      </w:r>
      <w:r w:rsidR="00991652">
        <w:t>, including the discretion,</w:t>
      </w:r>
      <w:r>
        <w:t xml:space="preserve"> can be found at </w:t>
      </w:r>
      <w:r w:rsidR="000A5D56" w:rsidRPr="000A5D56">
        <w:t>Commissioner’s Guideline</w:t>
      </w:r>
      <w:r w:rsidR="000A5D56">
        <w:t xml:space="preserve"> </w:t>
      </w:r>
      <w:hyperlink r:id="rId11" w:history="1">
        <w:r w:rsidR="000A5D56" w:rsidRPr="000A5D56">
          <w:rPr>
            <w:rStyle w:val="Hyperlink"/>
            <w:rFonts w:cs="Arial"/>
          </w:rPr>
          <w:t>CG</w:t>
        </w:r>
        <w:r w:rsidR="000A5D56" w:rsidRPr="000A5D56">
          <w:rPr>
            <w:rStyle w:val="Hyperlink"/>
            <w:rFonts w:cs="Arial"/>
          </w:rPr>
          <w:noBreakHyphen/>
          <w:t>HI</w:t>
        </w:r>
        <w:r w:rsidR="000A5D56" w:rsidRPr="000A5D56">
          <w:rPr>
            <w:rStyle w:val="Hyperlink"/>
            <w:rFonts w:cs="Arial"/>
          </w:rPr>
          <w:noBreakHyphen/>
          <w:t xml:space="preserve">011: </w:t>
        </w:r>
        <w:r w:rsidR="000A5D56" w:rsidRPr="00586DAF">
          <w:rPr>
            <w:rStyle w:val="Hyperlink"/>
            <w:rFonts w:cs="Arial"/>
            <w:i/>
          </w:rPr>
          <w:t>What is a 'new home'?</w:t>
        </w:r>
      </w:hyperlink>
      <w:r w:rsidR="000A5D56" w:rsidRPr="000A5D56">
        <w:t>.</w:t>
      </w:r>
    </w:p>
    <w:p w:rsidR="00DC3F81" w:rsidRPr="006B0403" w:rsidRDefault="00DC3F81" w:rsidP="00DC3F81">
      <w:pPr>
        <w:pStyle w:val="BlockText"/>
        <w:numPr>
          <w:ilvl w:val="0"/>
          <w:numId w:val="15"/>
        </w:numPr>
        <w:tabs>
          <w:tab w:val="clear" w:pos="567"/>
        </w:tabs>
        <w:spacing w:after="200"/>
        <w:rPr>
          <w:i/>
        </w:rPr>
      </w:pPr>
      <w:r w:rsidRPr="006B0403">
        <w:t>Th</w:t>
      </w:r>
      <w:r w:rsidR="00F2115A">
        <w:t xml:space="preserve">e amended </w:t>
      </w:r>
      <w:r w:rsidR="00991652">
        <w:t>definition</w:t>
      </w:r>
      <w:r w:rsidR="00991652" w:rsidRPr="006B0403">
        <w:t xml:space="preserve"> </w:t>
      </w:r>
      <w:r w:rsidRPr="006B0403">
        <w:t xml:space="preserve">applies in relation to </w:t>
      </w:r>
      <w:r w:rsidR="00F2115A">
        <w:t xml:space="preserve">both the first home owner grant and </w:t>
      </w:r>
      <w:r w:rsidRPr="006B0403">
        <w:t xml:space="preserve">the principal place of residence </w:t>
      </w:r>
      <w:r w:rsidR="00F2115A">
        <w:t>rebate</w:t>
      </w:r>
      <w:r w:rsidR="00267042" w:rsidRPr="006B0403">
        <w:t xml:space="preserve"> </w:t>
      </w:r>
      <w:r w:rsidR="00457F14">
        <w:t xml:space="preserve">under the </w:t>
      </w:r>
      <w:r w:rsidR="00457F14">
        <w:rPr>
          <w:i/>
        </w:rPr>
        <w:t>Stamp Duty Act</w:t>
      </w:r>
      <w:r w:rsidR="00F9441E">
        <w:t>.</w:t>
      </w:r>
      <w:r w:rsidR="00B73979" w:rsidRPr="006B0403">
        <w:t xml:space="preserve"> </w:t>
      </w:r>
    </w:p>
    <w:p w:rsidR="00A412BF" w:rsidRPr="006B0403" w:rsidRDefault="00A412BF" w:rsidP="00CB00E3">
      <w:pPr>
        <w:pStyle w:val="HeadingTwo"/>
        <w:jc w:val="both"/>
      </w:pPr>
      <w:r w:rsidRPr="006B0403">
        <w:t>Further Information</w:t>
      </w:r>
    </w:p>
    <w:p w:rsidR="00A412BF" w:rsidRPr="006B0403" w:rsidRDefault="00A412BF" w:rsidP="00CB00E3">
      <w:pPr>
        <w:pStyle w:val="BlockText"/>
        <w:numPr>
          <w:ilvl w:val="0"/>
          <w:numId w:val="9"/>
        </w:numPr>
        <w:tabs>
          <w:tab w:val="clear" w:pos="2007"/>
          <w:tab w:val="num" w:pos="540"/>
        </w:tabs>
        <w:spacing w:after="200"/>
        <w:ind w:left="539" w:hanging="539"/>
      </w:pPr>
      <w:r w:rsidRPr="006B0403">
        <w:rPr>
          <w:szCs w:val="22"/>
        </w:rPr>
        <w:t xml:space="preserve">Please refer to the </w:t>
      </w:r>
      <w:r w:rsidR="00E129C9" w:rsidRPr="006B0403">
        <w:rPr>
          <w:szCs w:val="22"/>
        </w:rPr>
        <w:t xml:space="preserve">Treasury </w:t>
      </w:r>
      <w:r w:rsidRPr="006B0403">
        <w:rPr>
          <w:szCs w:val="22"/>
        </w:rPr>
        <w:t xml:space="preserve">Legislation Amendment Bill </w:t>
      </w:r>
      <w:r w:rsidR="00E129C9" w:rsidRPr="006B0403">
        <w:rPr>
          <w:szCs w:val="22"/>
        </w:rPr>
        <w:t xml:space="preserve">2014 </w:t>
      </w:r>
      <w:r w:rsidRPr="006B0403">
        <w:rPr>
          <w:szCs w:val="22"/>
        </w:rPr>
        <w:t>and explanatory statement for precise details of the amendments.</w:t>
      </w:r>
    </w:p>
    <w:p w:rsidR="00783B9C" w:rsidRPr="006B0403" w:rsidRDefault="00E65023" w:rsidP="00586DAF">
      <w:pPr>
        <w:pStyle w:val="BlockText"/>
        <w:numPr>
          <w:ilvl w:val="0"/>
          <w:numId w:val="15"/>
        </w:numPr>
        <w:tabs>
          <w:tab w:val="clear" w:pos="567"/>
        </w:tabs>
        <w:spacing w:after="200"/>
      </w:pPr>
      <w:r w:rsidRPr="006B0403">
        <w:t>For further details, please refer to the First Home Owner Grant Application Form</w:t>
      </w:r>
      <w:r w:rsidR="00586DAF">
        <w:t xml:space="preserve"> and Guide to the Application,</w:t>
      </w:r>
      <w:r w:rsidRPr="006B0403">
        <w:t xml:space="preserve"> </w:t>
      </w:r>
      <w:hyperlink r:id="rId12" w:tooltip="Web link to F-HI-001" w:history="1">
        <w:r w:rsidRPr="006B0403">
          <w:rPr>
            <w:rStyle w:val="Hyperlink"/>
            <w:rFonts w:cs="Arial"/>
          </w:rPr>
          <w:t>F-HI-001</w:t>
        </w:r>
      </w:hyperlink>
      <w:r w:rsidR="006017A6">
        <w:t>,</w:t>
      </w:r>
      <w:hyperlink w:history="1"/>
      <w:r w:rsidRPr="006B0403">
        <w:t xml:space="preserve"> and Commissioner’s Guideline </w:t>
      </w:r>
      <w:hyperlink r:id="rId13" w:tooltip="CH-HI-011 Guideline" w:history="1">
        <w:r w:rsidR="00291AB4" w:rsidRPr="000A5D56">
          <w:rPr>
            <w:rStyle w:val="Hyperlink"/>
            <w:rFonts w:cs="Arial"/>
          </w:rPr>
          <w:t>CG-HI-001:</w:t>
        </w:r>
        <w:r w:rsidR="00291AB4" w:rsidRPr="00586DAF">
          <w:rPr>
            <w:rStyle w:val="Hyperlink"/>
            <w:rFonts w:cs="Arial"/>
            <w:i/>
          </w:rPr>
          <w:t xml:space="preserve"> Stamp Duty Home Incentive Schemes</w:t>
        </w:r>
      </w:hyperlink>
      <w:r w:rsidR="00291AB4" w:rsidRPr="000A5D56">
        <w:t xml:space="preserve">. </w:t>
      </w:r>
      <w:r w:rsidR="00A412BF" w:rsidRPr="006B0403">
        <w:rPr>
          <w:szCs w:val="22"/>
        </w:rPr>
        <w:t xml:space="preserve">If you are unsure </w:t>
      </w:r>
      <w:r w:rsidR="00A412BF" w:rsidRPr="00972542">
        <w:t>about</w:t>
      </w:r>
      <w:r w:rsidR="00A412BF" w:rsidRPr="006B0403">
        <w:rPr>
          <w:szCs w:val="22"/>
        </w:rPr>
        <w:t xml:space="preserve"> any aspect concerning your eligibility for the first home owner grant or stamp duty principal place of residence rebate, it is important that you contact your lawyer, conveyancer or TRO for clarification before proceeding with your application.</w:t>
      </w:r>
    </w:p>
    <w:p w:rsidR="00A412BF" w:rsidRPr="006B0403" w:rsidRDefault="00A412BF" w:rsidP="00CB00E3">
      <w:pPr>
        <w:pStyle w:val="HeadingTwo"/>
        <w:jc w:val="both"/>
      </w:pPr>
      <w:r w:rsidRPr="006B0403">
        <w:t>Revenue Circulars</w:t>
      </w:r>
    </w:p>
    <w:p w:rsidR="00A412BF" w:rsidRPr="006B0403" w:rsidRDefault="00A412BF" w:rsidP="00BD238D">
      <w:pPr>
        <w:pStyle w:val="BlockText"/>
        <w:numPr>
          <w:ilvl w:val="0"/>
          <w:numId w:val="9"/>
        </w:numPr>
        <w:tabs>
          <w:tab w:val="clear" w:pos="2007"/>
          <w:tab w:val="num" w:pos="540"/>
        </w:tabs>
        <w:spacing w:after="200"/>
        <w:ind w:left="539" w:hanging="539"/>
      </w:pPr>
      <w:r w:rsidRPr="006B0403">
        <w:t xml:space="preserve">Commissioner’s Guideline </w:t>
      </w:r>
      <w:hyperlink r:id="rId14" w:tooltip="Link to CG-HI-001" w:history="1">
        <w:r w:rsidR="009F69B0">
          <w:rPr>
            <w:rStyle w:val="Hyperlink"/>
            <w:rFonts w:cs="Arial"/>
          </w:rPr>
          <w:t xml:space="preserve">CG-GEN-001: </w:t>
        </w:r>
        <w:r w:rsidR="009F69B0" w:rsidRPr="009F69B0">
          <w:rPr>
            <w:rStyle w:val="Hyperlink"/>
            <w:rFonts w:cs="Arial"/>
            <w:i/>
          </w:rPr>
          <w:t>Revenue Circulars, Commissioner's Guidelines and Payroll Tax Rulings: explanation and status</w:t>
        </w:r>
      </w:hyperlink>
      <w:r w:rsidRPr="006B0403">
        <w:t>, which sets out information on the revenue publication system, is incorporated into and is to be read as one with this Circular. All Circulars and Guidelines are available from TRO’s website.</w:t>
      </w:r>
    </w:p>
    <w:p w:rsidR="00A412BF" w:rsidRPr="006B0403" w:rsidRDefault="00A412BF" w:rsidP="00CB00E3">
      <w:pPr>
        <w:pStyle w:val="BodyText"/>
      </w:pPr>
    </w:p>
    <w:p w:rsidR="00A412BF" w:rsidRPr="006B0403" w:rsidRDefault="00E42A85" w:rsidP="00CB00E3">
      <w:pPr>
        <w:pStyle w:val="BodyText"/>
      </w:pPr>
      <w:r>
        <w:drawing>
          <wp:inline distT="0" distB="0" distL="0" distR="0" wp14:anchorId="647A399F" wp14:editId="40017316">
            <wp:extent cx="1866900" cy="352425"/>
            <wp:effectExtent l="0" t="0" r="0" b="9525"/>
            <wp:docPr id="3" name="Picture 3" descr="Grant Parsons electronic signature" title="Image: Grant Pars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 Parsons electronic signature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352425"/>
                    </a:xfrm>
                    <a:prstGeom prst="rect">
                      <a:avLst/>
                    </a:prstGeom>
                    <a:noFill/>
                    <a:ln>
                      <a:noFill/>
                    </a:ln>
                  </pic:spPr>
                </pic:pic>
              </a:graphicData>
            </a:graphic>
          </wp:inline>
        </w:drawing>
      </w:r>
    </w:p>
    <w:p w:rsidR="00A412BF" w:rsidRPr="006B0403" w:rsidRDefault="00A412BF" w:rsidP="00CB00E3">
      <w:pPr>
        <w:pStyle w:val="BodyText"/>
      </w:pPr>
      <w:r w:rsidRPr="006B0403">
        <w:t>Grant Parsons</w:t>
      </w:r>
    </w:p>
    <w:p w:rsidR="00A412BF" w:rsidRPr="006B0403" w:rsidRDefault="00A412BF" w:rsidP="00CB00E3">
      <w:pPr>
        <w:pStyle w:val="BodyText"/>
      </w:pPr>
      <w:r w:rsidRPr="006B0403">
        <w:t>COMMISSIONER OF TERRITORY REVENUE</w:t>
      </w:r>
    </w:p>
    <w:p w:rsidR="00A412BF" w:rsidRPr="006B0403" w:rsidRDefault="00A412BF" w:rsidP="00CB00E3">
      <w:pPr>
        <w:pStyle w:val="BodyText"/>
      </w:pPr>
      <w:r w:rsidRPr="006B0403">
        <w:br/>
        <w:t>Date of issue:</w:t>
      </w:r>
      <w:r w:rsidRPr="006B0403">
        <w:tab/>
      </w:r>
      <w:r w:rsidRPr="006B0403">
        <w:tab/>
      </w:r>
      <w:r w:rsidR="009432F5" w:rsidRPr="006B0403">
        <w:t xml:space="preserve">13 May 2014 </w:t>
      </w:r>
    </w:p>
    <w:p w:rsidR="00A412BF" w:rsidRPr="006B0403" w:rsidRDefault="00A412BF" w:rsidP="00CB00E3">
      <w:pPr>
        <w:pStyle w:val="BodyText"/>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A412BF" w:rsidRPr="006B0403" w:rsidTr="00FE4811">
        <w:tc>
          <w:tcPr>
            <w:tcW w:w="9854" w:type="dxa"/>
            <w:gridSpan w:val="2"/>
          </w:tcPr>
          <w:p w:rsidR="00A412BF" w:rsidRPr="006B0403" w:rsidRDefault="00A412BF" w:rsidP="00CB00E3">
            <w:pPr>
              <w:jc w:val="both"/>
            </w:pPr>
            <w:r w:rsidRPr="006B0403">
              <w:t>For further information please contact the Territory Revenue Office:</w:t>
            </w:r>
          </w:p>
        </w:tc>
      </w:tr>
      <w:tr w:rsidR="00A412BF" w:rsidRPr="00FE4811" w:rsidTr="00FE4811">
        <w:tc>
          <w:tcPr>
            <w:tcW w:w="4927" w:type="dxa"/>
          </w:tcPr>
          <w:p w:rsidR="00A412BF" w:rsidRPr="006B0403" w:rsidRDefault="00A412BF" w:rsidP="00CB00E3">
            <w:pPr>
              <w:jc w:val="both"/>
            </w:pPr>
            <w:r w:rsidRPr="006B0403">
              <w:t>GPO Box 1</w:t>
            </w:r>
            <w:r w:rsidR="005F3192">
              <w:t>97</w:t>
            </w:r>
            <w:bookmarkStart w:id="0" w:name="_GoBack"/>
            <w:bookmarkEnd w:id="0"/>
            <w:r w:rsidRPr="006B0403">
              <w:t>4</w:t>
            </w:r>
          </w:p>
          <w:p w:rsidR="00A412BF" w:rsidRPr="006B0403" w:rsidRDefault="00A412BF" w:rsidP="00CB00E3">
            <w:pPr>
              <w:jc w:val="both"/>
            </w:pPr>
            <w:r w:rsidRPr="006B0403">
              <w:t>Darwin  NT  0801</w:t>
            </w:r>
          </w:p>
          <w:p w:rsidR="00A412BF" w:rsidRPr="006B0403" w:rsidRDefault="00A412BF" w:rsidP="00CB00E3">
            <w:pPr>
              <w:pStyle w:val="BlockText"/>
              <w:tabs>
                <w:tab w:val="clear" w:pos="2007"/>
              </w:tabs>
              <w:ind w:left="0" w:firstLine="0"/>
            </w:pPr>
            <w:r w:rsidRPr="006B0403">
              <w:t xml:space="preserve">Email: </w:t>
            </w:r>
            <w:hyperlink r:id="rId16" w:history="1">
              <w:r w:rsidR="00A5135F" w:rsidRPr="006B0403">
                <w:rPr>
                  <w:rStyle w:val="Hyperlink"/>
                  <w:rFonts w:cs="Arial"/>
                </w:rPr>
                <w:t>ntrevenue@nt.gov.au</w:t>
              </w:r>
            </w:hyperlink>
          </w:p>
        </w:tc>
        <w:tc>
          <w:tcPr>
            <w:tcW w:w="4927" w:type="dxa"/>
          </w:tcPr>
          <w:p w:rsidR="00A412BF" w:rsidRPr="006B0403" w:rsidRDefault="00A412BF" w:rsidP="00CB00E3">
            <w:pPr>
              <w:jc w:val="both"/>
            </w:pPr>
            <w:r w:rsidRPr="006B0403">
              <w:t>Phone: 1300 305 353</w:t>
            </w:r>
          </w:p>
          <w:p w:rsidR="00A412BF" w:rsidRPr="006B0403" w:rsidRDefault="00A412BF" w:rsidP="00CB00E3">
            <w:pPr>
              <w:jc w:val="both"/>
            </w:pPr>
            <w:r w:rsidRPr="006B0403">
              <w:t>Fax: 08 8999 5577</w:t>
            </w:r>
          </w:p>
          <w:p w:rsidR="00A412BF" w:rsidRPr="00FE4811" w:rsidRDefault="00A412BF" w:rsidP="00CB00E3">
            <w:pPr>
              <w:jc w:val="both"/>
            </w:pPr>
            <w:r w:rsidRPr="006B0403">
              <w:t xml:space="preserve">Website: </w:t>
            </w:r>
            <w:hyperlink r:id="rId17" w:tooltip="Link to Revenue website" w:history="1">
              <w:r w:rsidRPr="006B0403">
                <w:rPr>
                  <w:rStyle w:val="Hyperlink"/>
                  <w:rFonts w:cs="Arial"/>
                </w:rPr>
                <w:t>www.revenue.nt.gov.au</w:t>
              </w:r>
            </w:hyperlink>
          </w:p>
        </w:tc>
      </w:tr>
    </w:tbl>
    <w:p w:rsidR="00A412BF" w:rsidRPr="00364D5F" w:rsidRDefault="00A412BF" w:rsidP="002B60D2">
      <w:pPr>
        <w:tabs>
          <w:tab w:val="left" w:pos="3090"/>
        </w:tabs>
      </w:pPr>
    </w:p>
    <w:sectPr w:rsidR="00A412BF" w:rsidRPr="00364D5F" w:rsidSect="00362539">
      <w:headerReference w:type="even" r:id="rId18"/>
      <w:headerReference w:type="default" r:id="rId19"/>
      <w:footerReference w:type="default" r:id="rId20"/>
      <w:headerReference w:type="first" r:id="rId21"/>
      <w:footerReference w:type="first" r:id="rId22"/>
      <w:pgSz w:w="11906" w:h="16838" w:code="9"/>
      <w:pgMar w:top="1246" w:right="1134" w:bottom="567" w:left="1134" w:header="12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4C2" w:rsidRDefault="007724C2">
      <w:r>
        <w:separator/>
      </w:r>
    </w:p>
  </w:endnote>
  <w:endnote w:type="continuationSeparator" w:id="0">
    <w:p w:rsidR="007724C2" w:rsidRDefault="0077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Default="00A412BF" w:rsidP="00364D5F">
    <w:pPr>
      <w:pStyle w:val="Footer"/>
      <w:tabs>
        <w:tab w:val="clear" w:pos="4153"/>
        <w:tab w:val="clear" w:pos="8306"/>
        <w:tab w:val="right" w:pos="9720"/>
      </w:tabs>
      <w:rPr>
        <w:sz w:val="16"/>
        <w:szCs w:val="16"/>
      </w:rPr>
    </w:pPr>
  </w:p>
  <w:p w:rsidR="00A412BF" w:rsidRPr="00364D5F" w:rsidRDefault="00A412BF" w:rsidP="00364D5F">
    <w:pPr>
      <w:pStyle w:val="Footer"/>
      <w:tabs>
        <w:tab w:val="clear" w:pos="4153"/>
        <w:tab w:val="clear" w:pos="8306"/>
        <w:tab w:val="right" w:pos="9720"/>
      </w:tabs>
      <w:rPr>
        <w:sz w:val="16"/>
        <w:szCs w:val="16"/>
      </w:rPr>
    </w:pPr>
    <w:r w:rsidRPr="006034B6">
      <w:rPr>
        <w:sz w:val="16"/>
        <w:szCs w:val="16"/>
      </w:rPr>
      <w:t xml:space="preserve">Page </w:t>
    </w:r>
    <w:r w:rsidR="0054318C" w:rsidRPr="006034B6">
      <w:rPr>
        <w:sz w:val="16"/>
        <w:szCs w:val="16"/>
      </w:rPr>
      <w:fldChar w:fldCharType="begin"/>
    </w:r>
    <w:r w:rsidRPr="006034B6">
      <w:rPr>
        <w:sz w:val="16"/>
        <w:szCs w:val="16"/>
      </w:rPr>
      <w:instrText xml:space="preserve"> PAGE </w:instrText>
    </w:r>
    <w:r w:rsidR="0054318C" w:rsidRPr="006034B6">
      <w:rPr>
        <w:sz w:val="16"/>
        <w:szCs w:val="16"/>
      </w:rPr>
      <w:fldChar w:fldCharType="separate"/>
    </w:r>
    <w:r w:rsidR="005F3192">
      <w:rPr>
        <w:noProof/>
        <w:sz w:val="16"/>
        <w:szCs w:val="16"/>
      </w:rPr>
      <w:t>2</w:t>
    </w:r>
    <w:r w:rsidR="0054318C" w:rsidRPr="006034B6">
      <w:rPr>
        <w:sz w:val="16"/>
        <w:szCs w:val="16"/>
      </w:rPr>
      <w:fldChar w:fldCharType="end"/>
    </w:r>
    <w:r w:rsidRPr="006034B6">
      <w:rPr>
        <w:sz w:val="16"/>
        <w:szCs w:val="16"/>
      </w:rPr>
      <w:t xml:space="preserve"> of </w:t>
    </w:r>
    <w:r w:rsidR="0054318C" w:rsidRPr="006034B6">
      <w:rPr>
        <w:sz w:val="16"/>
        <w:szCs w:val="16"/>
      </w:rPr>
      <w:fldChar w:fldCharType="begin"/>
    </w:r>
    <w:r w:rsidRPr="006034B6">
      <w:rPr>
        <w:sz w:val="16"/>
        <w:szCs w:val="16"/>
      </w:rPr>
      <w:instrText xml:space="preserve"> NUMPAGES </w:instrText>
    </w:r>
    <w:r w:rsidR="0054318C" w:rsidRPr="006034B6">
      <w:rPr>
        <w:sz w:val="16"/>
        <w:szCs w:val="16"/>
      </w:rPr>
      <w:fldChar w:fldCharType="separate"/>
    </w:r>
    <w:r w:rsidR="005F3192">
      <w:rPr>
        <w:noProof/>
        <w:sz w:val="16"/>
        <w:szCs w:val="16"/>
      </w:rPr>
      <w:t>2</w:t>
    </w:r>
    <w:r w:rsidR="0054318C" w:rsidRPr="006034B6">
      <w:rPr>
        <w:sz w:val="16"/>
        <w:szCs w:val="16"/>
      </w:rPr>
      <w:fldChar w:fldCharType="end"/>
    </w:r>
    <w:r>
      <w:rPr>
        <w:sz w:val="16"/>
        <w:szCs w:val="16"/>
      </w:rPr>
      <w:tab/>
      <w:t>RC-GEN-01</w:t>
    </w:r>
    <w:r w:rsidR="00291AB4">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Default="00A412BF" w:rsidP="00364D5F">
    <w:pPr>
      <w:pStyle w:val="Footer"/>
      <w:tabs>
        <w:tab w:val="clear" w:pos="4153"/>
        <w:tab w:val="clear" w:pos="8306"/>
        <w:tab w:val="right" w:pos="9720"/>
      </w:tabs>
      <w:rPr>
        <w:sz w:val="16"/>
        <w:szCs w:val="16"/>
      </w:rPr>
    </w:pPr>
  </w:p>
  <w:p w:rsidR="00A412BF" w:rsidRPr="006034B6" w:rsidRDefault="00A412BF" w:rsidP="00364D5F">
    <w:pPr>
      <w:pStyle w:val="Footer"/>
      <w:tabs>
        <w:tab w:val="clear" w:pos="4153"/>
        <w:tab w:val="clear" w:pos="8306"/>
        <w:tab w:val="right" w:pos="9720"/>
      </w:tabs>
      <w:rPr>
        <w:sz w:val="16"/>
        <w:szCs w:val="16"/>
      </w:rPr>
    </w:pPr>
    <w:r w:rsidRPr="006034B6">
      <w:rPr>
        <w:sz w:val="16"/>
        <w:szCs w:val="16"/>
      </w:rPr>
      <w:t xml:space="preserve">Page </w:t>
    </w:r>
    <w:r w:rsidR="0054318C" w:rsidRPr="006034B6">
      <w:rPr>
        <w:sz w:val="16"/>
        <w:szCs w:val="16"/>
      </w:rPr>
      <w:fldChar w:fldCharType="begin"/>
    </w:r>
    <w:r w:rsidRPr="006034B6">
      <w:rPr>
        <w:sz w:val="16"/>
        <w:szCs w:val="16"/>
      </w:rPr>
      <w:instrText xml:space="preserve"> PAGE </w:instrText>
    </w:r>
    <w:r w:rsidR="0054318C" w:rsidRPr="006034B6">
      <w:rPr>
        <w:sz w:val="16"/>
        <w:szCs w:val="16"/>
      </w:rPr>
      <w:fldChar w:fldCharType="separate"/>
    </w:r>
    <w:r w:rsidR="005F3192">
      <w:rPr>
        <w:noProof/>
        <w:sz w:val="16"/>
        <w:szCs w:val="16"/>
      </w:rPr>
      <w:t>1</w:t>
    </w:r>
    <w:r w:rsidR="0054318C" w:rsidRPr="006034B6">
      <w:rPr>
        <w:sz w:val="16"/>
        <w:szCs w:val="16"/>
      </w:rPr>
      <w:fldChar w:fldCharType="end"/>
    </w:r>
    <w:r w:rsidRPr="006034B6">
      <w:rPr>
        <w:sz w:val="16"/>
        <w:szCs w:val="16"/>
      </w:rPr>
      <w:t xml:space="preserve"> of </w:t>
    </w:r>
    <w:r w:rsidR="0054318C" w:rsidRPr="006034B6">
      <w:rPr>
        <w:sz w:val="16"/>
        <w:szCs w:val="16"/>
      </w:rPr>
      <w:fldChar w:fldCharType="begin"/>
    </w:r>
    <w:r w:rsidRPr="006034B6">
      <w:rPr>
        <w:sz w:val="16"/>
        <w:szCs w:val="16"/>
      </w:rPr>
      <w:instrText xml:space="preserve"> NUMPAGES </w:instrText>
    </w:r>
    <w:r w:rsidR="0054318C" w:rsidRPr="006034B6">
      <w:rPr>
        <w:sz w:val="16"/>
        <w:szCs w:val="16"/>
      </w:rPr>
      <w:fldChar w:fldCharType="separate"/>
    </w:r>
    <w:r w:rsidR="005F3192">
      <w:rPr>
        <w:noProof/>
        <w:sz w:val="16"/>
        <w:szCs w:val="16"/>
      </w:rPr>
      <w:t>2</w:t>
    </w:r>
    <w:r w:rsidR="0054318C" w:rsidRPr="006034B6">
      <w:rPr>
        <w:sz w:val="16"/>
        <w:szCs w:val="16"/>
      </w:rPr>
      <w:fldChar w:fldCharType="end"/>
    </w:r>
    <w:r>
      <w:rPr>
        <w:sz w:val="16"/>
        <w:szCs w:val="16"/>
      </w:rPr>
      <w:tab/>
      <w:t>RC-GEN-0</w:t>
    </w:r>
    <w:r w:rsidR="00502808">
      <w:rPr>
        <w:sz w:val="16"/>
        <w:szCs w:val="16"/>
      </w:rPr>
      <w:t>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4C2" w:rsidRDefault="007724C2">
      <w:r>
        <w:separator/>
      </w:r>
    </w:p>
  </w:footnote>
  <w:footnote w:type="continuationSeparator" w:id="0">
    <w:p w:rsidR="007724C2" w:rsidRDefault="0077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Default="0054318C" w:rsidP="00763A20">
    <w:pPr>
      <w:pStyle w:val="Header"/>
      <w:framePr w:wrap="around" w:vAnchor="text" w:hAnchor="margin" w:xAlign="center" w:y="1"/>
      <w:rPr>
        <w:rStyle w:val="PageNumber"/>
        <w:rFonts w:cs="Arial"/>
      </w:rPr>
    </w:pPr>
    <w:r>
      <w:rPr>
        <w:rStyle w:val="PageNumber"/>
        <w:rFonts w:cs="Arial"/>
      </w:rPr>
      <w:fldChar w:fldCharType="begin"/>
    </w:r>
    <w:r w:rsidR="00A412BF">
      <w:rPr>
        <w:rStyle w:val="PageNumber"/>
        <w:rFonts w:cs="Arial"/>
      </w:rPr>
      <w:instrText xml:space="preserve">PAGE  </w:instrText>
    </w:r>
    <w:r>
      <w:rPr>
        <w:rStyle w:val="PageNumber"/>
        <w:rFonts w:cs="Arial"/>
      </w:rPr>
      <w:fldChar w:fldCharType="end"/>
    </w:r>
  </w:p>
  <w:p w:rsidR="00A412BF" w:rsidRDefault="00A41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Pr="003765CD" w:rsidRDefault="00A412BF"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Default="00A412BF" w:rsidP="0019571B">
    <w:pPr>
      <w:pStyle w:val="NTTHeaderInfo"/>
      <w:rPr>
        <w:b/>
        <w:noProof/>
      </w:rPr>
    </w:pPr>
  </w:p>
  <w:p w:rsidR="00A412BF" w:rsidRDefault="003A5C25" w:rsidP="00362539">
    <w:pPr>
      <w:pStyle w:val="NTTHeaderInfo"/>
      <w:tabs>
        <w:tab w:val="left" w:pos="195"/>
      </w:tabs>
      <w:jc w:val="left"/>
    </w:pPr>
    <w:r>
      <w:rPr>
        <w:noProof/>
      </w:rPr>
      <w:drawing>
        <wp:anchor distT="0" distB="0" distL="114300" distR="114300" simplePos="0" relativeHeight="251657728" behindDoc="1" locked="0" layoutInCell="0" allowOverlap="1" wp14:anchorId="77ED1C2C" wp14:editId="5E5EC54F">
          <wp:simplePos x="0" y="0"/>
          <wp:positionH relativeFrom="page">
            <wp:posOffset>180340</wp:posOffset>
          </wp:positionH>
          <wp:positionV relativeFrom="page">
            <wp:posOffset>180340</wp:posOffset>
          </wp:positionV>
          <wp:extent cx="7188200" cy="895350"/>
          <wp:effectExtent l="19050" t="0" r="0" b="0"/>
          <wp:wrapNone/>
          <wp:docPr id="4"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srcRect/>
                  <a:stretch>
                    <a:fillRect/>
                  </a:stretch>
                </pic:blipFill>
                <pic:spPr bwMode="auto">
                  <a:xfrm>
                    <a:off x="0" y="0"/>
                    <a:ext cx="7188200" cy="895350"/>
                  </a:xfrm>
                  <a:prstGeom prst="rect">
                    <a:avLst/>
                  </a:prstGeom>
                  <a:noFill/>
                </pic:spPr>
              </pic:pic>
            </a:graphicData>
          </a:graphic>
        </wp:anchor>
      </w:drawing>
    </w:r>
  </w:p>
  <w:p w:rsidR="00A412BF" w:rsidRDefault="00A41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lvlText w:val="%1."/>
      <w:lvlJc w:val="left"/>
      <w:pPr>
        <w:tabs>
          <w:tab w:val="num" w:pos="360"/>
        </w:tabs>
        <w:ind w:left="360" w:hanging="360"/>
      </w:pPr>
      <w:rPr>
        <w:rFonts w:cs="Times New Roman"/>
      </w:r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AA216F2"/>
    <w:multiLevelType w:val="hybridMultilevel"/>
    <w:tmpl w:val="EF3C4EB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593059"/>
    <w:multiLevelType w:val="multilevel"/>
    <w:tmpl w:val="C4CA0A26"/>
    <w:numStyleLink w:val="Text"/>
  </w:abstractNum>
  <w:abstractNum w:abstractNumId="4" w15:restartNumberingAfterBreak="0">
    <w:nsid w:val="1DBE4232"/>
    <w:multiLevelType w:val="hybridMultilevel"/>
    <w:tmpl w:val="785018D4"/>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E903CE7"/>
    <w:multiLevelType w:val="multilevel"/>
    <w:tmpl w:val="C4CA0A26"/>
    <w:styleLink w:val="Text"/>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228E6B7B"/>
    <w:multiLevelType w:val="hybridMultilevel"/>
    <w:tmpl w:val="4C04B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FE2E5C"/>
    <w:multiLevelType w:val="hybridMultilevel"/>
    <w:tmpl w:val="80E0A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A1265"/>
    <w:multiLevelType w:val="hybridMultilevel"/>
    <w:tmpl w:val="CA9AF162"/>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E532975"/>
    <w:multiLevelType w:val="hybridMultilevel"/>
    <w:tmpl w:val="54CA4D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25277DE"/>
    <w:multiLevelType w:val="hybridMultilevel"/>
    <w:tmpl w:val="A62C85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9B51DF"/>
    <w:multiLevelType w:val="multilevel"/>
    <w:tmpl w:val="0C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15:restartNumberingAfterBreak="0">
    <w:nsid w:val="4851062C"/>
    <w:multiLevelType w:val="hybridMultilevel"/>
    <w:tmpl w:val="0E16C0F4"/>
    <w:lvl w:ilvl="0" w:tplc="77988C0A">
      <w:start w:val="1"/>
      <w:numFmt w:val="bullet"/>
      <w:lvlText w:val=""/>
      <w:lvlJc w:val="left"/>
      <w:pPr>
        <w:tabs>
          <w:tab w:val="num" w:pos="720"/>
        </w:tabs>
        <w:ind w:left="720" w:hanging="360"/>
      </w:pPr>
      <w:rPr>
        <w:rFonts w:ascii="Symbol" w:hAnsi="Symbol" w:hint="default"/>
      </w:rPr>
    </w:lvl>
    <w:lvl w:ilvl="1" w:tplc="037CF840">
      <w:start w:val="1"/>
      <w:numFmt w:val="bullet"/>
      <w:lvlText w:val="o"/>
      <w:lvlJc w:val="left"/>
      <w:pPr>
        <w:tabs>
          <w:tab w:val="num" w:pos="1440"/>
        </w:tabs>
        <w:ind w:left="1440" w:hanging="360"/>
      </w:pPr>
      <w:rPr>
        <w:rFonts w:ascii="Courier New" w:hAnsi="Courier New" w:hint="default"/>
      </w:rPr>
    </w:lvl>
    <w:lvl w:ilvl="2" w:tplc="452861C8" w:tentative="1">
      <w:start w:val="1"/>
      <w:numFmt w:val="bullet"/>
      <w:lvlText w:val=""/>
      <w:lvlJc w:val="left"/>
      <w:pPr>
        <w:tabs>
          <w:tab w:val="num" w:pos="2160"/>
        </w:tabs>
        <w:ind w:left="2160" w:hanging="360"/>
      </w:pPr>
      <w:rPr>
        <w:rFonts w:ascii="Wingdings" w:hAnsi="Wingdings" w:hint="default"/>
      </w:rPr>
    </w:lvl>
    <w:lvl w:ilvl="3" w:tplc="970AD416" w:tentative="1">
      <w:start w:val="1"/>
      <w:numFmt w:val="bullet"/>
      <w:lvlText w:val=""/>
      <w:lvlJc w:val="left"/>
      <w:pPr>
        <w:tabs>
          <w:tab w:val="num" w:pos="2880"/>
        </w:tabs>
        <w:ind w:left="2880" w:hanging="360"/>
      </w:pPr>
      <w:rPr>
        <w:rFonts w:ascii="Symbol" w:hAnsi="Symbol" w:hint="default"/>
      </w:rPr>
    </w:lvl>
    <w:lvl w:ilvl="4" w:tplc="092C41C4" w:tentative="1">
      <w:start w:val="1"/>
      <w:numFmt w:val="bullet"/>
      <w:lvlText w:val="o"/>
      <w:lvlJc w:val="left"/>
      <w:pPr>
        <w:tabs>
          <w:tab w:val="num" w:pos="3600"/>
        </w:tabs>
        <w:ind w:left="3600" w:hanging="360"/>
      </w:pPr>
      <w:rPr>
        <w:rFonts w:ascii="Courier New" w:hAnsi="Courier New" w:hint="default"/>
      </w:rPr>
    </w:lvl>
    <w:lvl w:ilvl="5" w:tplc="8D767D1C" w:tentative="1">
      <w:start w:val="1"/>
      <w:numFmt w:val="bullet"/>
      <w:lvlText w:val=""/>
      <w:lvlJc w:val="left"/>
      <w:pPr>
        <w:tabs>
          <w:tab w:val="num" w:pos="4320"/>
        </w:tabs>
        <w:ind w:left="4320" w:hanging="360"/>
      </w:pPr>
      <w:rPr>
        <w:rFonts w:ascii="Wingdings" w:hAnsi="Wingdings" w:hint="default"/>
      </w:rPr>
    </w:lvl>
    <w:lvl w:ilvl="6" w:tplc="05C48D82" w:tentative="1">
      <w:start w:val="1"/>
      <w:numFmt w:val="bullet"/>
      <w:lvlText w:val=""/>
      <w:lvlJc w:val="left"/>
      <w:pPr>
        <w:tabs>
          <w:tab w:val="num" w:pos="5040"/>
        </w:tabs>
        <w:ind w:left="5040" w:hanging="360"/>
      </w:pPr>
      <w:rPr>
        <w:rFonts w:ascii="Symbol" w:hAnsi="Symbol" w:hint="default"/>
      </w:rPr>
    </w:lvl>
    <w:lvl w:ilvl="7" w:tplc="1BB0882C" w:tentative="1">
      <w:start w:val="1"/>
      <w:numFmt w:val="bullet"/>
      <w:lvlText w:val="o"/>
      <w:lvlJc w:val="left"/>
      <w:pPr>
        <w:tabs>
          <w:tab w:val="num" w:pos="5760"/>
        </w:tabs>
        <w:ind w:left="5760" w:hanging="360"/>
      </w:pPr>
      <w:rPr>
        <w:rFonts w:ascii="Courier New" w:hAnsi="Courier New" w:hint="default"/>
      </w:rPr>
    </w:lvl>
    <w:lvl w:ilvl="8" w:tplc="6BB459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167D18"/>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66DA1482"/>
    <w:multiLevelType w:val="hybridMultilevel"/>
    <w:tmpl w:val="D17AD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94591F"/>
    <w:multiLevelType w:val="multilevel"/>
    <w:tmpl w:val="C4CA0A26"/>
    <w:numStyleLink w:val="Text"/>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6"/>
  </w:num>
  <w:num w:numId="8">
    <w:abstractNumId w:val="10"/>
  </w:num>
  <w:num w:numId="9">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0">
    <w:abstractNumId w:val="1"/>
  </w:num>
  <w:num w:numId="11">
    <w:abstractNumId w:val="3"/>
  </w:num>
  <w:num w:numId="12">
    <w:abstractNumId w:val="12"/>
  </w:num>
  <w:num w:numId="13">
    <w:abstractNumId w:val="14"/>
  </w:num>
  <w:num w:numId="14">
    <w:abstractNumId w:val="0"/>
  </w:num>
  <w:num w:numId="15">
    <w:abstractNumId w:val="5"/>
    <w:lvlOverride w:ilvl="0">
      <w:lvl w:ilvl="0">
        <w:start w:val="1"/>
        <w:numFmt w:val="decimal"/>
        <w:lvlText w:val="%1."/>
        <w:lvlJc w:val="left"/>
        <w:pPr>
          <w:tabs>
            <w:tab w:val="num" w:pos="567"/>
          </w:tabs>
          <w:ind w:left="567" w:hanging="567"/>
        </w:pPr>
        <w:rPr>
          <w:rFonts w:cs="Times New Roman" w:hint="default"/>
          <w:b w:val="0"/>
          <w:i w:val="0"/>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985"/>
          </w:tabs>
          <w:ind w:left="1985" w:hanging="851"/>
        </w:pPr>
        <w:rPr>
          <w:rFonts w:cs="Times New Roman" w:hint="default"/>
        </w:rPr>
      </w:lvl>
    </w:lvlOverride>
    <w:lvlOverride w:ilvl="3">
      <w:lvl w:ilvl="3">
        <w:start w:val="1"/>
        <w:numFmt w:val="lowerRoman"/>
        <w:lvlText w:val="%1(%2)(%3)(%4)"/>
        <w:lvlJc w:val="left"/>
        <w:pPr>
          <w:tabs>
            <w:tab w:val="num" w:pos="2948"/>
          </w:tabs>
          <w:ind w:left="2948" w:hanging="963"/>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6">
    <w:abstractNumId w:val="8"/>
  </w:num>
  <w:num w:numId="17">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8">
    <w:abstractNumId w:val="2"/>
  </w:num>
  <w:num w:numId="19">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0">
    <w:abstractNumId w:val="4"/>
  </w:num>
  <w:num w:numId="21">
    <w:abstractNumId w:val="7"/>
  </w:num>
  <w:num w:numId="22">
    <w:abstractNumId w:val="11"/>
  </w:num>
  <w:num w:numId="23">
    <w:abstractNumId w:val="13"/>
  </w:num>
  <w:num w:numId="24">
    <w:abstractNumId w:val="6"/>
  </w:num>
  <w:num w:numId="25">
    <w:abstractNumId w:val="5"/>
  </w:num>
  <w:num w:numId="26">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7">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9">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0">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1">
    <w:abstractNumId w:val="9"/>
  </w:num>
  <w:num w:numId="32">
    <w:abstractNumId w:val="15"/>
  </w:num>
  <w:num w:numId="33">
    <w:abstractNumId w:val="5"/>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1" w:cryptProviderType="rsaAES" w:cryptAlgorithmClass="hash" w:cryptAlgorithmType="typeAny" w:cryptAlgorithmSid="14" w:cryptSpinCount="100000" w:hash="XzPFkM/LqywJiIx7Lo84mP3limBn6VgdQdqTwm/20eMmZATd8DWnyTgppUOKpm5f3TD3MGC3+ZLNmFpSu1zTmQ==" w:salt="V1jcVKzV+2e3lCa3J9sZQ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2D"/>
    <w:rsid w:val="0000082B"/>
    <w:rsid w:val="0000443C"/>
    <w:rsid w:val="000060BF"/>
    <w:rsid w:val="000064CB"/>
    <w:rsid w:val="000104AB"/>
    <w:rsid w:val="00010EEA"/>
    <w:rsid w:val="0002150C"/>
    <w:rsid w:val="00022413"/>
    <w:rsid w:val="00023645"/>
    <w:rsid w:val="00025614"/>
    <w:rsid w:val="000302C0"/>
    <w:rsid w:val="000333C6"/>
    <w:rsid w:val="0003701B"/>
    <w:rsid w:val="000376B2"/>
    <w:rsid w:val="000424F1"/>
    <w:rsid w:val="00042BC9"/>
    <w:rsid w:val="00045CCE"/>
    <w:rsid w:val="00046838"/>
    <w:rsid w:val="0005160E"/>
    <w:rsid w:val="00054E58"/>
    <w:rsid w:val="00055A15"/>
    <w:rsid w:val="00055F6E"/>
    <w:rsid w:val="0005666D"/>
    <w:rsid w:val="000567BE"/>
    <w:rsid w:val="0005747B"/>
    <w:rsid w:val="00063A93"/>
    <w:rsid w:val="00063EAC"/>
    <w:rsid w:val="00067AE5"/>
    <w:rsid w:val="00070001"/>
    <w:rsid w:val="00073726"/>
    <w:rsid w:val="00073A76"/>
    <w:rsid w:val="000749F5"/>
    <w:rsid w:val="000755D7"/>
    <w:rsid w:val="00081963"/>
    <w:rsid w:val="00081984"/>
    <w:rsid w:val="000917B2"/>
    <w:rsid w:val="00094D2B"/>
    <w:rsid w:val="000968BE"/>
    <w:rsid w:val="000A058E"/>
    <w:rsid w:val="000A10D2"/>
    <w:rsid w:val="000A1789"/>
    <w:rsid w:val="000A1E58"/>
    <w:rsid w:val="000A57FE"/>
    <w:rsid w:val="000A5BAB"/>
    <w:rsid w:val="000A5D56"/>
    <w:rsid w:val="000A5FAF"/>
    <w:rsid w:val="000A7ABD"/>
    <w:rsid w:val="000B1FE4"/>
    <w:rsid w:val="000B4B29"/>
    <w:rsid w:val="000C0DD5"/>
    <w:rsid w:val="000C2C04"/>
    <w:rsid w:val="000C3AD0"/>
    <w:rsid w:val="000C5DAB"/>
    <w:rsid w:val="000C5FD6"/>
    <w:rsid w:val="000C7BA7"/>
    <w:rsid w:val="000C7F66"/>
    <w:rsid w:val="000D21B9"/>
    <w:rsid w:val="000D4683"/>
    <w:rsid w:val="000D760C"/>
    <w:rsid w:val="000E232F"/>
    <w:rsid w:val="000E26E6"/>
    <w:rsid w:val="000E4D8E"/>
    <w:rsid w:val="000F7515"/>
    <w:rsid w:val="00102EAE"/>
    <w:rsid w:val="00112237"/>
    <w:rsid w:val="001127F6"/>
    <w:rsid w:val="001171EA"/>
    <w:rsid w:val="00117E21"/>
    <w:rsid w:val="00117F5D"/>
    <w:rsid w:val="00120400"/>
    <w:rsid w:val="0012101B"/>
    <w:rsid w:val="0012610A"/>
    <w:rsid w:val="001271FF"/>
    <w:rsid w:val="0013250A"/>
    <w:rsid w:val="00132F64"/>
    <w:rsid w:val="0013303C"/>
    <w:rsid w:val="00134634"/>
    <w:rsid w:val="00135C96"/>
    <w:rsid w:val="001364CD"/>
    <w:rsid w:val="001407E2"/>
    <w:rsid w:val="001422DD"/>
    <w:rsid w:val="00143FAB"/>
    <w:rsid w:val="00145948"/>
    <w:rsid w:val="001521B6"/>
    <w:rsid w:val="00153959"/>
    <w:rsid w:val="00153AFD"/>
    <w:rsid w:val="001545F9"/>
    <w:rsid w:val="001579C2"/>
    <w:rsid w:val="00160881"/>
    <w:rsid w:val="0016262C"/>
    <w:rsid w:val="00164258"/>
    <w:rsid w:val="00164A3A"/>
    <w:rsid w:val="00164EA7"/>
    <w:rsid w:val="00166509"/>
    <w:rsid w:val="001671D2"/>
    <w:rsid w:val="001713B8"/>
    <w:rsid w:val="00172CFE"/>
    <w:rsid w:val="00176573"/>
    <w:rsid w:val="0018229E"/>
    <w:rsid w:val="00183A35"/>
    <w:rsid w:val="00184056"/>
    <w:rsid w:val="00184984"/>
    <w:rsid w:val="00184B7C"/>
    <w:rsid w:val="00187674"/>
    <w:rsid w:val="00192E63"/>
    <w:rsid w:val="00192F6F"/>
    <w:rsid w:val="0019571B"/>
    <w:rsid w:val="00196C1B"/>
    <w:rsid w:val="001971A1"/>
    <w:rsid w:val="0019771F"/>
    <w:rsid w:val="001A6196"/>
    <w:rsid w:val="001A7013"/>
    <w:rsid w:val="001B57BC"/>
    <w:rsid w:val="001B71AE"/>
    <w:rsid w:val="001B7AC7"/>
    <w:rsid w:val="001C422C"/>
    <w:rsid w:val="001C4568"/>
    <w:rsid w:val="001D135B"/>
    <w:rsid w:val="001D27E9"/>
    <w:rsid w:val="001D4089"/>
    <w:rsid w:val="001D5A9F"/>
    <w:rsid w:val="001D6528"/>
    <w:rsid w:val="001D6742"/>
    <w:rsid w:val="001D69E9"/>
    <w:rsid w:val="001D7DC4"/>
    <w:rsid w:val="001E3578"/>
    <w:rsid w:val="001E6135"/>
    <w:rsid w:val="001E7621"/>
    <w:rsid w:val="001F4991"/>
    <w:rsid w:val="001F5273"/>
    <w:rsid w:val="001F60FE"/>
    <w:rsid w:val="001F6B23"/>
    <w:rsid w:val="001F7B6E"/>
    <w:rsid w:val="002011FC"/>
    <w:rsid w:val="0020232B"/>
    <w:rsid w:val="00204372"/>
    <w:rsid w:val="002048E7"/>
    <w:rsid w:val="00207E37"/>
    <w:rsid w:val="00210686"/>
    <w:rsid w:val="0021088F"/>
    <w:rsid w:val="002115E6"/>
    <w:rsid w:val="00211ADE"/>
    <w:rsid w:val="00215A9D"/>
    <w:rsid w:val="0021684D"/>
    <w:rsid w:val="00220E1E"/>
    <w:rsid w:val="00221114"/>
    <w:rsid w:val="0022361B"/>
    <w:rsid w:val="00224644"/>
    <w:rsid w:val="0022584A"/>
    <w:rsid w:val="0022584E"/>
    <w:rsid w:val="002306CE"/>
    <w:rsid w:val="0023083D"/>
    <w:rsid w:val="00232B2F"/>
    <w:rsid w:val="002374AC"/>
    <w:rsid w:val="00237B7C"/>
    <w:rsid w:val="00242910"/>
    <w:rsid w:val="002440CC"/>
    <w:rsid w:val="0024555A"/>
    <w:rsid w:val="002466CE"/>
    <w:rsid w:val="002478AC"/>
    <w:rsid w:val="002524C0"/>
    <w:rsid w:val="002526A8"/>
    <w:rsid w:val="00252EA3"/>
    <w:rsid w:val="0025439F"/>
    <w:rsid w:val="002543F7"/>
    <w:rsid w:val="002545A4"/>
    <w:rsid w:val="002546CB"/>
    <w:rsid w:val="002548C6"/>
    <w:rsid w:val="00255290"/>
    <w:rsid w:val="002555DE"/>
    <w:rsid w:val="00262235"/>
    <w:rsid w:val="00267042"/>
    <w:rsid w:val="00271740"/>
    <w:rsid w:val="00272B18"/>
    <w:rsid w:val="00273379"/>
    <w:rsid w:val="0027710E"/>
    <w:rsid w:val="002863EF"/>
    <w:rsid w:val="002906AE"/>
    <w:rsid w:val="00291AB4"/>
    <w:rsid w:val="00295BEF"/>
    <w:rsid w:val="00296A41"/>
    <w:rsid w:val="00297782"/>
    <w:rsid w:val="00297E74"/>
    <w:rsid w:val="002A03A5"/>
    <w:rsid w:val="002A0BA0"/>
    <w:rsid w:val="002A3775"/>
    <w:rsid w:val="002A5567"/>
    <w:rsid w:val="002A5623"/>
    <w:rsid w:val="002A7D1F"/>
    <w:rsid w:val="002B1738"/>
    <w:rsid w:val="002B60D2"/>
    <w:rsid w:val="002C0386"/>
    <w:rsid w:val="002C1DA7"/>
    <w:rsid w:val="002C267D"/>
    <w:rsid w:val="002C2FF7"/>
    <w:rsid w:val="002D4686"/>
    <w:rsid w:val="002D6B9D"/>
    <w:rsid w:val="002D7B81"/>
    <w:rsid w:val="002E1CE1"/>
    <w:rsid w:val="002E55F8"/>
    <w:rsid w:val="002F08F2"/>
    <w:rsid w:val="002F36B9"/>
    <w:rsid w:val="002F3847"/>
    <w:rsid w:val="00301586"/>
    <w:rsid w:val="00307F79"/>
    <w:rsid w:val="00311AB6"/>
    <w:rsid w:val="00314B99"/>
    <w:rsid w:val="00314C98"/>
    <w:rsid w:val="00314E75"/>
    <w:rsid w:val="003167C5"/>
    <w:rsid w:val="00323FDD"/>
    <w:rsid w:val="00327C11"/>
    <w:rsid w:val="00327C57"/>
    <w:rsid w:val="00330CA3"/>
    <w:rsid w:val="00332D45"/>
    <w:rsid w:val="00340212"/>
    <w:rsid w:val="00343BDF"/>
    <w:rsid w:val="003455BA"/>
    <w:rsid w:val="003458E7"/>
    <w:rsid w:val="00350995"/>
    <w:rsid w:val="00350C52"/>
    <w:rsid w:val="00350DA3"/>
    <w:rsid w:val="00353514"/>
    <w:rsid w:val="0035373D"/>
    <w:rsid w:val="00354185"/>
    <w:rsid w:val="00354627"/>
    <w:rsid w:val="00355A73"/>
    <w:rsid w:val="00355AD3"/>
    <w:rsid w:val="003566B4"/>
    <w:rsid w:val="003579CF"/>
    <w:rsid w:val="00362539"/>
    <w:rsid w:val="003627B1"/>
    <w:rsid w:val="003649F0"/>
    <w:rsid w:val="00364D5F"/>
    <w:rsid w:val="00365875"/>
    <w:rsid w:val="003659AD"/>
    <w:rsid w:val="00371470"/>
    <w:rsid w:val="00371523"/>
    <w:rsid w:val="00371DC6"/>
    <w:rsid w:val="00371E1A"/>
    <w:rsid w:val="00376157"/>
    <w:rsid w:val="003765CD"/>
    <w:rsid w:val="00385103"/>
    <w:rsid w:val="00386424"/>
    <w:rsid w:val="00386D5A"/>
    <w:rsid w:val="0038749B"/>
    <w:rsid w:val="00393DD6"/>
    <w:rsid w:val="00394D70"/>
    <w:rsid w:val="0039737A"/>
    <w:rsid w:val="003A3FF0"/>
    <w:rsid w:val="003A4C11"/>
    <w:rsid w:val="003A525E"/>
    <w:rsid w:val="003A5C25"/>
    <w:rsid w:val="003A7455"/>
    <w:rsid w:val="003A7DC4"/>
    <w:rsid w:val="003B21D5"/>
    <w:rsid w:val="003B4A50"/>
    <w:rsid w:val="003B4C4C"/>
    <w:rsid w:val="003B680A"/>
    <w:rsid w:val="003C1073"/>
    <w:rsid w:val="003C6832"/>
    <w:rsid w:val="003C6A42"/>
    <w:rsid w:val="003D0F41"/>
    <w:rsid w:val="003D26A8"/>
    <w:rsid w:val="003D36FF"/>
    <w:rsid w:val="003D3D24"/>
    <w:rsid w:val="003D400C"/>
    <w:rsid w:val="003D5245"/>
    <w:rsid w:val="003E063C"/>
    <w:rsid w:val="003E0F2B"/>
    <w:rsid w:val="003E23F6"/>
    <w:rsid w:val="003E5274"/>
    <w:rsid w:val="003E62DE"/>
    <w:rsid w:val="003F2790"/>
    <w:rsid w:val="003F5E2C"/>
    <w:rsid w:val="003F70DD"/>
    <w:rsid w:val="003F7195"/>
    <w:rsid w:val="003F73D3"/>
    <w:rsid w:val="003F7433"/>
    <w:rsid w:val="003F7BDE"/>
    <w:rsid w:val="00401F0A"/>
    <w:rsid w:val="00404B0A"/>
    <w:rsid w:val="004050CF"/>
    <w:rsid w:val="0041111B"/>
    <w:rsid w:val="004124F6"/>
    <w:rsid w:val="00412F76"/>
    <w:rsid w:val="00412F83"/>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57F14"/>
    <w:rsid w:val="00461243"/>
    <w:rsid w:val="00463743"/>
    <w:rsid w:val="00464361"/>
    <w:rsid w:val="004646F7"/>
    <w:rsid w:val="00465AB2"/>
    <w:rsid w:val="00466FB5"/>
    <w:rsid w:val="00467F4A"/>
    <w:rsid w:val="00470036"/>
    <w:rsid w:val="004707BC"/>
    <w:rsid w:val="004726D4"/>
    <w:rsid w:val="00473F14"/>
    <w:rsid w:val="004742EA"/>
    <w:rsid w:val="004743B6"/>
    <w:rsid w:val="00474B80"/>
    <w:rsid w:val="00476314"/>
    <w:rsid w:val="00480582"/>
    <w:rsid w:val="00481F7B"/>
    <w:rsid w:val="00482184"/>
    <w:rsid w:val="00482C30"/>
    <w:rsid w:val="00484C2D"/>
    <w:rsid w:val="00490396"/>
    <w:rsid w:val="0049040E"/>
    <w:rsid w:val="004909A0"/>
    <w:rsid w:val="00492379"/>
    <w:rsid w:val="004941E5"/>
    <w:rsid w:val="00494D6F"/>
    <w:rsid w:val="00494EAF"/>
    <w:rsid w:val="004A5CE6"/>
    <w:rsid w:val="004A60E1"/>
    <w:rsid w:val="004A65EB"/>
    <w:rsid w:val="004B003D"/>
    <w:rsid w:val="004B0DDA"/>
    <w:rsid w:val="004B2EAA"/>
    <w:rsid w:val="004B39EB"/>
    <w:rsid w:val="004B4B9D"/>
    <w:rsid w:val="004C0D46"/>
    <w:rsid w:val="004C12DE"/>
    <w:rsid w:val="004C41C4"/>
    <w:rsid w:val="004C5782"/>
    <w:rsid w:val="004C5891"/>
    <w:rsid w:val="004C6027"/>
    <w:rsid w:val="004C62CC"/>
    <w:rsid w:val="004D04AA"/>
    <w:rsid w:val="004D3B44"/>
    <w:rsid w:val="004D5069"/>
    <w:rsid w:val="004D669B"/>
    <w:rsid w:val="004E09CA"/>
    <w:rsid w:val="004E2567"/>
    <w:rsid w:val="004E391B"/>
    <w:rsid w:val="004E502F"/>
    <w:rsid w:val="004E5F24"/>
    <w:rsid w:val="004E69E8"/>
    <w:rsid w:val="004E6F30"/>
    <w:rsid w:val="004F059C"/>
    <w:rsid w:val="004F103E"/>
    <w:rsid w:val="00500BE6"/>
    <w:rsid w:val="00502588"/>
    <w:rsid w:val="00502808"/>
    <w:rsid w:val="0050534D"/>
    <w:rsid w:val="00505FB1"/>
    <w:rsid w:val="00506206"/>
    <w:rsid w:val="0051194C"/>
    <w:rsid w:val="00513926"/>
    <w:rsid w:val="0051621B"/>
    <w:rsid w:val="00516D27"/>
    <w:rsid w:val="00517382"/>
    <w:rsid w:val="005205CA"/>
    <w:rsid w:val="00520F76"/>
    <w:rsid w:val="00522191"/>
    <w:rsid w:val="00523D08"/>
    <w:rsid w:val="00525881"/>
    <w:rsid w:val="0052614B"/>
    <w:rsid w:val="005262D8"/>
    <w:rsid w:val="0052675D"/>
    <w:rsid w:val="00526B7A"/>
    <w:rsid w:val="0052753F"/>
    <w:rsid w:val="00530165"/>
    <w:rsid w:val="005302CE"/>
    <w:rsid w:val="00532754"/>
    <w:rsid w:val="00536A36"/>
    <w:rsid w:val="00536F37"/>
    <w:rsid w:val="00537837"/>
    <w:rsid w:val="005400EA"/>
    <w:rsid w:val="00540680"/>
    <w:rsid w:val="0054112A"/>
    <w:rsid w:val="005419BC"/>
    <w:rsid w:val="005428F8"/>
    <w:rsid w:val="00542966"/>
    <w:rsid w:val="0054318C"/>
    <w:rsid w:val="00545D20"/>
    <w:rsid w:val="005475C0"/>
    <w:rsid w:val="00547681"/>
    <w:rsid w:val="005501A3"/>
    <w:rsid w:val="005511B9"/>
    <w:rsid w:val="00551AA3"/>
    <w:rsid w:val="00551CBC"/>
    <w:rsid w:val="00552F81"/>
    <w:rsid w:val="00555249"/>
    <w:rsid w:val="0056224B"/>
    <w:rsid w:val="0056236E"/>
    <w:rsid w:val="005628C3"/>
    <w:rsid w:val="00566890"/>
    <w:rsid w:val="00567D3A"/>
    <w:rsid w:val="005700FC"/>
    <w:rsid w:val="00570544"/>
    <w:rsid w:val="005707AB"/>
    <w:rsid w:val="00572867"/>
    <w:rsid w:val="00573A16"/>
    <w:rsid w:val="00576412"/>
    <w:rsid w:val="0058140E"/>
    <w:rsid w:val="00581D64"/>
    <w:rsid w:val="00582D7B"/>
    <w:rsid w:val="005855C5"/>
    <w:rsid w:val="0058646E"/>
    <w:rsid w:val="00586DAF"/>
    <w:rsid w:val="00587446"/>
    <w:rsid w:val="00591655"/>
    <w:rsid w:val="00592597"/>
    <w:rsid w:val="00593466"/>
    <w:rsid w:val="00596353"/>
    <w:rsid w:val="00596B7E"/>
    <w:rsid w:val="005A006A"/>
    <w:rsid w:val="005A0101"/>
    <w:rsid w:val="005A022F"/>
    <w:rsid w:val="005A6A98"/>
    <w:rsid w:val="005A6EAB"/>
    <w:rsid w:val="005B03D6"/>
    <w:rsid w:val="005B3B6D"/>
    <w:rsid w:val="005B419B"/>
    <w:rsid w:val="005B43D5"/>
    <w:rsid w:val="005B4B9A"/>
    <w:rsid w:val="005B5511"/>
    <w:rsid w:val="005D0992"/>
    <w:rsid w:val="005D4468"/>
    <w:rsid w:val="005D54FC"/>
    <w:rsid w:val="005E5A0B"/>
    <w:rsid w:val="005E722D"/>
    <w:rsid w:val="005F094C"/>
    <w:rsid w:val="005F0CAA"/>
    <w:rsid w:val="005F1765"/>
    <w:rsid w:val="005F21D9"/>
    <w:rsid w:val="005F3192"/>
    <w:rsid w:val="006017A6"/>
    <w:rsid w:val="006023B8"/>
    <w:rsid w:val="0060284F"/>
    <w:rsid w:val="006034B6"/>
    <w:rsid w:val="006038CB"/>
    <w:rsid w:val="00605813"/>
    <w:rsid w:val="00605CAB"/>
    <w:rsid w:val="006102F8"/>
    <w:rsid w:val="00610391"/>
    <w:rsid w:val="00610E09"/>
    <w:rsid w:val="00611CA5"/>
    <w:rsid w:val="00612FBB"/>
    <w:rsid w:val="0061625F"/>
    <w:rsid w:val="006168A7"/>
    <w:rsid w:val="00616ACB"/>
    <w:rsid w:val="006226DC"/>
    <w:rsid w:val="00623756"/>
    <w:rsid w:val="00624CDA"/>
    <w:rsid w:val="00626B28"/>
    <w:rsid w:val="00630FFB"/>
    <w:rsid w:val="00632A1A"/>
    <w:rsid w:val="00634CF3"/>
    <w:rsid w:val="00635853"/>
    <w:rsid w:val="00635C62"/>
    <w:rsid w:val="00635F78"/>
    <w:rsid w:val="00640E14"/>
    <w:rsid w:val="00645230"/>
    <w:rsid w:val="00645403"/>
    <w:rsid w:val="00645F0D"/>
    <w:rsid w:val="00646719"/>
    <w:rsid w:val="006501B7"/>
    <w:rsid w:val="00653F67"/>
    <w:rsid w:val="00654280"/>
    <w:rsid w:val="006552F7"/>
    <w:rsid w:val="006575EA"/>
    <w:rsid w:val="00666A4C"/>
    <w:rsid w:val="00666DA9"/>
    <w:rsid w:val="0066709F"/>
    <w:rsid w:val="006674DD"/>
    <w:rsid w:val="006675EC"/>
    <w:rsid w:val="00670ABA"/>
    <w:rsid w:val="0067606E"/>
    <w:rsid w:val="00682557"/>
    <w:rsid w:val="006831AE"/>
    <w:rsid w:val="006855D2"/>
    <w:rsid w:val="00692E85"/>
    <w:rsid w:val="006931FC"/>
    <w:rsid w:val="00693498"/>
    <w:rsid w:val="00693CE1"/>
    <w:rsid w:val="0069461E"/>
    <w:rsid w:val="006A0CEB"/>
    <w:rsid w:val="006A21A5"/>
    <w:rsid w:val="006A30C4"/>
    <w:rsid w:val="006A356D"/>
    <w:rsid w:val="006A4B09"/>
    <w:rsid w:val="006A6AEE"/>
    <w:rsid w:val="006B002A"/>
    <w:rsid w:val="006B0403"/>
    <w:rsid w:val="006B0776"/>
    <w:rsid w:val="006B19DB"/>
    <w:rsid w:val="006B3D13"/>
    <w:rsid w:val="006B455C"/>
    <w:rsid w:val="006B605D"/>
    <w:rsid w:val="006B7698"/>
    <w:rsid w:val="006B7CA6"/>
    <w:rsid w:val="006C0254"/>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142F"/>
    <w:rsid w:val="00703666"/>
    <w:rsid w:val="0070603B"/>
    <w:rsid w:val="00706F00"/>
    <w:rsid w:val="00713E0D"/>
    <w:rsid w:val="00720153"/>
    <w:rsid w:val="00724967"/>
    <w:rsid w:val="00730129"/>
    <w:rsid w:val="00730896"/>
    <w:rsid w:val="00731530"/>
    <w:rsid w:val="00732D04"/>
    <w:rsid w:val="00736DB7"/>
    <w:rsid w:val="00740F35"/>
    <w:rsid w:val="0074419C"/>
    <w:rsid w:val="007445E4"/>
    <w:rsid w:val="007501B1"/>
    <w:rsid w:val="0075176D"/>
    <w:rsid w:val="0075179B"/>
    <w:rsid w:val="007553B7"/>
    <w:rsid w:val="007555DE"/>
    <w:rsid w:val="00755BFC"/>
    <w:rsid w:val="007572CE"/>
    <w:rsid w:val="00757465"/>
    <w:rsid w:val="00761932"/>
    <w:rsid w:val="00761ECC"/>
    <w:rsid w:val="00762067"/>
    <w:rsid w:val="00762918"/>
    <w:rsid w:val="00762969"/>
    <w:rsid w:val="00763A20"/>
    <w:rsid w:val="00766DB3"/>
    <w:rsid w:val="00767E45"/>
    <w:rsid w:val="007719DE"/>
    <w:rsid w:val="007724C2"/>
    <w:rsid w:val="007735E7"/>
    <w:rsid w:val="00773B36"/>
    <w:rsid w:val="00777491"/>
    <w:rsid w:val="00780551"/>
    <w:rsid w:val="00780F8C"/>
    <w:rsid w:val="007817A1"/>
    <w:rsid w:val="007829AE"/>
    <w:rsid w:val="00783B9C"/>
    <w:rsid w:val="00784A94"/>
    <w:rsid w:val="0078653A"/>
    <w:rsid w:val="00787076"/>
    <w:rsid w:val="00791ACA"/>
    <w:rsid w:val="00794C86"/>
    <w:rsid w:val="007975AF"/>
    <w:rsid w:val="00797A22"/>
    <w:rsid w:val="007A07E8"/>
    <w:rsid w:val="007A442B"/>
    <w:rsid w:val="007A553D"/>
    <w:rsid w:val="007B1307"/>
    <w:rsid w:val="007B51DD"/>
    <w:rsid w:val="007B7CC0"/>
    <w:rsid w:val="007C0E96"/>
    <w:rsid w:val="007C1D40"/>
    <w:rsid w:val="007C4B87"/>
    <w:rsid w:val="007C62CA"/>
    <w:rsid w:val="007C71F4"/>
    <w:rsid w:val="007D290F"/>
    <w:rsid w:val="007D34CA"/>
    <w:rsid w:val="007D36D4"/>
    <w:rsid w:val="007D40A4"/>
    <w:rsid w:val="007D4D03"/>
    <w:rsid w:val="007D7071"/>
    <w:rsid w:val="007E40F3"/>
    <w:rsid w:val="007E4470"/>
    <w:rsid w:val="007E6321"/>
    <w:rsid w:val="007E6726"/>
    <w:rsid w:val="007F0790"/>
    <w:rsid w:val="007F10F3"/>
    <w:rsid w:val="007F23CE"/>
    <w:rsid w:val="007F3D47"/>
    <w:rsid w:val="007F458D"/>
    <w:rsid w:val="007F5FDB"/>
    <w:rsid w:val="007F6284"/>
    <w:rsid w:val="007F658A"/>
    <w:rsid w:val="007F78D8"/>
    <w:rsid w:val="00802976"/>
    <w:rsid w:val="008049A2"/>
    <w:rsid w:val="00807DD2"/>
    <w:rsid w:val="0081131C"/>
    <w:rsid w:val="00815E57"/>
    <w:rsid w:val="00821BA6"/>
    <w:rsid w:val="00822F53"/>
    <w:rsid w:val="00824BAA"/>
    <w:rsid w:val="00824DF7"/>
    <w:rsid w:val="00824FB0"/>
    <w:rsid w:val="00827A50"/>
    <w:rsid w:val="00831649"/>
    <w:rsid w:val="00831D43"/>
    <w:rsid w:val="008323D0"/>
    <w:rsid w:val="00832DC1"/>
    <w:rsid w:val="008330A4"/>
    <w:rsid w:val="00833D8C"/>
    <w:rsid w:val="0083516A"/>
    <w:rsid w:val="00840470"/>
    <w:rsid w:val="00844510"/>
    <w:rsid w:val="0084462A"/>
    <w:rsid w:val="00845978"/>
    <w:rsid w:val="008525BF"/>
    <w:rsid w:val="00854345"/>
    <w:rsid w:val="00855DA8"/>
    <w:rsid w:val="008618DA"/>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976E6"/>
    <w:rsid w:val="008A0085"/>
    <w:rsid w:val="008A0833"/>
    <w:rsid w:val="008A0912"/>
    <w:rsid w:val="008A0DC2"/>
    <w:rsid w:val="008A3E60"/>
    <w:rsid w:val="008A43A5"/>
    <w:rsid w:val="008A7265"/>
    <w:rsid w:val="008B23E9"/>
    <w:rsid w:val="008B3039"/>
    <w:rsid w:val="008C0559"/>
    <w:rsid w:val="008C1207"/>
    <w:rsid w:val="008C2913"/>
    <w:rsid w:val="008C3763"/>
    <w:rsid w:val="008C41AA"/>
    <w:rsid w:val="008D038F"/>
    <w:rsid w:val="008D0BA9"/>
    <w:rsid w:val="008D19B6"/>
    <w:rsid w:val="008D2392"/>
    <w:rsid w:val="008D5BB0"/>
    <w:rsid w:val="008D7117"/>
    <w:rsid w:val="008E1DC7"/>
    <w:rsid w:val="008E5AC0"/>
    <w:rsid w:val="008E6244"/>
    <w:rsid w:val="008E7CBF"/>
    <w:rsid w:val="008F08B6"/>
    <w:rsid w:val="008F1FC3"/>
    <w:rsid w:val="008F2A38"/>
    <w:rsid w:val="008F3E64"/>
    <w:rsid w:val="008F4483"/>
    <w:rsid w:val="008F5DAC"/>
    <w:rsid w:val="008F7654"/>
    <w:rsid w:val="0090131A"/>
    <w:rsid w:val="009026B7"/>
    <w:rsid w:val="00902884"/>
    <w:rsid w:val="00903EAE"/>
    <w:rsid w:val="009069DD"/>
    <w:rsid w:val="00911565"/>
    <w:rsid w:val="00914F3D"/>
    <w:rsid w:val="0091589D"/>
    <w:rsid w:val="009228C8"/>
    <w:rsid w:val="009229F9"/>
    <w:rsid w:val="00922FB1"/>
    <w:rsid w:val="009312EE"/>
    <w:rsid w:val="00931A46"/>
    <w:rsid w:val="009329EC"/>
    <w:rsid w:val="009342C0"/>
    <w:rsid w:val="009432F5"/>
    <w:rsid w:val="00944373"/>
    <w:rsid w:val="00944463"/>
    <w:rsid w:val="00944474"/>
    <w:rsid w:val="0094548B"/>
    <w:rsid w:val="00945A49"/>
    <w:rsid w:val="00945DBD"/>
    <w:rsid w:val="00947358"/>
    <w:rsid w:val="009501BA"/>
    <w:rsid w:val="00951504"/>
    <w:rsid w:val="00955AC5"/>
    <w:rsid w:val="00956834"/>
    <w:rsid w:val="0096299F"/>
    <w:rsid w:val="009631A7"/>
    <w:rsid w:val="00965DB9"/>
    <w:rsid w:val="00966B8B"/>
    <w:rsid w:val="00971B1A"/>
    <w:rsid w:val="00972542"/>
    <w:rsid w:val="00972562"/>
    <w:rsid w:val="0097383F"/>
    <w:rsid w:val="00981148"/>
    <w:rsid w:val="00981A37"/>
    <w:rsid w:val="00981DD0"/>
    <w:rsid w:val="009856EC"/>
    <w:rsid w:val="009912B8"/>
    <w:rsid w:val="00991652"/>
    <w:rsid w:val="00993121"/>
    <w:rsid w:val="0099370B"/>
    <w:rsid w:val="00993BA5"/>
    <w:rsid w:val="00995693"/>
    <w:rsid w:val="009A4C0F"/>
    <w:rsid w:val="009A5957"/>
    <w:rsid w:val="009A5B4C"/>
    <w:rsid w:val="009A75A0"/>
    <w:rsid w:val="009B0492"/>
    <w:rsid w:val="009B08B2"/>
    <w:rsid w:val="009B08BC"/>
    <w:rsid w:val="009B13A1"/>
    <w:rsid w:val="009B1546"/>
    <w:rsid w:val="009B1644"/>
    <w:rsid w:val="009B386F"/>
    <w:rsid w:val="009C0946"/>
    <w:rsid w:val="009C414E"/>
    <w:rsid w:val="009C5D0A"/>
    <w:rsid w:val="009D0425"/>
    <w:rsid w:val="009D1CC1"/>
    <w:rsid w:val="009D2C94"/>
    <w:rsid w:val="009D385D"/>
    <w:rsid w:val="009D5D56"/>
    <w:rsid w:val="009D5DA2"/>
    <w:rsid w:val="009E0273"/>
    <w:rsid w:val="009E1CE4"/>
    <w:rsid w:val="009E2103"/>
    <w:rsid w:val="009E21DC"/>
    <w:rsid w:val="009E4D98"/>
    <w:rsid w:val="009E5256"/>
    <w:rsid w:val="009E7450"/>
    <w:rsid w:val="009F2B85"/>
    <w:rsid w:val="009F2BA9"/>
    <w:rsid w:val="009F372D"/>
    <w:rsid w:val="009F3A74"/>
    <w:rsid w:val="009F3BBA"/>
    <w:rsid w:val="009F4827"/>
    <w:rsid w:val="009F48CB"/>
    <w:rsid w:val="009F573C"/>
    <w:rsid w:val="009F5A99"/>
    <w:rsid w:val="009F69B0"/>
    <w:rsid w:val="009F6DAD"/>
    <w:rsid w:val="009F73C1"/>
    <w:rsid w:val="009F759A"/>
    <w:rsid w:val="00A00C96"/>
    <w:rsid w:val="00A00F49"/>
    <w:rsid w:val="00A00FF6"/>
    <w:rsid w:val="00A03DF6"/>
    <w:rsid w:val="00A047F2"/>
    <w:rsid w:val="00A06FB0"/>
    <w:rsid w:val="00A10398"/>
    <w:rsid w:val="00A10DB1"/>
    <w:rsid w:val="00A11834"/>
    <w:rsid w:val="00A15B51"/>
    <w:rsid w:val="00A16927"/>
    <w:rsid w:val="00A2194D"/>
    <w:rsid w:val="00A23430"/>
    <w:rsid w:val="00A23E15"/>
    <w:rsid w:val="00A255CB"/>
    <w:rsid w:val="00A27062"/>
    <w:rsid w:val="00A271E9"/>
    <w:rsid w:val="00A3089F"/>
    <w:rsid w:val="00A30A6C"/>
    <w:rsid w:val="00A31E8F"/>
    <w:rsid w:val="00A32C88"/>
    <w:rsid w:val="00A36699"/>
    <w:rsid w:val="00A412BF"/>
    <w:rsid w:val="00A45774"/>
    <w:rsid w:val="00A47EC0"/>
    <w:rsid w:val="00A50A9D"/>
    <w:rsid w:val="00A5135F"/>
    <w:rsid w:val="00A537CF"/>
    <w:rsid w:val="00A5494C"/>
    <w:rsid w:val="00A55ECC"/>
    <w:rsid w:val="00A57A39"/>
    <w:rsid w:val="00A60570"/>
    <w:rsid w:val="00A608B1"/>
    <w:rsid w:val="00A61482"/>
    <w:rsid w:val="00A62A41"/>
    <w:rsid w:val="00A641DF"/>
    <w:rsid w:val="00A65BF5"/>
    <w:rsid w:val="00A67BEE"/>
    <w:rsid w:val="00A7187B"/>
    <w:rsid w:val="00A728DB"/>
    <w:rsid w:val="00A73C0C"/>
    <w:rsid w:val="00A75242"/>
    <w:rsid w:val="00A8134F"/>
    <w:rsid w:val="00A81BDC"/>
    <w:rsid w:val="00A82727"/>
    <w:rsid w:val="00A8454A"/>
    <w:rsid w:val="00A84B88"/>
    <w:rsid w:val="00A877B6"/>
    <w:rsid w:val="00A90FDF"/>
    <w:rsid w:val="00A9479C"/>
    <w:rsid w:val="00A94CD2"/>
    <w:rsid w:val="00A968CE"/>
    <w:rsid w:val="00A97CCB"/>
    <w:rsid w:val="00AA04C3"/>
    <w:rsid w:val="00AA0714"/>
    <w:rsid w:val="00AA548A"/>
    <w:rsid w:val="00AA6273"/>
    <w:rsid w:val="00AA632B"/>
    <w:rsid w:val="00AA677C"/>
    <w:rsid w:val="00AA7082"/>
    <w:rsid w:val="00AB1281"/>
    <w:rsid w:val="00AB22EA"/>
    <w:rsid w:val="00AB3949"/>
    <w:rsid w:val="00AB3EA7"/>
    <w:rsid w:val="00AB4AB1"/>
    <w:rsid w:val="00AB58B2"/>
    <w:rsid w:val="00AB5CE5"/>
    <w:rsid w:val="00AC0479"/>
    <w:rsid w:val="00AC5873"/>
    <w:rsid w:val="00AC6677"/>
    <w:rsid w:val="00AD2225"/>
    <w:rsid w:val="00AD5CC0"/>
    <w:rsid w:val="00AD5EAB"/>
    <w:rsid w:val="00AD5EAF"/>
    <w:rsid w:val="00AE0B75"/>
    <w:rsid w:val="00AE132B"/>
    <w:rsid w:val="00AE2154"/>
    <w:rsid w:val="00AE505C"/>
    <w:rsid w:val="00AE6B78"/>
    <w:rsid w:val="00AF2C42"/>
    <w:rsid w:val="00AF2DB3"/>
    <w:rsid w:val="00AF35EB"/>
    <w:rsid w:val="00AF3ECA"/>
    <w:rsid w:val="00AF42F0"/>
    <w:rsid w:val="00AF5B58"/>
    <w:rsid w:val="00AF7DE3"/>
    <w:rsid w:val="00B0128A"/>
    <w:rsid w:val="00B01BD5"/>
    <w:rsid w:val="00B02AB8"/>
    <w:rsid w:val="00B03943"/>
    <w:rsid w:val="00B05353"/>
    <w:rsid w:val="00B11074"/>
    <w:rsid w:val="00B142D1"/>
    <w:rsid w:val="00B14E33"/>
    <w:rsid w:val="00B1670C"/>
    <w:rsid w:val="00B16B84"/>
    <w:rsid w:val="00B17B7E"/>
    <w:rsid w:val="00B21D03"/>
    <w:rsid w:val="00B23100"/>
    <w:rsid w:val="00B407CC"/>
    <w:rsid w:val="00B5270D"/>
    <w:rsid w:val="00B54F76"/>
    <w:rsid w:val="00B555A0"/>
    <w:rsid w:val="00B55F97"/>
    <w:rsid w:val="00B60FD0"/>
    <w:rsid w:val="00B621B6"/>
    <w:rsid w:val="00B63555"/>
    <w:rsid w:val="00B702F4"/>
    <w:rsid w:val="00B716E6"/>
    <w:rsid w:val="00B71990"/>
    <w:rsid w:val="00B71D61"/>
    <w:rsid w:val="00B73979"/>
    <w:rsid w:val="00B828A5"/>
    <w:rsid w:val="00B82C46"/>
    <w:rsid w:val="00B85594"/>
    <w:rsid w:val="00B921A2"/>
    <w:rsid w:val="00B93D12"/>
    <w:rsid w:val="00BA093E"/>
    <w:rsid w:val="00BA0D70"/>
    <w:rsid w:val="00BA24A6"/>
    <w:rsid w:val="00BA263D"/>
    <w:rsid w:val="00BA2971"/>
    <w:rsid w:val="00BA3777"/>
    <w:rsid w:val="00BA48FA"/>
    <w:rsid w:val="00BA4ABE"/>
    <w:rsid w:val="00BA63DE"/>
    <w:rsid w:val="00BA6FAF"/>
    <w:rsid w:val="00BB0A32"/>
    <w:rsid w:val="00BB0B06"/>
    <w:rsid w:val="00BB2188"/>
    <w:rsid w:val="00BB46F9"/>
    <w:rsid w:val="00BB6414"/>
    <w:rsid w:val="00BC0077"/>
    <w:rsid w:val="00BC590E"/>
    <w:rsid w:val="00BD047B"/>
    <w:rsid w:val="00BD238D"/>
    <w:rsid w:val="00BD2B44"/>
    <w:rsid w:val="00BD2C00"/>
    <w:rsid w:val="00BD2C3F"/>
    <w:rsid w:val="00BE1391"/>
    <w:rsid w:val="00BE389F"/>
    <w:rsid w:val="00BE71B8"/>
    <w:rsid w:val="00BE7723"/>
    <w:rsid w:val="00BE7D5F"/>
    <w:rsid w:val="00BF25BF"/>
    <w:rsid w:val="00BF59C3"/>
    <w:rsid w:val="00BF618D"/>
    <w:rsid w:val="00BF79D3"/>
    <w:rsid w:val="00BF7C7C"/>
    <w:rsid w:val="00C015C2"/>
    <w:rsid w:val="00C02729"/>
    <w:rsid w:val="00C03D88"/>
    <w:rsid w:val="00C03F77"/>
    <w:rsid w:val="00C04FF1"/>
    <w:rsid w:val="00C1093F"/>
    <w:rsid w:val="00C12329"/>
    <w:rsid w:val="00C125AB"/>
    <w:rsid w:val="00C21CAC"/>
    <w:rsid w:val="00C2238C"/>
    <w:rsid w:val="00C23AEC"/>
    <w:rsid w:val="00C23F02"/>
    <w:rsid w:val="00C24755"/>
    <w:rsid w:val="00C24989"/>
    <w:rsid w:val="00C25176"/>
    <w:rsid w:val="00C2528A"/>
    <w:rsid w:val="00C254DF"/>
    <w:rsid w:val="00C26AF2"/>
    <w:rsid w:val="00C27A0A"/>
    <w:rsid w:val="00C30D67"/>
    <w:rsid w:val="00C319F4"/>
    <w:rsid w:val="00C32B03"/>
    <w:rsid w:val="00C32D2A"/>
    <w:rsid w:val="00C335F2"/>
    <w:rsid w:val="00C33F90"/>
    <w:rsid w:val="00C35B2A"/>
    <w:rsid w:val="00C368C0"/>
    <w:rsid w:val="00C37B99"/>
    <w:rsid w:val="00C37DC4"/>
    <w:rsid w:val="00C37FD9"/>
    <w:rsid w:val="00C432A7"/>
    <w:rsid w:val="00C4336F"/>
    <w:rsid w:val="00C44F7F"/>
    <w:rsid w:val="00C45C9C"/>
    <w:rsid w:val="00C45FB9"/>
    <w:rsid w:val="00C46B3E"/>
    <w:rsid w:val="00C47288"/>
    <w:rsid w:val="00C51229"/>
    <w:rsid w:val="00C55095"/>
    <w:rsid w:val="00C613A4"/>
    <w:rsid w:val="00C62293"/>
    <w:rsid w:val="00C63A22"/>
    <w:rsid w:val="00C666F3"/>
    <w:rsid w:val="00C67A86"/>
    <w:rsid w:val="00C70B71"/>
    <w:rsid w:val="00C74750"/>
    <w:rsid w:val="00C75F63"/>
    <w:rsid w:val="00C7642D"/>
    <w:rsid w:val="00C80B4A"/>
    <w:rsid w:val="00C83BA4"/>
    <w:rsid w:val="00C840C7"/>
    <w:rsid w:val="00C8698C"/>
    <w:rsid w:val="00C90E10"/>
    <w:rsid w:val="00C914DE"/>
    <w:rsid w:val="00C92230"/>
    <w:rsid w:val="00C93068"/>
    <w:rsid w:val="00C93DBA"/>
    <w:rsid w:val="00C973DA"/>
    <w:rsid w:val="00CA4134"/>
    <w:rsid w:val="00CA44FC"/>
    <w:rsid w:val="00CA7A00"/>
    <w:rsid w:val="00CB00E3"/>
    <w:rsid w:val="00CB44EA"/>
    <w:rsid w:val="00CB5202"/>
    <w:rsid w:val="00CB556E"/>
    <w:rsid w:val="00CB6136"/>
    <w:rsid w:val="00CB634F"/>
    <w:rsid w:val="00CB7F80"/>
    <w:rsid w:val="00CC057E"/>
    <w:rsid w:val="00CC1325"/>
    <w:rsid w:val="00CC1B04"/>
    <w:rsid w:val="00CD3BEC"/>
    <w:rsid w:val="00CD41B4"/>
    <w:rsid w:val="00CD472A"/>
    <w:rsid w:val="00CD537F"/>
    <w:rsid w:val="00CD5754"/>
    <w:rsid w:val="00CD6756"/>
    <w:rsid w:val="00CD7CCD"/>
    <w:rsid w:val="00CE0218"/>
    <w:rsid w:val="00CE2985"/>
    <w:rsid w:val="00CE35DA"/>
    <w:rsid w:val="00CF094D"/>
    <w:rsid w:val="00CF1679"/>
    <w:rsid w:val="00CF26C4"/>
    <w:rsid w:val="00CF3458"/>
    <w:rsid w:val="00CF76E8"/>
    <w:rsid w:val="00CF7CE4"/>
    <w:rsid w:val="00D00D00"/>
    <w:rsid w:val="00D01D91"/>
    <w:rsid w:val="00D01EDD"/>
    <w:rsid w:val="00D03134"/>
    <w:rsid w:val="00D10561"/>
    <w:rsid w:val="00D11E93"/>
    <w:rsid w:val="00D1271C"/>
    <w:rsid w:val="00D1311C"/>
    <w:rsid w:val="00D14B39"/>
    <w:rsid w:val="00D15DC7"/>
    <w:rsid w:val="00D22AB8"/>
    <w:rsid w:val="00D2734D"/>
    <w:rsid w:val="00D40FB2"/>
    <w:rsid w:val="00D426E7"/>
    <w:rsid w:val="00D44B5C"/>
    <w:rsid w:val="00D4588E"/>
    <w:rsid w:val="00D4597F"/>
    <w:rsid w:val="00D46D7A"/>
    <w:rsid w:val="00D47F5D"/>
    <w:rsid w:val="00D52086"/>
    <w:rsid w:val="00D52970"/>
    <w:rsid w:val="00D54990"/>
    <w:rsid w:val="00D54F29"/>
    <w:rsid w:val="00D60977"/>
    <w:rsid w:val="00D61191"/>
    <w:rsid w:val="00D63C57"/>
    <w:rsid w:val="00D65C30"/>
    <w:rsid w:val="00D6670A"/>
    <w:rsid w:val="00D67B25"/>
    <w:rsid w:val="00D71F16"/>
    <w:rsid w:val="00D73CD8"/>
    <w:rsid w:val="00D747DF"/>
    <w:rsid w:val="00D80FF9"/>
    <w:rsid w:val="00D81604"/>
    <w:rsid w:val="00D90F1C"/>
    <w:rsid w:val="00D9164A"/>
    <w:rsid w:val="00D91A6D"/>
    <w:rsid w:val="00D91D80"/>
    <w:rsid w:val="00D94CCC"/>
    <w:rsid w:val="00D95457"/>
    <w:rsid w:val="00D95631"/>
    <w:rsid w:val="00D964D2"/>
    <w:rsid w:val="00D9777E"/>
    <w:rsid w:val="00D97E0B"/>
    <w:rsid w:val="00D97F9A"/>
    <w:rsid w:val="00DA0588"/>
    <w:rsid w:val="00DA3638"/>
    <w:rsid w:val="00DA4644"/>
    <w:rsid w:val="00DA61F8"/>
    <w:rsid w:val="00DA73FE"/>
    <w:rsid w:val="00DB35C2"/>
    <w:rsid w:val="00DB3E79"/>
    <w:rsid w:val="00DB54D9"/>
    <w:rsid w:val="00DB70C4"/>
    <w:rsid w:val="00DB7968"/>
    <w:rsid w:val="00DB7D4C"/>
    <w:rsid w:val="00DC2AA1"/>
    <w:rsid w:val="00DC2E99"/>
    <w:rsid w:val="00DC332A"/>
    <w:rsid w:val="00DC3F21"/>
    <w:rsid w:val="00DC3F78"/>
    <w:rsid w:val="00DC3F81"/>
    <w:rsid w:val="00DC41DE"/>
    <w:rsid w:val="00DD2AC4"/>
    <w:rsid w:val="00DD3F35"/>
    <w:rsid w:val="00DE041E"/>
    <w:rsid w:val="00DE1F2D"/>
    <w:rsid w:val="00DE2A7B"/>
    <w:rsid w:val="00DE64A9"/>
    <w:rsid w:val="00DE69EE"/>
    <w:rsid w:val="00DF08DE"/>
    <w:rsid w:val="00DF40ED"/>
    <w:rsid w:val="00DF4CFA"/>
    <w:rsid w:val="00E01CEC"/>
    <w:rsid w:val="00E0391A"/>
    <w:rsid w:val="00E03A9E"/>
    <w:rsid w:val="00E04267"/>
    <w:rsid w:val="00E07172"/>
    <w:rsid w:val="00E120D0"/>
    <w:rsid w:val="00E129C9"/>
    <w:rsid w:val="00E17B41"/>
    <w:rsid w:val="00E229A3"/>
    <w:rsid w:val="00E26BA3"/>
    <w:rsid w:val="00E33ABF"/>
    <w:rsid w:val="00E417C5"/>
    <w:rsid w:val="00E42A85"/>
    <w:rsid w:val="00E50EEB"/>
    <w:rsid w:val="00E51BC9"/>
    <w:rsid w:val="00E55AAB"/>
    <w:rsid w:val="00E564E8"/>
    <w:rsid w:val="00E65023"/>
    <w:rsid w:val="00E65FE2"/>
    <w:rsid w:val="00E66008"/>
    <w:rsid w:val="00E71056"/>
    <w:rsid w:val="00E718BD"/>
    <w:rsid w:val="00E722AF"/>
    <w:rsid w:val="00E80CEE"/>
    <w:rsid w:val="00E82C12"/>
    <w:rsid w:val="00E84A38"/>
    <w:rsid w:val="00E9323B"/>
    <w:rsid w:val="00E950DB"/>
    <w:rsid w:val="00E95529"/>
    <w:rsid w:val="00EA01AC"/>
    <w:rsid w:val="00EA0B33"/>
    <w:rsid w:val="00EA100C"/>
    <w:rsid w:val="00EA5777"/>
    <w:rsid w:val="00EB2D42"/>
    <w:rsid w:val="00EB4DF2"/>
    <w:rsid w:val="00EB5C29"/>
    <w:rsid w:val="00EC10FD"/>
    <w:rsid w:val="00EC1254"/>
    <w:rsid w:val="00EC14FC"/>
    <w:rsid w:val="00EC4686"/>
    <w:rsid w:val="00ED07DF"/>
    <w:rsid w:val="00ED0B9A"/>
    <w:rsid w:val="00ED0D88"/>
    <w:rsid w:val="00ED3D74"/>
    <w:rsid w:val="00ED42B5"/>
    <w:rsid w:val="00ED7B90"/>
    <w:rsid w:val="00EE1282"/>
    <w:rsid w:val="00EE14CB"/>
    <w:rsid w:val="00EE2D47"/>
    <w:rsid w:val="00EE37D3"/>
    <w:rsid w:val="00EE406C"/>
    <w:rsid w:val="00EF0350"/>
    <w:rsid w:val="00EF0F77"/>
    <w:rsid w:val="00EF2B7C"/>
    <w:rsid w:val="00EF691C"/>
    <w:rsid w:val="00F00E4D"/>
    <w:rsid w:val="00F05F6D"/>
    <w:rsid w:val="00F07436"/>
    <w:rsid w:val="00F078AC"/>
    <w:rsid w:val="00F10AF7"/>
    <w:rsid w:val="00F12497"/>
    <w:rsid w:val="00F12962"/>
    <w:rsid w:val="00F2115A"/>
    <w:rsid w:val="00F21E75"/>
    <w:rsid w:val="00F23375"/>
    <w:rsid w:val="00F266D3"/>
    <w:rsid w:val="00F26C6C"/>
    <w:rsid w:val="00F26E96"/>
    <w:rsid w:val="00F2739F"/>
    <w:rsid w:val="00F30797"/>
    <w:rsid w:val="00F337DD"/>
    <w:rsid w:val="00F35A52"/>
    <w:rsid w:val="00F36E15"/>
    <w:rsid w:val="00F41CD5"/>
    <w:rsid w:val="00F43570"/>
    <w:rsid w:val="00F45A80"/>
    <w:rsid w:val="00F4720B"/>
    <w:rsid w:val="00F47484"/>
    <w:rsid w:val="00F47C14"/>
    <w:rsid w:val="00F53BD0"/>
    <w:rsid w:val="00F54766"/>
    <w:rsid w:val="00F608F1"/>
    <w:rsid w:val="00F65356"/>
    <w:rsid w:val="00F65883"/>
    <w:rsid w:val="00F76E04"/>
    <w:rsid w:val="00F775A7"/>
    <w:rsid w:val="00F817AC"/>
    <w:rsid w:val="00F81AB7"/>
    <w:rsid w:val="00F83718"/>
    <w:rsid w:val="00F84042"/>
    <w:rsid w:val="00F84975"/>
    <w:rsid w:val="00F85133"/>
    <w:rsid w:val="00F9092C"/>
    <w:rsid w:val="00F93BC7"/>
    <w:rsid w:val="00F9441E"/>
    <w:rsid w:val="00F94421"/>
    <w:rsid w:val="00F946ED"/>
    <w:rsid w:val="00F965BC"/>
    <w:rsid w:val="00FA2A4F"/>
    <w:rsid w:val="00FA2CCF"/>
    <w:rsid w:val="00FA3740"/>
    <w:rsid w:val="00FA3A1B"/>
    <w:rsid w:val="00FA3BBC"/>
    <w:rsid w:val="00FB0857"/>
    <w:rsid w:val="00FB13A9"/>
    <w:rsid w:val="00FB2022"/>
    <w:rsid w:val="00FB265C"/>
    <w:rsid w:val="00FB2970"/>
    <w:rsid w:val="00FB556D"/>
    <w:rsid w:val="00FC033B"/>
    <w:rsid w:val="00FC0B62"/>
    <w:rsid w:val="00FC1C67"/>
    <w:rsid w:val="00FC2011"/>
    <w:rsid w:val="00FC2B90"/>
    <w:rsid w:val="00FC4A2E"/>
    <w:rsid w:val="00FC6726"/>
    <w:rsid w:val="00FD4385"/>
    <w:rsid w:val="00FD5FBD"/>
    <w:rsid w:val="00FE1B4D"/>
    <w:rsid w:val="00FE21F0"/>
    <w:rsid w:val="00FE2CB7"/>
    <w:rsid w:val="00FE4811"/>
    <w:rsid w:val="00FE4969"/>
    <w:rsid w:val="00FE5B14"/>
    <w:rsid w:val="00FF07C1"/>
    <w:rsid w:val="00FF0D5C"/>
    <w:rsid w:val="00FF2B51"/>
    <w:rsid w:val="00FF45F4"/>
    <w:rsid w:val="00FF5EC5"/>
    <w:rsid w:val="00FF61E5"/>
    <w:rsid w:val="00FF6CC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03F266"/>
  <w15:docId w15:val="{EEC9E1D0-E106-4F58-B2A7-81C5BA60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rPr>
  </w:style>
  <w:style w:type="paragraph" w:styleId="Heading1">
    <w:name w:val="heading 1"/>
    <w:basedOn w:val="Normal"/>
    <w:next w:val="Normal"/>
    <w:link w:val="Heading1Char"/>
    <w:uiPriority w:val="99"/>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uiPriority w:val="99"/>
    <w:qFormat/>
    <w:rsid w:val="00BD2B44"/>
    <w:pPr>
      <w:outlineLvl w:val="1"/>
    </w:pPr>
    <w:rPr>
      <w:b/>
    </w:rPr>
  </w:style>
  <w:style w:type="paragraph" w:styleId="Heading4">
    <w:name w:val="heading 4"/>
    <w:basedOn w:val="Normal"/>
    <w:next w:val="Normal"/>
    <w:link w:val="Heading4Char"/>
    <w:uiPriority w:val="99"/>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890996"/>
    <w:pPr>
      <w:spacing w:before="240" w:after="60"/>
      <w:outlineLvl w:val="4"/>
    </w:pPr>
    <w:rPr>
      <w:b/>
      <w:bCs/>
      <w:i/>
      <w:iCs/>
      <w:sz w:val="26"/>
      <w:szCs w:val="26"/>
    </w:rPr>
  </w:style>
  <w:style w:type="paragraph" w:styleId="Heading6">
    <w:name w:val="heading 6"/>
    <w:basedOn w:val="Normal"/>
    <w:next w:val="Normal"/>
    <w:link w:val="Heading6Char"/>
    <w:uiPriority w:val="99"/>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uiPriority w:val="99"/>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B44"/>
    <w:rPr>
      <w:rFonts w:ascii="Arial" w:hAnsi="Arial" w:cs="Times New Roman"/>
      <w:sz w:val="18"/>
      <w:szCs w:val="18"/>
      <w:lang w:val="en-AU" w:eastAsia="en-AU" w:bidi="ar-SA"/>
    </w:rPr>
  </w:style>
  <w:style w:type="character" w:customStyle="1" w:styleId="Heading2Char">
    <w:name w:val="Heading 2 Char"/>
    <w:basedOn w:val="Heading1Char"/>
    <w:link w:val="Heading2"/>
    <w:uiPriority w:val="99"/>
    <w:locked/>
    <w:rsid w:val="00BD2B44"/>
    <w:rPr>
      <w:rFonts w:ascii="Arial" w:hAnsi="Arial" w:cs="Times New Roman"/>
      <w:b/>
      <w:sz w:val="18"/>
      <w:szCs w:val="18"/>
      <w:lang w:val="en-AU" w:eastAsia="en-AU" w:bidi="ar-SA"/>
    </w:rPr>
  </w:style>
  <w:style w:type="character" w:customStyle="1" w:styleId="Heading4Char">
    <w:name w:val="Heading 4 Char"/>
    <w:basedOn w:val="DefaultParagraphFont"/>
    <w:link w:val="Heading4"/>
    <w:uiPriority w:val="99"/>
    <w:semiHidden/>
    <w:locked/>
    <w:rsid w:val="009B049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B049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B0492"/>
    <w:rPr>
      <w:rFonts w:ascii="Calibri" w:hAnsi="Calibri" w:cs="Times New Roman"/>
      <w:b/>
      <w:bCs/>
    </w:rPr>
  </w:style>
  <w:style w:type="character" w:customStyle="1" w:styleId="Heading7Char">
    <w:name w:val="Heading 7 Char"/>
    <w:basedOn w:val="DefaultParagraphFont"/>
    <w:link w:val="Heading7"/>
    <w:uiPriority w:val="99"/>
    <w:semiHidden/>
    <w:locked/>
    <w:rsid w:val="009B049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B049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B0492"/>
    <w:rPr>
      <w:rFonts w:ascii="Cambria" w:hAnsi="Cambria" w:cs="Times New Roman"/>
    </w:rPr>
  </w:style>
  <w:style w:type="paragraph" w:styleId="Footer">
    <w:name w:val="footer"/>
    <w:basedOn w:val="Normal"/>
    <w:link w:val="FooterChar"/>
    <w:uiPriority w:val="99"/>
    <w:rsid w:val="00184B7C"/>
    <w:pPr>
      <w:tabs>
        <w:tab w:val="center" w:pos="4153"/>
        <w:tab w:val="right" w:pos="8306"/>
      </w:tabs>
    </w:pPr>
  </w:style>
  <w:style w:type="character" w:customStyle="1" w:styleId="FooterChar">
    <w:name w:val="Footer Char"/>
    <w:basedOn w:val="DefaultParagraphFont"/>
    <w:link w:val="Footer"/>
    <w:uiPriority w:val="99"/>
    <w:semiHidden/>
    <w:locked/>
    <w:rsid w:val="009B0492"/>
    <w:rPr>
      <w:rFonts w:ascii="Arial" w:hAnsi="Arial" w:cs="Arial"/>
      <w:sz w:val="20"/>
      <w:szCs w:val="20"/>
    </w:rPr>
  </w:style>
  <w:style w:type="paragraph" w:styleId="Header">
    <w:name w:val="header"/>
    <w:basedOn w:val="Normal"/>
    <w:link w:val="HeaderChar"/>
    <w:uiPriority w:val="99"/>
    <w:rsid w:val="00184B7C"/>
    <w:pPr>
      <w:tabs>
        <w:tab w:val="center" w:pos="4153"/>
        <w:tab w:val="right" w:pos="8306"/>
      </w:tabs>
    </w:pPr>
  </w:style>
  <w:style w:type="character" w:customStyle="1" w:styleId="HeaderChar">
    <w:name w:val="Header Char"/>
    <w:basedOn w:val="DefaultParagraphFont"/>
    <w:link w:val="Header"/>
    <w:uiPriority w:val="99"/>
    <w:semiHidden/>
    <w:locked/>
    <w:rsid w:val="009B0492"/>
    <w:rPr>
      <w:rFonts w:ascii="Arial" w:hAnsi="Arial" w:cs="Arial"/>
      <w:sz w:val="20"/>
      <w:szCs w:val="20"/>
    </w:rPr>
  </w:style>
  <w:style w:type="paragraph" w:styleId="BalloonText">
    <w:name w:val="Balloon Text"/>
    <w:basedOn w:val="Normal"/>
    <w:link w:val="BalloonTextChar"/>
    <w:uiPriority w:val="99"/>
    <w:semiHidden/>
    <w:rsid w:val="00CB52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0492"/>
    <w:rPr>
      <w:rFonts w:cs="Arial"/>
      <w:sz w:val="2"/>
    </w:rPr>
  </w:style>
  <w:style w:type="paragraph" w:customStyle="1" w:styleId="NTTHeaderInfo">
    <w:name w:val="NTT Header Info"/>
    <w:uiPriority w:val="99"/>
    <w:rsid w:val="00713E0D"/>
    <w:pPr>
      <w:spacing w:line="240" w:lineRule="exact"/>
      <w:jc w:val="right"/>
    </w:pPr>
    <w:rPr>
      <w:rFonts w:ascii="Arial" w:hAnsi="Arial"/>
      <w:sz w:val="18"/>
      <w:szCs w:val="18"/>
    </w:rPr>
  </w:style>
  <w:style w:type="paragraph" w:customStyle="1" w:styleId="NTTBodyText">
    <w:name w:val="NTT Body Text"/>
    <w:uiPriority w:val="99"/>
    <w:rsid w:val="00E51BC9"/>
    <w:pPr>
      <w:spacing w:after="120" w:line="300" w:lineRule="exact"/>
    </w:pPr>
    <w:rPr>
      <w:rFonts w:ascii="Arial" w:hAnsi="Arial"/>
      <w:szCs w:val="24"/>
    </w:rPr>
  </w:style>
  <w:style w:type="character" w:styleId="PageNumber">
    <w:name w:val="page number"/>
    <w:basedOn w:val="DefaultParagraphFont"/>
    <w:uiPriority w:val="99"/>
    <w:rsid w:val="0019571B"/>
    <w:rPr>
      <w:rFonts w:cs="Times New Roman"/>
    </w:rPr>
  </w:style>
  <w:style w:type="paragraph" w:customStyle="1" w:styleId="NTTBodyTextTitle">
    <w:name w:val="NTT Body Text Title"/>
    <w:basedOn w:val="NTTBodyText"/>
    <w:uiPriority w:val="99"/>
    <w:rsid w:val="001D7DC4"/>
    <w:rPr>
      <w:b/>
      <w:bCs/>
    </w:rPr>
  </w:style>
  <w:style w:type="table" w:styleId="TableGrid">
    <w:name w:val="Table Grid"/>
    <w:basedOn w:val="TableNormal"/>
    <w:uiPriority w:val="99"/>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uiPriority w:val="99"/>
    <w:rsid w:val="00364D5F"/>
    <w:pPr>
      <w:spacing w:after="120"/>
      <w:jc w:val="center"/>
    </w:pPr>
    <w:rPr>
      <w:rFonts w:cs="Times New Roman"/>
      <w:b/>
      <w:bCs/>
      <w:sz w:val="32"/>
    </w:rPr>
  </w:style>
  <w:style w:type="paragraph" w:customStyle="1" w:styleId="HeadingTwo">
    <w:name w:val="Heading Two"/>
    <w:basedOn w:val="Normal"/>
    <w:uiPriority w:val="99"/>
    <w:rsid w:val="00EE14CB"/>
    <w:pPr>
      <w:keepNext/>
      <w:pBdr>
        <w:bottom w:val="single" w:sz="4" w:space="1" w:color="auto"/>
      </w:pBdr>
      <w:spacing w:before="360" w:after="120"/>
    </w:pPr>
    <w:rPr>
      <w:rFonts w:cs="Times New Roman"/>
      <w:b/>
      <w:bCs/>
    </w:rPr>
  </w:style>
  <w:style w:type="character" w:styleId="Hyperlink">
    <w:name w:val="Hyperlink"/>
    <w:basedOn w:val="DefaultParagraphFont"/>
    <w:uiPriority w:val="99"/>
    <w:rsid w:val="00545D20"/>
    <w:rPr>
      <w:rFonts w:cs="Times New Roman"/>
      <w:color w:val="0000FF"/>
      <w:u w:val="single"/>
    </w:rPr>
  </w:style>
  <w:style w:type="paragraph" w:styleId="BlockText">
    <w:name w:val="Block Text"/>
    <w:basedOn w:val="ListNumber"/>
    <w:link w:val="BlockTextChar"/>
    <w:rsid w:val="00F65356"/>
    <w:pPr>
      <w:tabs>
        <w:tab w:val="clear" w:pos="360"/>
        <w:tab w:val="num" w:pos="2007"/>
      </w:tabs>
      <w:spacing w:after="120"/>
      <w:ind w:left="2007" w:hanging="567"/>
      <w:jc w:val="both"/>
    </w:pPr>
  </w:style>
  <w:style w:type="paragraph" w:customStyle="1" w:styleId="HeadingThree">
    <w:name w:val="Heading Three"/>
    <w:basedOn w:val="HeadingTwo"/>
    <w:link w:val="HeadingThreeChar"/>
    <w:uiPriority w:val="99"/>
    <w:rsid w:val="00545D20"/>
    <w:pPr>
      <w:pBdr>
        <w:bottom w:val="none" w:sz="0" w:space="0" w:color="auto"/>
      </w:pBdr>
    </w:pPr>
    <w:rPr>
      <w:i/>
      <w:iCs/>
    </w:rPr>
  </w:style>
  <w:style w:type="paragraph" w:customStyle="1" w:styleId="HeadingFour">
    <w:name w:val="Heading Four"/>
    <w:basedOn w:val="HeadingThree"/>
    <w:uiPriority w:val="99"/>
    <w:rsid w:val="006034B6"/>
    <w:rPr>
      <w:b w:val="0"/>
      <w:bCs w:val="0"/>
      <w:u w:val="single"/>
    </w:rPr>
  </w:style>
  <w:style w:type="paragraph" w:styleId="BodyText2">
    <w:name w:val="Body Text 2"/>
    <w:basedOn w:val="Normal"/>
    <w:link w:val="BodyText2Char"/>
    <w:uiPriority w:val="99"/>
    <w:rsid w:val="00513926"/>
    <w:pPr>
      <w:spacing w:after="120"/>
      <w:jc w:val="both"/>
    </w:pPr>
    <w:rPr>
      <w:rFonts w:ascii="Tahoma" w:hAnsi="Tahoma" w:cs="Times New Roman"/>
      <w:b/>
    </w:rPr>
  </w:style>
  <w:style w:type="character" w:customStyle="1" w:styleId="BodyText2Char">
    <w:name w:val="Body Text 2 Char"/>
    <w:basedOn w:val="DefaultParagraphFont"/>
    <w:link w:val="BodyText2"/>
    <w:uiPriority w:val="99"/>
    <w:semiHidden/>
    <w:locked/>
    <w:rsid w:val="009B0492"/>
    <w:rPr>
      <w:rFonts w:ascii="Arial" w:hAnsi="Arial" w:cs="Arial"/>
      <w:sz w:val="20"/>
      <w:szCs w:val="20"/>
    </w:rPr>
  </w:style>
  <w:style w:type="paragraph" w:styleId="ListNumber">
    <w:name w:val="List Number"/>
    <w:basedOn w:val="Normal"/>
    <w:uiPriority w:val="99"/>
    <w:rsid w:val="00890996"/>
    <w:pPr>
      <w:tabs>
        <w:tab w:val="num" w:pos="360"/>
      </w:tabs>
      <w:ind w:left="360" w:hanging="360"/>
    </w:pPr>
  </w:style>
  <w:style w:type="paragraph" w:customStyle="1" w:styleId="ExampleBox">
    <w:name w:val="Example Box"/>
    <w:uiPriority w:val="99"/>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rPr>
  </w:style>
  <w:style w:type="paragraph" w:customStyle="1" w:styleId="BodyText">
    <w:name w:val="Body Text."/>
    <w:basedOn w:val="Normal"/>
    <w:autoRedefine/>
    <w:uiPriority w:val="99"/>
    <w:rsid w:val="0070142F"/>
    <w:pPr>
      <w:spacing w:before="120" w:line="260" w:lineRule="exact"/>
      <w:jc w:val="both"/>
    </w:pPr>
    <w:rPr>
      <w:rFonts w:cs="Times New Roman"/>
      <w:noProof/>
      <w:sz w:val="21"/>
    </w:rPr>
  </w:style>
  <w:style w:type="character" w:customStyle="1" w:styleId="BlockTextChar">
    <w:name w:val="Block Text Char"/>
    <w:basedOn w:val="DefaultParagraphFont"/>
    <w:link w:val="BlockText"/>
    <w:locked/>
    <w:rsid w:val="00EE14CB"/>
    <w:rPr>
      <w:rFonts w:ascii="Arial" w:hAnsi="Arial" w:cs="Arial"/>
      <w:szCs w:val="20"/>
    </w:rPr>
  </w:style>
  <w:style w:type="character" w:customStyle="1" w:styleId="HeadingThreeChar">
    <w:name w:val="Heading Three Char"/>
    <w:basedOn w:val="DefaultParagraphFont"/>
    <w:link w:val="HeadingThree"/>
    <w:uiPriority w:val="99"/>
    <w:locked/>
    <w:rsid w:val="00EE14CB"/>
    <w:rPr>
      <w:rFonts w:ascii="Arial" w:hAnsi="Arial" w:cs="Times New Roman"/>
      <w:b/>
      <w:bCs/>
      <w:i/>
      <w:iCs/>
      <w:sz w:val="22"/>
      <w:lang w:val="en-AU" w:eastAsia="en-AU" w:bidi="ar-SA"/>
    </w:rPr>
  </w:style>
  <w:style w:type="character" w:styleId="FollowedHyperlink">
    <w:name w:val="FollowedHyperlink"/>
    <w:basedOn w:val="DefaultParagraphFont"/>
    <w:uiPriority w:val="99"/>
    <w:rsid w:val="00EE14CB"/>
    <w:rPr>
      <w:rFonts w:cs="Times New Roman"/>
      <w:color w:val="800080"/>
      <w:u w:val="single"/>
    </w:rPr>
  </w:style>
  <w:style w:type="paragraph" w:styleId="FootnoteText">
    <w:name w:val="footnote text"/>
    <w:basedOn w:val="Normal"/>
    <w:link w:val="FootnoteTextChar"/>
    <w:uiPriority w:val="99"/>
    <w:semiHidden/>
    <w:rsid w:val="000C7F66"/>
  </w:style>
  <w:style w:type="character" w:customStyle="1" w:styleId="FootnoteTextChar">
    <w:name w:val="Footnote Text Char"/>
    <w:basedOn w:val="DefaultParagraphFont"/>
    <w:link w:val="FootnoteText"/>
    <w:uiPriority w:val="99"/>
    <w:semiHidden/>
    <w:locked/>
    <w:rsid w:val="009B0492"/>
    <w:rPr>
      <w:rFonts w:ascii="Arial" w:hAnsi="Arial" w:cs="Arial"/>
      <w:sz w:val="20"/>
      <w:szCs w:val="20"/>
    </w:rPr>
  </w:style>
  <w:style w:type="character" w:styleId="FootnoteReference">
    <w:name w:val="footnote reference"/>
    <w:basedOn w:val="DefaultParagraphFont"/>
    <w:uiPriority w:val="99"/>
    <w:semiHidden/>
    <w:rsid w:val="000C7F66"/>
    <w:rPr>
      <w:rFonts w:cs="Times New Roman"/>
      <w:vertAlign w:val="superscript"/>
    </w:rPr>
  </w:style>
  <w:style w:type="character" w:styleId="CommentReference">
    <w:name w:val="annotation reference"/>
    <w:basedOn w:val="DefaultParagraphFont"/>
    <w:uiPriority w:val="99"/>
    <w:rsid w:val="006855D2"/>
    <w:rPr>
      <w:rFonts w:cs="Times New Roman"/>
      <w:sz w:val="16"/>
      <w:szCs w:val="16"/>
    </w:rPr>
  </w:style>
  <w:style w:type="paragraph" w:styleId="CommentText">
    <w:name w:val="annotation text"/>
    <w:basedOn w:val="Normal"/>
    <w:link w:val="CommentTextChar"/>
    <w:uiPriority w:val="99"/>
    <w:rsid w:val="006855D2"/>
  </w:style>
  <w:style w:type="character" w:customStyle="1" w:styleId="CommentTextChar">
    <w:name w:val="Comment Text Char"/>
    <w:basedOn w:val="DefaultParagraphFont"/>
    <w:link w:val="CommentText"/>
    <w:uiPriority w:val="99"/>
    <w:locked/>
    <w:rsid w:val="006855D2"/>
    <w:rPr>
      <w:rFonts w:ascii="Arial" w:hAnsi="Arial" w:cs="Arial"/>
    </w:rPr>
  </w:style>
  <w:style w:type="paragraph" w:styleId="CommentSubject">
    <w:name w:val="annotation subject"/>
    <w:basedOn w:val="CommentText"/>
    <w:next w:val="CommentText"/>
    <w:link w:val="CommentSubjectChar"/>
    <w:uiPriority w:val="99"/>
    <w:rsid w:val="006855D2"/>
    <w:rPr>
      <w:b/>
      <w:bCs/>
    </w:rPr>
  </w:style>
  <w:style w:type="character" w:customStyle="1" w:styleId="CommentSubjectChar">
    <w:name w:val="Comment Subject Char"/>
    <w:basedOn w:val="CommentTextChar"/>
    <w:link w:val="CommentSubject"/>
    <w:uiPriority w:val="99"/>
    <w:locked/>
    <w:rsid w:val="006855D2"/>
    <w:rPr>
      <w:rFonts w:ascii="Arial" w:hAnsi="Arial" w:cs="Arial"/>
      <w:b/>
      <w:bCs/>
    </w:rPr>
  </w:style>
  <w:style w:type="numbering" w:customStyle="1" w:styleId="Text">
    <w:name w:val="Text"/>
    <w:rsid w:val="002962C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nt.gov.au/PMS/Publications/TaxesRoyaltiesGrants/HomeOwnerIncent/CG-HI-00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reasury.nt.gov.au/PMS/Publications/TaxesRoyaltiesGrants/HomeOwnerIncent/F-HI-001.pdf" TargetMode="External"/><Relationship Id="rId17" Type="http://schemas.openxmlformats.org/officeDocument/2006/relationships/hyperlink" Target="http://www.revenue.nt.gov.au/" TargetMode="External"/><Relationship Id="rId2" Type="http://schemas.openxmlformats.org/officeDocument/2006/relationships/customXml" Target="../customXml/item2.xml"/><Relationship Id="rId16" Type="http://schemas.openxmlformats.org/officeDocument/2006/relationships/hyperlink" Target="mailto:ntrevenue@n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PMS/Publications/TaxesRoyaltiesGrants/HomeOwnerIncent/CG-HI-011A.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nt.gov.au/PMS/Publications/TaxesRoyaltiesGrants/GeneralAdmin/CG-GEN-001.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_x0020_Type xmlns="378e824e-6e02-4c0d-8321-dd86fba681ee">General (G)</Tax_x0020_Type>
    <Release_x0020_Date xmlns="378e824e-6e02-4c0d-8321-dd86fba681ee">2014-05-12T14:30:00+00:00</Release_x0020_Date>
    <Publication_x0020_Title xmlns="378e824e-6e02-4c0d-8321-dd86fba681ee">RC-GEN-15</Publication_x0020_Title>
    <Sub_x0020_Sub_x0020_Category xmlns="378e824e-6e02-4c0d-8321-dd86fba681ee" xsi:nil="true"/>
    <Details xmlns="378e824e-6e02-4c0d-8321-dd86fba681ee">2014-15 Budget Revenue Circular</Details>
    <Main_x0020_Category xmlns="378e824e-6e02-4c0d-8321-dd86fba681ee">6</Main_x0020_Category>
    <Tax_x0020_Type_x0020_Topic xmlns="378e824e-6e02-4c0d-8321-dd86fba681ee" xsi:nil="true"/>
    <Sub_x0020_Category xmlns="378e824e-6e02-4c0d-8321-dd86fba681ee">26</Sub_x0020_Category>
    <Identifier xmlns="378e824e-6e02-4c0d-8321-dd86fba681ee">RC-GEN-15</Identifier>
    <Notify xmlns="378e824e-6e02-4c0d-8321-dd86fba681ee">false</Notify>
    <Publication_x0020_Type xmlns="378e824e-6e02-4c0d-8321-dd86fba681ee">Revenue Circulars (RC)</Publication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FC86-31F6-44D7-AA99-CE77E3A58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3BA9-612F-4525-BE40-8F7885F6E737}">
  <ds:schemaRefs>
    <ds:schemaRef ds:uri="http://schemas.microsoft.com/sharepoint/v3/contenttype/forms"/>
  </ds:schemaRefs>
</ds:datastoreItem>
</file>

<file path=customXml/itemProps3.xml><?xml version="1.0" encoding="utf-8"?>
<ds:datastoreItem xmlns:ds="http://schemas.openxmlformats.org/officeDocument/2006/customXml" ds:itemID="{C2F6FD99-B267-46B6-8922-BBA2CC07B952}">
  <ds:schemaRefs>
    <ds:schemaRef ds:uri="http://schemas.microsoft.com/office/2006/metadata/properties"/>
    <ds:schemaRef ds:uri="http://schemas.microsoft.com/office/infopath/2007/PartnerControls"/>
    <ds:schemaRef ds:uri="378e824e-6e02-4c0d-8321-dd86fba681ee"/>
  </ds:schemaRefs>
</ds:datastoreItem>
</file>

<file path=customXml/itemProps4.xml><?xml version="1.0" encoding="utf-8"?>
<ds:datastoreItem xmlns:ds="http://schemas.openxmlformats.org/officeDocument/2006/customXml" ds:itemID="{97785C3B-9509-4FBE-A986-D886116C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894</Words>
  <Characters>5099</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 Budget Revenue Circular</dc:title>
  <dc:creator>Northern Territory Government</dc:creator>
  <cp:lastModifiedBy>Jessica Symonds</cp:lastModifiedBy>
  <cp:revision>15</cp:revision>
  <cp:lastPrinted>2014-05-12T03:29:00Z</cp:lastPrinted>
  <dcterms:created xsi:type="dcterms:W3CDTF">2014-05-12T02:09:00Z</dcterms:created>
  <dcterms:modified xsi:type="dcterms:W3CDTF">2021-09-07T07:43:00Z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