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259" w:rsidRPr="00C63C6D" w:rsidRDefault="00D37259" w:rsidP="00C27A0A">
      <w:pPr>
        <w:pStyle w:val="HeadingOne"/>
      </w:pPr>
      <w:r w:rsidRPr="00C63C6D">
        <w:t>TERRITORY REVENUE OFFICE</w:t>
      </w:r>
    </w:p>
    <w:p w:rsidR="00D37259" w:rsidRPr="00B835E1" w:rsidRDefault="00D37259" w:rsidP="00C27A0A">
      <w:pPr>
        <w:pStyle w:val="HeadingOne"/>
      </w:pPr>
      <w:r w:rsidRPr="00B835E1">
        <w:t>REVENUE CIRCULAR</w:t>
      </w:r>
    </w:p>
    <w:p w:rsidR="00D37259" w:rsidRPr="00B835E1" w:rsidRDefault="00D37259" w:rsidP="00C27A0A">
      <w:pPr>
        <w:pStyle w:val="HeadingOne"/>
      </w:pPr>
      <w:r w:rsidRPr="00B835E1">
        <w:t>RC-GEN-01</w:t>
      </w:r>
      <w:r>
        <w:t>4</w:t>
      </w:r>
      <w:r w:rsidRPr="00B835E1">
        <w:t xml:space="preserve">: </w:t>
      </w:r>
    </w:p>
    <w:p w:rsidR="00D37259" w:rsidRPr="00B835E1" w:rsidRDefault="00D37259" w:rsidP="00875F96">
      <w:pPr>
        <w:pStyle w:val="HeadingOne"/>
      </w:pPr>
      <w:r w:rsidRPr="00B835E1">
        <w:t>2013</w:t>
      </w:r>
      <w:r>
        <w:t>-</w:t>
      </w:r>
      <w:r w:rsidRPr="00B835E1">
        <w:t>14 Budget Measures</w:t>
      </w:r>
    </w:p>
    <w:p w:rsidR="00D37259" w:rsidRPr="00B835E1" w:rsidRDefault="00D37259" w:rsidP="00725FD5">
      <w:pPr>
        <w:pStyle w:val="HeadingTwo"/>
        <w:pBdr>
          <w:bottom w:val="single" w:sz="4" w:space="2" w:color="auto"/>
        </w:pBdr>
        <w:tabs>
          <w:tab w:val="center" w:pos="4819"/>
        </w:tabs>
      </w:pPr>
      <w:r w:rsidRPr="00B835E1">
        <w:t>Purpose</w:t>
      </w:r>
      <w:r>
        <w:tab/>
      </w:r>
    </w:p>
    <w:p w:rsidR="00D37259" w:rsidRPr="00B835E1" w:rsidRDefault="00D37259" w:rsidP="00473FF2">
      <w:pPr>
        <w:pStyle w:val="BlockText"/>
        <w:numPr>
          <w:ilvl w:val="0"/>
          <w:numId w:val="19"/>
        </w:numPr>
        <w:tabs>
          <w:tab w:val="clear" w:pos="567"/>
        </w:tabs>
        <w:ind w:left="425" w:hanging="425"/>
      </w:pPr>
      <w:r w:rsidRPr="00B835E1">
        <w:t xml:space="preserve">This Circular provides information on amendments to the </w:t>
      </w:r>
      <w:r w:rsidRPr="00B835E1">
        <w:rPr>
          <w:i/>
        </w:rPr>
        <w:t xml:space="preserve">Mineral Royalty Act </w:t>
      </w:r>
      <w:r w:rsidRPr="00B835E1">
        <w:t xml:space="preserve">and </w:t>
      </w:r>
      <w:r>
        <w:rPr>
          <w:i/>
        </w:rPr>
        <w:t>Payroll Tax </w:t>
      </w:r>
      <w:r w:rsidRPr="00B835E1">
        <w:rPr>
          <w:i/>
        </w:rPr>
        <w:t>Act</w:t>
      </w:r>
      <w:r>
        <w:t xml:space="preserve"> that implement the 2013-</w:t>
      </w:r>
      <w:r w:rsidRPr="00B835E1">
        <w:t xml:space="preserve">14 Budget revenue measures </w:t>
      </w:r>
      <w:r>
        <w:t xml:space="preserve">administered by the Territory Revenue Office (TRO). These measures were </w:t>
      </w:r>
      <w:r w:rsidRPr="00B835E1">
        <w:t>announced by the Treasurer on 14 May 2013.</w:t>
      </w:r>
    </w:p>
    <w:p w:rsidR="00D37259" w:rsidRPr="00B835E1" w:rsidRDefault="00D37259" w:rsidP="00457C44">
      <w:pPr>
        <w:pStyle w:val="HeadingTwo"/>
      </w:pPr>
      <w:r w:rsidRPr="00B835E1">
        <w:t>For Royalty Payers</w:t>
      </w:r>
    </w:p>
    <w:p w:rsidR="00D37259" w:rsidRPr="00B835E1" w:rsidRDefault="00D37259" w:rsidP="00875F96">
      <w:pPr>
        <w:pStyle w:val="HeadingThree"/>
      </w:pPr>
      <w:r>
        <w:t>Gross realization – c</w:t>
      </w:r>
      <w:r w:rsidRPr="00B835E1">
        <w:t>apping margins</w:t>
      </w:r>
      <w:r>
        <w:t xml:space="preserve"> claimed</w:t>
      </w:r>
      <w:r w:rsidRPr="00B835E1">
        <w:t xml:space="preserve"> under transfer pricing arrangements</w:t>
      </w:r>
    </w:p>
    <w:p w:rsidR="00D37259" w:rsidRDefault="00D37259" w:rsidP="007E48E0">
      <w:pPr>
        <w:numPr>
          <w:ilvl w:val="0"/>
          <w:numId w:val="19"/>
        </w:numPr>
        <w:spacing w:after="200"/>
        <w:jc w:val="both"/>
      </w:pPr>
      <w:r w:rsidRPr="00B835E1">
        <w:t xml:space="preserve">From 1 July 2013, the </w:t>
      </w:r>
      <w:r w:rsidRPr="00B835E1">
        <w:rPr>
          <w:i/>
        </w:rPr>
        <w:t>Mineral Royalty Act</w:t>
      </w:r>
      <w:r w:rsidRPr="00B835E1">
        <w:t xml:space="preserve"> will </w:t>
      </w:r>
      <w:r>
        <w:t xml:space="preserve">be amended to reduce uncertainty in the treatment of </w:t>
      </w:r>
      <w:r w:rsidRPr="00B835E1">
        <w:t>transfer pricing</w:t>
      </w:r>
      <w:r>
        <w:t xml:space="preserve"> arrangements for royalty purposes. </w:t>
      </w:r>
      <w:r w:rsidRPr="00B835E1">
        <w:t xml:space="preserve">Transfer pricing </w:t>
      </w:r>
      <w:r>
        <w:t>usually occurs</w:t>
      </w:r>
      <w:r w:rsidRPr="00B835E1">
        <w:t xml:space="preserve"> where a corporation</w:t>
      </w:r>
      <w:r>
        <w:t>, or a group of related corporations,</w:t>
      </w:r>
      <w:r w:rsidRPr="00B835E1">
        <w:t xml:space="preserve"> </w:t>
      </w:r>
      <w:r>
        <w:t>operates in</w:t>
      </w:r>
      <w:r w:rsidRPr="00B835E1">
        <w:t xml:space="preserve"> multiple jurisdictions</w:t>
      </w:r>
      <w:r>
        <w:t xml:space="preserve"> and the allocation of income and costs between jurisdictions needs to be determined for revenue purposes</w:t>
      </w:r>
      <w:r w:rsidRPr="00B835E1">
        <w:t xml:space="preserve">. </w:t>
      </w:r>
    </w:p>
    <w:p w:rsidR="00D37259" w:rsidRDefault="00D37259" w:rsidP="009A0AA7">
      <w:pPr>
        <w:numPr>
          <w:ilvl w:val="0"/>
          <w:numId w:val="19"/>
        </w:numPr>
        <w:spacing w:after="200"/>
        <w:jc w:val="both"/>
      </w:pPr>
      <w:r w:rsidRPr="00B835E1">
        <w:t xml:space="preserve">For royalty purposes, transfer pricing typically arises in (but is not limited to) circumstances where a royalty payer </w:t>
      </w:r>
      <w:r>
        <w:t xml:space="preserve">engages a </w:t>
      </w:r>
      <w:r w:rsidRPr="00B835E1">
        <w:t xml:space="preserve">related </w:t>
      </w:r>
      <w:r>
        <w:t>overseas entity for functions such as the sale and marketing of a saleable mineral commodity</w:t>
      </w:r>
      <w:r w:rsidRPr="00B835E1">
        <w:t>.</w:t>
      </w:r>
    </w:p>
    <w:p w:rsidR="00D37259" w:rsidRPr="00B835E1" w:rsidRDefault="00D37259" w:rsidP="009A0AA7">
      <w:pPr>
        <w:numPr>
          <w:ilvl w:val="0"/>
          <w:numId w:val="19"/>
        </w:numPr>
        <w:spacing w:after="200"/>
        <w:jc w:val="both"/>
      </w:pPr>
      <w:r>
        <w:t xml:space="preserve">In circumstances involving transfer pricing arrangements, the premium or margin earned by the related entity reflects expenses incurred and risks undertaken by the related entity, for example, for sales and marketing (the </w:t>
      </w:r>
      <w:r w:rsidRPr="009A0AA7">
        <w:rPr>
          <w:b/>
          <w:i/>
        </w:rPr>
        <w:t>transfer pricing factor</w:t>
      </w:r>
      <w:r>
        <w:t>)</w:t>
      </w:r>
      <w:r w:rsidRPr="00B835E1">
        <w:t xml:space="preserve">. </w:t>
      </w:r>
      <w:r>
        <w:t>While an appropriate transfer pricing factor should be recognised, determining what is appropriate is generally a complicated and costly exercise.</w:t>
      </w:r>
    </w:p>
    <w:p w:rsidR="00D37259" w:rsidRPr="00B835E1" w:rsidRDefault="00D37259" w:rsidP="007E48E0">
      <w:pPr>
        <w:numPr>
          <w:ilvl w:val="0"/>
          <w:numId w:val="19"/>
        </w:numPr>
        <w:spacing w:after="200"/>
        <w:jc w:val="both"/>
      </w:pPr>
      <w:r w:rsidRPr="00B835E1">
        <w:t xml:space="preserve">Currently, </w:t>
      </w:r>
      <w:r>
        <w:t xml:space="preserve">transfer pricing </w:t>
      </w:r>
      <w:r w:rsidRPr="00B835E1">
        <w:t>ar</w:t>
      </w:r>
      <w:r>
        <w:t xml:space="preserve">rangements are broadly </w:t>
      </w:r>
      <w:r w:rsidRPr="00B835E1">
        <w:t>provi</w:t>
      </w:r>
      <w:r>
        <w:t xml:space="preserve">ded for in </w:t>
      </w:r>
      <w:r w:rsidRPr="00B835E1">
        <w:t>section 4A(3)</w:t>
      </w:r>
      <w:r w:rsidRPr="00A334C3">
        <w:t xml:space="preserve"> </w:t>
      </w:r>
      <w:r>
        <w:t xml:space="preserve">of </w:t>
      </w:r>
      <w:r w:rsidRPr="00B835E1">
        <w:t xml:space="preserve">the </w:t>
      </w:r>
      <w:r w:rsidRPr="00B835E1">
        <w:rPr>
          <w:i/>
        </w:rPr>
        <w:t>Mineral Royalty Act</w:t>
      </w:r>
      <w:r>
        <w:t>. This provision</w:t>
      </w:r>
      <w:r w:rsidRPr="00B835E1">
        <w:t xml:space="preserve"> allow</w:t>
      </w:r>
      <w:r>
        <w:t>s</w:t>
      </w:r>
      <w:r w:rsidRPr="00B835E1">
        <w:t xml:space="preserve"> </w:t>
      </w:r>
      <w:r>
        <w:t xml:space="preserve">royalty to be calculated on an amount that the royalty payer </w:t>
      </w:r>
      <w:r w:rsidRPr="00B835E1">
        <w:t>establish</w:t>
      </w:r>
      <w:r>
        <w:t>es</w:t>
      </w:r>
      <w:r w:rsidRPr="00B835E1">
        <w:t xml:space="preserve"> and substantiate</w:t>
      </w:r>
      <w:r>
        <w:t>s</w:t>
      </w:r>
      <w:r w:rsidRPr="00B835E1">
        <w:t xml:space="preserve"> </w:t>
      </w:r>
      <w:r>
        <w:t>as being the value of the mineral commodity</w:t>
      </w:r>
      <w:r w:rsidR="00A54806">
        <w:t xml:space="preserve">, </w:t>
      </w:r>
      <w:r>
        <w:t xml:space="preserve">rather than its open market price. More details are provided in Guideline </w:t>
      </w:r>
      <w:r>
        <w:br/>
      </w:r>
      <w:hyperlink r:id="rId10" w:tooltip="Link to RG-MRA-004: Gross Realization" w:history="1">
        <w:r w:rsidRPr="00100A1B">
          <w:rPr>
            <w:rStyle w:val="Hyperlink"/>
            <w:rFonts w:cs="Arial"/>
            <w:i/>
            <w:szCs w:val="22"/>
          </w:rPr>
          <w:t>RG-MRA-004:</w:t>
        </w:r>
        <w:r w:rsidRPr="00100A1B">
          <w:rPr>
            <w:rStyle w:val="Hyperlink"/>
            <w:rFonts w:cs="Arial"/>
            <w:szCs w:val="22"/>
          </w:rPr>
          <w:t xml:space="preserve"> </w:t>
        </w:r>
        <w:r w:rsidRPr="00100A1B">
          <w:rPr>
            <w:rStyle w:val="Hyperlink"/>
            <w:rFonts w:cs="Arial"/>
            <w:i/>
            <w:szCs w:val="22"/>
          </w:rPr>
          <w:t>Gross Realization</w:t>
        </w:r>
      </w:hyperlink>
      <w:r>
        <w:t>.</w:t>
      </w:r>
    </w:p>
    <w:p w:rsidR="00D37259" w:rsidRPr="00B835E1" w:rsidRDefault="00D37259" w:rsidP="00875F96">
      <w:pPr>
        <w:numPr>
          <w:ilvl w:val="0"/>
          <w:numId w:val="19"/>
        </w:numPr>
        <w:spacing w:after="200"/>
        <w:jc w:val="both"/>
      </w:pPr>
      <w:r>
        <w:t>F</w:t>
      </w:r>
      <w:r w:rsidRPr="00B835E1">
        <w:t xml:space="preserve">rom 1 July 2013, the </w:t>
      </w:r>
      <w:r w:rsidRPr="00B835E1">
        <w:rPr>
          <w:i/>
        </w:rPr>
        <w:t>Mineral Royalty Act</w:t>
      </w:r>
      <w:r>
        <w:t xml:space="preserve"> will</w:t>
      </w:r>
      <w:r w:rsidRPr="00B835E1">
        <w:t xml:space="preserve"> provide that where </w:t>
      </w:r>
      <w:r>
        <w:t xml:space="preserve">a saleable mineral commodity is removed without sale from a production unit under circumstances involving </w:t>
      </w:r>
      <w:r w:rsidRPr="00B835E1">
        <w:t xml:space="preserve">transfer pricing, </w:t>
      </w:r>
      <w:r>
        <w:t xml:space="preserve">unless the open market price is used, </w:t>
      </w:r>
      <w:r w:rsidRPr="00B835E1">
        <w:t xml:space="preserve">the </w:t>
      </w:r>
      <w:r>
        <w:t xml:space="preserve">gross </w:t>
      </w:r>
      <w:r w:rsidRPr="00B835E1">
        <w:t xml:space="preserve">value of </w:t>
      </w:r>
      <w:r>
        <w:t>the commodity must be established and substantiated by the royalty payer and calculated</w:t>
      </w:r>
      <w:r w:rsidRPr="00B835E1">
        <w:t>:</w:t>
      </w:r>
    </w:p>
    <w:p w:rsidR="00D37259" w:rsidRDefault="00D37259" w:rsidP="00875F96">
      <w:pPr>
        <w:numPr>
          <w:ilvl w:val="1"/>
          <w:numId w:val="19"/>
        </w:numPr>
        <w:spacing w:after="200"/>
        <w:jc w:val="both"/>
      </w:pPr>
      <w:r>
        <w:t>i</w:t>
      </w:r>
      <w:r w:rsidRPr="00B835E1">
        <w:t xml:space="preserve">f </w:t>
      </w:r>
      <w:r>
        <w:t>t</w:t>
      </w:r>
      <w:r w:rsidRPr="00B835E1">
        <w:t xml:space="preserve">he </w:t>
      </w:r>
      <w:r>
        <w:t xml:space="preserve">royalty payer has </w:t>
      </w:r>
      <w:r w:rsidR="00A050DF">
        <w:t>been audited</w:t>
      </w:r>
      <w:r>
        <w:t xml:space="preserve"> by the Australian Taxation Office (ATO), using </w:t>
      </w:r>
      <w:r w:rsidRPr="00B835E1">
        <w:t>the</w:t>
      </w:r>
      <w:r>
        <w:t xml:space="preserve"> transfer pricing</w:t>
      </w:r>
      <w:r w:rsidRPr="00B835E1">
        <w:t xml:space="preserve"> method</w:t>
      </w:r>
      <w:r>
        <w:t>ology</w:t>
      </w:r>
      <w:r w:rsidRPr="00B835E1">
        <w:t xml:space="preserve"> and figures </w:t>
      </w:r>
      <w:r>
        <w:t>used</w:t>
      </w:r>
      <w:r w:rsidRPr="00B835E1">
        <w:t xml:space="preserve"> by the royalty payer for</w:t>
      </w:r>
      <w:r>
        <w:t xml:space="preserve"> the</w:t>
      </w:r>
      <w:r w:rsidRPr="00B835E1">
        <w:t xml:space="preserve"> </w:t>
      </w:r>
      <w:r>
        <w:t>purposes of its income tax return and as accepted by the ATO; or</w:t>
      </w:r>
    </w:p>
    <w:p w:rsidR="00D37259" w:rsidRDefault="00D37259" w:rsidP="00875F96">
      <w:pPr>
        <w:numPr>
          <w:ilvl w:val="1"/>
          <w:numId w:val="19"/>
        </w:numPr>
        <w:spacing w:after="200"/>
        <w:jc w:val="both"/>
      </w:pPr>
      <w:r>
        <w:t>if t</w:t>
      </w:r>
      <w:r w:rsidRPr="00B835E1">
        <w:t>he</w:t>
      </w:r>
      <w:r>
        <w:t xml:space="preserve">re is an </w:t>
      </w:r>
      <w:r w:rsidRPr="00B835E1">
        <w:t xml:space="preserve">advance pricing arrangement </w:t>
      </w:r>
      <w:r>
        <w:t xml:space="preserve">between the ATO and the </w:t>
      </w:r>
      <w:r w:rsidRPr="00B835E1">
        <w:t>royalty payer</w:t>
      </w:r>
      <w:r>
        <w:t>, using the transfer pricing</w:t>
      </w:r>
      <w:r w:rsidRPr="00B835E1">
        <w:t xml:space="preserve"> method</w:t>
      </w:r>
      <w:r>
        <w:t>ology prescribed in that arrangement; or</w:t>
      </w:r>
      <w:r w:rsidRPr="00B835E1">
        <w:t xml:space="preserve"> </w:t>
      </w:r>
    </w:p>
    <w:p w:rsidR="00D37259" w:rsidRPr="00B835E1" w:rsidRDefault="00D37259" w:rsidP="00875F96">
      <w:pPr>
        <w:numPr>
          <w:ilvl w:val="1"/>
          <w:numId w:val="19"/>
        </w:numPr>
        <w:spacing w:after="200"/>
        <w:jc w:val="both"/>
      </w:pPr>
      <w:r>
        <w:lastRenderedPageBreak/>
        <w:t xml:space="preserve">otherwise, </w:t>
      </w:r>
      <w:r w:rsidRPr="00B835E1">
        <w:t xml:space="preserve">by </w:t>
      </w:r>
      <w:r>
        <w:t>applying</w:t>
      </w:r>
      <w:r w:rsidRPr="00B835E1">
        <w:t xml:space="preserve"> a transfe</w:t>
      </w:r>
      <w:r>
        <w:t>r pricing factor of up to</w:t>
      </w:r>
      <w:r w:rsidRPr="00B835E1">
        <w:t xml:space="preserve"> 5.5 per cent of the final</w:t>
      </w:r>
      <w:r>
        <w:t xml:space="preserve"> value of the </w:t>
      </w:r>
      <w:r w:rsidRPr="00B835E1">
        <w:t xml:space="preserve">saleable mineral commodity.  </w:t>
      </w:r>
    </w:p>
    <w:p w:rsidR="00D37259" w:rsidRDefault="00D37259" w:rsidP="00875F96">
      <w:pPr>
        <w:numPr>
          <w:ilvl w:val="0"/>
          <w:numId w:val="19"/>
        </w:numPr>
        <w:spacing w:after="200"/>
        <w:jc w:val="both"/>
      </w:pPr>
      <w:r w:rsidRPr="00DE790F">
        <w:t xml:space="preserve">Importantly, the cap of 5.5 per cent is a maximum percentage which, depending on a royalty payer’s circumstances, can be applied to discount the </w:t>
      </w:r>
      <w:r>
        <w:t>eventual 3</w:t>
      </w:r>
      <w:r w:rsidRPr="008364BC">
        <w:rPr>
          <w:vertAlign w:val="superscript"/>
        </w:rPr>
        <w:t>rd</w:t>
      </w:r>
      <w:r>
        <w:t xml:space="preserve"> party price achieved or achievable for</w:t>
      </w:r>
      <w:r w:rsidRPr="00DE790F">
        <w:t xml:space="preserve"> the saleable mineral commodity.</w:t>
      </w:r>
    </w:p>
    <w:p w:rsidR="00D37259" w:rsidRDefault="00D37259" w:rsidP="00C060E8">
      <w:pPr>
        <w:numPr>
          <w:ilvl w:val="0"/>
          <w:numId w:val="19"/>
        </w:numPr>
        <w:spacing w:after="200"/>
        <w:jc w:val="both"/>
      </w:pPr>
      <w:r w:rsidRPr="00B835E1">
        <w:t xml:space="preserve">Guideline </w:t>
      </w:r>
      <w:hyperlink r:id="rId11" w:tooltip="Link RG-MRA-004: Gross Realization" w:history="1">
        <w:r w:rsidRPr="00E02548">
          <w:rPr>
            <w:rStyle w:val="Hyperlink"/>
            <w:rFonts w:cs="Arial"/>
            <w:i/>
            <w:szCs w:val="22"/>
          </w:rPr>
          <w:t xml:space="preserve">RG-MRA-004: </w:t>
        </w:r>
        <w:r w:rsidRPr="00236C8B">
          <w:rPr>
            <w:rStyle w:val="Hyperlink"/>
            <w:rFonts w:cs="Arial"/>
            <w:i/>
            <w:szCs w:val="22"/>
          </w:rPr>
          <w:t>Gross Realization</w:t>
        </w:r>
      </w:hyperlink>
      <w:r w:rsidRPr="00B835E1">
        <w:t xml:space="preserve"> </w:t>
      </w:r>
      <w:r>
        <w:t xml:space="preserve">will be amended to </w:t>
      </w:r>
      <w:r w:rsidRPr="00B835E1">
        <w:t>provide further details o</w:t>
      </w:r>
      <w:r w:rsidR="00A050DF">
        <w:t>f</w:t>
      </w:r>
      <w:r w:rsidRPr="00B835E1">
        <w:t xml:space="preserve"> the </w:t>
      </w:r>
      <w:r w:rsidR="00B65CE3" w:rsidRPr="00B835E1">
        <w:t>requirements a</w:t>
      </w:r>
      <w:r>
        <w:t xml:space="preserve"> royalty payer</w:t>
      </w:r>
      <w:r w:rsidR="00A050DF">
        <w:t xml:space="preserve"> must meet</w:t>
      </w:r>
      <w:r>
        <w:t xml:space="preserve"> to establish and substantiate the amount of the transfer pricing factor to be applied. </w:t>
      </w:r>
    </w:p>
    <w:p w:rsidR="00D37259" w:rsidRDefault="00D37259" w:rsidP="00A435BD">
      <w:pPr>
        <w:numPr>
          <w:ilvl w:val="0"/>
          <w:numId w:val="19"/>
        </w:numPr>
        <w:spacing w:after="200"/>
        <w:jc w:val="both"/>
      </w:pPr>
      <w:r>
        <w:t xml:space="preserve">In the interests of minimising red tape and complexity, generally less documentation will be required to substantiate a factor of up to 3 per cent. If a royalty payer seeks to establish a transfer pricing factor of between 3 and </w:t>
      </w:r>
      <w:r w:rsidRPr="00B835E1">
        <w:t>5.5 per cent</w:t>
      </w:r>
      <w:r>
        <w:t>, however,</w:t>
      </w:r>
      <w:r w:rsidRPr="00B835E1">
        <w:t xml:space="preserve"> </w:t>
      </w:r>
      <w:r>
        <w:t>the evidentiary threshold will be higher</w:t>
      </w:r>
      <w:r w:rsidRPr="00B835E1">
        <w:t xml:space="preserve">. </w:t>
      </w:r>
    </w:p>
    <w:p w:rsidR="00D37259" w:rsidRDefault="00D37259" w:rsidP="00A435BD">
      <w:pPr>
        <w:numPr>
          <w:ilvl w:val="0"/>
          <w:numId w:val="19"/>
        </w:numPr>
        <w:spacing w:after="200"/>
        <w:jc w:val="both"/>
      </w:pPr>
      <w:r>
        <w:t xml:space="preserve">In terms of substantiation and record keeping, the </w:t>
      </w:r>
      <w:r w:rsidRPr="003023CC">
        <w:rPr>
          <w:i/>
        </w:rPr>
        <w:t xml:space="preserve">Mineral Royalty Act </w:t>
      </w:r>
      <w:r>
        <w:t>will ensure that where a r</w:t>
      </w:r>
      <w:r w:rsidRPr="00B835E1">
        <w:t>oyalty payer create</w:t>
      </w:r>
      <w:r>
        <w:t>s</w:t>
      </w:r>
      <w:r w:rsidRPr="00B835E1">
        <w:t>, or come</w:t>
      </w:r>
      <w:r>
        <w:t>s</w:t>
      </w:r>
      <w:r w:rsidRPr="00B835E1">
        <w:t xml:space="preserve"> into possession</w:t>
      </w:r>
      <w:r>
        <w:t xml:space="preserve"> of documents</w:t>
      </w:r>
      <w:r w:rsidRPr="00B835E1">
        <w:t xml:space="preserve"> that relate to transfer pricing arrangements</w:t>
      </w:r>
      <w:r>
        <w:t>, those documents must be retained by the royalty payer.</w:t>
      </w:r>
      <w:r w:rsidRPr="00B835E1">
        <w:t xml:space="preserve"> </w:t>
      </w:r>
    </w:p>
    <w:p w:rsidR="00D37259" w:rsidRDefault="00D37259" w:rsidP="000E75E1">
      <w:pPr>
        <w:numPr>
          <w:ilvl w:val="0"/>
          <w:numId w:val="19"/>
        </w:numPr>
        <w:spacing w:after="200"/>
        <w:jc w:val="both"/>
      </w:pPr>
      <w:r w:rsidRPr="00AC0DE9">
        <w:t xml:space="preserve">It is expected that the </w:t>
      </w:r>
      <w:r>
        <w:t>transfer pricing amendments will have minimal impact on most royalty payers. Where TRO has previously confirmed that a royalty payer’s valuation methodology is acceptable, and this continues after 1 July 2013, gross realization should continue to be determined on the current basis.</w:t>
      </w:r>
    </w:p>
    <w:p w:rsidR="00D37259" w:rsidRDefault="00D37259" w:rsidP="009A6334">
      <w:pPr>
        <w:numPr>
          <w:ilvl w:val="0"/>
          <w:numId w:val="19"/>
        </w:numPr>
        <w:spacing w:after="200"/>
        <w:jc w:val="both"/>
      </w:pPr>
      <w:r>
        <w:t>An exception to this is where there are</w:t>
      </w:r>
      <w:r w:rsidRPr="009A6334">
        <w:t xml:space="preserve"> changes to the underlying </w:t>
      </w:r>
      <w:r>
        <w:t>circumstances upon which the royalty payer’s transfer pricing arrangement</w:t>
      </w:r>
      <w:r w:rsidRPr="009A6334">
        <w:t xml:space="preserve"> is based</w:t>
      </w:r>
      <w:r>
        <w:t xml:space="preserve">. If this occurs, a written application should be made to the Secretary setting out the reasons to establish and substantiate the transfer pricing factor claimed. To support such an application, the documentation set out in </w:t>
      </w:r>
      <w:hyperlink r:id="rId12" w:tooltip="Link to RG-MRA-004: Gross Realization " w:history="1">
        <w:r w:rsidRPr="00A54806">
          <w:rPr>
            <w:rStyle w:val="Hyperlink"/>
            <w:rFonts w:cs="Arial"/>
            <w:i/>
          </w:rPr>
          <w:t>RG-MRA-004: Gross Realization</w:t>
        </w:r>
      </w:hyperlink>
      <w:r>
        <w:t xml:space="preserve"> (as amended with effect from 1 July 2013) must also be provided to the Secretary. </w:t>
      </w:r>
    </w:p>
    <w:p w:rsidR="00D37259" w:rsidRPr="00B835E1" w:rsidRDefault="00D37259" w:rsidP="00875F96">
      <w:pPr>
        <w:pStyle w:val="HeadingThree"/>
      </w:pPr>
      <w:r>
        <w:t>Operating costs – l</w:t>
      </w:r>
      <w:r w:rsidRPr="00B835E1">
        <w:t xml:space="preserve">imiting </w:t>
      </w:r>
      <w:r>
        <w:t>labour, office and management</w:t>
      </w:r>
      <w:r w:rsidRPr="00B835E1">
        <w:t xml:space="preserve"> costs to</w:t>
      </w:r>
      <w:r>
        <w:t xml:space="preserve"> work, services and office solely in</w:t>
      </w:r>
      <w:r w:rsidRPr="00B835E1">
        <w:t xml:space="preserve"> </w:t>
      </w:r>
      <w:r>
        <w:t>the Northern Territory</w:t>
      </w:r>
    </w:p>
    <w:p w:rsidR="00D37259" w:rsidRDefault="00D37259" w:rsidP="00875F96">
      <w:pPr>
        <w:numPr>
          <w:ilvl w:val="0"/>
          <w:numId w:val="19"/>
        </w:numPr>
        <w:spacing w:after="200"/>
        <w:jc w:val="both"/>
      </w:pPr>
      <w:r>
        <w:t>To complement the gross realization measures and to ensure the integrity of the royalty base, some rules in relation to operating costs are being tightened.</w:t>
      </w:r>
    </w:p>
    <w:p w:rsidR="00D37259" w:rsidRPr="00B835E1" w:rsidRDefault="00D37259" w:rsidP="00875F96">
      <w:pPr>
        <w:numPr>
          <w:ilvl w:val="0"/>
          <w:numId w:val="19"/>
        </w:numPr>
        <w:spacing w:after="200"/>
        <w:jc w:val="both"/>
      </w:pPr>
      <w:r w:rsidRPr="00B835E1">
        <w:t>From 1 July 2013</w:t>
      </w:r>
      <w:r>
        <w:t xml:space="preserve">, for a royalty payer to claim office </w:t>
      </w:r>
      <w:r w:rsidRPr="00B835E1">
        <w:t xml:space="preserve">expenses </w:t>
      </w:r>
      <w:r>
        <w:t xml:space="preserve">as a deductible operating cost, these expenses must relate to an office that is situated in the Northern </w:t>
      </w:r>
      <w:r w:rsidRPr="00B835E1">
        <w:t xml:space="preserve">Territory. </w:t>
      </w:r>
      <w:r>
        <w:t xml:space="preserve">Where the office expenses relate to work or services, the work or services must be performed solely in the Territory in order to be deductible. </w:t>
      </w:r>
    </w:p>
    <w:p w:rsidR="00D37259" w:rsidRDefault="00D37259" w:rsidP="00875F96">
      <w:pPr>
        <w:numPr>
          <w:ilvl w:val="0"/>
          <w:numId w:val="19"/>
        </w:numPr>
        <w:spacing w:after="200"/>
        <w:jc w:val="both"/>
      </w:pPr>
      <w:r>
        <w:t>Labour costs (including salary, wages and other remuneration) will be allowable deductions where, for an employee pay period, the work was performed solely in the Territory and was directly attributable to the operation of the production unit.</w:t>
      </w:r>
    </w:p>
    <w:p w:rsidR="00D37259" w:rsidRPr="00B835E1" w:rsidRDefault="00D37259" w:rsidP="00875F96">
      <w:pPr>
        <w:numPr>
          <w:ilvl w:val="0"/>
          <w:numId w:val="19"/>
        </w:numPr>
        <w:spacing w:after="200"/>
        <w:jc w:val="both"/>
      </w:pPr>
      <w:r w:rsidRPr="00B835E1">
        <w:t xml:space="preserve">Similarly, </w:t>
      </w:r>
      <w:r>
        <w:t>fees</w:t>
      </w:r>
      <w:r w:rsidRPr="00B835E1">
        <w:t xml:space="preserve"> for </w:t>
      </w:r>
      <w:r>
        <w:t>management</w:t>
      </w:r>
      <w:r w:rsidRPr="00B835E1">
        <w:t xml:space="preserve"> services</w:t>
      </w:r>
      <w:r w:rsidRPr="00CD71D5">
        <w:t xml:space="preserve"> </w:t>
      </w:r>
      <w:r w:rsidRPr="00B835E1">
        <w:t xml:space="preserve">will only be deductible </w:t>
      </w:r>
      <w:r>
        <w:t>as operating costs</w:t>
      </w:r>
      <w:r w:rsidRPr="00B835E1">
        <w:t xml:space="preserve"> if </w:t>
      </w:r>
      <w:r>
        <w:t>the services and work are</w:t>
      </w:r>
      <w:r w:rsidRPr="00B835E1">
        <w:t xml:space="preserve"> performed </w:t>
      </w:r>
      <w:r>
        <w:t xml:space="preserve">solely </w:t>
      </w:r>
      <w:r w:rsidRPr="00B835E1">
        <w:t>in the Territory.</w:t>
      </w:r>
    </w:p>
    <w:p w:rsidR="00D37259" w:rsidRPr="00B835E1" w:rsidRDefault="00D37259" w:rsidP="00737045">
      <w:pPr>
        <w:numPr>
          <w:ilvl w:val="0"/>
          <w:numId w:val="19"/>
        </w:numPr>
        <w:spacing w:after="200"/>
        <w:jc w:val="both"/>
      </w:pPr>
      <w:r w:rsidRPr="00B835E1">
        <w:t xml:space="preserve">Other </w:t>
      </w:r>
      <w:r>
        <w:t>expenses</w:t>
      </w:r>
      <w:r w:rsidRPr="00B835E1">
        <w:t xml:space="preserve">, </w:t>
      </w:r>
      <w:r>
        <w:t xml:space="preserve">such as eligible research and development expenditure and </w:t>
      </w:r>
      <w:r w:rsidRPr="00B835E1">
        <w:t>accounting, auditing and legal fees</w:t>
      </w:r>
      <w:r>
        <w:t xml:space="preserve"> (to the extent that they would ordinarily be classified under these categories)</w:t>
      </w:r>
      <w:r w:rsidRPr="00B835E1">
        <w:t xml:space="preserve">, </w:t>
      </w:r>
      <w:r>
        <w:t xml:space="preserve">will </w:t>
      </w:r>
      <w:r w:rsidRPr="00B835E1">
        <w:t xml:space="preserve">continue to be deductible even if the work is performed outside the Territory. </w:t>
      </w:r>
    </w:p>
    <w:p w:rsidR="00D37259" w:rsidRPr="00B835E1" w:rsidRDefault="00D37259" w:rsidP="003E7791">
      <w:pPr>
        <w:numPr>
          <w:ilvl w:val="0"/>
          <w:numId w:val="19"/>
        </w:numPr>
        <w:spacing w:after="200"/>
        <w:jc w:val="both"/>
      </w:pPr>
      <w:r w:rsidRPr="00B835E1">
        <w:t>Where a cost may be classified under more than one he</w:t>
      </w:r>
      <w:r>
        <w:t>ad, the geographical limitation of the Territory</w:t>
      </w:r>
      <w:r w:rsidRPr="00B835E1">
        <w:t xml:space="preserve"> will apply if the Secretary would</w:t>
      </w:r>
      <w:r w:rsidRPr="00B835E1">
        <w:rPr>
          <w:i/>
        </w:rPr>
        <w:t xml:space="preserve"> </w:t>
      </w:r>
      <w:r w:rsidRPr="00B835E1">
        <w:t>ordinarily classify the cost as either a</w:t>
      </w:r>
      <w:r>
        <w:t xml:space="preserve"> </w:t>
      </w:r>
      <w:r w:rsidRPr="00B835E1">
        <w:t xml:space="preserve">labour cost, management fee or office expense. </w:t>
      </w:r>
      <w:r>
        <w:t xml:space="preserve">Also, to be deductible, the </w:t>
      </w:r>
      <w:r w:rsidRPr="00B835E1">
        <w:t>labour cost</w:t>
      </w:r>
      <w:r>
        <w:t>s</w:t>
      </w:r>
      <w:r w:rsidRPr="00B835E1">
        <w:t>, management fee</w:t>
      </w:r>
      <w:r>
        <w:t>s and</w:t>
      </w:r>
      <w:r w:rsidRPr="00B835E1">
        <w:t xml:space="preserve"> office expense</w:t>
      </w:r>
      <w:r>
        <w:t>s are still required to be directly attributable to the operation of the production unit.</w:t>
      </w:r>
    </w:p>
    <w:p w:rsidR="00D37259" w:rsidRDefault="00D37259" w:rsidP="00B5093F">
      <w:pPr>
        <w:numPr>
          <w:ilvl w:val="0"/>
          <w:numId w:val="19"/>
        </w:numPr>
        <w:spacing w:after="200"/>
        <w:jc w:val="both"/>
      </w:pPr>
      <w:r w:rsidRPr="00B835E1">
        <w:lastRenderedPageBreak/>
        <w:t xml:space="preserve">Guideline </w:t>
      </w:r>
      <w:hyperlink r:id="rId13" w:tooltip="Link to RG-MRA-005: Operating Costs" w:history="1">
        <w:r w:rsidR="00E3056D">
          <w:rPr>
            <w:rStyle w:val="Hyperlink"/>
            <w:rFonts w:cs="Arial"/>
            <w:i/>
          </w:rPr>
          <w:t>RG-MRA-005: Operating Costs</w:t>
        </w:r>
      </w:hyperlink>
      <w:r>
        <w:t xml:space="preserve"> will be amended to </w:t>
      </w:r>
      <w:r w:rsidRPr="00B835E1">
        <w:t>provide</w:t>
      </w:r>
      <w:r>
        <w:t xml:space="preserve"> further details on these changes. A draft of the amended Guideline will soon be released by the Secretary for public comment.</w:t>
      </w:r>
    </w:p>
    <w:p w:rsidR="00D37259" w:rsidRPr="00B835E1" w:rsidRDefault="00D37259" w:rsidP="00875F96">
      <w:pPr>
        <w:pStyle w:val="HeadingThree"/>
      </w:pPr>
      <w:r>
        <w:t>Other minor</w:t>
      </w:r>
      <w:r w:rsidRPr="00B835E1">
        <w:t xml:space="preserve"> amendments</w:t>
      </w:r>
    </w:p>
    <w:p w:rsidR="00D37259" w:rsidRPr="00B835E1" w:rsidRDefault="00D37259" w:rsidP="00181AFF">
      <w:pPr>
        <w:numPr>
          <w:ilvl w:val="0"/>
          <w:numId w:val="19"/>
        </w:numPr>
        <w:spacing w:after="200"/>
        <w:jc w:val="both"/>
      </w:pPr>
      <w:r w:rsidRPr="00B835E1">
        <w:t>From 1 July 2</w:t>
      </w:r>
      <w:r>
        <w:t xml:space="preserve">013, minor amendments </w:t>
      </w:r>
      <w:r w:rsidRPr="00B835E1">
        <w:t>to</w:t>
      </w:r>
      <w:r>
        <w:t xml:space="preserve"> the </w:t>
      </w:r>
      <w:r w:rsidRPr="000308F4">
        <w:rPr>
          <w:i/>
        </w:rPr>
        <w:t>Mineral Royalty Act</w:t>
      </w:r>
      <w:r>
        <w:t xml:space="preserve"> will provide that</w:t>
      </w:r>
      <w:r w:rsidRPr="00B835E1">
        <w:t>:</w:t>
      </w:r>
    </w:p>
    <w:p w:rsidR="00D37259" w:rsidRPr="00B835E1" w:rsidRDefault="00D37259" w:rsidP="00181AFF">
      <w:pPr>
        <w:numPr>
          <w:ilvl w:val="1"/>
          <w:numId w:val="19"/>
        </w:numPr>
        <w:spacing w:after="200"/>
        <w:jc w:val="both"/>
      </w:pPr>
      <w:r>
        <w:t xml:space="preserve">the minerals resource rent tax </w:t>
      </w:r>
      <w:r w:rsidRPr="00B835E1">
        <w:t xml:space="preserve">and unit shortfall charges </w:t>
      </w:r>
      <w:r>
        <w:t xml:space="preserve">relating to the carbon tax </w:t>
      </w:r>
      <w:r w:rsidRPr="00B835E1">
        <w:t xml:space="preserve">under the </w:t>
      </w:r>
      <w:r w:rsidRPr="00247B46">
        <w:rPr>
          <w:i/>
        </w:rPr>
        <w:t>Clean Energy Act 2011</w:t>
      </w:r>
      <w:r w:rsidRPr="00B835E1">
        <w:t xml:space="preserve"> (Cth) are not deductible </w:t>
      </w:r>
      <w:r>
        <w:t>as operating costs for royalty purposes;</w:t>
      </w:r>
      <w:r w:rsidRPr="00B835E1">
        <w:t xml:space="preserve"> and</w:t>
      </w:r>
    </w:p>
    <w:p w:rsidR="00D37259" w:rsidRPr="00B835E1" w:rsidRDefault="00D37259" w:rsidP="00181AFF">
      <w:pPr>
        <w:numPr>
          <w:ilvl w:val="1"/>
          <w:numId w:val="19"/>
        </w:numPr>
        <w:spacing w:after="200"/>
        <w:jc w:val="both"/>
      </w:pPr>
      <w:r w:rsidRPr="00B835E1">
        <w:t xml:space="preserve">Territory employees are able to share information </w:t>
      </w:r>
      <w:r>
        <w:t xml:space="preserve">with other Territory employees and </w:t>
      </w:r>
      <w:r w:rsidRPr="00B835E1">
        <w:t>the Commonwealth</w:t>
      </w:r>
      <w:r>
        <w:t xml:space="preserve"> in relation to </w:t>
      </w:r>
      <w:r w:rsidRPr="00B835E1">
        <w:t>matters</w:t>
      </w:r>
      <w:r>
        <w:t xml:space="preserve"> governed by the </w:t>
      </w:r>
      <w:r w:rsidRPr="00582C45">
        <w:rPr>
          <w:i/>
        </w:rPr>
        <w:t>Uranium Royalty (</w:t>
      </w:r>
      <w:smartTag w:uri="urn:schemas-microsoft-com:office:smarttags" w:element="State">
        <w:r w:rsidRPr="00582C45">
          <w:rPr>
            <w:i/>
          </w:rPr>
          <w:t>Northern Territory</w:t>
        </w:r>
      </w:smartTag>
      <w:r w:rsidRPr="00582C45">
        <w:rPr>
          <w:i/>
        </w:rPr>
        <w:t xml:space="preserve">) Act 2009 </w:t>
      </w:r>
      <w:r w:rsidRPr="001E344A">
        <w:t>(Cth)</w:t>
      </w:r>
      <w:r w:rsidRPr="004E22D8">
        <w:t>.</w:t>
      </w:r>
      <w:r>
        <w:t xml:space="preserve"> This Act provides for TRO to administer, on behalf of the Commonwealth, a profit-based royalty on new mining operations and any expansion to existing operations containing substances such as uranium.</w:t>
      </w:r>
    </w:p>
    <w:p w:rsidR="00D37259" w:rsidRPr="00B835E1" w:rsidRDefault="00D37259" w:rsidP="00747535">
      <w:pPr>
        <w:pStyle w:val="HeadingThree"/>
      </w:pPr>
      <w:r w:rsidRPr="00B835E1">
        <w:t>Transitional</w:t>
      </w:r>
      <w:r>
        <w:t xml:space="preserve"> matters</w:t>
      </w:r>
    </w:p>
    <w:p w:rsidR="00D37259" w:rsidRPr="00B835E1" w:rsidRDefault="00D37259" w:rsidP="00181AFF">
      <w:pPr>
        <w:numPr>
          <w:ilvl w:val="0"/>
          <w:numId w:val="19"/>
        </w:numPr>
        <w:spacing w:after="200"/>
        <w:jc w:val="both"/>
      </w:pPr>
      <w:r w:rsidRPr="00B835E1">
        <w:t>The above amendments apply from 1 July 2013</w:t>
      </w:r>
      <w:r w:rsidR="00E91984">
        <w:t xml:space="preserve"> to </w:t>
      </w:r>
      <w:r w:rsidRPr="00B835E1">
        <w:t xml:space="preserve">all royalty payers, whether operating on a calendar year or financial year basis. </w:t>
      </w:r>
    </w:p>
    <w:p w:rsidR="00D37259" w:rsidRDefault="00D37259" w:rsidP="00181AFF">
      <w:pPr>
        <w:numPr>
          <w:ilvl w:val="0"/>
          <w:numId w:val="19"/>
        </w:numPr>
        <w:spacing w:after="200"/>
        <w:jc w:val="both"/>
      </w:pPr>
      <w:r w:rsidRPr="00B835E1">
        <w:t xml:space="preserve">Where </w:t>
      </w:r>
      <w:r>
        <w:t xml:space="preserve">expenditure relates to a period prior to 1 July 2013 and a period on or after that date, e.g. for </w:t>
      </w:r>
      <w:r w:rsidRPr="00AC0DE9">
        <w:t>royalty payers returning royalty on a calendar year basis</w:t>
      </w:r>
      <w:r>
        <w:t>,</w:t>
      </w:r>
      <w:r w:rsidRPr="00AC0DE9">
        <w:t xml:space="preserve"> </w:t>
      </w:r>
      <w:r>
        <w:t>the expenditure</w:t>
      </w:r>
      <w:r w:rsidRPr="00B835E1">
        <w:t xml:space="preserve"> must be apportioned between </w:t>
      </w:r>
      <w:r>
        <w:t>those periods when calculating the operating costs for the production unit</w:t>
      </w:r>
      <w:r w:rsidRPr="00B835E1">
        <w:t xml:space="preserve">. This is to be done in </w:t>
      </w:r>
      <w:r>
        <w:t>a</w:t>
      </w:r>
      <w:r w:rsidRPr="00B835E1">
        <w:t xml:space="preserve"> manner agreed between the royalty payer and the Secretary by 31 December 2013 or, in the absence of an agreement, as determined by the Secretary.</w:t>
      </w:r>
    </w:p>
    <w:p w:rsidR="00D37259" w:rsidRPr="00B835E1" w:rsidRDefault="00D37259" w:rsidP="00AC0DE9">
      <w:pPr>
        <w:numPr>
          <w:ilvl w:val="0"/>
          <w:numId w:val="19"/>
        </w:numPr>
        <w:spacing w:after="200"/>
        <w:jc w:val="both"/>
      </w:pPr>
      <w:r w:rsidRPr="00AC0DE9">
        <w:t xml:space="preserve">The Secretary will contact each royalty payer in July 2013 to further explain the process for reaching such </w:t>
      </w:r>
      <w:r>
        <w:t xml:space="preserve">an </w:t>
      </w:r>
      <w:r w:rsidRPr="00AC0DE9">
        <w:t>agreement.</w:t>
      </w:r>
      <w:r>
        <w:t xml:space="preserve"> A</w:t>
      </w:r>
      <w:r w:rsidRPr="00AC0DE9">
        <w:t xml:space="preserve">s most accounting systems are capable of recording and reporting financial transactions on a periodic or monthly basis, </w:t>
      </w:r>
      <w:r>
        <w:t xml:space="preserve">it is expected that any transitional issues can </w:t>
      </w:r>
      <w:r w:rsidRPr="00AC0DE9">
        <w:t>be kept to a minimum.</w:t>
      </w:r>
      <w:r>
        <w:t xml:space="preserve"> TRO’s</w:t>
      </w:r>
      <w:r w:rsidRPr="00AC0DE9">
        <w:t xml:space="preserve"> electro</w:t>
      </w:r>
      <w:r>
        <w:t>nic royalty return package will also</w:t>
      </w:r>
      <w:r w:rsidRPr="00AC0DE9">
        <w:t xml:space="preserve"> be amended to cater for these changes and the revised version is anticipated</w:t>
      </w:r>
      <w:r>
        <w:t xml:space="preserve"> to be available by July</w:t>
      </w:r>
      <w:r w:rsidRPr="00AC0DE9">
        <w:t xml:space="preserve"> 2013.</w:t>
      </w:r>
    </w:p>
    <w:p w:rsidR="00D37259" w:rsidRPr="00B835E1" w:rsidRDefault="00D37259" w:rsidP="00D07E2D">
      <w:pPr>
        <w:pStyle w:val="HeadingTwo"/>
      </w:pPr>
      <w:r w:rsidRPr="00B835E1">
        <w:t>For Employers</w:t>
      </w:r>
    </w:p>
    <w:p w:rsidR="00D37259" w:rsidRPr="00B835E1" w:rsidRDefault="00D37259" w:rsidP="00181AFF">
      <w:pPr>
        <w:numPr>
          <w:ilvl w:val="0"/>
          <w:numId w:val="19"/>
        </w:numPr>
        <w:spacing w:after="200"/>
        <w:jc w:val="both"/>
      </w:pPr>
      <w:r>
        <w:t>From 1 July 2013, m</w:t>
      </w:r>
      <w:r w:rsidRPr="00B835E1">
        <w:t>inor amendment</w:t>
      </w:r>
      <w:r>
        <w:t>s will be</w:t>
      </w:r>
      <w:r w:rsidRPr="00B835E1">
        <w:t xml:space="preserve"> made to the </w:t>
      </w:r>
      <w:r w:rsidRPr="00672564">
        <w:rPr>
          <w:i/>
        </w:rPr>
        <w:t>Payroll Tax Act</w:t>
      </w:r>
      <w:r>
        <w:t xml:space="preserve"> to align the statutory </w:t>
      </w:r>
      <w:r w:rsidRPr="00B835E1">
        <w:t xml:space="preserve">formulae </w:t>
      </w:r>
      <w:r>
        <w:t>with the intended practice w</w:t>
      </w:r>
      <w:r w:rsidRPr="00876CD3">
        <w:t>here an employer pays wages for only part of the financial year or changes its payroll tax group status</w:t>
      </w:r>
      <w:r>
        <w:t>.</w:t>
      </w:r>
    </w:p>
    <w:p w:rsidR="00D37259" w:rsidRPr="00273379" w:rsidRDefault="00D37259" w:rsidP="00A7296E">
      <w:pPr>
        <w:pStyle w:val="HeadingTwo"/>
        <w:jc w:val="both"/>
      </w:pPr>
      <w:r w:rsidRPr="00273379">
        <w:t>Further Information</w:t>
      </w:r>
    </w:p>
    <w:p w:rsidR="00D37259" w:rsidRPr="00717A07" w:rsidRDefault="00D37259" w:rsidP="00A7296E">
      <w:pPr>
        <w:pStyle w:val="BlockText"/>
        <w:numPr>
          <w:ilvl w:val="0"/>
          <w:numId w:val="26"/>
        </w:numPr>
        <w:tabs>
          <w:tab w:val="clear" w:pos="425"/>
          <w:tab w:val="clear" w:pos="851"/>
          <w:tab w:val="clear" w:pos="1276"/>
          <w:tab w:val="clear" w:pos="1701"/>
          <w:tab w:val="clear" w:pos="2007"/>
          <w:tab w:val="num" w:pos="540"/>
        </w:tabs>
        <w:spacing w:after="200"/>
        <w:ind w:left="539" w:hanging="539"/>
      </w:pPr>
      <w:r>
        <w:rPr>
          <w:szCs w:val="22"/>
        </w:rPr>
        <w:t>Please r</w:t>
      </w:r>
      <w:r w:rsidRPr="00273379">
        <w:rPr>
          <w:szCs w:val="22"/>
        </w:rPr>
        <w:t xml:space="preserve">efer to the Revenue </w:t>
      </w:r>
      <w:r>
        <w:rPr>
          <w:szCs w:val="22"/>
        </w:rPr>
        <w:t>Legislation Amendment Bill 2013</w:t>
      </w:r>
      <w:r w:rsidRPr="00273379">
        <w:rPr>
          <w:szCs w:val="22"/>
        </w:rPr>
        <w:t xml:space="preserve"> and explanatory statement for precise details of the amendments.</w:t>
      </w:r>
      <w:r>
        <w:rPr>
          <w:szCs w:val="22"/>
        </w:rPr>
        <w:t xml:space="preserve"> This Revenue Circular only provides general information. More detailed guidance in relation to the mineral royalty changes will be provided in</w:t>
      </w:r>
      <w:r w:rsidRPr="003E7791">
        <w:rPr>
          <w:szCs w:val="22"/>
        </w:rPr>
        <w:tab/>
        <w:t>Guideline</w:t>
      </w:r>
      <w:r>
        <w:rPr>
          <w:szCs w:val="22"/>
        </w:rPr>
        <w:t>s</w:t>
      </w:r>
      <w:r w:rsidRPr="003E7791">
        <w:rPr>
          <w:szCs w:val="22"/>
        </w:rPr>
        <w:t xml:space="preserve"> </w:t>
      </w:r>
      <w:hyperlink r:id="rId14" w:tooltip="Link to RG-MRA-004: Gross Realization" w:history="1">
        <w:r w:rsidRPr="00E02548">
          <w:rPr>
            <w:rStyle w:val="Hyperlink"/>
            <w:rFonts w:cs="Arial"/>
            <w:i/>
            <w:szCs w:val="22"/>
          </w:rPr>
          <w:t xml:space="preserve">RG-MRA-004: </w:t>
        </w:r>
        <w:r w:rsidRPr="00236C8B">
          <w:rPr>
            <w:rStyle w:val="Hyperlink"/>
            <w:rFonts w:cs="Arial"/>
            <w:i/>
            <w:szCs w:val="22"/>
          </w:rPr>
          <w:t>Gross Realization</w:t>
        </w:r>
      </w:hyperlink>
      <w:r w:rsidRPr="00B835E1">
        <w:t xml:space="preserve"> </w:t>
      </w:r>
      <w:r>
        <w:rPr>
          <w:szCs w:val="22"/>
        </w:rPr>
        <w:t xml:space="preserve">and </w:t>
      </w:r>
      <w:hyperlink r:id="rId15" w:tooltip="Link RG-MRA-005: Operating Costs" w:history="1">
        <w:r w:rsidRPr="00E02548">
          <w:rPr>
            <w:rStyle w:val="Hyperlink"/>
            <w:rFonts w:cs="Arial"/>
            <w:i/>
          </w:rPr>
          <w:t>RG</w:t>
        </w:r>
        <w:r w:rsidRPr="00E02548">
          <w:rPr>
            <w:rStyle w:val="Hyperlink"/>
            <w:rFonts w:cs="Arial"/>
            <w:i/>
          </w:rPr>
          <w:noBreakHyphen/>
          <w:t>MRA</w:t>
        </w:r>
        <w:r w:rsidRPr="00E02548">
          <w:rPr>
            <w:rStyle w:val="Hyperlink"/>
            <w:rFonts w:cs="Arial"/>
            <w:i/>
          </w:rPr>
          <w:noBreakHyphen/>
          <w:t>005:</w:t>
        </w:r>
        <w:r>
          <w:rPr>
            <w:rStyle w:val="Hyperlink"/>
            <w:rFonts w:cs="Arial"/>
            <w:i/>
          </w:rPr>
          <w:t xml:space="preserve"> Operating Costs</w:t>
        </w:r>
      </w:hyperlink>
      <w:r>
        <w:t xml:space="preserve">, </w:t>
      </w:r>
      <w:r>
        <w:rPr>
          <w:szCs w:val="22"/>
        </w:rPr>
        <w:t xml:space="preserve">which are being </w:t>
      </w:r>
      <w:r w:rsidRPr="003E7791">
        <w:rPr>
          <w:szCs w:val="22"/>
        </w:rPr>
        <w:t>amended</w:t>
      </w:r>
      <w:r>
        <w:rPr>
          <w:szCs w:val="22"/>
        </w:rPr>
        <w:t xml:space="preserve"> by the Secretary.</w:t>
      </w:r>
    </w:p>
    <w:p w:rsidR="00D37259" w:rsidRPr="00A050DF" w:rsidRDefault="00D37259" w:rsidP="00C20FAF">
      <w:pPr>
        <w:pStyle w:val="BlockText"/>
        <w:numPr>
          <w:ilvl w:val="0"/>
          <w:numId w:val="26"/>
        </w:numPr>
        <w:tabs>
          <w:tab w:val="clear" w:pos="425"/>
          <w:tab w:val="clear" w:pos="851"/>
          <w:tab w:val="clear" w:pos="1276"/>
          <w:tab w:val="clear" w:pos="1701"/>
          <w:tab w:val="clear" w:pos="2007"/>
          <w:tab w:val="num" w:pos="540"/>
        </w:tabs>
        <w:spacing w:after="200"/>
        <w:ind w:left="539" w:hanging="539"/>
      </w:pPr>
      <w:r>
        <w:rPr>
          <w:szCs w:val="22"/>
        </w:rPr>
        <w:t>The Secretary will be seeking input from royalty payers shortly to facilitate a smooth transition to the new arrangements. As part of the consultation process, royalty payers will be invited to provide written submissions on the proposed changes to the Royalty Guidelines to help ensure the measures are properly implemented.</w:t>
      </w:r>
    </w:p>
    <w:p w:rsidR="00A050DF" w:rsidRPr="00273379" w:rsidRDefault="00A050DF" w:rsidP="00A050DF">
      <w:pPr>
        <w:pStyle w:val="BlockText"/>
        <w:tabs>
          <w:tab w:val="clear" w:pos="425"/>
          <w:tab w:val="clear" w:pos="851"/>
          <w:tab w:val="clear" w:pos="1276"/>
          <w:tab w:val="clear" w:pos="1701"/>
        </w:tabs>
        <w:spacing w:after="200"/>
        <w:ind w:left="539" w:firstLine="0"/>
      </w:pPr>
    </w:p>
    <w:p w:rsidR="00D37259" w:rsidRPr="00B835E1" w:rsidRDefault="00D37259" w:rsidP="004439D7">
      <w:pPr>
        <w:pStyle w:val="HeadingTwo"/>
      </w:pPr>
      <w:r w:rsidRPr="00B835E1">
        <w:lastRenderedPageBreak/>
        <w:t>Revenue Circulars</w:t>
      </w:r>
    </w:p>
    <w:p w:rsidR="00D37259" w:rsidRPr="00B835E1" w:rsidRDefault="00D37259" w:rsidP="00181AFF">
      <w:pPr>
        <w:numPr>
          <w:ilvl w:val="0"/>
          <w:numId w:val="19"/>
        </w:numPr>
        <w:spacing w:after="200"/>
        <w:jc w:val="both"/>
      </w:pPr>
      <w:r w:rsidRPr="00B835E1">
        <w:t xml:space="preserve">Commissioner’s Guideline </w:t>
      </w:r>
      <w:hyperlink r:id="rId16" w:tooltip="Link to CG-GEN-001: Revenue Circulars, Commissioner's Guidelines and Payroll Tax Rulings: explanation and status" w:history="1">
        <w:r w:rsidRPr="00B85068">
          <w:rPr>
            <w:rStyle w:val="Hyperlink"/>
            <w:rFonts w:cs="Arial"/>
          </w:rPr>
          <w:t>CG-GEN-001:</w:t>
        </w:r>
        <w:r w:rsidRPr="00B85068">
          <w:rPr>
            <w:rStyle w:val="Hyperlink"/>
            <w:rFonts w:cs="Arial"/>
            <w:i/>
          </w:rPr>
          <w:t xml:space="preserve"> Revenue Circulars, Commissioner's Guidelines and Payroll Tax Rulings: explanation and status</w:t>
        </w:r>
      </w:hyperlink>
      <w:r w:rsidRPr="00B835E1">
        <w:t>, which sets out information on the revenue publication system, is incorporated into and is to be read as one with this Circular. All Circulars and Guidelines are available from TRO’s website.</w:t>
      </w:r>
    </w:p>
    <w:p w:rsidR="00D37259" w:rsidRPr="00B835E1" w:rsidRDefault="00D37259" w:rsidP="00473FF2"/>
    <w:p w:rsidR="00D37259" w:rsidRPr="00B835E1" w:rsidRDefault="00A1279E" w:rsidP="00473FF2">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Grant Parsons electronic signature4.jpg" style="width:147pt;height:27.75pt;visibility:visible;mso-wrap-style:square">
            <v:imagedata r:id="rId17" o:title="Grant Parsons electronic signature4"/>
          </v:shape>
        </w:pict>
      </w:r>
    </w:p>
    <w:p w:rsidR="00D37259" w:rsidRPr="00B835E1" w:rsidRDefault="00D37259" w:rsidP="00473FF2"/>
    <w:p w:rsidR="00D37259" w:rsidRPr="00B835E1" w:rsidRDefault="00D37259" w:rsidP="00D545FD">
      <w:pPr>
        <w:spacing w:before="120" w:line="260" w:lineRule="exact"/>
        <w:rPr>
          <w:szCs w:val="22"/>
        </w:rPr>
      </w:pPr>
      <w:r w:rsidRPr="00B835E1">
        <w:rPr>
          <w:szCs w:val="22"/>
        </w:rPr>
        <w:t>Grant Parsons</w:t>
      </w:r>
    </w:p>
    <w:p w:rsidR="00D37259" w:rsidRPr="00166DD8" w:rsidRDefault="00D37259" w:rsidP="00D545FD">
      <w:pPr>
        <w:spacing w:before="120" w:line="260" w:lineRule="exact"/>
        <w:rPr>
          <w:b/>
          <w:szCs w:val="22"/>
        </w:rPr>
      </w:pPr>
      <w:r w:rsidRPr="00166DD8">
        <w:rPr>
          <w:b/>
          <w:caps/>
          <w:szCs w:val="22"/>
        </w:rPr>
        <w:t xml:space="preserve">Secretary </w:t>
      </w:r>
      <w:r w:rsidRPr="00166DD8">
        <w:rPr>
          <w:b/>
          <w:szCs w:val="22"/>
        </w:rPr>
        <w:t>and COMMISSIONER OF TERRITORY REVENUE</w:t>
      </w:r>
    </w:p>
    <w:p w:rsidR="00D37259" w:rsidRPr="00B835E1" w:rsidRDefault="00D37259" w:rsidP="00D545FD">
      <w:pPr>
        <w:spacing w:before="120" w:line="260" w:lineRule="exact"/>
        <w:rPr>
          <w:szCs w:val="22"/>
        </w:rPr>
      </w:pPr>
      <w:r w:rsidRPr="00582C45">
        <w:rPr>
          <w:szCs w:val="22"/>
        </w:rPr>
        <w:br/>
      </w:r>
      <w:r w:rsidRPr="00B835E1">
        <w:rPr>
          <w:szCs w:val="22"/>
        </w:rPr>
        <w:t>Date of issue:</w:t>
      </w:r>
      <w:r w:rsidRPr="00B835E1">
        <w:rPr>
          <w:szCs w:val="22"/>
        </w:rPr>
        <w:tab/>
      </w:r>
      <w:r w:rsidRPr="00B835E1">
        <w:rPr>
          <w:szCs w:val="22"/>
        </w:rPr>
        <w:tab/>
      </w:r>
      <w:r w:rsidRPr="00582C45">
        <w:rPr>
          <w:szCs w:val="22"/>
        </w:rPr>
        <w:t>14 May</w:t>
      </w:r>
      <w:r w:rsidRPr="00B835E1">
        <w:rPr>
          <w:szCs w:val="22"/>
        </w:rPr>
        <w:t> 2013</w:t>
      </w:r>
    </w:p>
    <w:p w:rsidR="00D37259" w:rsidRPr="00B835E1" w:rsidRDefault="00D37259" w:rsidP="00D545FD">
      <w:pPr>
        <w:spacing w:before="120" w:line="260" w:lineRule="exact"/>
        <w:rPr>
          <w:szCs w:val="22"/>
        </w:rPr>
      </w:pPr>
    </w:p>
    <w:p w:rsidR="00D37259" w:rsidRPr="00B835E1" w:rsidRDefault="00D37259" w:rsidP="00D545FD"/>
    <w:tbl>
      <w:tblPr>
        <w:tblW w:w="0" w:type="auto"/>
        <w:tblBorders>
          <w:top w:val="single" w:sz="4" w:space="0" w:color="auto"/>
          <w:bottom w:val="single" w:sz="4" w:space="0" w:color="auto"/>
          <w:insideH w:val="single" w:sz="4" w:space="0" w:color="auto"/>
        </w:tblBorders>
        <w:tblCellMar>
          <w:top w:w="62" w:type="dxa"/>
          <w:bottom w:w="62" w:type="dxa"/>
        </w:tblCellMar>
        <w:tblLook w:val="01E0" w:firstRow="1" w:lastRow="1" w:firstColumn="1" w:lastColumn="1" w:noHBand="0" w:noVBand="0"/>
      </w:tblPr>
      <w:tblGrid>
        <w:gridCol w:w="4927"/>
        <w:gridCol w:w="4927"/>
      </w:tblGrid>
      <w:tr w:rsidR="00D37259" w:rsidRPr="00B835E1" w:rsidTr="000338AA">
        <w:tc>
          <w:tcPr>
            <w:tcW w:w="9854" w:type="dxa"/>
            <w:gridSpan w:val="2"/>
          </w:tcPr>
          <w:p w:rsidR="00D37259" w:rsidRPr="00B835E1" w:rsidRDefault="00D37259" w:rsidP="000338AA">
            <w:pPr>
              <w:rPr>
                <w:sz w:val="20"/>
              </w:rPr>
            </w:pPr>
            <w:r w:rsidRPr="00B835E1">
              <w:rPr>
                <w:sz w:val="20"/>
              </w:rPr>
              <w:t>For further information please contact the Territory Revenue Office:</w:t>
            </w:r>
          </w:p>
        </w:tc>
      </w:tr>
      <w:tr w:rsidR="00D37259" w:rsidRPr="004503D8" w:rsidTr="000338AA">
        <w:tc>
          <w:tcPr>
            <w:tcW w:w="4927" w:type="dxa"/>
          </w:tcPr>
          <w:p w:rsidR="00D37259" w:rsidRPr="00B835E1" w:rsidRDefault="00D37259" w:rsidP="003D4586">
            <w:pPr>
              <w:rPr>
                <w:sz w:val="20"/>
              </w:rPr>
            </w:pPr>
            <w:r w:rsidRPr="00B835E1">
              <w:rPr>
                <w:sz w:val="20"/>
              </w:rPr>
              <w:t>GPO Box 1</w:t>
            </w:r>
            <w:r w:rsidR="00A1279E">
              <w:rPr>
                <w:sz w:val="20"/>
              </w:rPr>
              <w:t>97</w:t>
            </w:r>
            <w:bookmarkStart w:id="0" w:name="_GoBack"/>
            <w:bookmarkEnd w:id="0"/>
            <w:r w:rsidRPr="00B835E1">
              <w:rPr>
                <w:sz w:val="20"/>
              </w:rPr>
              <w:t>4</w:t>
            </w:r>
          </w:p>
          <w:p w:rsidR="00D37259" w:rsidRPr="00B835E1" w:rsidRDefault="00D37259" w:rsidP="003D4586">
            <w:pPr>
              <w:rPr>
                <w:sz w:val="20"/>
              </w:rPr>
            </w:pPr>
            <w:r w:rsidRPr="00B835E1">
              <w:rPr>
                <w:sz w:val="20"/>
              </w:rPr>
              <w:t>Darwin  NT  0801</w:t>
            </w:r>
          </w:p>
          <w:p w:rsidR="00D37259" w:rsidRPr="00B835E1" w:rsidRDefault="00D37259" w:rsidP="003D4586">
            <w:pPr>
              <w:jc w:val="both"/>
              <w:rPr>
                <w:sz w:val="20"/>
              </w:rPr>
            </w:pPr>
            <w:r w:rsidRPr="00B835E1">
              <w:rPr>
                <w:sz w:val="20"/>
              </w:rPr>
              <w:t xml:space="preserve">Email: </w:t>
            </w:r>
            <w:hyperlink r:id="rId18" w:tooltip="Link to ntrevenue.ntt@nt.gov.au" w:history="1">
              <w:r w:rsidRPr="00B835E1">
                <w:rPr>
                  <w:color w:val="0000FF"/>
                  <w:sz w:val="20"/>
                  <w:u w:val="single"/>
                </w:rPr>
                <w:t>ntrevenue.ntt@nt.gov.au</w:t>
              </w:r>
            </w:hyperlink>
          </w:p>
        </w:tc>
        <w:tc>
          <w:tcPr>
            <w:tcW w:w="4927" w:type="dxa"/>
          </w:tcPr>
          <w:p w:rsidR="00D37259" w:rsidRPr="00B835E1" w:rsidRDefault="00D37259" w:rsidP="000338AA">
            <w:pPr>
              <w:rPr>
                <w:sz w:val="20"/>
              </w:rPr>
            </w:pPr>
            <w:r w:rsidRPr="00B835E1">
              <w:rPr>
                <w:sz w:val="20"/>
              </w:rPr>
              <w:t>Phone: 1300 305 353</w:t>
            </w:r>
          </w:p>
          <w:p w:rsidR="00D37259" w:rsidRPr="00B835E1" w:rsidRDefault="00D37259" w:rsidP="000338AA">
            <w:pPr>
              <w:rPr>
                <w:sz w:val="20"/>
              </w:rPr>
            </w:pPr>
            <w:r w:rsidRPr="00B835E1">
              <w:rPr>
                <w:sz w:val="20"/>
              </w:rPr>
              <w:t>Fax: 08 8999 5577</w:t>
            </w:r>
          </w:p>
          <w:p w:rsidR="00D37259" w:rsidRPr="004503D8" w:rsidRDefault="00D37259" w:rsidP="000338AA">
            <w:pPr>
              <w:rPr>
                <w:sz w:val="20"/>
              </w:rPr>
            </w:pPr>
            <w:r w:rsidRPr="00B835E1">
              <w:rPr>
                <w:sz w:val="20"/>
              </w:rPr>
              <w:t xml:space="preserve">Website: </w:t>
            </w:r>
            <w:hyperlink r:id="rId19" w:tooltip="Link to www.revenue.nt.gov.au" w:history="1">
              <w:r w:rsidRPr="00B835E1">
                <w:rPr>
                  <w:color w:val="0000FF"/>
                  <w:sz w:val="20"/>
                  <w:u w:val="single"/>
                </w:rPr>
                <w:t>www.revenue.nt.gov.au</w:t>
              </w:r>
            </w:hyperlink>
          </w:p>
        </w:tc>
      </w:tr>
    </w:tbl>
    <w:p w:rsidR="00D37259" w:rsidRPr="00364D5F" w:rsidRDefault="00D37259" w:rsidP="003D4586"/>
    <w:sectPr w:rsidR="00D37259" w:rsidRPr="00364D5F" w:rsidSect="00C27A0A">
      <w:headerReference w:type="even" r:id="rId20"/>
      <w:headerReference w:type="default" r:id="rId21"/>
      <w:footerReference w:type="default" r:id="rId22"/>
      <w:headerReference w:type="first" r:id="rId23"/>
      <w:footerReference w:type="first" r:id="rId24"/>
      <w:pgSz w:w="11906" w:h="16838" w:code="9"/>
      <w:pgMar w:top="1134" w:right="1134" w:bottom="567" w:left="1134"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68EC" w:rsidRDefault="00CA68EC">
      <w:r>
        <w:separator/>
      </w:r>
    </w:p>
  </w:endnote>
  <w:endnote w:type="continuationSeparator" w:id="0">
    <w:p w:rsidR="00CA68EC" w:rsidRDefault="00CA6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12D" w:rsidRDefault="00F7112D" w:rsidP="00364D5F">
    <w:pPr>
      <w:pStyle w:val="Footer"/>
      <w:tabs>
        <w:tab w:val="clear" w:pos="4153"/>
        <w:tab w:val="clear" w:pos="8306"/>
        <w:tab w:val="right" w:pos="9720"/>
      </w:tabs>
      <w:rPr>
        <w:sz w:val="16"/>
        <w:szCs w:val="16"/>
      </w:rPr>
    </w:pPr>
  </w:p>
  <w:p w:rsidR="00F7112D" w:rsidRPr="006034B6" w:rsidRDefault="00F7112D" w:rsidP="000338AA">
    <w:pPr>
      <w:pStyle w:val="Footer"/>
      <w:tabs>
        <w:tab w:val="clear" w:pos="4153"/>
        <w:tab w:val="clear" w:pos="8306"/>
        <w:tab w:val="right" w:pos="9720"/>
      </w:tabs>
      <w:rPr>
        <w:sz w:val="16"/>
        <w:szCs w:val="16"/>
      </w:rPr>
    </w:pPr>
    <w:r w:rsidRPr="006034B6">
      <w:rPr>
        <w:sz w:val="16"/>
        <w:szCs w:val="16"/>
      </w:rPr>
      <w:t xml:space="preserve">Page </w:t>
    </w:r>
    <w:r w:rsidR="003B4B57" w:rsidRPr="006034B6">
      <w:rPr>
        <w:sz w:val="16"/>
        <w:szCs w:val="16"/>
      </w:rPr>
      <w:fldChar w:fldCharType="begin"/>
    </w:r>
    <w:r w:rsidRPr="006034B6">
      <w:rPr>
        <w:sz w:val="16"/>
        <w:szCs w:val="16"/>
      </w:rPr>
      <w:instrText xml:space="preserve"> PAGE </w:instrText>
    </w:r>
    <w:r w:rsidR="003B4B57" w:rsidRPr="006034B6">
      <w:rPr>
        <w:sz w:val="16"/>
        <w:szCs w:val="16"/>
      </w:rPr>
      <w:fldChar w:fldCharType="separate"/>
    </w:r>
    <w:r w:rsidR="00A1279E">
      <w:rPr>
        <w:noProof/>
        <w:sz w:val="16"/>
        <w:szCs w:val="16"/>
      </w:rPr>
      <w:t>4</w:t>
    </w:r>
    <w:r w:rsidR="003B4B57" w:rsidRPr="006034B6">
      <w:rPr>
        <w:sz w:val="16"/>
        <w:szCs w:val="16"/>
      </w:rPr>
      <w:fldChar w:fldCharType="end"/>
    </w:r>
    <w:r w:rsidRPr="006034B6">
      <w:rPr>
        <w:sz w:val="16"/>
        <w:szCs w:val="16"/>
      </w:rPr>
      <w:t xml:space="preserve"> of </w:t>
    </w:r>
    <w:r w:rsidR="003B4B57" w:rsidRPr="006034B6">
      <w:rPr>
        <w:sz w:val="16"/>
        <w:szCs w:val="16"/>
      </w:rPr>
      <w:fldChar w:fldCharType="begin"/>
    </w:r>
    <w:r w:rsidRPr="006034B6">
      <w:rPr>
        <w:sz w:val="16"/>
        <w:szCs w:val="16"/>
      </w:rPr>
      <w:instrText xml:space="preserve"> NUMPAGES </w:instrText>
    </w:r>
    <w:r w:rsidR="003B4B57" w:rsidRPr="006034B6">
      <w:rPr>
        <w:sz w:val="16"/>
        <w:szCs w:val="16"/>
      </w:rPr>
      <w:fldChar w:fldCharType="separate"/>
    </w:r>
    <w:r w:rsidR="00A1279E">
      <w:rPr>
        <w:noProof/>
        <w:sz w:val="16"/>
        <w:szCs w:val="16"/>
      </w:rPr>
      <w:t>4</w:t>
    </w:r>
    <w:r w:rsidR="003B4B57" w:rsidRPr="006034B6">
      <w:rPr>
        <w:sz w:val="16"/>
        <w:szCs w:val="16"/>
      </w:rPr>
      <w:fldChar w:fldCharType="end"/>
    </w:r>
    <w:r>
      <w:rPr>
        <w:sz w:val="16"/>
        <w:szCs w:val="16"/>
      </w:rPr>
      <w:tab/>
      <w:t>RC-GEN-014</w:t>
    </w:r>
  </w:p>
  <w:p w:rsidR="00F7112D" w:rsidRPr="00364D5F" w:rsidRDefault="00F7112D" w:rsidP="00364D5F">
    <w:pPr>
      <w:pStyle w:val="Footer"/>
      <w:tabs>
        <w:tab w:val="clear" w:pos="4153"/>
        <w:tab w:val="clear" w:pos="8306"/>
        <w:tab w:val="right" w:pos="9720"/>
      </w:tabs>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12D" w:rsidRDefault="00F7112D" w:rsidP="00364D5F">
    <w:pPr>
      <w:pStyle w:val="Footer"/>
      <w:tabs>
        <w:tab w:val="clear" w:pos="4153"/>
        <w:tab w:val="clear" w:pos="8306"/>
        <w:tab w:val="right" w:pos="9720"/>
      </w:tabs>
      <w:rPr>
        <w:sz w:val="16"/>
        <w:szCs w:val="16"/>
      </w:rPr>
    </w:pPr>
  </w:p>
  <w:p w:rsidR="00F7112D" w:rsidRPr="006034B6" w:rsidRDefault="00F7112D" w:rsidP="00364D5F">
    <w:pPr>
      <w:pStyle w:val="Footer"/>
      <w:tabs>
        <w:tab w:val="clear" w:pos="4153"/>
        <w:tab w:val="clear" w:pos="8306"/>
        <w:tab w:val="right" w:pos="9720"/>
      </w:tabs>
      <w:rPr>
        <w:sz w:val="16"/>
        <w:szCs w:val="16"/>
      </w:rPr>
    </w:pPr>
    <w:r w:rsidRPr="006034B6">
      <w:rPr>
        <w:sz w:val="16"/>
        <w:szCs w:val="16"/>
      </w:rPr>
      <w:t xml:space="preserve">Page </w:t>
    </w:r>
    <w:r w:rsidR="003B4B57" w:rsidRPr="006034B6">
      <w:rPr>
        <w:sz w:val="16"/>
        <w:szCs w:val="16"/>
      </w:rPr>
      <w:fldChar w:fldCharType="begin"/>
    </w:r>
    <w:r w:rsidRPr="006034B6">
      <w:rPr>
        <w:sz w:val="16"/>
        <w:szCs w:val="16"/>
      </w:rPr>
      <w:instrText xml:space="preserve"> PAGE </w:instrText>
    </w:r>
    <w:r w:rsidR="003B4B57" w:rsidRPr="006034B6">
      <w:rPr>
        <w:sz w:val="16"/>
        <w:szCs w:val="16"/>
      </w:rPr>
      <w:fldChar w:fldCharType="separate"/>
    </w:r>
    <w:r w:rsidR="00A1279E">
      <w:rPr>
        <w:noProof/>
        <w:sz w:val="16"/>
        <w:szCs w:val="16"/>
      </w:rPr>
      <w:t>1</w:t>
    </w:r>
    <w:r w:rsidR="003B4B57" w:rsidRPr="006034B6">
      <w:rPr>
        <w:sz w:val="16"/>
        <w:szCs w:val="16"/>
      </w:rPr>
      <w:fldChar w:fldCharType="end"/>
    </w:r>
    <w:r w:rsidRPr="006034B6">
      <w:rPr>
        <w:sz w:val="16"/>
        <w:szCs w:val="16"/>
      </w:rPr>
      <w:t xml:space="preserve"> of </w:t>
    </w:r>
    <w:r w:rsidR="003B4B57" w:rsidRPr="006034B6">
      <w:rPr>
        <w:sz w:val="16"/>
        <w:szCs w:val="16"/>
      </w:rPr>
      <w:fldChar w:fldCharType="begin"/>
    </w:r>
    <w:r w:rsidRPr="006034B6">
      <w:rPr>
        <w:sz w:val="16"/>
        <w:szCs w:val="16"/>
      </w:rPr>
      <w:instrText xml:space="preserve"> NUMPAGES </w:instrText>
    </w:r>
    <w:r w:rsidR="003B4B57" w:rsidRPr="006034B6">
      <w:rPr>
        <w:sz w:val="16"/>
        <w:szCs w:val="16"/>
      </w:rPr>
      <w:fldChar w:fldCharType="separate"/>
    </w:r>
    <w:r w:rsidR="00A1279E">
      <w:rPr>
        <w:noProof/>
        <w:sz w:val="16"/>
        <w:szCs w:val="16"/>
      </w:rPr>
      <w:t>4</w:t>
    </w:r>
    <w:r w:rsidR="003B4B57" w:rsidRPr="006034B6">
      <w:rPr>
        <w:sz w:val="16"/>
        <w:szCs w:val="16"/>
      </w:rPr>
      <w:fldChar w:fldCharType="end"/>
    </w:r>
    <w:r>
      <w:rPr>
        <w:sz w:val="16"/>
        <w:szCs w:val="16"/>
      </w:rPr>
      <w:tab/>
      <w:t>RC-GEN-014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68EC" w:rsidRDefault="00CA68EC">
      <w:r>
        <w:separator/>
      </w:r>
    </w:p>
  </w:footnote>
  <w:footnote w:type="continuationSeparator" w:id="0">
    <w:p w:rsidR="00CA68EC" w:rsidRDefault="00CA68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12D" w:rsidRDefault="003B4B57" w:rsidP="00763A20">
    <w:pPr>
      <w:pStyle w:val="Header"/>
      <w:framePr w:wrap="around" w:vAnchor="text" w:hAnchor="margin" w:xAlign="center" w:y="1"/>
      <w:rPr>
        <w:rStyle w:val="PageNumber"/>
        <w:rFonts w:cs="Arial"/>
      </w:rPr>
    </w:pPr>
    <w:r>
      <w:rPr>
        <w:rStyle w:val="PageNumber"/>
        <w:rFonts w:cs="Arial"/>
      </w:rPr>
      <w:fldChar w:fldCharType="begin"/>
    </w:r>
    <w:r w:rsidR="00F7112D">
      <w:rPr>
        <w:rStyle w:val="PageNumber"/>
        <w:rFonts w:cs="Arial"/>
      </w:rPr>
      <w:instrText xml:space="preserve">PAGE  </w:instrText>
    </w:r>
    <w:r>
      <w:rPr>
        <w:rStyle w:val="PageNumber"/>
        <w:rFonts w:cs="Arial"/>
      </w:rPr>
      <w:fldChar w:fldCharType="end"/>
    </w:r>
  </w:p>
  <w:p w:rsidR="00F7112D" w:rsidRDefault="00F711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12D" w:rsidRPr="003765CD" w:rsidRDefault="00F7112D" w:rsidP="0019571B">
    <w:pPr>
      <w:pStyle w:val="NTTBodyText"/>
      <w:jc w:val="center"/>
      <w:rPr>
        <w:rStyle w:val="Heading2Cha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12D" w:rsidRDefault="00F7112D" w:rsidP="0019571B">
    <w:pPr>
      <w:pStyle w:val="NTTHeaderInfo"/>
      <w:rPr>
        <w:b/>
        <w:noProof/>
      </w:rPr>
    </w:pPr>
  </w:p>
  <w:p w:rsidR="00F7112D" w:rsidRDefault="00CA68EC" w:rsidP="008C142F">
    <w:pPr>
      <w:pStyle w:val="NTTHeaderInfo"/>
      <w:tabs>
        <w:tab w:val="left" w:pos="3045"/>
      </w:tabs>
      <w:jc w:val="left"/>
      <w:rPr>
        <w:b/>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2049" type="#_x0000_t75" alt="NTG logo and department name header" style="position:absolute;margin-left:14.2pt;margin-top:14.2pt;width:566pt;height:70.5pt;z-index:-1;visibility:visible;mso-position-horizontal-relative:page;mso-position-vertical-relative:page" o:allowincell="f">
          <v:imagedata r:id="rId1" o:title=""/>
          <w10:wrap anchorx="page" anchory="page"/>
        </v:shape>
      </w:pict>
    </w:r>
    <w:r w:rsidR="00F7112D">
      <w:rPr>
        <w:b/>
        <w:noProof/>
      </w:rPr>
      <w:tab/>
    </w:r>
  </w:p>
  <w:p w:rsidR="00F7112D" w:rsidRDefault="00F7112D" w:rsidP="0019571B">
    <w:pPr>
      <w:pStyle w:val="NTTHeaderInfo"/>
      <w:rPr>
        <w:b/>
        <w:noProof/>
      </w:rPr>
    </w:pPr>
  </w:p>
  <w:p w:rsidR="00F7112D" w:rsidRDefault="00F7112D">
    <w:pPr>
      <w:pStyle w:val="Header"/>
    </w:pPr>
  </w:p>
  <w:p w:rsidR="00F7112D" w:rsidRDefault="00F7112D">
    <w:pPr>
      <w:pStyle w:val="Header"/>
    </w:pPr>
  </w:p>
  <w:p w:rsidR="00F7112D" w:rsidRDefault="00F711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74482B0"/>
    <w:lvl w:ilvl="0">
      <w:start w:val="1"/>
      <w:numFmt w:val="decimal"/>
      <w:lvlText w:val="%1."/>
      <w:lvlJc w:val="left"/>
      <w:pPr>
        <w:tabs>
          <w:tab w:val="num" w:pos="360"/>
        </w:tabs>
        <w:ind w:left="360" w:hanging="360"/>
      </w:pPr>
      <w:rPr>
        <w:rFonts w:cs="Times New Roman"/>
      </w:rPr>
    </w:lvl>
  </w:abstractNum>
  <w:abstractNum w:abstractNumId="1" w15:restartNumberingAfterBreak="0">
    <w:nsid w:val="02D310B8"/>
    <w:multiLevelType w:val="multilevel"/>
    <w:tmpl w:val="6DA248D0"/>
    <w:lvl w:ilvl="0">
      <w:start w:val="1"/>
      <w:numFmt w:val="decimal"/>
      <w:lvlText w:val="%1."/>
      <w:lvlJc w:val="left"/>
      <w:pPr>
        <w:tabs>
          <w:tab w:val="num" w:pos="720"/>
        </w:tabs>
        <w:ind w:left="720" w:hanging="360"/>
      </w:pPr>
      <w:rPr>
        <w:rFonts w:ascii="Arial" w:hAnsi="Arial" w:cs="Times New Roman"/>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0D593059"/>
    <w:multiLevelType w:val="multilevel"/>
    <w:tmpl w:val="88F6EEB2"/>
    <w:numStyleLink w:val="Text"/>
  </w:abstractNum>
  <w:abstractNum w:abstractNumId="3" w15:restartNumberingAfterBreak="0">
    <w:nsid w:val="1E903CE7"/>
    <w:multiLevelType w:val="multilevel"/>
    <w:tmpl w:val="88F6EEB2"/>
    <w:styleLink w:val="Text"/>
    <w:lvl w:ilvl="0">
      <w:start w:val="1"/>
      <w:numFmt w:val="decimal"/>
      <w:lvlText w:val="%1."/>
      <w:lvlJc w:val="left"/>
      <w:pPr>
        <w:tabs>
          <w:tab w:val="num" w:pos="360"/>
        </w:tabs>
        <w:ind w:left="360" w:hanging="360"/>
      </w:pPr>
      <w:rPr>
        <w:rFonts w:cs="Times New Roman" w:hint="default"/>
      </w:rPr>
    </w:lvl>
    <w:lvl w:ilvl="1">
      <w:start w:val="1"/>
      <w:numFmt w:val="upperLetter"/>
      <w:lvlText w:val="%2."/>
      <w:lvlJc w:val="left"/>
      <w:pPr>
        <w:tabs>
          <w:tab w:val="num" w:pos="1080"/>
        </w:tabs>
        <w:ind w:left="1080" w:hanging="360"/>
      </w:pPr>
      <w:rPr>
        <w:rFonts w:cs="Times New Roman" w:hint="default"/>
      </w:rPr>
    </w:lvl>
    <w:lvl w:ilvl="2">
      <w:start w:val="1"/>
      <w:numFmt w:val="lowerRoman"/>
      <w:lvlText w:val="%3."/>
      <w:lvlJc w:val="right"/>
      <w:pPr>
        <w:tabs>
          <w:tab w:val="num" w:pos="1800"/>
        </w:tabs>
        <w:ind w:left="1800" w:hanging="180"/>
      </w:pPr>
      <w:rPr>
        <w:rFonts w:cs="Times New Roman" w:hint="default"/>
      </w:rPr>
    </w:lvl>
    <w:lvl w:ilvl="3">
      <w:start w:val="1"/>
      <w:numFmt w:val="lowerLetter"/>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 w15:restartNumberingAfterBreak="0">
    <w:nsid w:val="3F0D1A6E"/>
    <w:multiLevelType w:val="multilevel"/>
    <w:tmpl w:val="74F6A72C"/>
    <w:lvl w:ilvl="0">
      <w:start w:val="1"/>
      <w:numFmt w:val="decimal"/>
      <w:pStyle w:val="ListNumber"/>
      <w:lvlText w:val="%1."/>
      <w:lvlJc w:val="left"/>
      <w:pPr>
        <w:tabs>
          <w:tab w:val="num" w:pos="720"/>
        </w:tabs>
        <w:ind w:left="720" w:hanging="360"/>
      </w:pPr>
      <w:rPr>
        <w:rFonts w:ascii="Arial" w:hAnsi="Arial" w:cs="Times New Roman"/>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439B51DF"/>
    <w:multiLevelType w:val="multilevel"/>
    <w:tmpl w:val="0C09001F"/>
    <w:lvl w:ilvl="0">
      <w:start w:val="1"/>
      <w:numFmt w:val="decimal"/>
      <w:lvlText w:val="%1."/>
      <w:lvlJc w:val="left"/>
      <w:pPr>
        <w:tabs>
          <w:tab w:val="num" w:pos="720"/>
        </w:tabs>
        <w:ind w:left="360" w:hanging="360"/>
      </w:pPr>
      <w:rPr>
        <w:rFonts w:cs="Times New Roman"/>
      </w:rPr>
    </w:lvl>
    <w:lvl w:ilvl="1">
      <w:start w:val="1"/>
      <w:numFmt w:val="decimal"/>
      <w:lvlText w:val="%1.%2."/>
      <w:lvlJc w:val="left"/>
      <w:pPr>
        <w:tabs>
          <w:tab w:val="num" w:pos="1440"/>
        </w:tabs>
        <w:ind w:left="792" w:hanging="432"/>
      </w:pPr>
      <w:rPr>
        <w:rFonts w:cs="Times New Roman"/>
      </w:rPr>
    </w:lvl>
    <w:lvl w:ilvl="2">
      <w:start w:val="1"/>
      <w:numFmt w:val="decimal"/>
      <w:lvlText w:val="%1.%2.%3."/>
      <w:lvlJc w:val="left"/>
      <w:pPr>
        <w:tabs>
          <w:tab w:val="num" w:pos="2160"/>
        </w:tabs>
        <w:ind w:left="1224" w:hanging="504"/>
      </w:pPr>
      <w:rPr>
        <w:rFonts w:cs="Times New Roman"/>
      </w:rPr>
    </w:lvl>
    <w:lvl w:ilvl="3">
      <w:start w:val="1"/>
      <w:numFmt w:val="decimal"/>
      <w:lvlText w:val="%1.%2.%3.%4."/>
      <w:lvlJc w:val="left"/>
      <w:pPr>
        <w:tabs>
          <w:tab w:val="num" w:pos="2880"/>
        </w:tabs>
        <w:ind w:left="1728" w:hanging="648"/>
      </w:pPr>
      <w:rPr>
        <w:rFonts w:cs="Times New Roman"/>
      </w:rPr>
    </w:lvl>
    <w:lvl w:ilvl="4">
      <w:start w:val="1"/>
      <w:numFmt w:val="decimal"/>
      <w:lvlText w:val="%1.%2.%3.%4.%5."/>
      <w:lvlJc w:val="left"/>
      <w:pPr>
        <w:tabs>
          <w:tab w:val="num" w:pos="3600"/>
        </w:tabs>
        <w:ind w:left="2232" w:hanging="792"/>
      </w:pPr>
      <w:rPr>
        <w:rFonts w:cs="Times New Roman"/>
      </w:rPr>
    </w:lvl>
    <w:lvl w:ilvl="5">
      <w:start w:val="1"/>
      <w:numFmt w:val="decimal"/>
      <w:lvlText w:val="%1.%2.%3.%4.%5.%6."/>
      <w:lvlJc w:val="left"/>
      <w:pPr>
        <w:tabs>
          <w:tab w:val="num" w:pos="4320"/>
        </w:tabs>
        <w:ind w:left="2736" w:hanging="936"/>
      </w:pPr>
      <w:rPr>
        <w:rFonts w:cs="Times New Roman"/>
      </w:rPr>
    </w:lvl>
    <w:lvl w:ilvl="6">
      <w:start w:val="1"/>
      <w:numFmt w:val="decimal"/>
      <w:lvlText w:val="%1.%2.%3.%4.%5.%6.%7."/>
      <w:lvlJc w:val="left"/>
      <w:pPr>
        <w:tabs>
          <w:tab w:val="num" w:pos="5040"/>
        </w:tabs>
        <w:ind w:left="3240" w:hanging="1080"/>
      </w:pPr>
      <w:rPr>
        <w:rFonts w:cs="Times New Roman"/>
      </w:rPr>
    </w:lvl>
    <w:lvl w:ilvl="7">
      <w:start w:val="1"/>
      <w:numFmt w:val="decimal"/>
      <w:lvlText w:val="%1.%2.%3.%4.%5.%6.%7.%8."/>
      <w:lvlJc w:val="left"/>
      <w:pPr>
        <w:tabs>
          <w:tab w:val="num" w:pos="5760"/>
        </w:tabs>
        <w:ind w:left="3744" w:hanging="1224"/>
      </w:pPr>
      <w:rPr>
        <w:rFonts w:cs="Times New Roman"/>
      </w:rPr>
    </w:lvl>
    <w:lvl w:ilvl="8">
      <w:start w:val="1"/>
      <w:numFmt w:val="decimal"/>
      <w:lvlText w:val="%1.%2.%3.%4.%5.%6.%7.%8.%9."/>
      <w:lvlJc w:val="left"/>
      <w:pPr>
        <w:tabs>
          <w:tab w:val="num" w:pos="6480"/>
        </w:tabs>
        <w:ind w:left="4320" w:hanging="1440"/>
      </w:pPr>
      <w:rPr>
        <w:rFonts w:cs="Times New Roman"/>
      </w:rPr>
    </w:lvl>
  </w:abstractNum>
  <w:abstractNum w:abstractNumId="6" w15:restartNumberingAfterBreak="0">
    <w:nsid w:val="4A167D18"/>
    <w:multiLevelType w:val="multilevel"/>
    <w:tmpl w:val="0C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7294591F"/>
    <w:multiLevelType w:val="multilevel"/>
    <w:tmpl w:val="88F6EEB2"/>
    <w:numStyleLink w:val="Text"/>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7"/>
  </w:num>
  <w:num w:numId="18">
    <w:abstractNumId w:val="4"/>
  </w:num>
  <w:num w:numId="19">
    <w:abstractNumId w:val="3"/>
    <w:lvlOverride w:ilvl="0">
      <w:lvl w:ilvl="0">
        <w:start w:val="1"/>
        <w:numFmt w:val="decimal"/>
        <w:lvlText w:val="%1."/>
        <w:lvlJc w:val="left"/>
        <w:pPr>
          <w:tabs>
            <w:tab w:val="num" w:pos="567"/>
          </w:tabs>
          <w:ind w:left="567" w:hanging="567"/>
        </w:pPr>
        <w:rPr>
          <w:rFonts w:cs="Times New Roman" w:hint="default"/>
        </w:rPr>
      </w:lvl>
    </w:lvlOverride>
    <w:lvlOverride w:ilvl="1">
      <w:lvl w:ilvl="1">
        <w:start w:val="1"/>
        <w:numFmt w:val="decimal"/>
        <w:lvlText w:val="(%2)"/>
        <w:lvlJc w:val="left"/>
        <w:pPr>
          <w:tabs>
            <w:tab w:val="num" w:pos="1134"/>
          </w:tabs>
          <w:ind w:left="1134" w:hanging="567"/>
        </w:pPr>
        <w:rPr>
          <w:rFonts w:cs="Times New Roman" w:hint="default"/>
        </w:rPr>
      </w:lvl>
    </w:lvlOverride>
    <w:lvlOverride w:ilvl="2">
      <w:lvl w:ilvl="2">
        <w:start w:val="1"/>
        <w:numFmt w:val="lowerLetter"/>
        <w:lvlText w:val="(%3)"/>
        <w:lvlJc w:val="left"/>
        <w:pPr>
          <w:tabs>
            <w:tab w:val="num" w:pos="1985"/>
          </w:tabs>
          <w:ind w:left="1985" w:hanging="851"/>
        </w:pPr>
        <w:rPr>
          <w:rFonts w:cs="Times New Roman" w:hint="default"/>
        </w:rPr>
      </w:lvl>
    </w:lvlOverride>
    <w:lvlOverride w:ilvl="3">
      <w:lvl w:ilvl="3">
        <w:start w:val="1"/>
        <w:numFmt w:val="lowerRoman"/>
        <w:lvlText w:val="%1(%2)(%3)(%4)"/>
        <w:lvlJc w:val="left"/>
        <w:pPr>
          <w:tabs>
            <w:tab w:val="num" w:pos="2948"/>
          </w:tabs>
          <w:ind w:left="2948" w:hanging="963"/>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20">
    <w:abstractNumId w:val="1"/>
  </w:num>
  <w:num w:numId="21">
    <w:abstractNumId w:val="2"/>
  </w:num>
  <w:num w:numId="22">
    <w:abstractNumId w:val="5"/>
  </w:num>
  <w:num w:numId="23">
    <w:abstractNumId w:val="6"/>
  </w:num>
  <w:num w:numId="24">
    <w:abstractNumId w:val="0"/>
  </w:num>
  <w:num w:numId="25">
    <w:abstractNumId w:val="3"/>
  </w:num>
  <w:num w:numId="26">
    <w:abstractNumId w:val="3"/>
    <w:lvlOverride w:ilvl="0">
      <w:lvl w:ilvl="0">
        <w:start w:val="1"/>
        <w:numFmt w:val="decimal"/>
        <w:lvlText w:val="%1."/>
        <w:lvlJc w:val="left"/>
        <w:pPr>
          <w:tabs>
            <w:tab w:val="num" w:pos="2007"/>
          </w:tabs>
          <w:ind w:left="2007" w:hanging="567"/>
        </w:pPr>
        <w:rPr>
          <w:rFonts w:cs="Times New Roman" w:hint="default"/>
        </w:rPr>
      </w:lvl>
    </w:lvlOverride>
    <w:lvlOverride w:ilvl="1">
      <w:lvl w:ilvl="1">
        <w:start w:val="1"/>
        <w:numFmt w:val="decimal"/>
        <w:lvlText w:val="(%2)"/>
        <w:lvlJc w:val="left"/>
        <w:pPr>
          <w:tabs>
            <w:tab w:val="num" w:pos="1134"/>
          </w:tabs>
          <w:ind w:left="1134" w:hanging="567"/>
        </w:pPr>
        <w:rPr>
          <w:rFonts w:cs="Times New Roman" w:hint="default"/>
        </w:rPr>
      </w:lvl>
    </w:lvlOverride>
    <w:lvlOverride w:ilvl="2">
      <w:lvl w:ilvl="2">
        <w:start w:val="1"/>
        <w:numFmt w:val="lowerLetter"/>
        <w:lvlText w:val="(%3)"/>
        <w:lvlJc w:val="left"/>
        <w:pPr>
          <w:tabs>
            <w:tab w:val="num" w:pos="1701"/>
          </w:tabs>
          <w:ind w:left="1701" w:hanging="567"/>
        </w:pPr>
        <w:rPr>
          <w:rFonts w:cs="Times New Roman" w:hint="default"/>
        </w:rPr>
      </w:lvl>
    </w:lvlOverride>
    <w:lvlOverride w:ilvl="3">
      <w:lvl w:ilvl="3">
        <w:start w:val="1"/>
        <w:numFmt w:val="lowerRoman"/>
        <w:lvlText w:val="(%4)"/>
        <w:lvlJc w:val="left"/>
        <w:pPr>
          <w:tabs>
            <w:tab w:val="num" w:pos="2268"/>
          </w:tabs>
          <w:ind w:left="2268" w:hanging="567"/>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ocumentProtection w:edit="readOnly" w:enforcement="1" w:cryptProviderType="rsaAES" w:cryptAlgorithmClass="hash" w:cryptAlgorithmType="typeAny" w:cryptAlgorithmSid="14" w:cryptSpinCount="100000" w:hash="P0TgiJMj7OlxA88xq5QtSEJDvGVN1ZfLggvrkVyZ47YqVaTfjYPEjqE6Zg9Nr2zpEa6NblGLFiiIxfho/ZanAA==" w:salt="PTSxNn2plcFLFjorah0rxw=="/>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45FD"/>
    <w:rsid w:val="000060BF"/>
    <w:rsid w:val="000064CB"/>
    <w:rsid w:val="0000729A"/>
    <w:rsid w:val="000104AB"/>
    <w:rsid w:val="00010EEA"/>
    <w:rsid w:val="00014A14"/>
    <w:rsid w:val="00016F60"/>
    <w:rsid w:val="0002150C"/>
    <w:rsid w:val="00022413"/>
    <w:rsid w:val="00023645"/>
    <w:rsid w:val="00023D74"/>
    <w:rsid w:val="00025614"/>
    <w:rsid w:val="000302C0"/>
    <w:rsid w:val="000308F4"/>
    <w:rsid w:val="000333C6"/>
    <w:rsid w:val="000338AA"/>
    <w:rsid w:val="000376B2"/>
    <w:rsid w:val="000424F1"/>
    <w:rsid w:val="00042BC9"/>
    <w:rsid w:val="00045CCE"/>
    <w:rsid w:val="00046838"/>
    <w:rsid w:val="0005160E"/>
    <w:rsid w:val="0005416A"/>
    <w:rsid w:val="00054E58"/>
    <w:rsid w:val="00055A15"/>
    <w:rsid w:val="00055F6E"/>
    <w:rsid w:val="000567BE"/>
    <w:rsid w:val="0005747B"/>
    <w:rsid w:val="00063A93"/>
    <w:rsid w:val="00063EAC"/>
    <w:rsid w:val="00067AE5"/>
    <w:rsid w:val="00070001"/>
    <w:rsid w:val="000742F9"/>
    <w:rsid w:val="000755D7"/>
    <w:rsid w:val="00081963"/>
    <w:rsid w:val="00081984"/>
    <w:rsid w:val="000916BF"/>
    <w:rsid w:val="000917B2"/>
    <w:rsid w:val="000925CD"/>
    <w:rsid w:val="00094D2B"/>
    <w:rsid w:val="000968BE"/>
    <w:rsid w:val="000A058E"/>
    <w:rsid w:val="000A1789"/>
    <w:rsid w:val="000A215A"/>
    <w:rsid w:val="000A57FE"/>
    <w:rsid w:val="000A5BAB"/>
    <w:rsid w:val="000A5FAF"/>
    <w:rsid w:val="000A7ABD"/>
    <w:rsid w:val="000B1FE4"/>
    <w:rsid w:val="000B2D3E"/>
    <w:rsid w:val="000C0DD5"/>
    <w:rsid w:val="000C2C04"/>
    <w:rsid w:val="000C3AD0"/>
    <w:rsid w:val="000C46E6"/>
    <w:rsid w:val="000C5DAB"/>
    <w:rsid w:val="000D21B9"/>
    <w:rsid w:val="000D4683"/>
    <w:rsid w:val="000D70FE"/>
    <w:rsid w:val="000D760C"/>
    <w:rsid w:val="000D7A05"/>
    <w:rsid w:val="000E26E6"/>
    <w:rsid w:val="000E4D8E"/>
    <w:rsid w:val="000E75E1"/>
    <w:rsid w:val="000E7845"/>
    <w:rsid w:val="000F42DA"/>
    <w:rsid w:val="000F7515"/>
    <w:rsid w:val="00100A1B"/>
    <w:rsid w:val="00104A7B"/>
    <w:rsid w:val="00112237"/>
    <w:rsid w:val="00114269"/>
    <w:rsid w:val="001171EA"/>
    <w:rsid w:val="00117E21"/>
    <w:rsid w:val="00117F5D"/>
    <w:rsid w:val="00120400"/>
    <w:rsid w:val="0012101B"/>
    <w:rsid w:val="001240BD"/>
    <w:rsid w:val="0012610A"/>
    <w:rsid w:val="001271FF"/>
    <w:rsid w:val="0013250A"/>
    <w:rsid w:val="00134634"/>
    <w:rsid w:val="00135C96"/>
    <w:rsid w:val="001364CD"/>
    <w:rsid w:val="001407E2"/>
    <w:rsid w:val="001422DD"/>
    <w:rsid w:val="00147504"/>
    <w:rsid w:val="0015017F"/>
    <w:rsid w:val="001521B6"/>
    <w:rsid w:val="00153959"/>
    <w:rsid w:val="00153AFD"/>
    <w:rsid w:val="001545F9"/>
    <w:rsid w:val="001579C2"/>
    <w:rsid w:val="00160881"/>
    <w:rsid w:val="0016262C"/>
    <w:rsid w:val="00164109"/>
    <w:rsid w:val="00164258"/>
    <w:rsid w:val="00164A3A"/>
    <w:rsid w:val="00166509"/>
    <w:rsid w:val="00166DD8"/>
    <w:rsid w:val="00176573"/>
    <w:rsid w:val="00181AFF"/>
    <w:rsid w:val="0018229E"/>
    <w:rsid w:val="00184056"/>
    <w:rsid w:val="00184984"/>
    <w:rsid w:val="00184B7C"/>
    <w:rsid w:val="00187674"/>
    <w:rsid w:val="00192F6F"/>
    <w:rsid w:val="0019571B"/>
    <w:rsid w:val="001971A1"/>
    <w:rsid w:val="0019771F"/>
    <w:rsid w:val="001A08F3"/>
    <w:rsid w:val="001A6196"/>
    <w:rsid w:val="001B280A"/>
    <w:rsid w:val="001B71AE"/>
    <w:rsid w:val="001B7AC7"/>
    <w:rsid w:val="001C422C"/>
    <w:rsid w:val="001C4568"/>
    <w:rsid w:val="001D27E9"/>
    <w:rsid w:val="001D4089"/>
    <w:rsid w:val="001D5A9F"/>
    <w:rsid w:val="001D6742"/>
    <w:rsid w:val="001D69E9"/>
    <w:rsid w:val="001D7DC4"/>
    <w:rsid w:val="001E344A"/>
    <w:rsid w:val="001E3578"/>
    <w:rsid w:val="001E3E1E"/>
    <w:rsid w:val="001E4038"/>
    <w:rsid w:val="001E6135"/>
    <w:rsid w:val="001F4991"/>
    <w:rsid w:val="001F5273"/>
    <w:rsid w:val="001F60FE"/>
    <w:rsid w:val="001F6B23"/>
    <w:rsid w:val="001F7B6E"/>
    <w:rsid w:val="0020232B"/>
    <w:rsid w:val="00204372"/>
    <w:rsid w:val="002048E7"/>
    <w:rsid w:val="00207E37"/>
    <w:rsid w:val="00210686"/>
    <w:rsid w:val="00210CE7"/>
    <w:rsid w:val="002115E6"/>
    <w:rsid w:val="00211ADE"/>
    <w:rsid w:val="00215A9D"/>
    <w:rsid w:val="0021684D"/>
    <w:rsid w:val="00220337"/>
    <w:rsid w:val="00220E1E"/>
    <w:rsid w:val="00221114"/>
    <w:rsid w:val="0022361B"/>
    <w:rsid w:val="00224644"/>
    <w:rsid w:val="0022527B"/>
    <w:rsid w:val="0022584E"/>
    <w:rsid w:val="002306CE"/>
    <w:rsid w:val="0023083D"/>
    <w:rsid w:val="00233848"/>
    <w:rsid w:val="002351BF"/>
    <w:rsid w:val="00236C8B"/>
    <w:rsid w:val="002374AC"/>
    <w:rsid w:val="00237B7C"/>
    <w:rsid w:val="00242910"/>
    <w:rsid w:val="002440CC"/>
    <w:rsid w:val="0024555A"/>
    <w:rsid w:val="00245F71"/>
    <w:rsid w:val="002466CE"/>
    <w:rsid w:val="00247B46"/>
    <w:rsid w:val="002524C0"/>
    <w:rsid w:val="002526A8"/>
    <w:rsid w:val="00252EA3"/>
    <w:rsid w:val="0025439F"/>
    <w:rsid w:val="002545A4"/>
    <w:rsid w:val="002546CB"/>
    <w:rsid w:val="002548C6"/>
    <w:rsid w:val="002555DE"/>
    <w:rsid w:val="00263031"/>
    <w:rsid w:val="00271740"/>
    <w:rsid w:val="00273379"/>
    <w:rsid w:val="002735B7"/>
    <w:rsid w:val="0027710E"/>
    <w:rsid w:val="002863EF"/>
    <w:rsid w:val="00295BEF"/>
    <w:rsid w:val="00297E74"/>
    <w:rsid w:val="002A03A5"/>
    <w:rsid w:val="002A3775"/>
    <w:rsid w:val="002A5567"/>
    <w:rsid w:val="002A5623"/>
    <w:rsid w:val="002A7D1F"/>
    <w:rsid w:val="002B1738"/>
    <w:rsid w:val="002C0386"/>
    <w:rsid w:val="002C1DA7"/>
    <w:rsid w:val="002C267D"/>
    <w:rsid w:val="002D4686"/>
    <w:rsid w:val="002D6B9D"/>
    <w:rsid w:val="002D7B81"/>
    <w:rsid w:val="002E1CE1"/>
    <w:rsid w:val="002F2A3B"/>
    <w:rsid w:val="002F642C"/>
    <w:rsid w:val="00301586"/>
    <w:rsid w:val="0030190F"/>
    <w:rsid w:val="003023CC"/>
    <w:rsid w:val="003049DF"/>
    <w:rsid w:val="00307F79"/>
    <w:rsid w:val="00311AB6"/>
    <w:rsid w:val="003127AA"/>
    <w:rsid w:val="00314B99"/>
    <w:rsid w:val="00314C98"/>
    <w:rsid w:val="00314E75"/>
    <w:rsid w:val="00323FDD"/>
    <w:rsid w:val="00327C11"/>
    <w:rsid w:val="00330CA3"/>
    <w:rsid w:val="00332D45"/>
    <w:rsid w:val="00340212"/>
    <w:rsid w:val="00343BDF"/>
    <w:rsid w:val="003455BA"/>
    <w:rsid w:val="003458E7"/>
    <w:rsid w:val="00350C52"/>
    <w:rsid w:val="00350DA3"/>
    <w:rsid w:val="0035373D"/>
    <w:rsid w:val="00354185"/>
    <w:rsid w:val="00354627"/>
    <w:rsid w:val="00355A73"/>
    <w:rsid w:val="00355AD3"/>
    <w:rsid w:val="003566B4"/>
    <w:rsid w:val="003627B1"/>
    <w:rsid w:val="003649F0"/>
    <w:rsid w:val="00364D5F"/>
    <w:rsid w:val="00365875"/>
    <w:rsid w:val="003659AD"/>
    <w:rsid w:val="00371470"/>
    <w:rsid w:val="00371523"/>
    <w:rsid w:val="00371A9E"/>
    <w:rsid w:val="00371DC6"/>
    <w:rsid w:val="00371E1A"/>
    <w:rsid w:val="00372775"/>
    <w:rsid w:val="003765CD"/>
    <w:rsid w:val="00385103"/>
    <w:rsid w:val="00386424"/>
    <w:rsid w:val="00386D5A"/>
    <w:rsid w:val="0038749B"/>
    <w:rsid w:val="003926BA"/>
    <w:rsid w:val="00393982"/>
    <w:rsid w:val="00393DD6"/>
    <w:rsid w:val="00394D70"/>
    <w:rsid w:val="00395EE1"/>
    <w:rsid w:val="0039737A"/>
    <w:rsid w:val="003A525E"/>
    <w:rsid w:val="003A7455"/>
    <w:rsid w:val="003B21D5"/>
    <w:rsid w:val="003B418C"/>
    <w:rsid w:val="003B4A50"/>
    <w:rsid w:val="003B4B57"/>
    <w:rsid w:val="003B4C4C"/>
    <w:rsid w:val="003B680A"/>
    <w:rsid w:val="003B7E94"/>
    <w:rsid w:val="003C1073"/>
    <w:rsid w:val="003C3B85"/>
    <w:rsid w:val="003C3BD7"/>
    <w:rsid w:val="003C6832"/>
    <w:rsid w:val="003D0F41"/>
    <w:rsid w:val="003D26A8"/>
    <w:rsid w:val="003D3D24"/>
    <w:rsid w:val="003D400C"/>
    <w:rsid w:val="003D4586"/>
    <w:rsid w:val="003D5245"/>
    <w:rsid w:val="003E23F6"/>
    <w:rsid w:val="003E5274"/>
    <w:rsid w:val="003E62DE"/>
    <w:rsid w:val="003E778F"/>
    <w:rsid w:val="003E7791"/>
    <w:rsid w:val="003F5E2C"/>
    <w:rsid w:val="003F70DD"/>
    <w:rsid w:val="003F7195"/>
    <w:rsid w:val="003F73D3"/>
    <w:rsid w:val="003F7433"/>
    <w:rsid w:val="003F7BDE"/>
    <w:rsid w:val="00401F0A"/>
    <w:rsid w:val="004050CF"/>
    <w:rsid w:val="004068CE"/>
    <w:rsid w:val="0041111B"/>
    <w:rsid w:val="004124F6"/>
    <w:rsid w:val="00412F76"/>
    <w:rsid w:val="00413032"/>
    <w:rsid w:val="004130A1"/>
    <w:rsid w:val="0041454C"/>
    <w:rsid w:val="00415E74"/>
    <w:rsid w:val="0041637D"/>
    <w:rsid w:val="0041795D"/>
    <w:rsid w:val="00424DCE"/>
    <w:rsid w:val="004302A2"/>
    <w:rsid w:val="00430725"/>
    <w:rsid w:val="00431E0A"/>
    <w:rsid w:val="00432945"/>
    <w:rsid w:val="00434F1E"/>
    <w:rsid w:val="004362E6"/>
    <w:rsid w:val="004379E6"/>
    <w:rsid w:val="004407DC"/>
    <w:rsid w:val="004439D7"/>
    <w:rsid w:val="004503D8"/>
    <w:rsid w:val="004539D6"/>
    <w:rsid w:val="0045415A"/>
    <w:rsid w:val="0045697A"/>
    <w:rsid w:val="00456CDA"/>
    <w:rsid w:val="004572A6"/>
    <w:rsid w:val="00457C44"/>
    <w:rsid w:val="00461243"/>
    <w:rsid w:val="00463743"/>
    <w:rsid w:val="004646F7"/>
    <w:rsid w:val="00465AB2"/>
    <w:rsid w:val="00466FB5"/>
    <w:rsid w:val="00470036"/>
    <w:rsid w:val="004707BC"/>
    <w:rsid w:val="004726D4"/>
    <w:rsid w:val="00473F14"/>
    <w:rsid w:val="00473FF2"/>
    <w:rsid w:val="004742EA"/>
    <w:rsid w:val="004743B6"/>
    <w:rsid w:val="00474B80"/>
    <w:rsid w:val="00476314"/>
    <w:rsid w:val="00481F7B"/>
    <w:rsid w:val="00482184"/>
    <w:rsid w:val="00482C30"/>
    <w:rsid w:val="00490396"/>
    <w:rsid w:val="0049040E"/>
    <w:rsid w:val="004909A0"/>
    <w:rsid w:val="00492379"/>
    <w:rsid w:val="004941E5"/>
    <w:rsid w:val="00494D6F"/>
    <w:rsid w:val="00495C41"/>
    <w:rsid w:val="004A5CE6"/>
    <w:rsid w:val="004A60E1"/>
    <w:rsid w:val="004B003D"/>
    <w:rsid w:val="004B3239"/>
    <w:rsid w:val="004B39EB"/>
    <w:rsid w:val="004B4B9D"/>
    <w:rsid w:val="004B56D1"/>
    <w:rsid w:val="004B5DAB"/>
    <w:rsid w:val="004B66ED"/>
    <w:rsid w:val="004C0D46"/>
    <w:rsid w:val="004C12DE"/>
    <w:rsid w:val="004C518D"/>
    <w:rsid w:val="004C5782"/>
    <w:rsid w:val="004C5891"/>
    <w:rsid w:val="004C6027"/>
    <w:rsid w:val="004D1809"/>
    <w:rsid w:val="004D3B44"/>
    <w:rsid w:val="004E09CA"/>
    <w:rsid w:val="004E22D8"/>
    <w:rsid w:val="004E391B"/>
    <w:rsid w:val="004E502F"/>
    <w:rsid w:val="004E5C39"/>
    <w:rsid w:val="004E5F24"/>
    <w:rsid w:val="004E69E8"/>
    <w:rsid w:val="004F103E"/>
    <w:rsid w:val="00500BE6"/>
    <w:rsid w:val="0050534D"/>
    <w:rsid w:val="00516D27"/>
    <w:rsid w:val="00517382"/>
    <w:rsid w:val="005205CA"/>
    <w:rsid w:val="00520F76"/>
    <w:rsid w:val="00522191"/>
    <w:rsid w:val="00525881"/>
    <w:rsid w:val="0052614B"/>
    <w:rsid w:val="0052675D"/>
    <w:rsid w:val="00526B7A"/>
    <w:rsid w:val="00530165"/>
    <w:rsid w:val="005302CE"/>
    <w:rsid w:val="00532754"/>
    <w:rsid w:val="00536F37"/>
    <w:rsid w:val="00537837"/>
    <w:rsid w:val="005400EA"/>
    <w:rsid w:val="005419BC"/>
    <w:rsid w:val="005428F8"/>
    <w:rsid w:val="00542966"/>
    <w:rsid w:val="00545D20"/>
    <w:rsid w:val="005475C0"/>
    <w:rsid w:val="00547681"/>
    <w:rsid w:val="00551CBC"/>
    <w:rsid w:val="00555249"/>
    <w:rsid w:val="0056224B"/>
    <w:rsid w:val="005628C3"/>
    <w:rsid w:val="00565187"/>
    <w:rsid w:val="00566890"/>
    <w:rsid w:val="005707AB"/>
    <w:rsid w:val="00572867"/>
    <w:rsid w:val="00573A16"/>
    <w:rsid w:val="0058140E"/>
    <w:rsid w:val="00581D64"/>
    <w:rsid w:val="00582C45"/>
    <w:rsid w:val="00582D7B"/>
    <w:rsid w:val="005855C5"/>
    <w:rsid w:val="0058646E"/>
    <w:rsid w:val="00587446"/>
    <w:rsid w:val="00596353"/>
    <w:rsid w:val="00596954"/>
    <w:rsid w:val="00596B7E"/>
    <w:rsid w:val="005A0101"/>
    <w:rsid w:val="005A6A98"/>
    <w:rsid w:val="005A6EAB"/>
    <w:rsid w:val="005B03D6"/>
    <w:rsid w:val="005B3B6D"/>
    <w:rsid w:val="005B419B"/>
    <w:rsid w:val="005B43D5"/>
    <w:rsid w:val="005B4B9A"/>
    <w:rsid w:val="005B5511"/>
    <w:rsid w:val="005B659C"/>
    <w:rsid w:val="005D0992"/>
    <w:rsid w:val="005D14AB"/>
    <w:rsid w:val="005D4468"/>
    <w:rsid w:val="005D54FC"/>
    <w:rsid w:val="005E3FA9"/>
    <w:rsid w:val="005E5A0B"/>
    <w:rsid w:val="005E722D"/>
    <w:rsid w:val="005F0CAA"/>
    <w:rsid w:val="005F1765"/>
    <w:rsid w:val="005F21D9"/>
    <w:rsid w:val="005F60B7"/>
    <w:rsid w:val="006023B8"/>
    <w:rsid w:val="0060284F"/>
    <w:rsid w:val="006034B6"/>
    <w:rsid w:val="006054F4"/>
    <w:rsid w:val="00605813"/>
    <w:rsid w:val="00605CAB"/>
    <w:rsid w:val="006102F8"/>
    <w:rsid w:val="00612FBB"/>
    <w:rsid w:val="0061625F"/>
    <w:rsid w:val="00616C29"/>
    <w:rsid w:val="006226DC"/>
    <w:rsid w:val="00623756"/>
    <w:rsid w:val="00624CDA"/>
    <w:rsid w:val="006257CD"/>
    <w:rsid w:val="00625F15"/>
    <w:rsid w:val="00626B28"/>
    <w:rsid w:val="00630FFB"/>
    <w:rsid w:val="00632A1A"/>
    <w:rsid w:val="00634CF3"/>
    <w:rsid w:val="00635C62"/>
    <w:rsid w:val="00635F78"/>
    <w:rsid w:val="00636C00"/>
    <w:rsid w:val="00645230"/>
    <w:rsid w:val="00645F0D"/>
    <w:rsid w:val="006501B7"/>
    <w:rsid w:val="00652111"/>
    <w:rsid w:val="00654280"/>
    <w:rsid w:val="006552F7"/>
    <w:rsid w:val="006575EA"/>
    <w:rsid w:val="0066709F"/>
    <w:rsid w:val="00672564"/>
    <w:rsid w:val="006831AE"/>
    <w:rsid w:val="0068379E"/>
    <w:rsid w:val="0069461E"/>
    <w:rsid w:val="006A0AED"/>
    <w:rsid w:val="006A21A5"/>
    <w:rsid w:val="006A30C4"/>
    <w:rsid w:val="006A356D"/>
    <w:rsid w:val="006B002A"/>
    <w:rsid w:val="006B0776"/>
    <w:rsid w:val="006B19DB"/>
    <w:rsid w:val="006B3D13"/>
    <w:rsid w:val="006B455C"/>
    <w:rsid w:val="006B5008"/>
    <w:rsid w:val="006B605D"/>
    <w:rsid w:val="006B7698"/>
    <w:rsid w:val="006C05D0"/>
    <w:rsid w:val="006C1229"/>
    <w:rsid w:val="006C12B1"/>
    <w:rsid w:val="006C360A"/>
    <w:rsid w:val="006C6156"/>
    <w:rsid w:val="006D0606"/>
    <w:rsid w:val="006D0C05"/>
    <w:rsid w:val="006D19A1"/>
    <w:rsid w:val="006D34E1"/>
    <w:rsid w:val="006D4A84"/>
    <w:rsid w:val="006D56A5"/>
    <w:rsid w:val="006D7D4A"/>
    <w:rsid w:val="006E03DB"/>
    <w:rsid w:val="006E0735"/>
    <w:rsid w:val="006E26BD"/>
    <w:rsid w:val="006E32F6"/>
    <w:rsid w:val="006E3A88"/>
    <w:rsid w:val="006E3FC6"/>
    <w:rsid w:val="006E474E"/>
    <w:rsid w:val="006E79AA"/>
    <w:rsid w:val="006F1AB6"/>
    <w:rsid w:val="006F56AA"/>
    <w:rsid w:val="006F5C85"/>
    <w:rsid w:val="00700C9F"/>
    <w:rsid w:val="00703666"/>
    <w:rsid w:val="00703FCC"/>
    <w:rsid w:val="0070603B"/>
    <w:rsid w:val="00706F00"/>
    <w:rsid w:val="0070795F"/>
    <w:rsid w:val="00713E0D"/>
    <w:rsid w:val="00717647"/>
    <w:rsid w:val="00717A07"/>
    <w:rsid w:val="00720153"/>
    <w:rsid w:val="00724967"/>
    <w:rsid w:val="00725FD5"/>
    <w:rsid w:val="0072605B"/>
    <w:rsid w:val="00731530"/>
    <w:rsid w:val="0073591C"/>
    <w:rsid w:val="00736DB7"/>
    <w:rsid w:val="00737045"/>
    <w:rsid w:val="0074419C"/>
    <w:rsid w:val="007445E4"/>
    <w:rsid w:val="00747309"/>
    <w:rsid w:val="00747535"/>
    <w:rsid w:val="007501B1"/>
    <w:rsid w:val="0075176D"/>
    <w:rsid w:val="0075179B"/>
    <w:rsid w:val="00752CFA"/>
    <w:rsid w:val="007553B7"/>
    <w:rsid w:val="00755BFC"/>
    <w:rsid w:val="007572CE"/>
    <w:rsid w:val="00757465"/>
    <w:rsid w:val="00761932"/>
    <w:rsid w:val="00761E6D"/>
    <w:rsid w:val="00762067"/>
    <w:rsid w:val="00762918"/>
    <w:rsid w:val="00762969"/>
    <w:rsid w:val="00763A20"/>
    <w:rsid w:val="00767E45"/>
    <w:rsid w:val="00771246"/>
    <w:rsid w:val="007719DE"/>
    <w:rsid w:val="007735E7"/>
    <w:rsid w:val="00773B36"/>
    <w:rsid w:val="00777491"/>
    <w:rsid w:val="00780551"/>
    <w:rsid w:val="00780F8C"/>
    <w:rsid w:val="007817A1"/>
    <w:rsid w:val="007829AE"/>
    <w:rsid w:val="00784A94"/>
    <w:rsid w:val="00787076"/>
    <w:rsid w:val="00791ACA"/>
    <w:rsid w:val="00797A22"/>
    <w:rsid w:val="007A07E8"/>
    <w:rsid w:val="007A0B7B"/>
    <w:rsid w:val="007A442B"/>
    <w:rsid w:val="007A553D"/>
    <w:rsid w:val="007A6A0B"/>
    <w:rsid w:val="007B1307"/>
    <w:rsid w:val="007B51DD"/>
    <w:rsid w:val="007B7CC0"/>
    <w:rsid w:val="007C0E96"/>
    <w:rsid w:val="007C1D40"/>
    <w:rsid w:val="007C33CA"/>
    <w:rsid w:val="007C4B87"/>
    <w:rsid w:val="007C62CA"/>
    <w:rsid w:val="007C71F4"/>
    <w:rsid w:val="007D290F"/>
    <w:rsid w:val="007D34CA"/>
    <w:rsid w:val="007D40A4"/>
    <w:rsid w:val="007D4D03"/>
    <w:rsid w:val="007D5030"/>
    <w:rsid w:val="007D7071"/>
    <w:rsid w:val="007E13CD"/>
    <w:rsid w:val="007E436A"/>
    <w:rsid w:val="007E4470"/>
    <w:rsid w:val="007E48E0"/>
    <w:rsid w:val="007E6321"/>
    <w:rsid w:val="007E6726"/>
    <w:rsid w:val="007F0790"/>
    <w:rsid w:val="007F10F3"/>
    <w:rsid w:val="007F23CE"/>
    <w:rsid w:val="007F3D47"/>
    <w:rsid w:val="007F458D"/>
    <w:rsid w:val="007F552A"/>
    <w:rsid w:val="007F5FDB"/>
    <w:rsid w:val="007F658A"/>
    <w:rsid w:val="007F78D8"/>
    <w:rsid w:val="008049A2"/>
    <w:rsid w:val="00807DD2"/>
    <w:rsid w:val="0081131C"/>
    <w:rsid w:val="00821BA6"/>
    <w:rsid w:val="00823386"/>
    <w:rsid w:val="00824BAA"/>
    <w:rsid w:val="00824DF7"/>
    <w:rsid w:val="00827A50"/>
    <w:rsid w:val="008323D0"/>
    <w:rsid w:val="00832DC1"/>
    <w:rsid w:val="008364BC"/>
    <w:rsid w:val="0084462A"/>
    <w:rsid w:val="008525BF"/>
    <w:rsid w:val="00854345"/>
    <w:rsid w:val="00855DA8"/>
    <w:rsid w:val="008561F5"/>
    <w:rsid w:val="00856662"/>
    <w:rsid w:val="008618DE"/>
    <w:rsid w:val="0086219F"/>
    <w:rsid w:val="008642D5"/>
    <w:rsid w:val="00864645"/>
    <w:rsid w:val="00865384"/>
    <w:rsid w:val="00866773"/>
    <w:rsid w:val="00874692"/>
    <w:rsid w:val="00875635"/>
    <w:rsid w:val="00875F96"/>
    <w:rsid w:val="00876CD3"/>
    <w:rsid w:val="00880258"/>
    <w:rsid w:val="00880CC9"/>
    <w:rsid w:val="00881D21"/>
    <w:rsid w:val="0088327C"/>
    <w:rsid w:val="0088762D"/>
    <w:rsid w:val="008877ED"/>
    <w:rsid w:val="00890996"/>
    <w:rsid w:val="00890DB6"/>
    <w:rsid w:val="008933D8"/>
    <w:rsid w:val="008A0085"/>
    <w:rsid w:val="008A0833"/>
    <w:rsid w:val="008A0912"/>
    <w:rsid w:val="008A0DC2"/>
    <w:rsid w:val="008A124C"/>
    <w:rsid w:val="008A14DE"/>
    <w:rsid w:val="008A3E60"/>
    <w:rsid w:val="008A43A5"/>
    <w:rsid w:val="008A536E"/>
    <w:rsid w:val="008A7265"/>
    <w:rsid w:val="008A7B87"/>
    <w:rsid w:val="008B09E4"/>
    <w:rsid w:val="008B23E9"/>
    <w:rsid w:val="008B3039"/>
    <w:rsid w:val="008C0559"/>
    <w:rsid w:val="008C1207"/>
    <w:rsid w:val="008C142F"/>
    <w:rsid w:val="008C3763"/>
    <w:rsid w:val="008C6DB9"/>
    <w:rsid w:val="008D038F"/>
    <w:rsid w:val="008D0458"/>
    <w:rsid w:val="008D0BA9"/>
    <w:rsid w:val="008D2392"/>
    <w:rsid w:val="008D5BB0"/>
    <w:rsid w:val="008D7117"/>
    <w:rsid w:val="008E1DC7"/>
    <w:rsid w:val="008E3E59"/>
    <w:rsid w:val="008E5AC0"/>
    <w:rsid w:val="008E6244"/>
    <w:rsid w:val="008F1860"/>
    <w:rsid w:val="008F2A38"/>
    <w:rsid w:val="008F3E64"/>
    <w:rsid w:val="008F5DAC"/>
    <w:rsid w:val="008F7654"/>
    <w:rsid w:val="0090131A"/>
    <w:rsid w:val="00902884"/>
    <w:rsid w:val="00903EAE"/>
    <w:rsid w:val="00904EE9"/>
    <w:rsid w:val="009069DD"/>
    <w:rsid w:val="009071AE"/>
    <w:rsid w:val="00913C82"/>
    <w:rsid w:val="0091589D"/>
    <w:rsid w:val="009312EE"/>
    <w:rsid w:val="00931A46"/>
    <w:rsid w:val="009329EC"/>
    <w:rsid w:val="009342C0"/>
    <w:rsid w:val="00944373"/>
    <w:rsid w:val="00944463"/>
    <w:rsid w:val="0094548B"/>
    <w:rsid w:val="00947358"/>
    <w:rsid w:val="00951504"/>
    <w:rsid w:val="00955AC5"/>
    <w:rsid w:val="00956834"/>
    <w:rsid w:val="0096099C"/>
    <w:rsid w:val="0096299F"/>
    <w:rsid w:val="00966B8B"/>
    <w:rsid w:val="00967227"/>
    <w:rsid w:val="00971B1A"/>
    <w:rsid w:val="00972562"/>
    <w:rsid w:val="0097383F"/>
    <w:rsid w:val="00981299"/>
    <w:rsid w:val="00981A37"/>
    <w:rsid w:val="00981DD0"/>
    <w:rsid w:val="00983353"/>
    <w:rsid w:val="009857E8"/>
    <w:rsid w:val="00987FCD"/>
    <w:rsid w:val="009912B8"/>
    <w:rsid w:val="00993121"/>
    <w:rsid w:val="0099370B"/>
    <w:rsid w:val="00993BA5"/>
    <w:rsid w:val="009940B7"/>
    <w:rsid w:val="009A0AA7"/>
    <w:rsid w:val="009A4C0F"/>
    <w:rsid w:val="009A5957"/>
    <w:rsid w:val="009A5B4C"/>
    <w:rsid w:val="009A6334"/>
    <w:rsid w:val="009A75A0"/>
    <w:rsid w:val="009B08B2"/>
    <w:rsid w:val="009B13A1"/>
    <w:rsid w:val="009B1546"/>
    <w:rsid w:val="009B1644"/>
    <w:rsid w:val="009B792D"/>
    <w:rsid w:val="009C414E"/>
    <w:rsid w:val="009C7319"/>
    <w:rsid w:val="009D0425"/>
    <w:rsid w:val="009D1CC1"/>
    <w:rsid w:val="009D256E"/>
    <w:rsid w:val="009D385D"/>
    <w:rsid w:val="009D5D56"/>
    <w:rsid w:val="009D5DA2"/>
    <w:rsid w:val="009E0273"/>
    <w:rsid w:val="009E1CE4"/>
    <w:rsid w:val="009E2103"/>
    <w:rsid w:val="009E21DC"/>
    <w:rsid w:val="009E7450"/>
    <w:rsid w:val="009F372D"/>
    <w:rsid w:val="009F3A74"/>
    <w:rsid w:val="009F48CB"/>
    <w:rsid w:val="009F5A99"/>
    <w:rsid w:val="009F6DAD"/>
    <w:rsid w:val="009F73C1"/>
    <w:rsid w:val="009F759A"/>
    <w:rsid w:val="00A00C96"/>
    <w:rsid w:val="00A00F49"/>
    <w:rsid w:val="00A00FF6"/>
    <w:rsid w:val="00A027E7"/>
    <w:rsid w:val="00A03DF6"/>
    <w:rsid w:val="00A047F2"/>
    <w:rsid w:val="00A050DF"/>
    <w:rsid w:val="00A06FB0"/>
    <w:rsid w:val="00A07198"/>
    <w:rsid w:val="00A10398"/>
    <w:rsid w:val="00A10DB1"/>
    <w:rsid w:val="00A1279E"/>
    <w:rsid w:val="00A15B51"/>
    <w:rsid w:val="00A16927"/>
    <w:rsid w:val="00A21587"/>
    <w:rsid w:val="00A2194D"/>
    <w:rsid w:val="00A220AD"/>
    <w:rsid w:val="00A23D20"/>
    <w:rsid w:val="00A23E15"/>
    <w:rsid w:val="00A255CB"/>
    <w:rsid w:val="00A27062"/>
    <w:rsid w:val="00A271E9"/>
    <w:rsid w:val="00A3089F"/>
    <w:rsid w:val="00A30A6C"/>
    <w:rsid w:val="00A334C3"/>
    <w:rsid w:val="00A36699"/>
    <w:rsid w:val="00A40615"/>
    <w:rsid w:val="00A435BD"/>
    <w:rsid w:val="00A45774"/>
    <w:rsid w:val="00A47EC0"/>
    <w:rsid w:val="00A537CF"/>
    <w:rsid w:val="00A54806"/>
    <w:rsid w:val="00A5494C"/>
    <w:rsid w:val="00A55ECC"/>
    <w:rsid w:val="00A57A39"/>
    <w:rsid w:val="00A60570"/>
    <w:rsid w:val="00A608B1"/>
    <w:rsid w:val="00A641DF"/>
    <w:rsid w:val="00A65BF5"/>
    <w:rsid w:val="00A7187B"/>
    <w:rsid w:val="00A728DB"/>
    <w:rsid w:val="00A7296E"/>
    <w:rsid w:val="00A73433"/>
    <w:rsid w:val="00A73C0C"/>
    <w:rsid w:val="00A8134F"/>
    <w:rsid w:val="00A81BDC"/>
    <w:rsid w:val="00A82727"/>
    <w:rsid w:val="00A8454A"/>
    <w:rsid w:val="00A84B88"/>
    <w:rsid w:val="00A86B07"/>
    <w:rsid w:val="00A94CD2"/>
    <w:rsid w:val="00A968CE"/>
    <w:rsid w:val="00A97CCB"/>
    <w:rsid w:val="00AA04C3"/>
    <w:rsid w:val="00AA0714"/>
    <w:rsid w:val="00AA3935"/>
    <w:rsid w:val="00AA548A"/>
    <w:rsid w:val="00AA6273"/>
    <w:rsid w:val="00AA632B"/>
    <w:rsid w:val="00AA7082"/>
    <w:rsid w:val="00AA742C"/>
    <w:rsid w:val="00AB1281"/>
    <w:rsid w:val="00AB22EA"/>
    <w:rsid w:val="00AB3949"/>
    <w:rsid w:val="00AB3EA7"/>
    <w:rsid w:val="00AB4AB1"/>
    <w:rsid w:val="00AB5CE5"/>
    <w:rsid w:val="00AC0479"/>
    <w:rsid w:val="00AC0DE9"/>
    <w:rsid w:val="00AC2DF0"/>
    <w:rsid w:val="00AC3086"/>
    <w:rsid w:val="00AC5873"/>
    <w:rsid w:val="00AC6677"/>
    <w:rsid w:val="00AD2225"/>
    <w:rsid w:val="00AD5CC0"/>
    <w:rsid w:val="00AD5EAB"/>
    <w:rsid w:val="00AD5EAF"/>
    <w:rsid w:val="00AD6149"/>
    <w:rsid w:val="00AE0B75"/>
    <w:rsid w:val="00AE2154"/>
    <w:rsid w:val="00AE70BA"/>
    <w:rsid w:val="00AF2DB3"/>
    <w:rsid w:val="00AF35EB"/>
    <w:rsid w:val="00AF42F0"/>
    <w:rsid w:val="00AF5B58"/>
    <w:rsid w:val="00B0128A"/>
    <w:rsid w:val="00B01BD5"/>
    <w:rsid w:val="00B02AB8"/>
    <w:rsid w:val="00B03943"/>
    <w:rsid w:val="00B11074"/>
    <w:rsid w:val="00B142D1"/>
    <w:rsid w:val="00B14E33"/>
    <w:rsid w:val="00B16B84"/>
    <w:rsid w:val="00B17B7E"/>
    <w:rsid w:val="00B21D03"/>
    <w:rsid w:val="00B23100"/>
    <w:rsid w:val="00B2730E"/>
    <w:rsid w:val="00B407CC"/>
    <w:rsid w:val="00B5093F"/>
    <w:rsid w:val="00B5270D"/>
    <w:rsid w:val="00B535D1"/>
    <w:rsid w:val="00B54F76"/>
    <w:rsid w:val="00B555A0"/>
    <w:rsid w:val="00B60FD0"/>
    <w:rsid w:val="00B61D91"/>
    <w:rsid w:val="00B621B6"/>
    <w:rsid w:val="00B62D42"/>
    <w:rsid w:val="00B63555"/>
    <w:rsid w:val="00B65CE3"/>
    <w:rsid w:val="00B71990"/>
    <w:rsid w:val="00B71D61"/>
    <w:rsid w:val="00B828A5"/>
    <w:rsid w:val="00B82C46"/>
    <w:rsid w:val="00B835E1"/>
    <w:rsid w:val="00B85068"/>
    <w:rsid w:val="00B85594"/>
    <w:rsid w:val="00B921A2"/>
    <w:rsid w:val="00BA0564"/>
    <w:rsid w:val="00BA093E"/>
    <w:rsid w:val="00BA0D70"/>
    <w:rsid w:val="00BA24A6"/>
    <w:rsid w:val="00BA263D"/>
    <w:rsid w:val="00BA2971"/>
    <w:rsid w:val="00BA3777"/>
    <w:rsid w:val="00BA48FA"/>
    <w:rsid w:val="00BA4ABE"/>
    <w:rsid w:val="00BA63DE"/>
    <w:rsid w:val="00BA6FAF"/>
    <w:rsid w:val="00BB0A32"/>
    <w:rsid w:val="00BB0B06"/>
    <w:rsid w:val="00BB2188"/>
    <w:rsid w:val="00BC0077"/>
    <w:rsid w:val="00BC590E"/>
    <w:rsid w:val="00BD047B"/>
    <w:rsid w:val="00BD2B44"/>
    <w:rsid w:val="00BD2C00"/>
    <w:rsid w:val="00BE1391"/>
    <w:rsid w:val="00BE41A6"/>
    <w:rsid w:val="00BE71B8"/>
    <w:rsid w:val="00BE7723"/>
    <w:rsid w:val="00BE7D5F"/>
    <w:rsid w:val="00BF25BF"/>
    <w:rsid w:val="00BF2933"/>
    <w:rsid w:val="00BF59C3"/>
    <w:rsid w:val="00BF618D"/>
    <w:rsid w:val="00BF79D3"/>
    <w:rsid w:val="00BF7C7C"/>
    <w:rsid w:val="00C00399"/>
    <w:rsid w:val="00C02729"/>
    <w:rsid w:val="00C03D88"/>
    <w:rsid w:val="00C03F77"/>
    <w:rsid w:val="00C04FF1"/>
    <w:rsid w:val="00C060E8"/>
    <w:rsid w:val="00C1093F"/>
    <w:rsid w:val="00C12329"/>
    <w:rsid w:val="00C17D87"/>
    <w:rsid w:val="00C20FAF"/>
    <w:rsid w:val="00C21CAC"/>
    <w:rsid w:val="00C23AEC"/>
    <w:rsid w:val="00C23F02"/>
    <w:rsid w:val="00C24755"/>
    <w:rsid w:val="00C2528A"/>
    <w:rsid w:val="00C254DF"/>
    <w:rsid w:val="00C26AF2"/>
    <w:rsid w:val="00C27A0A"/>
    <w:rsid w:val="00C30D67"/>
    <w:rsid w:val="00C319F4"/>
    <w:rsid w:val="00C32D2A"/>
    <w:rsid w:val="00C335F2"/>
    <w:rsid w:val="00C33A74"/>
    <w:rsid w:val="00C33F90"/>
    <w:rsid w:val="00C35B2A"/>
    <w:rsid w:val="00C368C0"/>
    <w:rsid w:val="00C37B99"/>
    <w:rsid w:val="00C37DC4"/>
    <w:rsid w:val="00C432A7"/>
    <w:rsid w:val="00C44F7F"/>
    <w:rsid w:val="00C45C9C"/>
    <w:rsid w:val="00C45FB9"/>
    <w:rsid w:val="00C47288"/>
    <w:rsid w:val="00C51229"/>
    <w:rsid w:val="00C55095"/>
    <w:rsid w:val="00C613A4"/>
    <w:rsid w:val="00C63A22"/>
    <w:rsid w:val="00C63C6D"/>
    <w:rsid w:val="00C666F3"/>
    <w:rsid w:val="00C67A86"/>
    <w:rsid w:val="00C75F63"/>
    <w:rsid w:val="00C7642D"/>
    <w:rsid w:val="00C80B4A"/>
    <w:rsid w:val="00C83BA4"/>
    <w:rsid w:val="00C8698C"/>
    <w:rsid w:val="00C90E10"/>
    <w:rsid w:val="00C91472"/>
    <w:rsid w:val="00C914DE"/>
    <w:rsid w:val="00C92230"/>
    <w:rsid w:val="00C93068"/>
    <w:rsid w:val="00C93DBA"/>
    <w:rsid w:val="00C973DA"/>
    <w:rsid w:val="00CA4134"/>
    <w:rsid w:val="00CA44FC"/>
    <w:rsid w:val="00CA68EC"/>
    <w:rsid w:val="00CA7A00"/>
    <w:rsid w:val="00CB3C08"/>
    <w:rsid w:val="00CB5202"/>
    <w:rsid w:val="00CB556E"/>
    <w:rsid w:val="00CB6136"/>
    <w:rsid w:val="00CB634F"/>
    <w:rsid w:val="00CB7F80"/>
    <w:rsid w:val="00CC1178"/>
    <w:rsid w:val="00CC1325"/>
    <w:rsid w:val="00CC1B04"/>
    <w:rsid w:val="00CC7492"/>
    <w:rsid w:val="00CD04A4"/>
    <w:rsid w:val="00CD3BEC"/>
    <w:rsid w:val="00CD41B4"/>
    <w:rsid w:val="00CD472A"/>
    <w:rsid w:val="00CD5754"/>
    <w:rsid w:val="00CD6756"/>
    <w:rsid w:val="00CD693F"/>
    <w:rsid w:val="00CD71D5"/>
    <w:rsid w:val="00CE0218"/>
    <w:rsid w:val="00CE2985"/>
    <w:rsid w:val="00CF094D"/>
    <w:rsid w:val="00CF1679"/>
    <w:rsid w:val="00CF26C4"/>
    <w:rsid w:val="00CF3458"/>
    <w:rsid w:val="00CF76E8"/>
    <w:rsid w:val="00CF7CE4"/>
    <w:rsid w:val="00D00D00"/>
    <w:rsid w:val="00D01D91"/>
    <w:rsid w:val="00D01EDD"/>
    <w:rsid w:val="00D07E2D"/>
    <w:rsid w:val="00D10561"/>
    <w:rsid w:val="00D1271C"/>
    <w:rsid w:val="00D1311C"/>
    <w:rsid w:val="00D149D1"/>
    <w:rsid w:val="00D14B39"/>
    <w:rsid w:val="00D15DC7"/>
    <w:rsid w:val="00D2734D"/>
    <w:rsid w:val="00D3264C"/>
    <w:rsid w:val="00D37259"/>
    <w:rsid w:val="00D40FB2"/>
    <w:rsid w:val="00D426E7"/>
    <w:rsid w:val="00D44B5C"/>
    <w:rsid w:val="00D4588E"/>
    <w:rsid w:val="00D4597F"/>
    <w:rsid w:val="00D46D7A"/>
    <w:rsid w:val="00D47F5D"/>
    <w:rsid w:val="00D52970"/>
    <w:rsid w:val="00D545FD"/>
    <w:rsid w:val="00D54990"/>
    <w:rsid w:val="00D54F29"/>
    <w:rsid w:val="00D55546"/>
    <w:rsid w:val="00D61191"/>
    <w:rsid w:val="00D63C57"/>
    <w:rsid w:val="00D65C30"/>
    <w:rsid w:val="00D6670A"/>
    <w:rsid w:val="00D71F16"/>
    <w:rsid w:val="00D73CD8"/>
    <w:rsid w:val="00D81604"/>
    <w:rsid w:val="00D91A6D"/>
    <w:rsid w:val="00D91D80"/>
    <w:rsid w:val="00D94CCC"/>
    <w:rsid w:val="00D95631"/>
    <w:rsid w:val="00D9777E"/>
    <w:rsid w:val="00D97E0B"/>
    <w:rsid w:val="00D97F9A"/>
    <w:rsid w:val="00DA0588"/>
    <w:rsid w:val="00DA3638"/>
    <w:rsid w:val="00DA4644"/>
    <w:rsid w:val="00DA5026"/>
    <w:rsid w:val="00DA73FE"/>
    <w:rsid w:val="00DB3E79"/>
    <w:rsid w:val="00DB70C4"/>
    <w:rsid w:val="00DB7968"/>
    <w:rsid w:val="00DB7D4C"/>
    <w:rsid w:val="00DC332A"/>
    <w:rsid w:val="00DC3A8A"/>
    <w:rsid w:val="00DC3F21"/>
    <w:rsid w:val="00DC3F78"/>
    <w:rsid w:val="00DC41DE"/>
    <w:rsid w:val="00DD2550"/>
    <w:rsid w:val="00DD2AC4"/>
    <w:rsid w:val="00DD3F35"/>
    <w:rsid w:val="00DE2A7B"/>
    <w:rsid w:val="00DE391C"/>
    <w:rsid w:val="00DE790F"/>
    <w:rsid w:val="00DF40ED"/>
    <w:rsid w:val="00DF61B0"/>
    <w:rsid w:val="00E01CEC"/>
    <w:rsid w:val="00E0250C"/>
    <w:rsid w:val="00E02548"/>
    <w:rsid w:val="00E0391A"/>
    <w:rsid w:val="00E03A9E"/>
    <w:rsid w:val="00E07172"/>
    <w:rsid w:val="00E120D0"/>
    <w:rsid w:val="00E229A3"/>
    <w:rsid w:val="00E26BA3"/>
    <w:rsid w:val="00E3056D"/>
    <w:rsid w:val="00E33ABF"/>
    <w:rsid w:val="00E50EEB"/>
    <w:rsid w:val="00E51BC9"/>
    <w:rsid w:val="00E55AAB"/>
    <w:rsid w:val="00E564E8"/>
    <w:rsid w:val="00E65FE2"/>
    <w:rsid w:val="00E71056"/>
    <w:rsid w:val="00E718BD"/>
    <w:rsid w:val="00E722AF"/>
    <w:rsid w:val="00E80CEE"/>
    <w:rsid w:val="00E813E1"/>
    <w:rsid w:val="00E82C12"/>
    <w:rsid w:val="00E91984"/>
    <w:rsid w:val="00E95529"/>
    <w:rsid w:val="00EA01AC"/>
    <w:rsid w:val="00EA0B33"/>
    <w:rsid w:val="00EA100C"/>
    <w:rsid w:val="00EA5777"/>
    <w:rsid w:val="00EB4DF2"/>
    <w:rsid w:val="00EB5C29"/>
    <w:rsid w:val="00EC10FD"/>
    <w:rsid w:val="00EC14FC"/>
    <w:rsid w:val="00EC4686"/>
    <w:rsid w:val="00ED07DF"/>
    <w:rsid w:val="00ED0B9A"/>
    <w:rsid w:val="00ED0D88"/>
    <w:rsid w:val="00ED3D74"/>
    <w:rsid w:val="00ED7B90"/>
    <w:rsid w:val="00EE1282"/>
    <w:rsid w:val="00EE2966"/>
    <w:rsid w:val="00EE2D47"/>
    <w:rsid w:val="00EE37D3"/>
    <w:rsid w:val="00EF0350"/>
    <w:rsid w:val="00EF0531"/>
    <w:rsid w:val="00EF0F77"/>
    <w:rsid w:val="00F00E4D"/>
    <w:rsid w:val="00F07436"/>
    <w:rsid w:val="00F078AC"/>
    <w:rsid w:val="00F10AF7"/>
    <w:rsid w:val="00F12497"/>
    <w:rsid w:val="00F21E75"/>
    <w:rsid w:val="00F232F5"/>
    <w:rsid w:val="00F266D3"/>
    <w:rsid w:val="00F26C6C"/>
    <w:rsid w:val="00F26E96"/>
    <w:rsid w:val="00F2739F"/>
    <w:rsid w:val="00F30797"/>
    <w:rsid w:val="00F35A52"/>
    <w:rsid w:val="00F41CD5"/>
    <w:rsid w:val="00F43570"/>
    <w:rsid w:val="00F45A80"/>
    <w:rsid w:val="00F4720B"/>
    <w:rsid w:val="00F53BD0"/>
    <w:rsid w:val="00F54766"/>
    <w:rsid w:val="00F65883"/>
    <w:rsid w:val="00F7112D"/>
    <w:rsid w:val="00F7528B"/>
    <w:rsid w:val="00F775A7"/>
    <w:rsid w:val="00F81AB7"/>
    <w:rsid w:val="00F83718"/>
    <w:rsid w:val="00F84042"/>
    <w:rsid w:val="00F9092C"/>
    <w:rsid w:val="00F93BC7"/>
    <w:rsid w:val="00F94421"/>
    <w:rsid w:val="00F946ED"/>
    <w:rsid w:val="00F965BC"/>
    <w:rsid w:val="00F975F2"/>
    <w:rsid w:val="00FA24ED"/>
    <w:rsid w:val="00FA2A4F"/>
    <w:rsid w:val="00FA2CCF"/>
    <w:rsid w:val="00FA3740"/>
    <w:rsid w:val="00FA3A1B"/>
    <w:rsid w:val="00FA658F"/>
    <w:rsid w:val="00FB0857"/>
    <w:rsid w:val="00FB13A9"/>
    <w:rsid w:val="00FB265C"/>
    <w:rsid w:val="00FB556D"/>
    <w:rsid w:val="00FC033B"/>
    <w:rsid w:val="00FC0B62"/>
    <w:rsid w:val="00FC2011"/>
    <w:rsid w:val="00FC2B90"/>
    <w:rsid w:val="00FC4A2E"/>
    <w:rsid w:val="00FC6726"/>
    <w:rsid w:val="00FD4385"/>
    <w:rsid w:val="00FD5FBD"/>
    <w:rsid w:val="00FE2CB7"/>
    <w:rsid w:val="00FE4969"/>
    <w:rsid w:val="00FE4E5F"/>
    <w:rsid w:val="00FE5B14"/>
    <w:rsid w:val="00FF07C1"/>
    <w:rsid w:val="00FF2B51"/>
    <w:rsid w:val="00FF45F4"/>
    <w:rsid w:val="00FF5EC5"/>
    <w:rsid w:val="00FF61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hapeDefaults>
    <o:shapedefaults v:ext="edit" spidmax="2050"/>
    <o:shapelayout v:ext="edit">
      <o:idmap v:ext="edit" data="1"/>
    </o:shapelayout>
  </w:shapeDefaults>
  <w:decimalSymbol w:val="."/>
  <w:listSeparator w:val=","/>
  <w14:docId w14:val="15B4D7E4"/>
  <w15:docId w15:val="{7A36DE26-175E-4921-9D33-FE4F06D1E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A0A"/>
    <w:rPr>
      <w:rFonts w:ascii="Arial" w:hAnsi="Arial" w:cs="Arial"/>
      <w:sz w:val="22"/>
    </w:rPr>
  </w:style>
  <w:style w:type="paragraph" w:styleId="Heading1">
    <w:name w:val="heading 1"/>
    <w:basedOn w:val="Normal"/>
    <w:next w:val="Normal"/>
    <w:link w:val="Heading1Char"/>
    <w:uiPriority w:val="99"/>
    <w:qFormat/>
    <w:rsid w:val="00BD2B44"/>
    <w:pPr>
      <w:tabs>
        <w:tab w:val="center" w:pos="4153"/>
      </w:tabs>
      <w:spacing w:line="240" w:lineRule="exact"/>
      <w:ind w:right="-680"/>
      <w:jc w:val="right"/>
      <w:outlineLvl w:val="0"/>
    </w:pPr>
    <w:rPr>
      <w:sz w:val="18"/>
      <w:szCs w:val="18"/>
    </w:rPr>
  </w:style>
  <w:style w:type="paragraph" w:styleId="Heading2">
    <w:name w:val="heading 2"/>
    <w:basedOn w:val="Heading1"/>
    <w:next w:val="Normal"/>
    <w:link w:val="Heading2Char"/>
    <w:uiPriority w:val="99"/>
    <w:qFormat/>
    <w:rsid w:val="00BD2B44"/>
    <w:pPr>
      <w:outlineLvl w:val="1"/>
    </w:pPr>
    <w:rPr>
      <w:b/>
    </w:rPr>
  </w:style>
  <w:style w:type="paragraph" w:styleId="Heading4">
    <w:name w:val="heading 4"/>
    <w:basedOn w:val="Normal"/>
    <w:next w:val="Normal"/>
    <w:link w:val="Heading4Char"/>
    <w:uiPriority w:val="99"/>
    <w:qFormat/>
    <w:rsid w:val="00890996"/>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uiPriority w:val="99"/>
    <w:qFormat/>
    <w:rsid w:val="00890996"/>
    <w:pPr>
      <w:spacing w:before="240" w:after="60"/>
      <w:outlineLvl w:val="4"/>
    </w:pPr>
    <w:rPr>
      <w:b/>
      <w:bCs/>
      <w:i/>
      <w:iCs/>
      <w:sz w:val="26"/>
      <w:szCs w:val="26"/>
    </w:rPr>
  </w:style>
  <w:style w:type="paragraph" w:styleId="Heading6">
    <w:name w:val="heading 6"/>
    <w:basedOn w:val="Normal"/>
    <w:next w:val="Normal"/>
    <w:link w:val="Heading6Char"/>
    <w:uiPriority w:val="99"/>
    <w:qFormat/>
    <w:rsid w:val="00890996"/>
    <w:pPr>
      <w:spacing w:before="240" w:after="60"/>
      <w:outlineLvl w:val="5"/>
    </w:pPr>
    <w:rPr>
      <w:rFonts w:ascii="Times New Roman" w:hAnsi="Times New Roman" w:cs="Times New Roman"/>
      <w:b/>
      <w:bCs/>
      <w:szCs w:val="22"/>
    </w:rPr>
  </w:style>
  <w:style w:type="paragraph" w:styleId="Heading7">
    <w:name w:val="heading 7"/>
    <w:basedOn w:val="Normal"/>
    <w:next w:val="Normal"/>
    <w:link w:val="Heading7Char"/>
    <w:uiPriority w:val="99"/>
    <w:qFormat/>
    <w:rsid w:val="00890996"/>
    <w:pPr>
      <w:spacing w:before="240" w:after="60"/>
      <w:outlineLvl w:val="6"/>
    </w:pPr>
    <w:rPr>
      <w:rFonts w:ascii="Times New Roman" w:hAnsi="Times New Roman" w:cs="Times New Roman"/>
      <w:sz w:val="24"/>
      <w:szCs w:val="24"/>
    </w:rPr>
  </w:style>
  <w:style w:type="paragraph" w:styleId="Heading8">
    <w:name w:val="heading 8"/>
    <w:basedOn w:val="Normal"/>
    <w:next w:val="Normal"/>
    <w:link w:val="Heading8Char"/>
    <w:uiPriority w:val="99"/>
    <w:qFormat/>
    <w:rsid w:val="00890996"/>
    <w:pPr>
      <w:spacing w:before="240" w:after="60"/>
      <w:outlineLvl w:val="7"/>
    </w:pPr>
    <w:rPr>
      <w:rFonts w:ascii="Times New Roman" w:hAnsi="Times New Roman" w:cs="Times New Roman"/>
      <w:i/>
      <w:iCs/>
      <w:sz w:val="24"/>
      <w:szCs w:val="24"/>
    </w:rPr>
  </w:style>
  <w:style w:type="paragraph" w:styleId="Heading9">
    <w:name w:val="heading 9"/>
    <w:basedOn w:val="Normal"/>
    <w:next w:val="Normal"/>
    <w:link w:val="Heading9Char"/>
    <w:uiPriority w:val="99"/>
    <w:qFormat/>
    <w:rsid w:val="00890996"/>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D2B44"/>
    <w:rPr>
      <w:rFonts w:ascii="Arial" w:hAnsi="Arial" w:cs="Times New Roman"/>
      <w:sz w:val="18"/>
      <w:szCs w:val="18"/>
      <w:lang w:val="en-AU" w:eastAsia="en-AU" w:bidi="ar-SA"/>
    </w:rPr>
  </w:style>
  <w:style w:type="character" w:customStyle="1" w:styleId="Heading2Char">
    <w:name w:val="Heading 2 Char"/>
    <w:link w:val="Heading2"/>
    <w:uiPriority w:val="99"/>
    <w:locked/>
    <w:rsid w:val="00BD2B44"/>
    <w:rPr>
      <w:rFonts w:ascii="Arial" w:hAnsi="Arial" w:cs="Times New Roman"/>
      <w:b/>
      <w:sz w:val="18"/>
      <w:szCs w:val="18"/>
      <w:lang w:val="en-AU" w:eastAsia="en-AU" w:bidi="ar-SA"/>
    </w:rPr>
  </w:style>
  <w:style w:type="character" w:customStyle="1" w:styleId="Heading4Char">
    <w:name w:val="Heading 4 Char"/>
    <w:link w:val="Heading4"/>
    <w:uiPriority w:val="99"/>
    <w:semiHidden/>
    <w:locked/>
    <w:rsid w:val="00703FCC"/>
    <w:rPr>
      <w:rFonts w:ascii="Calibri" w:hAnsi="Calibri" w:cs="Times New Roman"/>
      <w:b/>
      <w:bCs/>
      <w:sz w:val="28"/>
      <w:szCs w:val="28"/>
    </w:rPr>
  </w:style>
  <w:style w:type="character" w:customStyle="1" w:styleId="Heading5Char">
    <w:name w:val="Heading 5 Char"/>
    <w:link w:val="Heading5"/>
    <w:uiPriority w:val="99"/>
    <w:semiHidden/>
    <w:locked/>
    <w:rsid w:val="00703FCC"/>
    <w:rPr>
      <w:rFonts w:ascii="Calibri" w:hAnsi="Calibri" w:cs="Times New Roman"/>
      <w:b/>
      <w:bCs/>
      <w:i/>
      <w:iCs/>
      <w:sz w:val="26"/>
      <w:szCs w:val="26"/>
    </w:rPr>
  </w:style>
  <w:style w:type="character" w:customStyle="1" w:styleId="Heading6Char">
    <w:name w:val="Heading 6 Char"/>
    <w:link w:val="Heading6"/>
    <w:uiPriority w:val="99"/>
    <w:semiHidden/>
    <w:locked/>
    <w:rsid w:val="00703FCC"/>
    <w:rPr>
      <w:rFonts w:ascii="Calibri" w:hAnsi="Calibri" w:cs="Times New Roman"/>
      <w:b/>
      <w:bCs/>
    </w:rPr>
  </w:style>
  <w:style w:type="character" w:customStyle="1" w:styleId="Heading7Char">
    <w:name w:val="Heading 7 Char"/>
    <w:link w:val="Heading7"/>
    <w:uiPriority w:val="99"/>
    <w:semiHidden/>
    <w:locked/>
    <w:rsid w:val="00703FCC"/>
    <w:rPr>
      <w:rFonts w:ascii="Calibri" w:hAnsi="Calibri" w:cs="Times New Roman"/>
      <w:sz w:val="24"/>
      <w:szCs w:val="24"/>
    </w:rPr>
  </w:style>
  <w:style w:type="character" w:customStyle="1" w:styleId="Heading8Char">
    <w:name w:val="Heading 8 Char"/>
    <w:link w:val="Heading8"/>
    <w:uiPriority w:val="99"/>
    <w:semiHidden/>
    <w:locked/>
    <w:rsid w:val="00703FCC"/>
    <w:rPr>
      <w:rFonts w:ascii="Calibri" w:hAnsi="Calibri" w:cs="Times New Roman"/>
      <w:i/>
      <w:iCs/>
      <w:sz w:val="24"/>
      <w:szCs w:val="24"/>
    </w:rPr>
  </w:style>
  <w:style w:type="character" w:customStyle="1" w:styleId="Heading9Char">
    <w:name w:val="Heading 9 Char"/>
    <w:link w:val="Heading9"/>
    <w:uiPriority w:val="99"/>
    <w:semiHidden/>
    <w:locked/>
    <w:rsid w:val="00703FCC"/>
    <w:rPr>
      <w:rFonts w:ascii="Cambria" w:hAnsi="Cambria" w:cs="Times New Roman"/>
    </w:rPr>
  </w:style>
  <w:style w:type="paragraph" w:styleId="Footer">
    <w:name w:val="footer"/>
    <w:basedOn w:val="Normal"/>
    <w:link w:val="FooterChar"/>
    <w:uiPriority w:val="99"/>
    <w:rsid w:val="00184B7C"/>
    <w:pPr>
      <w:tabs>
        <w:tab w:val="center" w:pos="4153"/>
        <w:tab w:val="right" w:pos="8306"/>
      </w:tabs>
    </w:pPr>
  </w:style>
  <w:style w:type="character" w:customStyle="1" w:styleId="FooterChar">
    <w:name w:val="Footer Char"/>
    <w:link w:val="Footer"/>
    <w:uiPriority w:val="99"/>
    <w:semiHidden/>
    <w:locked/>
    <w:rsid w:val="00703FCC"/>
    <w:rPr>
      <w:rFonts w:ascii="Arial" w:hAnsi="Arial" w:cs="Arial"/>
      <w:sz w:val="20"/>
      <w:szCs w:val="20"/>
    </w:rPr>
  </w:style>
  <w:style w:type="paragraph" w:styleId="Header">
    <w:name w:val="header"/>
    <w:basedOn w:val="Normal"/>
    <w:link w:val="HeaderChar"/>
    <w:uiPriority w:val="99"/>
    <w:rsid w:val="00184B7C"/>
    <w:pPr>
      <w:tabs>
        <w:tab w:val="center" w:pos="4153"/>
        <w:tab w:val="right" w:pos="8306"/>
      </w:tabs>
    </w:pPr>
  </w:style>
  <w:style w:type="character" w:customStyle="1" w:styleId="HeaderChar">
    <w:name w:val="Header Char"/>
    <w:link w:val="Header"/>
    <w:uiPriority w:val="99"/>
    <w:semiHidden/>
    <w:locked/>
    <w:rsid w:val="00703FCC"/>
    <w:rPr>
      <w:rFonts w:ascii="Arial" w:hAnsi="Arial" w:cs="Arial"/>
      <w:sz w:val="20"/>
      <w:szCs w:val="20"/>
    </w:rPr>
  </w:style>
  <w:style w:type="paragraph" w:styleId="BalloonText">
    <w:name w:val="Balloon Text"/>
    <w:basedOn w:val="Normal"/>
    <w:link w:val="BalloonTextChar"/>
    <w:uiPriority w:val="99"/>
    <w:semiHidden/>
    <w:rsid w:val="00CB5202"/>
    <w:rPr>
      <w:rFonts w:ascii="Tahoma" w:hAnsi="Tahoma" w:cs="Tahoma"/>
      <w:sz w:val="16"/>
      <w:szCs w:val="16"/>
    </w:rPr>
  </w:style>
  <w:style w:type="character" w:customStyle="1" w:styleId="BalloonTextChar">
    <w:name w:val="Balloon Text Char"/>
    <w:link w:val="BalloonText"/>
    <w:uiPriority w:val="99"/>
    <w:semiHidden/>
    <w:locked/>
    <w:rsid w:val="00703FCC"/>
    <w:rPr>
      <w:rFonts w:cs="Arial"/>
      <w:sz w:val="2"/>
    </w:rPr>
  </w:style>
  <w:style w:type="paragraph" w:customStyle="1" w:styleId="NTTHeaderInfo">
    <w:name w:val="NTT Header Info"/>
    <w:uiPriority w:val="99"/>
    <w:rsid w:val="00713E0D"/>
    <w:pPr>
      <w:spacing w:line="240" w:lineRule="exact"/>
      <w:jc w:val="right"/>
    </w:pPr>
    <w:rPr>
      <w:rFonts w:ascii="Arial" w:hAnsi="Arial"/>
      <w:sz w:val="18"/>
      <w:szCs w:val="18"/>
    </w:rPr>
  </w:style>
  <w:style w:type="paragraph" w:customStyle="1" w:styleId="NTTBodyText">
    <w:name w:val="NTT Body Text"/>
    <w:uiPriority w:val="99"/>
    <w:rsid w:val="00E51BC9"/>
    <w:pPr>
      <w:spacing w:after="120" w:line="300" w:lineRule="exact"/>
    </w:pPr>
    <w:rPr>
      <w:rFonts w:ascii="Arial" w:hAnsi="Arial"/>
      <w:sz w:val="22"/>
      <w:szCs w:val="24"/>
    </w:rPr>
  </w:style>
  <w:style w:type="character" w:styleId="PageNumber">
    <w:name w:val="page number"/>
    <w:uiPriority w:val="99"/>
    <w:rsid w:val="0019571B"/>
    <w:rPr>
      <w:rFonts w:cs="Times New Roman"/>
    </w:rPr>
  </w:style>
  <w:style w:type="paragraph" w:customStyle="1" w:styleId="NTTBodyTextTitle">
    <w:name w:val="NTT Body Text Title"/>
    <w:basedOn w:val="NTTBodyText"/>
    <w:uiPriority w:val="99"/>
    <w:rsid w:val="001D7DC4"/>
    <w:rPr>
      <w:b/>
      <w:bCs/>
    </w:rPr>
  </w:style>
  <w:style w:type="table" w:styleId="TableGrid">
    <w:name w:val="Table Grid"/>
    <w:basedOn w:val="TableNormal"/>
    <w:uiPriority w:val="99"/>
    <w:rsid w:val="00C27A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One">
    <w:name w:val="Heading One"/>
    <w:basedOn w:val="Normal"/>
    <w:uiPriority w:val="99"/>
    <w:rsid w:val="00364D5F"/>
    <w:pPr>
      <w:spacing w:after="120"/>
      <w:jc w:val="center"/>
    </w:pPr>
    <w:rPr>
      <w:rFonts w:cs="Times New Roman"/>
      <w:b/>
      <w:bCs/>
      <w:sz w:val="32"/>
    </w:rPr>
  </w:style>
  <w:style w:type="paragraph" w:customStyle="1" w:styleId="HeadingTwo">
    <w:name w:val="Heading Two"/>
    <w:basedOn w:val="Normal"/>
    <w:uiPriority w:val="99"/>
    <w:rsid w:val="00364D5F"/>
    <w:pPr>
      <w:pBdr>
        <w:bottom w:val="single" w:sz="4" w:space="1" w:color="auto"/>
      </w:pBdr>
      <w:spacing w:before="360" w:after="120"/>
    </w:pPr>
    <w:rPr>
      <w:rFonts w:cs="Times New Roman"/>
      <w:b/>
      <w:bCs/>
    </w:rPr>
  </w:style>
  <w:style w:type="character" w:styleId="Hyperlink">
    <w:name w:val="Hyperlink"/>
    <w:uiPriority w:val="99"/>
    <w:rsid w:val="00545D20"/>
    <w:rPr>
      <w:rFonts w:cs="Times New Roman"/>
      <w:color w:val="0000FF"/>
      <w:u w:val="single"/>
    </w:rPr>
  </w:style>
  <w:style w:type="paragraph" w:styleId="BlockText">
    <w:name w:val="Block Text"/>
    <w:basedOn w:val="ListNumber"/>
    <w:link w:val="BlockTextChar"/>
    <w:uiPriority w:val="99"/>
    <w:rsid w:val="00D07E2D"/>
    <w:pPr>
      <w:numPr>
        <w:numId w:val="0"/>
      </w:numPr>
      <w:tabs>
        <w:tab w:val="left" w:pos="425"/>
        <w:tab w:val="left" w:pos="851"/>
        <w:tab w:val="left" w:pos="1276"/>
        <w:tab w:val="left" w:pos="1701"/>
      </w:tabs>
      <w:spacing w:after="120"/>
      <w:ind w:left="425" w:hanging="425"/>
      <w:jc w:val="both"/>
    </w:pPr>
  </w:style>
  <w:style w:type="paragraph" w:customStyle="1" w:styleId="HeadingThree">
    <w:name w:val="Heading Three"/>
    <w:basedOn w:val="HeadingTwo"/>
    <w:uiPriority w:val="99"/>
    <w:rsid w:val="00545D20"/>
    <w:pPr>
      <w:pBdr>
        <w:bottom w:val="none" w:sz="0" w:space="0" w:color="auto"/>
      </w:pBdr>
    </w:pPr>
    <w:rPr>
      <w:i/>
      <w:iCs/>
    </w:rPr>
  </w:style>
  <w:style w:type="paragraph" w:customStyle="1" w:styleId="Example">
    <w:name w:val="Example"/>
    <w:basedOn w:val="HeadingThree"/>
    <w:uiPriority w:val="99"/>
    <w:rsid w:val="006034B6"/>
    <w:rPr>
      <w:b w:val="0"/>
      <w:bCs w:val="0"/>
      <w:u w:val="single"/>
    </w:rPr>
  </w:style>
  <w:style w:type="paragraph" w:customStyle="1" w:styleId="ExampleText">
    <w:name w:val="Example Text"/>
    <w:basedOn w:val="BlockText"/>
    <w:uiPriority w:val="99"/>
    <w:rsid w:val="00473FF2"/>
    <w:pPr>
      <w:pBdr>
        <w:top w:val="single" w:sz="4" w:space="1" w:color="auto"/>
        <w:left w:val="single" w:sz="4" w:space="4" w:color="auto"/>
        <w:bottom w:val="single" w:sz="4" w:space="1" w:color="auto"/>
        <w:right w:val="single" w:sz="4" w:space="4" w:color="auto"/>
      </w:pBdr>
      <w:shd w:val="clear" w:color="auto" w:fill="F3F3F3"/>
      <w:ind w:left="0" w:firstLine="0"/>
    </w:pPr>
    <w:rPr>
      <w:rFonts w:cs="Times New Roman"/>
    </w:rPr>
  </w:style>
  <w:style w:type="paragraph" w:styleId="ListNumber">
    <w:name w:val="List Number"/>
    <w:basedOn w:val="Normal"/>
    <w:uiPriority w:val="99"/>
    <w:rsid w:val="00890996"/>
    <w:pPr>
      <w:numPr>
        <w:numId w:val="18"/>
      </w:numPr>
      <w:tabs>
        <w:tab w:val="clear" w:pos="720"/>
        <w:tab w:val="num" w:pos="360"/>
      </w:tabs>
      <w:ind w:left="360"/>
    </w:pPr>
  </w:style>
  <w:style w:type="character" w:customStyle="1" w:styleId="BlockTextChar">
    <w:name w:val="Block Text Char"/>
    <w:link w:val="BlockText"/>
    <w:uiPriority w:val="99"/>
    <w:locked/>
    <w:rsid w:val="00A7296E"/>
    <w:rPr>
      <w:rFonts w:ascii="Arial" w:hAnsi="Arial" w:cs="Arial"/>
      <w:szCs w:val="20"/>
    </w:rPr>
  </w:style>
  <w:style w:type="character" w:styleId="CommentReference">
    <w:name w:val="annotation reference"/>
    <w:uiPriority w:val="99"/>
    <w:semiHidden/>
    <w:rsid w:val="004C518D"/>
    <w:rPr>
      <w:rFonts w:cs="Times New Roman"/>
      <w:sz w:val="16"/>
      <w:szCs w:val="16"/>
    </w:rPr>
  </w:style>
  <w:style w:type="paragraph" w:styleId="CommentText">
    <w:name w:val="annotation text"/>
    <w:basedOn w:val="Normal"/>
    <w:link w:val="CommentTextChar"/>
    <w:uiPriority w:val="99"/>
    <w:semiHidden/>
    <w:rsid w:val="004C518D"/>
    <w:rPr>
      <w:sz w:val="20"/>
    </w:rPr>
  </w:style>
  <w:style w:type="character" w:customStyle="1" w:styleId="CommentTextChar">
    <w:name w:val="Comment Text Char"/>
    <w:link w:val="CommentText"/>
    <w:uiPriority w:val="99"/>
    <w:semiHidden/>
    <w:locked/>
    <w:rsid w:val="004C518D"/>
    <w:rPr>
      <w:rFonts w:ascii="Arial" w:hAnsi="Arial" w:cs="Arial"/>
      <w:sz w:val="20"/>
      <w:szCs w:val="20"/>
    </w:rPr>
  </w:style>
  <w:style w:type="paragraph" w:styleId="CommentSubject">
    <w:name w:val="annotation subject"/>
    <w:basedOn w:val="CommentText"/>
    <w:next w:val="CommentText"/>
    <w:link w:val="CommentSubjectChar"/>
    <w:uiPriority w:val="99"/>
    <w:semiHidden/>
    <w:rsid w:val="004C518D"/>
    <w:rPr>
      <w:b/>
      <w:bCs/>
    </w:rPr>
  </w:style>
  <w:style w:type="character" w:customStyle="1" w:styleId="CommentSubjectChar">
    <w:name w:val="Comment Subject Char"/>
    <w:link w:val="CommentSubject"/>
    <w:uiPriority w:val="99"/>
    <w:semiHidden/>
    <w:locked/>
    <w:rsid w:val="004C518D"/>
    <w:rPr>
      <w:rFonts w:ascii="Arial" w:hAnsi="Arial" w:cs="Arial"/>
      <w:b/>
      <w:bCs/>
      <w:sz w:val="20"/>
      <w:szCs w:val="20"/>
    </w:rPr>
  </w:style>
  <w:style w:type="character" w:styleId="FollowedHyperlink">
    <w:name w:val="FollowedHyperlink"/>
    <w:uiPriority w:val="99"/>
    <w:semiHidden/>
    <w:rsid w:val="00B85068"/>
    <w:rPr>
      <w:rFonts w:cs="Times New Roman"/>
      <w:color w:val="800080"/>
      <w:u w:val="single"/>
    </w:rPr>
  </w:style>
  <w:style w:type="paragraph" w:styleId="NormalWeb">
    <w:name w:val="Normal (Web)"/>
    <w:basedOn w:val="Normal"/>
    <w:uiPriority w:val="99"/>
    <w:rsid w:val="00AC0DE9"/>
    <w:pPr>
      <w:spacing w:after="240"/>
    </w:pPr>
    <w:rPr>
      <w:rFonts w:ascii="Times New Roman" w:hAnsi="Times New Roman" w:cs="Times New Roman"/>
      <w:sz w:val="24"/>
      <w:szCs w:val="24"/>
    </w:rPr>
  </w:style>
  <w:style w:type="numbering" w:customStyle="1" w:styleId="Text">
    <w:name w:val="Text"/>
    <w:rsid w:val="00E52D02"/>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reasury.nt.gov.au/PMS/Publications/TaxesRoyaltiesGrants/Royalties/RG-MRA-005_050713.pdf" TargetMode="External"/><Relationship Id="rId18" Type="http://schemas.openxmlformats.org/officeDocument/2006/relationships/hyperlink" Target="mailto:ntrevenue.ntt@nt.gov.a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www.treasury.nt.gov.au/PMS/Publications/TaxesRoyaltiesGrants/Royalties/RG-MRA-004_050713.pdf" TargetMode="External"/><Relationship Id="rId17" Type="http://schemas.openxmlformats.org/officeDocument/2006/relationships/image" Target="media/image1.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treasury.nt.gov.au/PMS/Publications/TaxesRoyaltiesGrants/GeneralAdmin/CG-GEN-001.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reasury.nt.gov.au/PMS/Publications/TaxesRoyaltiesGrants/Royalties/RG-MRA-004_050713.pdf"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www.treasury.nt.gov.au/PMS/Publications/TaxesRoyaltiesGrants/Royalties/RG-MRA-005_050713.pdf" TargetMode="External"/><Relationship Id="rId23" Type="http://schemas.openxmlformats.org/officeDocument/2006/relationships/header" Target="header3.xml"/><Relationship Id="rId10" Type="http://schemas.openxmlformats.org/officeDocument/2006/relationships/hyperlink" Target="http://www.treasury.nt.gov.au/PMS/Publications/TaxesRoyaltiesGrants/Royalties/RG-MRA-004_050713.pdf" TargetMode="External"/><Relationship Id="rId19" Type="http://schemas.openxmlformats.org/officeDocument/2006/relationships/hyperlink" Target="http://www.revenue.nt.gov.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treasury.nt.gov.au/PMS/Publications/TaxesRoyaltiesGrants/Royalties/RG-MRA-004_050713.pdf" TargetMode="External"/><Relationship Id="rId22"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_x0020_Type xmlns="378e824e-6e02-4c0d-8321-dd86fba681ee">General (G)</Tax_x0020_Type>
    <Release_x0020_Date xmlns="378e824e-6e02-4c0d-8321-dd86fba681ee">2013-05-13T14:30:00+00:00</Release_x0020_Date>
    <Publication_x0020_Title xmlns="378e824e-6e02-4c0d-8321-dd86fba681ee">2013-14 Budget Measures</Publication_x0020_Title>
    <Sub_x0020_Sub_x0020_Category xmlns="378e824e-6e02-4c0d-8321-dd86fba681ee" xsi:nil="true"/>
    <Details xmlns="378e824e-6e02-4c0d-8321-dd86fba681ee" xsi:nil="true"/>
    <Main_x0020_Category xmlns="378e824e-6e02-4c0d-8321-dd86fba681ee">6</Main_x0020_Category>
    <Tax_x0020_Type_x0020_Topic xmlns="378e824e-6e02-4c0d-8321-dd86fba681ee" xsi:nil="true"/>
    <Sub_x0020_Category xmlns="378e824e-6e02-4c0d-8321-dd86fba681ee">26</Sub_x0020_Category>
    <Identifier xmlns="378e824e-6e02-4c0d-8321-dd86fba681ee">RC-GEN-14</Identifier>
    <Notify xmlns="378e824e-6e02-4c0d-8321-dd86fba681ee">false</Notify>
    <Publication_x0020_Type xmlns="378e824e-6e02-4c0d-8321-dd86fba681ee">Revenue Circulars (RC)</Publication_x0020_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1D68356F7FB54A917EB6B48522F7AB" ma:contentTypeVersion="18" ma:contentTypeDescription="Create a new document." ma:contentTypeScope="" ma:versionID="5968df1a67298019036e2d468f0f57eb">
  <xsd:schema xmlns:xsd="http://www.w3.org/2001/XMLSchema" xmlns:xs="http://www.w3.org/2001/XMLSchema" xmlns:p="http://schemas.microsoft.com/office/2006/metadata/properties" xmlns:ns2="378e824e-6e02-4c0d-8321-dd86fba681ee" targetNamespace="http://schemas.microsoft.com/office/2006/metadata/properties" ma:root="true" ma:fieldsID="016a859d0580dde8c3c2ff3f02387ef4" ns2:_="">
    <xsd:import namespace="378e824e-6e02-4c0d-8321-dd86fba681ee"/>
    <xsd:element name="properties">
      <xsd:complexType>
        <xsd:sequence>
          <xsd:element name="documentManagement">
            <xsd:complexType>
              <xsd:all>
                <xsd:element ref="ns2:Main_x0020_Category"/>
                <xsd:element ref="ns2:Sub_x0020_Category"/>
                <xsd:element ref="ns2:Sub_x0020_Sub_x0020_Category" minOccurs="0"/>
                <xsd:element ref="ns2:Notify" minOccurs="0"/>
                <xsd:element ref="ns2:Details" minOccurs="0"/>
                <xsd:element ref="ns2:Identifier" minOccurs="0"/>
                <xsd:element ref="ns2:Release_x0020_Date" minOccurs="0"/>
                <xsd:element ref="ns2:Publication_x0020_Title" minOccurs="0"/>
                <xsd:element ref="ns2:Publication_x0020_Type" minOccurs="0"/>
                <xsd:element ref="ns2:Tax_x0020_Type" minOccurs="0"/>
                <xsd:element ref="ns2:Tax_x0020_Type_x0020_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e824e-6e02-4c0d-8321-dd86fba681ee" elementFormDefault="qualified">
    <xsd:import namespace="http://schemas.microsoft.com/office/2006/documentManagement/types"/>
    <xsd:import namespace="http://schemas.microsoft.com/office/infopath/2007/PartnerControls"/>
    <xsd:element name="Main_x0020_Category" ma:index="8" ma:displayName="Main Category" ma:list="{b3b53843-a8d9-4b92-b7ee-c4efc7605b88}" ma:internalName="Main_x0020_Category" ma:showField="Title" ma:web="ea3f2675-7e45-4831-bae2-8579175e0c68">
      <xsd:simpleType>
        <xsd:restriction base="dms:Lookup"/>
      </xsd:simpleType>
    </xsd:element>
    <xsd:element name="Sub_x0020_Category" ma:index="9" ma:displayName="Sub Category" ma:list="{edf90873-dc2d-4c00-9444-d26c07edafe2}" ma:internalName="Sub_x0020_Category" ma:showField="Title" ma:web="ea3f2675-7e45-4831-bae2-8579175e0c68">
      <xsd:simpleType>
        <xsd:restriction base="dms:Lookup"/>
      </xsd:simpleType>
    </xsd:element>
    <xsd:element name="Sub_x0020_Sub_x0020_Category" ma:index="10" nillable="true" ma:displayName="Sub Sub Category" ma:list="{0fe7fff1-af8b-412b-8409-b42850d3ea63}" ma:internalName="Sub_x0020_Sub_x0020_Category" ma:readOnly="false" ma:showField="Title" ma:web="ea3f2675-7e45-4831-bae2-8579175e0c68">
      <xsd:simpleType>
        <xsd:restriction base="dms:Lookup"/>
      </xsd:simpleType>
    </xsd:element>
    <xsd:element name="Notify" ma:index="11" nillable="true" ma:displayName="Notify On Check In" ma:default="0" ma:description="Check this box if you would like to notify all subscribers about this document once you check it in." ma:internalName="Notify">
      <xsd:simpleType>
        <xsd:restriction base="dms:Boolean"/>
      </xsd:simpleType>
    </xsd:element>
    <xsd:element name="Details" ma:index="12" nillable="true" ma:displayName="Details" ma:internalName="Details">
      <xsd:simpleType>
        <xsd:restriction base="dms:Text">
          <xsd:maxLength value="255"/>
        </xsd:restriction>
      </xsd:simpleType>
    </xsd:element>
    <xsd:element name="Identifier" ma:index="13" nillable="true" ma:displayName="Identifier" ma:internalName="Identifier">
      <xsd:simpleType>
        <xsd:restriction base="dms:Text">
          <xsd:maxLength value="255"/>
        </xsd:restriction>
      </xsd:simpleType>
    </xsd:element>
    <xsd:element name="Release_x0020_Date" ma:index="14" nillable="true" ma:displayName="Release Date" ma:format="DateOnly" ma:internalName="Release_x0020_Date">
      <xsd:simpleType>
        <xsd:restriction base="dms:DateTime"/>
      </xsd:simpleType>
    </xsd:element>
    <xsd:element name="Publication_x0020_Title" ma:index="15" nillable="true" ma:displayName="Publication Name" ma:description="Use for Taxes, Royalties and Grants publications." ma:internalName="Publication_x0020_Title">
      <xsd:simpleType>
        <xsd:restriction base="dms:Text">
          <xsd:maxLength value="255"/>
        </xsd:restriction>
      </xsd:simpleType>
    </xsd:element>
    <xsd:element name="Publication_x0020_Type" ma:index="16" nillable="true" ma:displayName="Publication Type" ma:description="Use for Taxes, Royalties and Grants publications." ma:format="Dropdown" ma:internalName="Publication_x0020_Type">
      <xsd:simpleType>
        <xsd:restriction base="dms:Choice">
          <xsd:enumeration value="Form (F)"/>
          <xsd:enumeration value="Information (I)"/>
          <xsd:enumeration value="Electronic Returns (RET)"/>
          <xsd:enumeration value="Revenue Circulars (RC)"/>
          <xsd:enumeration value="Payroll Tax Rulings (PTA)"/>
          <xsd:enumeration value="Commissioner's Guidelines (CG)"/>
          <xsd:enumeration value="Royalty Guideline (RG)"/>
          <xsd:enumeration value="Mineral Royalty Forms and Returns (RF)"/>
        </xsd:restriction>
      </xsd:simpleType>
    </xsd:element>
    <xsd:element name="Tax_x0020_Type" ma:index="17" nillable="true" ma:displayName="Tax Type" ma:description="Use for Taxes, Royalties and Grants publications." ma:format="Dropdown" ma:internalName="Tax_x0020_Type">
      <xsd:simpleType>
        <xsd:restriction base="dms:Choice">
          <xsd:enumeration value="General (G)"/>
          <xsd:enumeration value="Home Incentives (HI)"/>
          <xsd:enumeration value="Income Tax Equivalent (IT)"/>
          <xsd:enumeration value="Mineral Royalties"/>
          <xsd:enumeration value="Payroll Tax (PRT)"/>
          <xsd:enumeration value="Stamp Duty (SD)"/>
          <xsd:enumeration value="Unclaimed Money (UM)"/>
        </xsd:restriction>
      </xsd:simpleType>
    </xsd:element>
    <xsd:element name="Tax_x0020_Type_x0020_Topic" ma:index="18" nillable="true" ma:displayName="Tax Type Topic" ma:description="Use for Taxes, Royalties and Grants publications." ma:format="Dropdown" ma:internalName="Tax_x0020_Type_x0020_Topic">
      <xsd:simpleType>
        <xsd:restriction base="dms:Choice">
          <xsd:enumeration value="Allowances"/>
          <xsd:enumeration value="Contractors"/>
          <xsd:enumeration value="Employment Agencies"/>
          <xsd:enumeration value="Exemptions"/>
          <xsd:enumeration value="Fringe Benefits"/>
          <xsd:enumeration value="General"/>
          <xsd:enumeration value="Grouping"/>
          <xsd:enumeration value="NT Payroll Tax Liability"/>
          <xsd:enumeration value="Termination Payments"/>
          <xsd:enumeration value="Wages"/>
          <xsd:enumeration value="Conveyance"/>
          <xsd:enumeration value="Insurance"/>
          <xsd:enumeration value="Leases"/>
          <xsd:enumeration value="Motor Vehicl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A84195-A225-4F4B-A508-F4E1CCF98A57}">
  <ds:schemaRefs>
    <ds:schemaRef ds:uri="http://schemas.microsoft.com/sharepoint/v3/contenttype/forms"/>
  </ds:schemaRefs>
</ds:datastoreItem>
</file>

<file path=customXml/itemProps2.xml><?xml version="1.0" encoding="utf-8"?>
<ds:datastoreItem xmlns:ds="http://schemas.openxmlformats.org/officeDocument/2006/customXml" ds:itemID="{CCBB78D9-82CC-471F-B436-896358811F87}">
  <ds:schemaRefs>
    <ds:schemaRef ds:uri="http://schemas.microsoft.com/office/2006/metadata/properties"/>
    <ds:schemaRef ds:uri="http://schemas.microsoft.com/office/infopath/2007/PartnerControls"/>
    <ds:schemaRef ds:uri="378e824e-6e02-4c0d-8321-dd86fba681ee"/>
  </ds:schemaRefs>
</ds:datastoreItem>
</file>

<file path=customXml/itemProps3.xml><?xml version="1.0" encoding="utf-8"?>
<ds:datastoreItem xmlns:ds="http://schemas.openxmlformats.org/officeDocument/2006/customXml" ds:itemID="{8F1C52A8-6824-4B31-8AF1-1F56EA6E7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e824e-6e02-4c0d-8321-dd86fba681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4</Pages>
  <Words>1648</Words>
  <Characters>9399</Characters>
  <Application>Microsoft Office Word</Application>
  <DocSecurity>8</DocSecurity>
  <Lines>78</Lines>
  <Paragraphs>22</Paragraphs>
  <ScaleCrop>false</ScaleCrop>
  <HeadingPairs>
    <vt:vector size="2" baseType="variant">
      <vt:variant>
        <vt:lpstr>Title</vt:lpstr>
      </vt:variant>
      <vt:variant>
        <vt:i4>1</vt:i4>
      </vt:variant>
    </vt:vector>
  </HeadingPairs>
  <TitlesOfParts>
    <vt:vector size="1" baseType="lpstr">
      <vt:lpstr>Our Ref:</vt:lpstr>
    </vt:vector>
  </TitlesOfParts>
  <Company>Northern Territory Government</Company>
  <LinksUpToDate>false</LinksUpToDate>
  <CharactersWithSpaces>11025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 Budget Measures</dc:title>
  <dc:subject/>
  <dc:creator>Northern Territory Government</dc:creator>
  <cp:keywords/>
  <dc:description/>
  <cp:lastModifiedBy>Jessica Symonds</cp:lastModifiedBy>
  <cp:revision>19</cp:revision>
  <cp:lastPrinted>2013-05-13T06:34:00Z</cp:lastPrinted>
  <dcterms:created xsi:type="dcterms:W3CDTF">2013-05-10T07:19:00Z</dcterms:created>
  <dcterms:modified xsi:type="dcterms:W3CDTF">2021-09-07T07:47:00Z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0x010100AE1D68356F7FB54A917EB6B48522F7AB</vt:lpwstr>
  </property>
</Properties>
</file>