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2BF" w:rsidRDefault="00A412BF" w:rsidP="00C27A0A">
      <w:pPr>
        <w:pStyle w:val="HeadingOne"/>
      </w:pPr>
      <w:r>
        <w:t>TERRITORY REVENUE OFFICE</w:t>
      </w:r>
    </w:p>
    <w:p w:rsidR="00A412BF" w:rsidRPr="00C27A0A" w:rsidRDefault="00A412BF" w:rsidP="00C27A0A">
      <w:pPr>
        <w:pStyle w:val="HeadingOne"/>
      </w:pPr>
      <w:r>
        <w:t xml:space="preserve">REVENUE CIRCULAR </w:t>
      </w:r>
    </w:p>
    <w:p w:rsidR="00A412BF" w:rsidRDefault="00A412BF" w:rsidP="00C27A0A">
      <w:pPr>
        <w:pStyle w:val="HeadingOne"/>
      </w:pPr>
      <w:r>
        <w:t>RC-GEN-013:</w:t>
      </w:r>
    </w:p>
    <w:p w:rsidR="00A412BF" w:rsidRPr="00C27A0A" w:rsidRDefault="00A412BF" w:rsidP="00C27A0A">
      <w:pPr>
        <w:pStyle w:val="HeadingOne"/>
      </w:pPr>
      <w:r>
        <w:t>2012-13 Mini-Budget Measures</w:t>
      </w:r>
    </w:p>
    <w:p w:rsidR="00A412BF" w:rsidRPr="00761ECC" w:rsidRDefault="00A412BF" w:rsidP="00CB00E3">
      <w:pPr>
        <w:pStyle w:val="HeadingTwo"/>
        <w:jc w:val="both"/>
        <w:rPr>
          <w:b w:val="0"/>
        </w:rPr>
      </w:pPr>
      <w:r w:rsidRPr="00646719">
        <w:t>Purpose</w:t>
      </w:r>
    </w:p>
    <w:p w:rsidR="00A412BF" w:rsidRDefault="00A412BF" w:rsidP="00CB00E3">
      <w:pPr>
        <w:pStyle w:val="BlockText"/>
        <w:numPr>
          <w:ilvl w:val="0"/>
          <w:numId w:val="15"/>
        </w:numPr>
        <w:tabs>
          <w:tab w:val="clear" w:pos="567"/>
        </w:tabs>
      </w:pPr>
      <w:r>
        <w:t>This</w:t>
      </w:r>
      <w:r w:rsidRPr="00693498">
        <w:t xml:space="preserve"> Circular provides information on amendments to the</w:t>
      </w:r>
      <w:r w:rsidRPr="00523D08">
        <w:t xml:space="preserve"> </w:t>
      </w:r>
      <w:r>
        <w:rPr>
          <w:i/>
        </w:rPr>
        <w:t xml:space="preserve">First Home Owner Grant </w:t>
      </w:r>
      <w:r w:rsidRPr="00523D08">
        <w:rPr>
          <w:i/>
        </w:rPr>
        <w:t>Act</w:t>
      </w:r>
      <w:r w:rsidRPr="00523D08">
        <w:t xml:space="preserve"> and</w:t>
      </w:r>
      <w:r>
        <w:t xml:space="preserve"> the</w:t>
      </w:r>
      <w:r w:rsidRPr="00523D08">
        <w:t xml:space="preserve"> </w:t>
      </w:r>
      <w:r>
        <w:rPr>
          <w:i/>
        </w:rPr>
        <w:t>Stamp Duty</w:t>
      </w:r>
      <w:r w:rsidRPr="00523D08">
        <w:rPr>
          <w:i/>
        </w:rPr>
        <w:t xml:space="preserve"> Act</w:t>
      </w:r>
      <w:r>
        <w:t xml:space="preserve"> that implement the 2012-</w:t>
      </w:r>
      <w:r w:rsidRPr="00523D08">
        <w:t xml:space="preserve">13 </w:t>
      </w:r>
      <w:r>
        <w:t>Mini-</w:t>
      </w:r>
      <w:r w:rsidRPr="00523D08">
        <w:t>Budget revenue measures</w:t>
      </w:r>
      <w:r>
        <w:t xml:space="preserve"> administered by the Territory Revenue Office (TRO). These measures were </w:t>
      </w:r>
      <w:r w:rsidRPr="00523D08">
        <w:t>anno</w:t>
      </w:r>
      <w:r>
        <w:t>unced by the Treasurer on 4 December </w:t>
      </w:r>
      <w:r w:rsidRPr="00523D08">
        <w:t>2012</w:t>
      </w:r>
      <w:r>
        <w:t>.</w:t>
      </w:r>
    </w:p>
    <w:p w:rsidR="00A412BF" w:rsidRPr="00646719" w:rsidRDefault="00A412BF" w:rsidP="00CB00E3">
      <w:pPr>
        <w:pStyle w:val="HeadingTwo"/>
        <w:jc w:val="both"/>
        <w:rPr>
          <w:szCs w:val="22"/>
        </w:rPr>
      </w:pPr>
      <w:r>
        <w:t>For First Home Owners</w:t>
      </w:r>
    </w:p>
    <w:p w:rsidR="00A412BF" w:rsidRPr="00845978" w:rsidRDefault="00A412BF" w:rsidP="00CB00E3">
      <w:pPr>
        <w:pStyle w:val="HeadingThree"/>
        <w:spacing w:after="240"/>
        <w:jc w:val="both"/>
      </w:pPr>
      <w:r>
        <w:t>Increases to the first home owner</w:t>
      </w:r>
      <w:r w:rsidRPr="00845978">
        <w:t xml:space="preserve"> grant</w:t>
      </w:r>
    </w:p>
    <w:p w:rsidR="00A412BF" w:rsidRDefault="00A412BF" w:rsidP="00CB00E3">
      <w:pPr>
        <w:pStyle w:val="BlockText"/>
        <w:numPr>
          <w:ilvl w:val="0"/>
          <w:numId w:val="15"/>
        </w:numPr>
        <w:tabs>
          <w:tab w:val="clear" w:pos="567"/>
        </w:tabs>
        <w:spacing w:after="200"/>
      </w:pPr>
      <w:r>
        <w:t>From 4 December 2012, the first home owner grant increases from $7 000 to:</w:t>
      </w:r>
    </w:p>
    <w:p w:rsidR="00A412BF" w:rsidRDefault="00A412BF" w:rsidP="00CB00E3">
      <w:pPr>
        <w:pStyle w:val="BlockText"/>
        <w:numPr>
          <w:ilvl w:val="0"/>
          <w:numId w:val="18"/>
        </w:numPr>
        <w:spacing w:after="200"/>
      </w:pPr>
      <w:r>
        <w:t xml:space="preserve">$25 000 for first home owners purchasing or building a new home or an established home in regional Northern Territory – that is, a home not within the boundaries of Darwin, Palmerston, Litchfield and Wagait (the </w:t>
      </w:r>
      <w:r w:rsidRPr="00567D3A">
        <w:t>“</w:t>
      </w:r>
      <w:r w:rsidRPr="006855D2">
        <w:rPr>
          <w:b/>
          <w:i/>
        </w:rPr>
        <w:t>urban area</w:t>
      </w:r>
      <w:r w:rsidRPr="00567D3A">
        <w:t>”);</w:t>
      </w:r>
    </w:p>
    <w:p w:rsidR="00A412BF" w:rsidRDefault="00A412BF" w:rsidP="00CB00E3">
      <w:pPr>
        <w:pStyle w:val="BlockText"/>
        <w:numPr>
          <w:ilvl w:val="0"/>
          <w:numId w:val="18"/>
        </w:numPr>
        <w:spacing w:after="200"/>
      </w:pPr>
      <w:r>
        <w:t>$25 000 for first home owners purchasing or building a new home located in the urban area; and</w:t>
      </w:r>
    </w:p>
    <w:p w:rsidR="00A412BF" w:rsidRDefault="00A412BF" w:rsidP="00CB00E3">
      <w:pPr>
        <w:pStyle w:val="BlockText"/>
        <w:numPr>
          <w:ilvl w:val="0"/>
          <w:numId w:val="18"/>
        </w:numPr>
        <w:spacing w:after="200"/>
      </w:pPr>
      <w:r>
        <w:t>$12 000 for first home owners purchasing an established home located in the urban area.</w:t>
      </w:r>
    </w:p>
    <w:p w:rsidR="00A412BF" w:rsidRDefault="00A412BF" w:rsidP="00CB00E3">
      <w:pPr>
        <w:pStyle w:val="BlockText"/>
        <w:numPr>
          <w:ilvl w:val="0"/>
          <w:numId w:val="15"/>
        </w:numPr>
        <w:tabs>
          <w:tab w:val="clear" w:pos="567"/>
        </w:tabs>
        <w:spacing w:after="200"/>
      </w:pPr>
      <w:r>
        <w:t>A “</w:t>
      </w:r>
      <w:r w:rsidRPr="00567D3A">
        <w:rPr>
          <w:b/>
          <w:i/>
        </w:rPr>
        <w:t>new home</w:t>
      </w:r>
      <w:r>
        <w:t>” is a home that has not been previously lived in or sold as a place of residence. Accordingly, eligible new home transactions include:</w:t>
      </w:r>
    </w:p>
    <w:p w:rsidR="00A412BF" w:rsidRDefault="00A412BF" w:rsidP="00CB00E3">
      <w:pPr>
        <w:pStyle w:val="BlockText"/>
        <w:numPr>
          <w:ilvl w:val="0"/>
          <w:numId w:val="18"/>
        </w:numPr>
        <w:spacing w:after="200"/>
      </w:pPr>
      <w:r>
        <w:t>a contract for the purchase of a new home (including off-the-plan) made on or after 4 December 2012;</w:t>
      </w:r>
    </w:p>
    <w:p w:rsidR="00A412BF" w:rsidRDefault="00A412BF" w:rsidP="00CB00E3">
      <w:pPr>
        <w:pStyle w:val="BlockText"/>
        <w:numPr>
          <w:ilvl w:val="0"/>
          <w:numId w:val="18"/>
        </w:numPr>
        <w:spacing w:after="200"/>
      </w:pPr>
      <w:r>
        <w:t>a comprehensive home building contract made on or after 4 December 2012; and</w:t>
      </w:r>
    </w:p>
    <w:p w:rsidR="00A412BF" w:rsidRDefault="00A412BF" w:rsidP="00CB00E3">
      <w:pPr>
        <w:pStyle w:val="BlockText"/>
        <w:numPr>
          <w:ilvl w:val="0"/>
          <w:numId w:val="18"/>
        </w:numPr>
        <w:spacing w:after="200"/>
      </w:pPr>
      <w:r>
        <w:t>the building of a new home by an owner builder provided the</w:t>
      </w:r>
      <w:r w:rsidRPr="003C6A42">
        <w:t xml:space="preserve"> laying </w:t>
      </w:r>
      <w:r>
        <w:t>of the foundations</w:t>
      </w:r>
      <w:r w:rsidRPr="003C6A42">
        <w:t xml:space="preserve"> commences</w:t>
      </w:r>
      <w:r>
        <w:t xml:space="preserve"> on or after 4 December 2012.</w:t>
      </w:r>
    </w:p>
    <w:p w:rsidR="00783B9C" w:rsidRDefault="00A412BF" w:rsidP="00783B9C">
      <w:pPr>
        <w:pStyle w:val="BlockText"/>
        <w:numPr>
          <w:ilvl w:val="0"/>
          <w:numId w:val="15"/>
        </w:numPr>
        <w:tabs>
          <w:tab w:val="clear" w:pos="567"/>
        </w:tabs>
        <w:spacing w:after="200"/>
      </w:pPr>
      <w:r>
        <w:t xml:space="preserve">The purchase of a substantially renovated home in certain circumstances qualifies as the purchase of a new home. To qualify, the substantially renovated home must be a taxable supply of new residential premises as defined under section 40-75(1)(b) of the Commonwealth’s </w:t>
      </w:r>
      <w:r w:rsidRPr="008C2913">
        <w:rPr>
          <w:i/>
        </w:rPr>
        <w:t>A New Tax System (Goods and Services Tax) Act 1999</w:t>
      </w:r>
      <w:r>
        <w:t>. The transaction must also be the first sale of the home since being substantially renovated and the home must not have been occupied as a place of residence</w:t>
      </w:r>
      <w:r w:rsidRPr="00FB2970">
        <w:t xml:space="preserve"> </w:t>
      </w:r>
      <w:r>
        <w:t>since that renovation, including by the builder, a tenant or other occupant.</w:t>
      </w:r>
    </w:p>
    <w:p w:rsidR="00A412BF" w:rsidRDefault="00A412BF" w:rsidP="00CB00E3">
      <w:pPr>
        <w:pStyle w:val="BlockText"/>
        <w:numPr>
          <w:ilvl w:val="0"/>
          <w:numId w:val="9"/>
        </w:numPr>
        <w:tabs>
          <w:tab w:val="clear" w:pos="2007"/>
          <w:tab w:val="num" w:pos="567"/>
        </w:tabs>
        <w:ind w:left="567"/>
      </w:pPr>
      <w:r>
        <w:t>The increases in the first home owner grant will generally apply for contracts entered into on or after 4 December 2012. However, transitional arrangements apply, so that the lower $7000 grant amount is still payable to applicants where:</w:t>
      </w:r>
    </w:p>
    <w:p w:rsidR="00A412BF" w:rsidRDefault="00A412BF" w:rsidP="00CB00E3">
      <w:pPr>
        <w:pStyle w:val="BlockText"/>
        <w:numPr>
          <w:ilvl w:val="0"/>
          <w:numId w:val="18"/>
        </w:numPr>
        <w:spacing w:after="200"/>
      </w:pPr>
      <w:r w:rsidRPr="00D80FF9">
        <w:t>the contract replaces a contract executed before 4 December 2012</w:t>
      </w:r>
      <w:r>
        <w:t>,</w:t>
      </w:r>
      <w:r w:rsidRPr="00D80FF9">
        <w:t xml:space="preserve"> for the purchase or construction of the same or a substantially similar</w:t>
      </w:r>
      <w:r>
        <w:t xml:space="preserve"> home; or</w:t>
      </w:r>
    </w:p>
    <w:p w:rsidR="00A412BF" w:rsidRDefault="00A412BF" w:rsidP="00CB00E3">
      <w:pPr>
        <w:pStyle w:val="BlockText"/>
        <w:numPr>
          <w:ilvl w:val="0"/>
          <w:numId w:val="18"/>
        </w:numPr>
        <w:spacing w:after="200"/>
      </w:pPr>
      <w:r>
        <w:t>before 4 December 2012</w:t>
      </w:r>
      <w:r w:rsidRPr="00D80FF9">
        <w:t>, the purchaser or vendor entered into a contract or option</w:t>
      </w:r>
      <w:r>
        <w:t xml:space="preserve"> </w:t>
      </w:r>
      <w:r w:rsidRPr="00D80FF9">
        <w:t>to require the sale or purchase of the home; or</w:t>
      </w:r>
    </w:p>
    <w:p w:rsidR="00A412BF" w:rsidRDefault="00A412BF" w:rsidP="00CB00E3">
      <w:pPr>
        <w:pStyle w:val="BlockText"/>
        <w:numPr>
          <w:ilvl w:val="0"/>
          <w:numId w:val="18"/>
        </w:numPr>
        <w:spacing w:after="200"/>
      </w:pPr>
      <w:r>
        <w:t xml:space="preserve">in relation to a comprehensive home building contract, a party to the contract had a right or option granted </w:t>
      </w:r>
      <w:r w:rsidRPr="00D80FF9">
        <w:t>before 4 December 2012 to require the other party to enter into the contract.</w:t>
      </w:r>
    </w:p>
    <w:p w:rsidR="00A412BF" w:rsidRDefault="00A412BF" w:rsidP="00CB00E3">
      <w:pPr>
        <w:pStyle w:val="BlockText"/>
        <w:numPr>
          <w:ilvl w:val="0"/>
          <w:numId w:val="15"/>
        </w:numPr>
        <w:tabs>
          <w:tab w:val="clear" w:pos="567"/>
        </w:tabs>
        <w:spacing w:after="200"/>
      </w:pPr>
      <w:r w:rsidRPr="0021088F">
        <w:lastRenderedPageBreak/>
        <w:t xml:space="preserve">Applicants should be aware that substantial penalties may </w:t>
      </w:r>
      <w:r>
        <w:t xml:space="preserve">be imposed </w:t>
      </w:r>
      <w:r w:rsidRPr="0021088F">
        <w:t>if an applicant replaces a contract entered into before 4 December 2012 with a new contract in an attempt to receive the benefit of the increased grant. T</w:t>
      </w:r>
      <w:r>
        <w:t>RO</w:t>
      </w:r>
      <w:r w:rsidRPr="0021088F">
        <w:t xml:space="preserve"> </w:t>
      </w:r>
      <w:r>
        <w:t xml:space="preserve">will </w:t>
      </w:r>
      <w:r w:rsidRPr="0021088F">
        <w:t xml:space="preserve">conduct investigations to ensure that </w:t>
      </w:r>
      <w:r>
        <w:t>all</w:t>
      </w:r>
      <w:r w:rsidRPr="0021088F">
        <w:t xml:space="preserve"> applicants </w:t>
      </w:r>
      <w:r>
        <w:t>meet the eligibility requirements applying at the relevant time.</w:t>
      </w:r>
    </w:p>
    <w:p w:rsidR="00A412BF" w:rsidRDefault="00A412BF" w:rsidP="00CB00E3">
      <w:pPr>
        <w:pStyle w:val="BlockText"/>
        <w:numPr>
          <w:ilvl w:val="0"/>
          <w:numId w:val="15"/>
        </w:numPr>
        <w:tabs>
          <w:tab w:val="clear" w:pos="567"/>
        </w:tabs>
        <w:spacing w:after="200"/>
      </w:pPr>
      <w:r>
        <w:t>Note that the critical date for the grant is the commencement date of the eligible transaction, so the increased grant will be available where vacant land has been purchased before 4 December 2012 provided a comprehensive home building contract is made or an owner builder commences construction (laying of foundations) on or after 4 December 2012.</w:t>
      </w:r>
    </w:p>
    <w:p w:rsidR="00A412BF" w:rsidRDefault="00A412BF" w:rsidP="00CB00E3">
      <w:pPr>
        <w:pStyle w:val="BlockText"/>
        <w:numPr>
          <w:ilvl w:val="0"/>
          <w:numId w:val="15"/>
        </w:numPr>
        <w:tabs>
          <w:tab w:val="clear" w:pos="567"/>
        </w:tabs>
        <w:spacing w:after="200"/>
      </w:pPr>
      <w:r>
        <w:t xml:space="preserve">For further details, please refer to the First Home Owner Grant Application Form </w:t>
      </w:r>
      <w:hyperlink r:id="rId10" w:tooltip="Web link to F-HI-001" w:history="1">
        <w:r w:rsidRPr="002906AE">
          <w:rPr>
            <w:rStyle w:val="Hyperlink"/>
            <w:rFonts w:cs="Arial"/>
          </w:rPr>
          <w:t>F-HI-001</w:t>
        </w:r>
      </w:hyperlink>
      <w:r>
        <w:t xml:space="preserve"> and the guide to the applicatio</w:t>
      </w:r>
      <w:r w:rsidR="002906AE">
        <w:t>n</w:t>
      </w:r>
      <w:hyperlink w:history="1"/>
      <w:r w:rsidR="002906AE">
        <w:t xml:space="preserve"> </w:t>
      </w:r>
      <w:r>
        <w:t xml:space="preserve">and Commissioner’s Guideline </w:t>
      </w:r>
      <w:hyperlink r:id="rId11" w:tooltip="CH-HI-011 Guideline" w:history="1">
        <w:r w:rsidRPr="004E2567">
          <w:rPr>
            <w:rStyle w:val="Hyperlink"/>
            <w:rFonts w:cs="Arial"/>
          </w:rPr>
          <w:t xml:space="preserve">CG-HI-011: </w:t>
        </w:r>
        <w:r w:rsidRPr="004E2567">
          <w:rPr>
            <w:rStyle w:val="Hyperlink"/>
            <w:rFonts w:cs="Arial"/>
            <w:i/>
          </w:rPr>
          <w:t>What is a new home</w:t>
        </w:r>
      </w:hyperlink>
      <w:r w:rsidRPr="00EF691C">
        <w:t>.</w:t>
      </w:r>
      <w:r>
        <w:t xml:space="preserve"> </w:t>
      </w:r>
    </w:p>
    <w:p w:rsidR="00A412BF" w:rsidRPr="00845978" w:rsidRDefault="00A412BF" w:rsidP="00CB00E3">
      <w:pPr>
        <w:pStyle w:val="HeadingThree"/>
        <w:spacing w:after="240"/>
        <w:jc w:val="both"/>
      </w:pPr>
      <w:r>
        <w:t>Retargeting of the first home owner</w:t>
      </w:r>
      <w:r w:rsidRPr="00845978">
        <w:t xml:space="preserve"> grant</w:t>
      </w:r>
      <w:r>
        <w:t xml:space="preserve"> threshold amount</w:t>
      </w:r>
    </w:p>
    <w:p w:rsidR="00A412BF" w:rsidRDefault="00A412BF" w:rsidP="00CB00E3">
      <w:pPr>
        <w:pStyle w:val="BlockText"/>
        <w:numPr>
          <w:ilvl w:val="0"/>
          <w:numId w:val="15"/>
        </w:numPr>
        <w:tabs>
          <w:tab w:val="clear" w:pos="567"/>
        </w:tabs>
        <w:spacing w:after="200"/>
      </w:pPr>
      <w:r>
        <w:t xml:space="preserve">Existing first home owner grant eligibility criteria, such as the residence requirements, continue to apply. For transactions with a commencement date prior to 4 December 2012, a person is not eligible for the first home owner grant when the consideration or unencumbered value of the home or building costs and land is more than the maximum threshold amount of $750 000. </w:t>
      </w:r>
    </w:p>
    <w:p w:rsidR="00A412BF" w:rsidRDefault="00A412BF" w:rsidP="00CB00E3">
      <w:pPr>
        <w:pStyle w:val="BlockText"/>
        <w:numPr>
          <w:ilvl w:val="0"/>
          <w:numId w:val="15"/>
        </w:numPr>
        <w:tabs>
          <w:tab w:val="clear" w:pos="567"/>
        </w:tabs>
        <w:spacing w:after="200"/>
      </w:pPr>
      <w:r>
        <w:t>As part of the retargeting of the first home owner grant, effective from 4 December 2012, the maximum threshold amount above which eligibility ceases has been reduced to $600 000. This means that the new $600 </w:t>
      </w:r>
      <w:r w:rsidRPr="00FE1B4D">
        <w:t>000 threshold only applies to eligible transactions that commence on or after 4</w:t>
      </w:r>
      <w:r w:rsidR="003A5C25">
        <w:t> </w:t>
      </w:r>
      <w:r w:rsidRPr="00FE1B4D">
        <w:t>December</w:t>
      </w:r>
      <w:r w:rsidR="003A5C25">
        <w:t> </w:t>
      </w:r>
      <w:r>
        <w:t>2012.</w:t>
      </w:r>
    </w:p>
    <w:p w:rsidR="00A412BF" w:rsidRPr="00824FB0" w:rsidRDefault="00A412BF" w:rsidP="00CB00E3">
      <w:pPr>
        <w:pStyle w:val="BlockText"/>
        <w:tabs>
          <w:tab w:val="clear" w:pos="2007"/>
        </w:tabs>
        <w:spacing w:after="200"/>
        <w:ind w:left="0" w:firstLine="0"/>
        <w:rPr>
          <w:i/>
          <w:u w:val="single"/>
        </w:rPr>
      </w:pPr>
      <w:r w:rsidRPr="00824FB0">
        <w:rPr>
          <w:i/>
          <w:u w:val="single"/>
        </w:rPr>
        <w:t>Example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720"/>
      </w:tblGrid>
      <w:tr w:rsidR="00A412BF" w:rsidTr="00BD238D">
        <w:trPr>
          <w:trHeight w:val="360"/>
        </w:trPr>
        <w:tc>
          <w:tcPr>
            <w:tcW w:w="9720" w:type="dxa"/>
            <w:shd w:val="pct5" w:color="auto" w:fill="auto"/>
          </w:tcPr>
          <w:p w:rsidR="00A412BF" w:rsidRDefault="00A412BF" w:rsidP="00CB00E3">
            <w:pPr>
              <w:pStyle w:val="BlockText"/>
              <w:tabs>
                <w:tab w:val="clear" w:pos="2007"/>
              </w:tabs>
              <w:spacing w:before="120"/>
              <w:ind w:left="0" w:firstLine="0"/>
            </w:pPr>
            <w:r>
              <w:t>Burt bought a block of land in October 2011, which is vacant and is currently valued at $240 000.</w:t>
            </w:r>
          </w:p>
          <w:p w:rsidR="00A412BF" w:rsidRDefault="00A412BF" w:rsidP="00CB00E3">
            <w:pPr>
              <w:pStyle w:val="BlockText"/>
              <w:tabs>
                <w:tab w:val="clear" w:pos="2007"/>
              </w:tabs>
              <w:spacing w:after="200"/>
              <w:ind w:left="0" w:firstLine="0"/>
            </w:pPr>
            <w:r>
              <w:t>On 5 December 2012, Burt signs a comprehensive home building contract to build a new home on the land for $350 000 (which also reflects the arm’s length consideration).</w:t>
            </w:r>
          </w:p>
          <w:p w:rsidR="00A412BF" w:rsidRDefault="00A412BF" w:rsidP="00CB00E3">
            <w:pPr>
              <w:pStyle w:val="BlockText"/>
              <w:tabs>
                <w:tab w:val="clear" w:pos="2007"/>
                <w:tab w:val="num" w:pos="252"/>
              </w:tabs>
              <w:spacing w:after="200"/>
              <w:ind w:left="0" w:firstLine="0"/>
            </w:pPr>
            <w:r>
              <w:t>Burt will be eligible for the increased grant of $25 000 because the combined value of the land and home at the date of the home building contract is $590 000, which is below the threshold amount of $600 000.</w:t>
            </w:r>
          </w:p>
          <w:p w:rsidR="00A412BF" w:rsidRDefault="00A412BF" w:rsidP="00611CA5">
            <w:pPr>
              <w:pStyle w:val="BlockText"/>
              <w:tabs>
                <w:tab w:val="clear" w:pos="2007"/>
                <w:tab w:val="num" w:pos="252"/>
              </w:tabs>
              <w:spacing w:after="200"/>
              <w:ind w:left="0" w:firstLine="0"/>
            </w:pPr>
            <w:r>
              <w:t>However, if Burt instead signs a comprehensive home building contract to build a new home on the land for $400 000, Burt will not be eligible for the first home owner grant. This is because the combined value of the land and home at the date of the home building contract is $640 000, which is over the new $600 000 threshold amount.</w:t>
            </w:r>
          </w:p>
        </w:tc>
      </w:tr>
    </w:tbl>
    <w:p w:rsidR="00A412BF" w:rsidRDefault="00A412BF" w:rsidP="00CB00E3">
      <w:pPr>
        <w:pStyle w:val="BlockText"/>
        <w:numPr>
          <w:ilvl w:val="0"/>
          <w:numId w:val="15"/>
        </w:numPr>
        <w:tabs>
          <w:tab w:val="clear" w:pos="567"/>
        </w:tabs>
        <w:spacing w:before="200" w:after="200"/>
      </w:pPr>
      <w:r>
        <w:t xml:space="preserve">Where the $600 000 threshold amount is exceeded, </w:t>
      </w:r>
      <w:r w:rsidRPr="009856EC">
        <w:t>the stamp duty principal place of residence r</w:t>
      </w:r>
      <w:r>
        <w:t>ebate of</w:t>
      </w:r>
      <w:r w:rsidRPr="009856EC">
        <w:t xml:space="preserve"> $7000 </w:t>
      </w:r>
      <w:r>
        <w:t xml:space="preserve">may be available for </w:t>
      </w:r>
      <w:r w:rsidRPr="009856EC">
        <w:t>purchase</w:t>
      </w:r>
      <w:r>
        <w:t>s</w:t>
      </w:r>
      <w:r w:rsidRPr="009856EC">
        <w:t xml:space="preserve"> </w:t>
      </w:r>
      <w:r>
        <w:t>f</w:t>
      </w:r>
      <w:r w:rsidRPr="009856EC">
        <w:t>rom 4 December 2012</w:t>
      </w:r>
      <w:r>
        <w:t xml:space="preserve"> </w:t>
      </w:r>
      <w:r w:rsidRPr="009856EC">
        <w:t xml:space="preserve">of </w:t>
      </w:r>
      <w:r>
        <w:t>a new home</w:t>
      </w:r>
      <w:r w:rsidRPr="009856EC">
        <w:t xml:space="preserve"> or vacant land on which a new home will be built.</w:t>
      </w:r>
      <w:r>
        <w:t xml:space="preserve"> </w:t>
      </w:r>
    </w:p>
    <w:p w:rsidR="00A412BF" w:rsidRDefault="00A412BF" w:rsidP="00CB00E3">
      <w:pPr>
        <w:pStyle w:val="BlockText"/>
        <w:numPr>
          <w:ilvl w:val="0"/>
          <w:numId w:val="15"/>
        </w:numPr>
        <w:tabs>
          <w:tab w:val="clear" w:pos="567"/>
        </w:tabs>
        <w:spacing w:before="200" w:after="200"/>
      </w:pPr>
      <w:r>
        <w:t xml:space="preserve">More detailed information on the first home owner grant, principal place of residence rebate and eligibility criteria is available in Commissioner’s Guideline </w:t>
      </w:r>
      <w:hyperlink r:id="rId12" w:tooltip="Web link to CG-HI-001" w:history="1">
        <w:r w:rsidR="00783B9C" w:rsidRPr="00783B9C">
          <w:rPr>
            <w:rStyle w:val="Hyperlink"/>
            <w:rFonts w:cs="Arial"/>
          </w:rPr>
          <w:t>CG-HI-001</w:t>
        </w:r>
      </w:hyperlink>
      <w:r w:rsidR="00783B9C" w:rsidRPr="00783B9C">
        <w:t xml:space="preserve">: </w:t>
      </w:r>
      <w:r w:rsidR="00783B9C" w:rsidRPr="00783B9C">
        <w:rPr>
          <w:i/>
        </w:rPr>
        <w:t>Home</w:t>
      </w:r>
      <w:r w:rsidR="006038CB">
        <w:rPr>
          <w:i/>
        </w:rPr>
        <w:t> </w:t>
      </w:r>
      <w:r w:rsidR="00783B9C" w:rsidRPr="00783B9C">
        <w:rPr>
          <w:i/>
        </w:rPr>
        <w:t>Incentives</w:t>
      </w:r>
      <w:r>
        <w:t xml:space="preserve"> and First Home Owner Grant Application Form </w:t>
      </w:r>
      <w:hyperlink r:id="rId13" w:tooltip="Web link to F-HI-001" w:history="1">
        <w:r w:rsidRPr="002906AE">
          <w:rPr>
            <w:rStyle w:val="Hyperlink"/>
            <w:rFonts w:cs="Arial"/>
          </w:rPr>
          <w:t>F-HI-001</w:t>
        </w:r>
      </w:hyperlink>
      <w:r>
        <w:t xml:space="preserve"> and the guide to the application.</w:t>
      </w:r>
    </w:p>
    <w:p w:rsidR="00A412BF" w:rsidRPr="00845978" w:rsidRDefault="00A412BF" w:rsidP="00CB00E3">
      <w:pPr>
        <w:pStyle w:val="HeadingThree"/>
        <w:spacing w:after="240"/>
        <w:jc w:val="both"/>
      </w:pPr>
      <w:r>
        <w:t>Stamp duty first home owner concession ceases</w:t>
      </w:r>
    </w:p>
    <w:p w:rsidR="00A412BF" w:rsidRDefault="00A412BF" w:rsidP="00CB00E3">
      <w:pPr>
        <w:pStyle w:val="BlockText"/>
        <w:numPr>
          <w:ilvl w:val="0"/>
          <w:numId w:val="15"/>
        </w:numPr>
        <w:tabs>
          <w:tab w:val="clear" w:pos="567"/>
        </w:tabs>
        <w:spacing w:after="200"/>
      </w:pPr>
      <w:r>
        <w:t xml:space="preserve">The stamp duty first home owner concession will no longer be available to first home buyers for </w:t>
      </w:r>
      <w:r w:rsidRPr="005700FC">
        <w:t>conveyances</w:t>
      </w:r>
      <w:r>
        <w:t xml:space="preserve"> first executed on or after 4 December 2012. First home owner assistance will instead be provided by the increased first home owner grant. </w:t>
      </w:r>
    </w:p>
    <w:p w:rsidR="00A412BF" w:rsidRDefault="00A412BF" w:rsidP="00CB00E3">
      <w:pPr>
        <w:pStyle w:val="BlockText"/>
        <w:numPr>
          <w:ilvl w:val="0"/>
          <w:numId w:val="15"/>
        </w:numPr>
        <w:tabs>
          <w:tab w:val="clear" w:pos="567"/>
        </w:tabs>
        <w:spacing w:after="200"/>
      </w:pPr>
      <w:r>
        <w:t xml:space="preserve">For a </w:t>
      </w:r>
      <w:r w:rsidRPr="005700FC">
        <w:t>conveyance</w:t>
      </w:r>
      <w:r>
        <w:t xml:space="preserve"> that was first executed prior to 4 December 2012, including where a contract has been signed by both the first home </w:t>
      </w:r>
      <w:r w:rsidRPr="00C125AB">
        <w:t>buyer and seller</w:t>
      </w:r>
      <w:r>
        <w:t xml:space="preserve"> prior to 4 December 2012 but exchange had yet to take place, the first home owner concession will still be available provided that all of the eligibility requirements are satisfied. This includes </w:t>
      </w:r>
      <w:r w:rsidRPr="00C125AB">
        <w:t xml:space="preserve">situations where the </w:t>
      </w:r>
      <w:r>
        <w:t xml:space="preserve">first home </w:t>
      </w:r>
      <w:r w:rsidRPr="00C125AB">
        <w:t xml:space="preserve">buyer and seller have signed the contract but </w:t>
      </w:r>
      <w:r>
        <w:t>we</w:t>
      </w:r>
      <w:r w:rsidRPr="00C125AB">
        <w:t xml:space="preserve">re waiting </w:t>
      </w:r>
      <w:r>
        <w:t>for</w:t>
      </w:r>
      <w:r w:rsidRPr="00C125AB">
        <w:t xml:space="preserve"> the CEO</w:t>
      </w:r>
      <w:r>
        <w:t> </w:t>
      </w:r>
      <w:r w:rsidRPr="00C125AB">
        <w:t>Housing to execute as part of the former shared equity scheme</w:t>
      </w:r>
      <w:r>
        <w:t>.</w:t>
      </w:r>
    </w:p>
    <w:p w:rsidR="00A412BF" w:rsidRDefault="00A412BF" w:rsidP="00CB00E3">
      <w:pPr>
        <w:pStyle w:val="BlockText"/>
        <w:numPr>
          <w:ilvl w:val="0"/>
          <w:numId w:val="15"/>
        </w:numPr>
        <w:tabs>
          <w:tab w:val="clear" w:pos="567"/>
        </w:tabs>
        <w:spacing w:after="200"/>
      </w:pPr>
      <w:r>
        <w:t>A statutory declaration will be required to evidence that the first home buyer and seller signed the contract prior to 4 December 2012 and the transaction will need to be assessed for duty by TRO, rather than through the Conveyance By Return scheme.</w:t>
      </w:r>
    </w:p>
    <w:p w:rsidR="00A412BF" w:rsidRPr="00646719" w:rsidRDefault="00A412BF" w:rsidP="00CB00E3">
      <w:pPr>
        <w:pStyle w:val="HeadingTwo"/>
        <w:jc w:val="both"/>
        <w:rPr>
          <w:szCs w:val="22"/>
        </w:rPr>
      </w:pPr>
      <w:r>
        <w:lastRenderedPageBreak/>
        <w:t>For Other Home Buyers</w:t>
      </w:r>
    </w:p>
    <w:p w:rsidR="00A412BF" w:rsidRPr="00845978" w:rsidRDefault="00A412BF" w:rsidP="00CB00E3">
      <w:pPr>
        <w:pStyle w:val="HeadingThree"/>
        <w:spacing w:after="240"/>
        <w:jc w:val="both"/>
      </w:pPr>
      <w:r>
        <w:t>Increase and retargeting of the stamp duty principal place of residence rebate</w:t>
      </w:r>
    </w:p>
    <w:p w:rsidR="00A412BF" w:rsidRDefault="00A412BF" w:rsidP="00611CA5">
      <w:pPr>
        <w:pStyle w:val="BlockText"/>
        <w:numPr>
          <w:ilvl w:val="0"/>
          <w:numId w:val="15"/>
        </w:numPr>
        <w:tabs>
          <w:tab w:val="clear" w:pos="567"/>
        </w:tabs>
        <w:spacing w:after="200"/>
      </w:pPr>
      <w:r>
        <w:t>From 4 December 2012, the stamp duty principal place of residence rebate is increased from $3500 to $7000 and retargeted to only apply to the purchase of new homes or vacant land on which a new home will be built.</w:t>
      </w:r>
      <w:r w:rsidRPr="00611CA5">
        <w:t xml:space="preserve"> </w:t>
      </w:r>
      <w:r w:rsidRPr="00273379">
        <w:t>The other conditions of the principal place of residence rebate continue to apply</w:t>
      </w:r>
      <w:r>
        <w:t>, including that the purchaser is not eligible for other home owner assistance such as the first home owner concession, first home owner grant or senior, pensioner and carer concession</w:t>
      </w:r>
      <w:r w:rsidRPr="00273379">
        <w:t>.</w:t>
      </w:r>
    </w:p>
    <w:p w:rsidR="00A412BF" w:rsidRDefault="00A412BF" w:rsidP="00CB00E3">
      <w:pPr>
        <w:pStyle w:val="BlockText"/>
        <w:numPr>
          <w:ilvl w:val="0"/>
          <w:numId w:val="15"/>
        </w:numPr>
        <w:tabs>
          <w:tab w:val="clear" w:pos="567"/>
        </w:tabs>
        <w:spacing w:after="200"/>
      </w:pPr>
      <w:r>
        <w:t xml:space="preserve">The lower principal place of residence rebate of $3500 will still be available (including for purchases of established homes) for a conveyance that was first executed prior to 4 December 2012, including where a contract has been signed by both the home </w:t>
      </w:r>
      <w:r w:rsidRPr="00C125AB">
        <w:t>buyer and seller</w:t>
      </w:r>
      <w:r>
        <w:t xml:space="preserve"> prior to 4 December 2012 but exchange had yet to take place, or for a conveyance that is subject to the transitional arrangements.</w:t>
      </w:r>
    </w:p>
    <w:p w:rsidR="00A412BF" w:rsidRPr="00273379" w:rsidRDefault="00A412BF" w:rsidP="00CB00E3">
      <w:pPr>
        <w:pStyle w:val="BlockText"/>
        <w:numPr>
          <w:ilvl w:val="0"/>
          <w:numId w:val="15"/>
        </w:numPr>
        <w:tabs>
          <w:tab w:val="clear" w:pos="567"/>
        </w:tabs>
        <w:spacing w:after="200"/>
      </w:pPr>
      <w:r>
        <w:t>The meaning of new home for the principal place of residence rebate is consistent with the first home owner grant definition. A new home is a</w:t>
      </w:r>
      <w:r w:rsidRPr="00255290">
        <w:t xml:space="preserve"> home that has not been previously lived in or sold as a place of residence</w:t>
      </w:r>
      <w:r>
        <w:t xml:space="preserve">. This includes a substantially renovated home in certain </w:t>
      </w:r>
      <w:r w:rsidRPr="00273379">
        <w:t xml:space="preserve">circumstances. </w:t>
      </w:r>
    </w:p>
    <w:p w:rsidR="00A412BF" w:rsidRPr="00273379" w:rsidRDefault="00A412BF" w:rsidP="00CB00E3">
      <w:pPr>
        <w:pStyle w:val="BlockText"/>
        <w:numPr>
          <w:ilvl w:val="0"/>
          <w:numId w:val="15"/>
        </w:numPr>
        <w:tabs>
          <w:tab w:val="clear" w:pos="567"/>
        </w:tabs>
        <w:spacing w:after="200"/>
      </w:pPr>
      <w:r w:rsidRPr="00273379">
        <w:t>The transitional arrangements provide that where a conveyance is secured prior to 4 December 2012, including by a contract or an opt</w:t>
      </w:r>
      <w:r>
        <w:t>ion agreement, then the lower</w:t>
      </w:r>
      <w:r w:rsidRPr="00273379">
        <w:t xml:space="preserve"> rebate of $3</w:t>
      </w:r>
      <w:r>
        <w:t>500 will apply to the</w:t>
      </w:r>
      <w:r w:rsidRPr="00273379">
        <w:t xml:space="preserve"> conveyance where:</w:t>
      </w:r>
    </w:p>
    <w:p w:rsidR="00A412BF" w:rsidRDefault="00A412BF" w:rsidP="00CB00E3">
      <w:pPr>
        <w:pStyle w:val="BlockText"/>
        <w:numPr>
          <w:ilvl w:val="0"/>
          <w:numId w:val="18"/>
        </w:numPr>
        <w:spacing w:after="200"/>
      </w:pPr>
      <w:r w:rsidRPr="00273379">
        <w:t>the conveyance replaces a conveyance first executed before 4 December 2012</w:t>
      </w:r>
      <w:r>
        <w:t>,</w:t>
      </w:r>
      <w:r w:rsidRPr="00273379">
        <w:t xml:space="preserve"> for the same or substantially similar land; or</w:t>
      </w:r>
    </w:p>
    <w:p w:rsidR="00A412BF" w:rsidRDefault="00A412BF" w:rsidP="00CB00E3">
      <w:pPr>
        <w:pStyle w:val="BlockText"/>
        <w:numPr>
          <w:ilvl w:val="0"/>
          <w:numId w:val="18"/>
        </w:numPr>
        <w:spacing w:after="200"/>
      </w:pPr>
      <w:r w:rsidRPr="00273379">
        <w:t>the conveyee entered into a contract or option, before 4 December 2012, to purchase the land, or substantially similar land, to which the conveyance relates; or</w:t>
      </w:r>
    </w:p>
    <w:p w:rsidR="00A412BF" w:rsidRDefault="00A412BF" w:rsidP="00CB00E3">
      <w:pPr>
        <w:pStyle w:val="BlockText"/>
        <w:numPr>
          <w:ilvl w:val="0"/>
          <w:numId w:val="18"/>
        </w:numPr>
        <w:spacing w:after="200"/>
      </w:pPr>
      <w:r w:rsidRPr="00273379">
        <w:t xml:space="preserve">the conveyor had an option, granted before 4 December 2012, to require the conveyee to purchase the land, or substantially similar land, to which the conveyance relates. </w:t>
      </w:r>
    </w:p>
    <w:p w:rsidR="00A412BF" w:rsidRPr="00273379" w:rsidRDefault="00A412BF" w:rsidP="00CB00E3">
      <w:pPr>
        <w:pStyle w:val="HeadingTwo"/>
        <w:jc w:val="both"/>
      </w:pPr>
      <w:r w:rsidRPr="00273379">
        <w:t>Further Information</w:t>
      </w:r>
    </w:p>
    <w:p w:rsidR="00A412BF" w:rsidRPr="00273379" w:rsidRDefault="00A412BF" w:rsidP="00CB00E3">
      <w:pPr>
        <w:pStyle w:val="BlockText"/>
        <w:numPr>
          <w:ilvl w:val="0"/>
          <w:numId w:val="9"/>
        </w:numPr>
        <w:tabs>
          <w:tab w:val="clear" w:pos="2007"/>
          <w:tab w:val="num" w:pos="540"/>
        </w:tabs>
        <w:spacing w:after="200"/>
        <w:ind w:left="539" w:hanging="539"/>
      </w:pPr>
      <w:r>
        <w:rPr>
          <w:szCs w:val="22"/>
        </w:rPr>
        <w:t>Please r</w:t>
      </w:r>
      <w:r w:rsidRPr="00273379">
        <w:rPr>
          <w:szCs w:val="22"/>
        </w:rPr>
        <w:t>efer to the Revenue and Other Legislation Amendment Bill 2012 and explanatory statement for precise details of the amendments.</w:t>
      </w:r>
    </w:p>
    <w:p w:rsidR="00783B9C" w:rsidRDefault="00A412BF" w:rsidP="00783B9C">
      <w:pPr>
        <w:pStyle w:val="BlockText"/>
        <w:tabs>
          <w:tab w:val="clear" w:pos="2007"/>
        </w:tabs>
        <w:spacing w:after="200"/>
        <w:ind w:left="0" w:firstLine="0"/>
      </w:pPr>
      <w:r w:rsidRPr="00273379">
        <w:rPr>
          <w:szCs w:val="22"/>
        </w:rPr>
        <w:t>If you are unsure about any aspect concerning your eligibility for the increased first home owner grant or stamp duty principal place of residence rebate, it is important that you contact your lawyer, conveyancer or TRO for clarification before proceeding with your application.</w:t>
      </w:r>
    </w:p>
    <w:p w:rsidR="00A412BF" w:rsidRPr="00273379" w:rsidRDefault="00A412BF" w:rsidP="00CB00E3">
      <w:pPr>
        <w:pStyle w:val="HeadingTwo"/>
        <w:jc w:val="both"/>
      </w:pPr>
      <w:r w:rsidRPr="00273379">
        <w:t>Revenue Circulars</w:t>
      </w:r>
    </w:p>
    <w:p w:rsidR="00A412BF" w:rsidRPr="000C5FD6" w:rsidRDefault="00A412BF" w:rsidP="00BD238D">
      <w:pPr>
        <w:pStyle w:val="BlockText"/>
        <w:numPr>
          <w:ilvl w:val="0"/>
          <w:numId w:val="9"/>
        </w:numPr>
        <w:tabs>
          <w:tab w:val="clear" w:pos="2007"/>
          <w:tab w:val="num" w:pos="540"/>
        </w:tabs>
        <w:spacing w:after="200"/>
        <w:ind w:left="539" w:hanging="539"/>
      </w:pPr>
      <w:r w:rsidRPr="00273379">
        <w:t xml:space="preserve">Commissioner’s Guideline </w:t>
      </w:r>
      <w:hyperlink r:id="rId14" w:tooltip="Link to CG-HI-001" w:history="1">
        <w:r w:rsidRPr="00273379">
          <w:rPr>
            <w:rStyle w:val="Hyperlink"/>
            <w:rFonts w:cs="Arial"/>
          </w:rPr>
          <w:t>CG-GEN-001</w:t>
        </w:r>
      </w:hyperlink>
      <w:r w:rsidRPr="00273379">
        <w:t>, which sets out information on the revenue publication system, is incorporated into and is to be read as</w:t>
      </w:r>
      <w:r w:rsidRPr="00F76E04">
        <w:t xml:space="preserve"> one with this Circular.</w:t>
      </w:r>
      <w:r>
        <w:t xml:space="preserve"> </w:t>
      </w:r>
      <w:r w:rsidRPr="000C5FD6">
        <w:t>All Circulars and Guidelines are available from TRO’s website.</w:t>
      </w:r>
    </w:p>
    <w:p w:rsidR="00A412BF" w:rsidRPr="00404B0A" w:rsidRDefault="00A412BF" w:rsidP="00CB00E3">
      <w:pPr>
        <w:pStyle w:val="BodyText"/>
      </w:pPr>
    </w:p>
    <w:p w:rsidR="00A412BF" w:rsidRPr="00BD238D" w:rsidRDefault="00A31E8F" w:rsidP="00CB00E3">
      <w:pPr>
        <w:pStyle w:val="BodyText"/>
      </w:pPr>
      <w:r w:rsidRPr="00A31E8F">
        <w:drawing>
          <wp:inline distT="0" distB="0" distL="0" distR="0">
            <wp:extent cx="1868424" cy="353568"/>
            <wp:effectExtent l="19050" t="0" r="0" b="0"/>
            <wp:docPr id="3"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Parsons electronic signature4.tif"/>
                    <pic:cNvPicPr/>
                  </pic:nvPicPr>
                  <pic:blipFill>
                    <a:blip r:embed="rId15" cstate="print"/>
                    <a:stretch>
                      <a:fillRect/>
                    </a:stretch>
                  </pic:blipFill>
                  <pic:spPr>
                    <a:xfrm>
                      <a:off x="0" y="0"/>
                      <a:ext cx="1868424" cy="353568"/>
                    </a:xfrm>
                    <a:prstGeom prst="rect">
                      <a:avLst/>
                    </a:prstGeom>
                  </pic:spPr>
                </pic:pic>
              </a:graphicData>
            </a:graphic>
          </wp:inline>
        </w:drawing>
      </w:r>
    </w:p>
    <w:p w:rsidR="00A412BF" w:rsidRPr="00F76E04" w:rsidRDefault="00A412BF" w:rsidP="00CB00E3">
      <w:pPr>
        <w:pStyle w:val="BodyText"/>
      </w:pPr>
      <w:r>
        <w:t>Grant Parsons</w:t>
      </w:r>
    </w:p>
    <w:p w:rsidR="00A412BF" w:rsidRPr="00F76E04" w:rsidRDefault="00A412BF" w:rsidP="00CB00E3">
      <w:pPr>
        <w:pStyle w:val="BodyText"/>
      </w:pPr>
      <w:r w:rsidRPr="00F76E04">
        <w:t>COMMISSIONER OF T</w:t>
      </w:r>
      <w:r>
        <w:t>ERRITORY REVENUE</w:t>
      </w:r>
    </w:p>
    <w:p w:rsidR="00A412BF" w:rsidRPr="00F76E04" w:rsidRDefault="00A412BF" w:rsidP="00CB00E3">
      <w:pPr>
        <w:pStyle w:val="BodyText"/>
      </w:pPr>
      <w:r>
        <w:br/>
      </w:r>
      <w:r w:rsidRPr="00F76E04">
        <w:t>Date of issue:</w:t>
      </w:r>
      <w:r w:rsidRPr="00F76E04">
        <w:tab/>
      </w:r>
      <w:r>
        <w:tab/>
        <w:t>4 December 2012</w:t>
      </w:r>
    </w:p>
    <w:p w:rsidR="00A412BF" w:rsidRPr="00F76E04" w:rsidRDefault="00A412BF" w:rsidP="00CB00E3">
      <w:pPr>
        <w:pStyle w:val="BodyText"/>
      </w:pPr>
    </w:p>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A412BF" w:rsidRPr="00FE4811" w:rsidTr="00FE4811">
        <w:tc>
          <w:tcPr>
            <w:tcW w:w="9854" w:type="dxa"/>
            <w:gridSpan w:val="2"/>
          </w:tcPr>
          <w:p w:rsidR="00A412BF" w:rsidRPr="00FE4811" w:rsidRDefault="00A412BF" w:rsidP="00CB00E3">
            <w:pPr>
              <w:jc w:val="both"/>
            </w:pPr>
            <w:r w:rsidRPr="00FE4811">
              <w:t>For further information please contact the Territory Revenue Office:</w:t>
            </w:r>
          </w:p>
        </w:tc>
      </w:tr>
      <w:tr w:rsidR="00A412BF" w:rsidRPr="00FE4811" w:rsidTr="00FE4811">
        <w:tc>
          <w:tcPr>
            <w:tcW w:w="4927" w:type="dxa"/>
          </w:tcPr>
          <w:p w:rsidR="00A412BF" w:rsidRPr="00FE4811" w:rsidRDefault="00A412BF" w:rsidP="00CB00E3">
            <w:pPr>
              <w:jc w:val="both"/>
            </w:pPr>
            <w:r w:rsidRPr="00FE4811">
              <w:t>GPO Box 1</w:t>
            </w:r>
            <w:r w:rsidR="007A43F5">
              <w:t>97</w:t>
            </w:r>
            <w:bookmarkStart w:id="0" w:name="_GoBack"/>
            <w:bookmarkEnd w:id="0"/>
            <w:r w:rsidRPr="00FE4811">
              <w:t>4</w:t>
            </w:r>
          </w:p>
          <w:p w:rsidR="00A412BF" w:rsidRPr="00FE4811" w:rsidRDefault="00A412BF" w:rsidP="00CB00E3">
            <w:pPr>
              <w:jc w:val="both"/>
            </w:pPr>
            <w:r w:rsidRPr="00FE4811">
              <w:t>Darwin  NT  0801</w:t>
            </w:r>
          </w:p>
          <w:p w:rsidR="00A412BF" w:rsidRPr="00FE4811" w:rsidRDefault="00A412BF" w:rsidP="00CB00E3">
            <w:pPr>
              <w:pStyle w:val="BlockText"/>
              <w:tabs>
                <w:tab w:val="clear" w:pos="2007"/>
              </w:tabs>
              <w:ind w:left="0" w:firstLine="0"/>
            </w:pPr>
            <w:r w:rsidRPr="00FE4811">
              <w:t xml:space="preserve">Email: </w:t>
            </w:r>
            <w:hyperlink r:id="rId16" w:tooltip="TRO Email Address" w:history="1">
              <w:r w:rsidRPr="00FE4811">
                <w:rPr>
                  <w:rStyle w:val="Hyperlink"/>
                  <w:rFonts w:cs="Arial"/>
                </w:rPr>
                <w:t>ntrevenue.ntt@nt.gov.au</w:t>
              </w:r>
            </w:hyperlink>
          </w:p>
        </w:tc>
        <w:tc>
          <w:tcPr>
            <w:tcW w:w="4927" w:type="dxa"/>
          </w:tcPr>
          <w:p w:rsidR="00A412BF" w:rsidRPr="00FE4811" w:rsidRDefault="00A412BF" w:rsidP="00CB00E3">
            <w:pPr>
              <w:jc w:val="both"/>
            </w:pPr>
            <w:r w:rsidRPr="00FE4811">
              <w:t>Phone: 1300 305 353</w:t>
            </w:r>
          </w:p>
          <w:p w:rsidR="00A412BF" w:rsidRPr="00FE4811" w:rsidRDefault="00A412BF" w:rsidP="00CB00E3">
            <w:pPr>
              <w:jc w:val="both"/>
            </w:pPr>
            <w:r w:rsidRPr="00FE4811">
              <w:t>Fax: 08 8999 5577</w:t>
            </w:r>
          </w:p>
          <w:p w:rsidR="00A412BF" w:rsidRPr="00FE4811" w:rsidRDefault="00A412BF" w:rsidP="00CB00E3">
            <w:pPr>
              <w:jc w:val="both"/>
            </w:pPr>
            <w:r w:rsidRPr="00FE4811">
              <w:t xml:space="preserve">Website: </w:t>
            </w:r>
            <w:hyperlink r:id="rId17" w:history="1">
              <w:r w:rsidRPr="00FE4811">
                <w:rPr>
                  <w:rStyle w:val="Hyperlink"/>
                  <w:rFonts w:cs="Arial"/>
                </w:rPr>
                <w:t>www.revenue.nt.gov.au</w:t>
              </w:r>
            </w:hyperlink>
          </w:p>
        </w:tc>
      </w:tr>
    </w:tbl>
    <w:p w:rsidR="00A412BF" w:rsidRPr="00364D5F" w:rsidRDefault="00A412BF" w:rsidP="003A5C25">
      <w:pPr>
        <w:tabs>
          <w:tab w:val="left" w:pos="3090"/>
        </w:tabs>
      </w:pPr>
    </w:p>
    <w:sectPr w:rsidR="00A412BF" w:rsidRPr="00364D5F" w:rsidSect="00F65356">
      <w:headerReference w:type="even" r:id="rId18"/>
      <w:headerReference w:type="default" r:id="rId19"/>
      <w:footerReference w:type="default" r:id="rId20"/>
      <w:headerReference w:type="first" r:id="rId21"/>
      <w:footerReference w:type="first" r:id="rId22"/>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E1E" w:rsidRDefault="003B3E1E">
      <w:r>
        <w:separator/>
      </w:r>
    </w:p>
  </w:endnote>
  <w:endnote w:type="continuationSeparator" w:id="0">
    <w:p w:rsidR="003B3E1E" w:rsidRDefault="003B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364D5F">
    <w:pPr>
      <w:pStyle w:val="Footer"/>
      <w:tabs>
        <w:tab w:val="clear" w:pos="4153"/>
        <w:tab w:val="clear" w:pos="8306"/>
        <w:tab w:val="right" w:pos="9720"/>
      </w:tabs>
      <w:rPr>
        <w:sz w:val="16"/>
        <w:szCs w:val="16"/>
      </w:rPr>
    </w:pPr>
  </w:p>
  <w:p w:rsidR="00A412BF" w:rsidRPr="00364D5F" w:rsidRDefault="00A412BF" w:rsidP="00364D5F">
    <w:pPr>
      <w:pStyle w:val="Footer"/>
      <w:tabs>
        <w:tab w:val="clear" w:pos="4153"/>
        <w:tab w:val="clear" w:pos="8306"/>
        <w:tab w:val="right" w:pos="9720"/>
      </w:tabs>
      <w:rPr>
        <w:sz w:val="16"/>
        <w:szCs w:val="16"/>
      </w:rPr>
    </w:pPr>
    <w:r w:rsidRPr="006034B6">
      <w:rPr>
        <w:sz w:val="16"/>
        <w:szCs w:val="16"/>
      </w:rPr>
      <w:t xml:space="preserve">Page </w:t>
    </w:r>
    <w:r w:rsidR="00A85658" w:rsidRPr="006034B6">
      <w:rPr>
        <w:sz w:val="16"/>
        <w:szCs w:val="16"/>
      </w:rPr>
      <w:fldChar w:fldCharType="begin"/>
    </w:r>
    <w:r w:rsidRPr="006034B6">
      <w:rPr>
        <w:sz w:val="16"/>
        <w:szCs w:val="16"/>
      </w:rPr>
      <w:instrText xml:space="preserve"> PAGE </w:instrText>
    </w:r>
    <w:r w:rsidR="00A85658" w:rsidRPr="006034B6">
      <w:rPr>
        <w:sz w:val="16"/>
        <w:szCs w:val="16"/>
      </w:rPr>
      <w:fldChar w:fldCharType="separate"/>
    </w:r>
    <w:r w:rsidR="007A43F5">
      <w:rPr>
        <w:noProof/>
        <w:sz w:val="16"/>
        <w:szCs w:val="16"/>
      </w:rPr>
      <w:t>3</w:t>
    </w:r>
    <w:r w:rsidR="00A85658" w:rsidRPr="006034B6">
      <w:rPr>
        <w:sz w:val="16"/>
        <w:szCs w:val="16"/>
      </w:rPr>
      <w:fldChar w:fldCharType="end"/>
    </w:r>
    <w:r w:rsidRPr="006034B6">
      <w:rPr>
        <w:sz w:val="16"/>
        <w:szCs w:val="16"/>
      </w:rPr>
      <w:t xml:space="preserve"> of </w:t>
    </w:r>
    <w:r w:rsidR="00A85658" w:rsidRPr="006034B6">
      <w:rPr>
        <w:sz w:val="16"/>
        <w:szCs w:val="16"/>
      </w:rPr>
      <w:fldChar w:fldCharType="begin"/>
    </w:r>
    <w:r w:rsidRPr="006034B6">
      <w:rPr>
        <w:sz w:val="16"/>
        <w:szCs w:val="16"/>
      </w:rPr>
      <w:instrText xml:space="preserve"> NUMPAGES </w:instrText>
    </w:r>
    <w:r w:rsidR="00A85658" w:rsidRPr="006034B6">
      <w:rPr>
        <w:sz w:val="16"/>
        <w:szCs w:val="16"/>
      </w:rPr>
      <w:fldChar w:fldCharType="separate"/>
    </w:r>
    <w:r w:rsidR="007A43F5">
      <w:rPr>
        <w:noProof/>
        <w:sz w:val="16"/>
        <w:szCs w:val="16"/>
      </w:rPr>
      <w:t>3</w:t>
    </w:r>
    <w:r w:rsidR="00A85658" w:rsidRPr="006034B6">
      <w:rPr>
        <w:sz w:val="16"/>
        <w:szCs w:val="16"/>
      </w:rPr>
      <w:fldChar w:fldCharType="end"/>
    </w:r>
    <w:r>
      <w:rPr>
        <w:sz w:val="16"/>
        <w:szCs w:val="16"/>
      </w:rPr>
      <w:tab/>
      <w:t>RC-GEN-013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364D5F">
    <w:pPr>
      <w:pStyle w:val="Footer"/>
      <w:tabs>
        <w:tab w:val="clear" w:pos="4153"/>
        <w:tab w:val="clear" w:pos="8306"/>
        <w:tab w:val="right" w:pos="9720"/>
      </w:tabs>
      <w:rPr>
        <w:sz w:val="16"/>
        <w:szCs w:val="16"/>
      </w:rPr>
    </w:pPr>
  </w:p>
  <w:p w:rsidR="00A412BF" w:rsidRPr="006034B6" w:rsidRDefault="00A412BF" w:rsidP="00364D5F">
    <w:pPr>
      <w:pStyle w:val="Footer"/>
      <w:tabs>
        <w:tab w:val="clear" w:pos="4153"/>
        <w:tab w:val="clear" w:pos="8306"/>
        <w:tab w:val="right" w:pos="9720"/>
      </w:tabs>
      <w:rPr>
        <w:sz w:val="16"/>
        <w:szCs w:val="16"/>
      </w:rPr>
    </w:pPr>
    <w:r w:rsidRPr="006034B6">
      <w:rPr>
        <w:sz w:val="16"/>
        <w:szCs w:val="16"/>
      </w:rPr>
      <w:t xml:space="preserve">Page </w:t>
    </w:r>
    <w:r w:rsidR="00A85658" w:rsidRPr="006034B6">
      <w:rPr>
        <w:sz w:val="16"/>
        <w:szCs w:val="16"/>
      </w:rPr>
      <w:fldChar w:fldCharType="begin"/>
    </w:r>
    <w:r w:rsidRPr="006034B6">
      <w:rPr>
        <w:sz w:val="16"/>
        <w:szCs w:val="16"/>
      </w:rPr>
      <w:instrText xml:space="preserve"> PAGE </w:instrText>
    </w:r>
    <w:r w:rsidR="00A85658" w:rsidRPr="006034B6">
      <w:rPr>
        <w:sz w:val="16"/>
        <w:szCs w:val="16"/>
      </w:rPr>
      <w:fldChar w:fldCharType="separate"/>
    </w:r>
    <w:r w:rsidR="007A43F5">
      <w:rPr>
        <w:noProof/>
        <w:sz w:val="16"/>
        <w:szCs w:val="16"/>
      </w:rPr>
      <w:t>1</w:t>
    </w:r>
    <w:r w:rsidR="00A85658" w:rsidRPr="006034B6">
      <w:rPr>
        <w:sz w:val="16"/>
        <w:szCs w:val="16"/>
      </w:rPr>
      <w:fldChar w:fldCharType="end"/>
    </w:r>
    <w:r w:rsidRPr="006034B6">
      <w:rPr>
        <w:sz w:val="16"/>
        <w:szCs w:val="16"/>
      </w:rPr>
      <w:t xml:space="preserve"> of </w:t>
    </w:r>
    <w:r w:rsidR="00A85658" w:rsidRPr="006034B6">
      <w:rPr>
        <w:sz w:val="16"/>
        <w:szCs w:val="16"/>
      </w:rPr>
      <w:fldChar w:fldCharType="begin"/>
    </w:r>
    <w:r w:rsidRPr="006034B6">
      <w:rPr>
        <w:sz w:val="16"/>
        <w:szCs w:val="16"/>
      </w:rPr>
      <w:instrText xml:space="preserve"> NUMPAGES </w:instrText>
    </w:r>
    <w:r w:rsidR="00A85658" w:rsidRPr="006034B6">
      <w:rPr>
        <w:sz w:val="16"/>
        <w:szCs w:val="16"/>
      </w:rPr>
      <w:fldChar w:fldCharType="separate"/>
    </w:r>
    <w:r w:rsidR="007A43F5">
      <w:rPr>
        <w:noProof/>
        <w:sz w:val="16"/>
        <w:szCs w:val="16"/>
      </w:rPr>
      <w:t>3</w:t>
    </w:r>
    <w:r w:rsidR="00A85658" w:rsidRPr="006034B6">
      <w:rPr>
        <w:sz w:val="16"/>
        <w:szCs w:val="16"/>
      </w:rPr>
      <w:fldChar w:fldCharType="end"/>
    </w:r>
    <w:r>
      <w:rPr>
        <w:sz w:val="16"/>
        <w:szCs w:val="16"/>
      </w:rPr>
      <w:tab/>
      <w:t>RC-GEN-013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E1E" w:rsidRDefault="003B3E1E">
      <w:r>
        <w:separator/>
      </w:r>
    </w:p>
  </w:footnote>
  <w:footnote w:type="continuationSeparator" w:id="0">
    <w:p w:rsidR="003B3E1E" w:rsidRDefault="003B3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85658" w:rsidP="00763A20">
    <w:pPr>
      <w:pStyle w:val="Header"/>
      <w:framePr w:wrap="around" w:vAnchor="text" w:hAnchor="margin" w:xAlign="center" w:y="1"/>
      <w:rPr>
        <w:rStyle w:val="PageNumber"/>
        <w:rFonts w:cs="Arial"/>
      </w:rPr>
    </w:pPr>
    <w:r>
      <w:rPr>
        <w:rStyle w:val="PageNumber"/>
        <w:rFonts w:cs="Arial"/>
      </w:rPr>
      <w:fldChar w:fldCharType="begin"/>
    </w:r>
    <w:r w:rsidR="00A412BF">
      <w:rPr>
        <w:rStyle w:val="PageNumber"/>
        <w:rFonts w:cs="Arial"/>
      </w:rPr>
      <w:instrText xml:space="preserve">PAGE  </w:instrText>
    </w:r>
    <w:r>
      <w:rPr>
        <w:rStyle w:val="PageNumber"/>
        <w:rFonts w:cs="Arial"/>
      </w:rPr>
      <w:fldChar w:fldCharType="end"/>
    </w:r>
  </w:p>
  <w:p w:rsidR="00A412BF" w:rsidRDefault="00A41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Pr="003765CD" w:rsidRDefault="00A412BF"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2BF" w:rsidRDefault="00A412BF" w:rsidP="0019571B">
    <w:pPr>
      <w:pStyle w:val="NTTHeaderInfo"/>
      <w:rPr>
        <w:b/>
        <w:noProof/>
      </w:rPr>
    </w:pPr>
  </w:p>
  <w:p w:rsidR="00A412BF" w:rsidRDefault="003A5C25" w:rsidP="006674DD">
    <w:pPr>
      <w:pStyle w:val="NTTHeaderInfo"/>
      <w:tabs>
        <w:tab w:val="left" w:pos="195"/>
      </w:tabs>
      <w:jc w:val="left"/>
      <w:rPr>
        <w:b/>
        <w:noProof/>
      </w:rPr>
    </w:pPr>
    <w:r>
      <w:rPr>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sidR="00A412BF">
      <w:rPr>
        <w:b/>
        <w:noProof/>
      </w:rPr>
      <w:tab/>
    </w:r>
  </w:p>
  <w:p w:rsidR="00A412BF" w:rsidRDefault="00A412BF">
    <w:pPr>
      <w:pStyle w:val="Header"/>
    </w:pPr>
  </w:p>
  <w:p w:rsidR="00A412BF" w:rsidRDefault="00A412BF">
    <w:pPr>
      <w:pStyle w:val="Header"/>
    </w:pPr>
  </w:p>
  <w:p w:rsidR="00A412BF" w:rsidRDefault="00A412BF">
    <w:pPr>
      <w:pStyle w:val="Header"/>
    </w:pPr>
  </w:p>
  <w:p w:rsidR="00A412BF" w:rsidRDefault="00A41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lvlText w:val="%1."/>
      <w:lvlJc w:val="left"/>
      <w:pPr>
        <w:tabs>
          <w:tab w:val="num" w:pos="360"/>
        </w:tabs>
        <w:ind w:left="360" w:hanging="360"/>
      </w:pPr>
      <w:rPr>
        <w:rFonts w:cs="Times New Roman"/>
      </w:r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AA216F2"/>
    <w:multiLevelType w:val="hybridMultilevel"/>
    <w:tmpl w:val="EF3C4EBE"/>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D593059"/>
    <w:multiLevelType w:val="multilevel"/>
    <w:tmpl w:val="88F6EEB2"/>
    <w:numStyleLink w:val="Text"/>
  </w:abstractNum>
  <w:abstractNum w:abstractNumId="4" w15:restartNumberingAfterBreak="0">
    <w:nsid w:val="1DBE4232"/>
    <w:multiLevelType w:val="hybridMultilevel"/>
    <w:tmpl w:val="785018D4"/>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E903CE7"/>
    <w:multiLevelType w:val="multilevel"/>
    <w:tmpl w:val="88F6EEB2"/>
    <w:styleLink w:val="Text"/>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228E6B7B"/>
    <w:multiLevelType w:val="hybridMultilevel"/>
    <w:tmpl w:val="4C04B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FE2E5C"/>
    <w:multiLevelType w:val="hybridMultilevel"/>
    <w:tmpl w:val="80E0A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A1265"/>
    <w:multiLevelType w:val="hybridMultilevel"/>
    <w:tmpl w:val="CA9AF162"/>
    <w:lvl w:ilvl="0" w:tplc="0C090001">
      <w:start w:val="1"/>
      <w:numFmt w:val="bullet"/>
      <w:lvlText w:val=""/>
      <w:lvlJc w:val="left"/>
      <w:pPr>
        <w:tabs>
          <w:tab w:val="num" w:pos="927"/>
        </w:tabs>
        <w:ind w:left="927" w:hanging="360"/>
      </w:pPr>
      <w:rPr>
        <w:rFonts w:ascii="Symbol" w:hAnsi="Symbol" w:hint="default"/>
      </w:rPr>
    </w:lvl>
    <w:lvl w:ilvl="1" w:tplc="0C090003" w:tentative="1">
      <w:start w:val="1"/>
      <w:numFmt w:val="bullet"/>
      <w:lvlText w:val="o"/>
      <w:lvlJc w:val="left"/>
      <w:pPr>
        <w:tabs>
          <w:tab w:val="num" w:pos="1647"/>
        </w:tabs>
        <w:ind w:left="1647" w:hanging="360"/>
      </w:pPr>
      <w:rPr>
        <w:rFonts w:ascii="Courier New" w:hAnsi="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25277DE"/>
    <w:multiLevelType w:val="hybridMultilevel"/>
    <w:tmpl w:val="A62C85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B51DF"/>
    <w:multiLevelType w:val="multilevel"/>
    <w:tmpl w:val="0C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15:restartNumberingAfterBreak="0">
    <w:nsid w:val="4851062C"/>
    <w:multiLevelType w:val="hybridMultilevel"/>
    <w:tmpl w:val="0E16C0F4"/>
    <w:lvl w:ilvl="0" w:tplc="77988C0A">
      <w:start w:val="1"/>
      <w:numFmt w:val="bullet"/>
      <w:lvlText w:val=""/>
      <w:lvlJc w:val="left"/>
      <w:pPr>
        <w:tabs>
          <w:tab w:val="num" w:pos="720"/>
        </w:tabs>
        <w:ind w:left="720" w:hanging="360"/>
      </w:pPr>
      <w:rPr>
        <w:rFonts w:ascii="Symbol" w:hAnsi="Symbol" w:hint="default"/>
      </w:rPr>
    </w:lvl>
    <w:lvl w:ilvl="1" w:tplc="037CF840">
      <w:start w:val="1"/>
      <w:numFmt w:val="bullet"/>
      <w:lvlText w:val="o"/>
      <w:lvlJc w:val="left"/>
      <w:pPr>
        <w:tabs>
          <w:tab w:val="num" w:pos="1440"/>
        </w:tabs>
        <w:ind w:left="1440" w:hanging="360"/>
      </w:pPr>
      <w:rPr>
        <w:rFonts w:ascii="Courier New" w:hAnsi="Courier New" w:hint="default"/>
      </w:rPr>
    </w:lvl>
    <w:lvl w:ilvl="2" w:tplc="452861C8" w:tentative="1">
      <w:start w:val="1"/>
      <w:numFmt w:val="bullet"/>
      <w:lvlText w:val=""/>
      <w:lvlJc w:val="left"/>
      <w:pPr>
        <w:tabs>
          <w:tab w:val="num" w:pos="2160"/>
        </w:tabs>
        <w:ind w:left="2160" w:hanging="360"/>
      </w:pPr>
      <w:rPr>
        <w:rFonts w:ascii="Wingdings" w:hAnsi="Wingdings" w:hint="default"/>
      </w:rPr>
    </w:lvl>
    <w:lvl w:ilvl="3" w:tplc="970AD416" w:tentative="1">
      <w:start w:val="1"/>
      <w:numFmt w:val="bullet"/>
      <w:lvlText w:val=""/>
      <w:lvlJc w:val="left"/>
      <w:pPr>
        <w:tabs>
          <w:tab w:val="num" w:pos="2880"/>
        </w:tabs>
        <w:ind w:left="2880" w:hanging="360"/>
      </w:pPr>
      <w:rPr>
        <w:rFonts w:ascii="Symbol" w:hAnsi="Symbol" w:hint="default"/>
      </w:rPr>
    </w:lvl>
    <w:lvl w:ilvl="4" w:tplc="092C41C4" w:tentative="1">
      <w:start w:val="1"/>
      <w:numFmt w:val="bullet"/>
      <w:lvlText w:val="o"/>
      <w:lvlJc w:val="left"/>
      <w:pPr>
        <w:tabs>
          <w:tab w:val="num" w:pos="3600"/>
        </w:tabs>
        <w:ind w:left="3600" w:hanging="360"/>
      </w:pPr>
      <w:rPr>
        <w:rFonts w:ascii="Courier New" w:hAnsi="Courier New" w:hint="default"/>
      </w:rPr>
    </w:lvl>
    <w:lvl w:ilvl="5" w:tplc="8D767D1C" w:tentative="1">
      <w:start w:val="1"/>
      <w:numFmt w:val="bullet"/>
      <w:lvlText w:val=""/>
      <w:lvlJc w:val="left"/>
      <w:pPr>
        <w:tabs>
          <w:tab w:val="num" w:pos="4320"/>
        </w:tabs>
        <w:ind w:left="4320" w:hanging="360"/>
      </w:pPr>
      <w:rPr>
        <w:rFonts w:ascii="Wingdings" w:hAnsi="Wingdings" w:hint="default"/>
      </w:rPr>
    </w:lvl>
    <w:lvl w:ilvl="6" w:tplc="05C48D82" w:tentative="1">
      <w:start w:val="1"/>
      <w:numFmt w:val="bullet"/>
      <w:lvlText w:val=""/>
      <w:lvlJc w:val="left"/>
      <w:pPr>
        <w:tabs>
          <w:tab w:val="num" w:pos="5040"/>
        </w:tabs>
        <w:ind w:left="5040" w:hanging="360"/>
      </w:pPr>
      <w:rPr>
        <w:rFonts w:ascii="Symbol" w:hAnsi="Symbol" w:hint="default"/>
      </w:rPr>
    </w:lvl>
    <w:lvl w:ilvl="7" w:tplc="1BB0882C" w:tentative="1">
      <w:start w:val="1"/>
      <w:numFmt w:val="bullet"/>
      <w:lvlText w:val="o"/>
      <w:lvlJc w:val="left"/>
      <w:pPr>
        <w:tabs>
          <w:tab w:val="num" w:pos="5760"/>
        </w:tabs>
        <w:ind w:left="5760" w:hanging="360"/>
      </w:pPr>
      <w:rPr>
        <w:rFonts w:ascii="Courier New" w:hAnsi="Courier New" w:hint="default"/>
      </w:rPr>
    </w:lvl>
    <w:lvl w:ilvl="8" w:tplc="6BB459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67D18"/>
    <w:multiLevelType w:val="multilevel"/>
    <w:tmpl w:val="0C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7294591F"/>
    <w:multiLevelType w:val="multilevel"/>
    <w:tmpl w:val="88F6EEB2"/>
    <w:numStyleLink w:val="Text"/>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4"/>
  </w:num>
  <w:num w:numId="8">
    <w:abstractNumId w:val="9"/>
  </w:num>
  <w:num w:numId="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0">
    <w:abstractNumId w:val="1"/>
  </w:num>
  <w:num w:numId="11">
    <w:abstractNumId w:val="3"/>
  </w:num>
  <w:num w:numId="12">
    <w:abstractNumId w:val="11"/>
  </w:num>
  <w:num w:numId="13">
    <w:abstractNumId w:val="13"/>
  </w:num>
  <w:num w:numId="14">
    <w:abstractNumId w:val="0"/>
  </w:num>
  <w:num w:numId="15">
    <w:abstractNumId w:val="5"/>
    <w:lvlOverride w:ilvl="0">
      <w:lvl w:ilvl="0">
        <w:start w:val="1"/>
        <w:numFmt w:val="decimal"/>
        <w:lvlText w:val="%1."/>
        <w:lvlJc w:val="left"/>
        <w:pPr>
          <w:tabs>
            <w:tab w:val="num" w:pos="567"/>
          </w:tabs>
          <w:ind w:left="567" w:hanging="567"/>
        </w:pPr>
        <w:rPr>
          <w:rFonts w:cs="Times New Roman" w:hint="default"/>
          <w:b w:val="0"/>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985"/>
          </w:tabs>
          <w:ind w:left="1985" w:hanging="851"/>
        </w:pPr>
        <w:rPr>
          <w:rFonts w:cs="Times New Roman" w:hint="default"/>
        </w:rPr>
      </w:lvl>
    </w:lvlOverride>
    <w:lvlOverride w:ilvl="3">
      <w:lvl w:ilvl="3">
        <w:start w:val="1"/>
        <w:numFmt w:val="lowerRoman"/>
        <w:lvlText w:val="%1(%2)(%3)(%4)"/>
        <w:lvlJc w:val="left"/>
        <w:pPr>
          <w:tabs>
            <w:tab w:val="num" w:pos="2948"/>
          </w:tabs>
          <w:ind w:left="2948" w:hanging="963"/>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6">
    <w:abstractNumId w:val="8"/>
  </w:num>
  <w:num w:numId="17">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18">
    <w:abstractNumId w:val="2"/>
  </w:num>
  <w:num w:numId="1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0">
    <w:abstractNumId w:val="4"/>
  </w:num>
  <w:num w:numId="21">
    <w:abstractNumId w:val="7"/>
  </w:num>
  <w:num w:numId="22">
    <w:abstractNumId w:val="10"/>
  </w:num>
  <w:num w:numId="23">
    <w:abstractNumId w:val="12"/>
  </w:num>
  <w:num w:numId="24">
    <w:abstractNumId w:val="6"/>
  </w:num>
  <w:num w:numId="25">
    <w:abstractNumId w:val="5"/>
  </w:num>
  <w:num w:numId="26">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7">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8">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9">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30">
    <w:abstractNumId w:val="5"/>
    <w:lvlOverride w:ilvl="0">
      <w:lvl w:ilvl="0">
        <w:start w:val="1"/>
        <w:numFmt w:val="decimal"/>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3axh7o9/dpbRHdBedkNVYdCD0XaECQkyiDvXkWuoSxE0WeP+ma0r1grMr8kfFq8h2EkV21fMY4RDV4d5JBlZjg==" w:salt="9n0Ze6UMcuQv4rNdRILSM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722D"/>
    <w:rsid w:val="0000443C"/>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66D"/>
    <w:rsid w:val="000567BE"/>
    <w:rsid w:val="0005747B"/>
    <w:rsid w:val="00063A93"/>
    <w:rsid w:val="00063EAC"/>
    <w:rsid w:val="00067AE5"/>
    <w:rsid w:val="00070001"/>
    <w:rsid w:val="00073726"/>
    <w:rsid w:val="00073A76"/>
    <w:rsid w:val="000755D7"/>
    <w:rsid w:val="00081963"/>
    <w:rsid w:val="00081984"/>
    <w:rsid w:val="000917B2"/>
    <w:rsid w:val="00094D2B"/>
    <w:rsid w:val="000968BE"/>
    <w:rsid w:val="000A058E"/>
    <w:rsid w:val="000A10D2"/>
    <w:rsid w:val="000A1789"/>
    <w:rsid w:val="000A1E58"/>
    <w:rsid w:val="000A57FE"/>
    <w:rsid w:val="000A5BAB"/>
    <w:rsid w:val="000A5FAF"/>
    <w:rsid w:val="000A7ABD"/>
    <w:rsid w:val="000B1FE4"/>
    <w:rsid w:val="000C0DD5"/>
    <w:rsid w:val="000C2C04"/>
    <w:rsid w:val="000C3AD0"/>
    <w:rsid w:val="000C5DAB"/>
    <w:rsid w:val="000C5FD6"/>
    <w:rsid w:val="000C7BA7"/>
    <w:rsid w:val="000C7F66"/>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2F64"/>
    <w:rsid w:val="0013303C"/>
    <w:rsid w:val="00134634"/>
    <w:rsid w:val="00135C96"/>
    <w:rsid w:val="001364CD"/>
    <w:rsid w:val="001407E2"/>
    <w:rsid w:val="001422DD"/>
    <w:rsid w:val="00143FAB"/>
    <w:rsid w:val="00145948"/>
    <w:rsid w:val="001521B6"/>
    <w:rsid w:val="00153959"/>
    <w:rsid w:val="00153AFD"/>
    <w:rsid w:val="001545F9"/>
    <w:rsid w:val="001579C2"/>
    <w:rsid w:val="00160881"/>
    <w:rsid w:val="0016262C"/>
    <w:rsid w:val="00164258"/>
    <w:rsid w:val="00164A3A"/>
    <w:rsid w:val="00166509"/>
    <w:rsid w:val="001671D2"/>
    <w:rsid w:val="00176573"/>
    <w:rsid w:val="0018229E"/>
    <w:rsid w:val="00183A35"/>
    <w:rsid w:val="00184056"/>
    <w:rsid w:val="00184984"/>
    <w:rsid w:val="00184B7C"/>
    <w:rsid w:val="00187674"/>
    <w:rsid w:val="00192E63"/>
    <w:rsid w:val="00192F6F"/>
    <w:rsid w:val="0019571B"/>
    <w:rsid w:val="00196C1B"/>
    <w:rsid w:val="001971A1"/>
    <w:rsid w:val="0019771F"/>
    <w:rsid w:val="001A6196"/>
    <w:rsid w:val="001A7013"/>
    <w:rsid w:val="001B71AE"/>
    <w:rsid w:val="001B7AC7"/>
    <w:rsid w:val="001C422C"/>
    <w:rsid w:val="001C4568"/>
    <w:rsid w:val="001D27E9"/>
    <w:rsid w:val="001D4089"/>
    <w:rsid w:val="001D5A9F"/>
    <w:rsid w:val="001D6528"/>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686"/>
    <w:rsid w:val="0021088F"/>
    <w:rsid w:val="002115E6"/>
    <w:rsid w:val="00211ADE"/>
    <w:rsid w:val="00215A9D"/>
    <w:rsid w:val="0021684D"/>
    <w:rsid w:val="00220E1E"/>
    <w:rsid w:val="00221114"/>
    <w:rsid w:val="0022361B"/>
    <w:rsid w:val="00224644"/>
    <w:rsid w:val="0022584A"/>
    <w:rsid w:val="0022584E"/>
    <w:rsid w:val="002306CE"/>
    <w:rsid w:val="0023083D"/>
    <w:rsid w:val="00232B2F"/>
    <w:rsid w:val="002374AC"/>
    <w:rsid w:val="00237B7C"/>
    <w:rsid w:val="00242910"/>
    <w:rsid w:val="002440CC"/>
    <w:rsid w:val="0024555A"/>
    <w:rsid w:val="002466CE"/>
    <w:rsid w:val="002524C0"/>
    <w:rsid w:val="002526A8"/>
    <w:rsid w:val="00252EA3"/>
    <w:rsid w:val="0025439F"/>
    <w:rsid w:val="002543F7"/>
    <w:rsid w:val="002545A4"/>
    <w:rsid w:val="002546CB"/>
    <w:rsid w:val="002548C6"/>
    <w:rsid w:val="00255290"/>
    <w:rsid w:val="002555DE"/>
    <w:rsid w:val="00262235"/>
    <w:rsid w:val="00271740"/>
    <w:rsid w:val="00272B18"/>
    <w:rsid w:val="00273379"/>
    <w:rsid w:val="0027710E"/>
    <w:rsid w:val="002863EF"/>
    <w:rsid w:val="002906AE"/>
    <w:rsid w:val="00295BEF"/>
    <w:rsid w:val="00297E74"/>
    <w:rsid w:val="002A03A5"/>
    <w:rsid w:val="002A0BA0"/>
    <w:rsid w:val="002A3775"/>
    <w:rsid w:val="002A5567"/>
    <w:rsid w:val="002A5623"/>
    <w:rsid w:val="002A7D1F"/>
    <w:rsid w:val="002B1738"/>
    <w:rsid w:val="002C0386"/>
    <w:rsid w:val="002C1DA7"/>
    <w:rsid w:val="002C267D"/>
    <w:rsid w:val="002C2FF7"/>
    <w:rsid w:val="002D4686"/>
    <w:rsid w:val="002D6B9D"/>
    <w:rsid w:val="002D7B81"/>
    <w:rsid w:val="002E1CE1"/>
    <w:rsid w:val="002F08F2"/>
    <w:rsid w:val="002F36B9"/>
    <w:rsid w:val="002F3847"/>
    <w:rsid w:val="00301586"/>
    <w:rsid w:val="00307F79"/>
    <w:rsid w:val="00311AB6"/>
    <w:rsid w:val="00314B99"/>
    <w:rsid w:val="00314C98"/>
    <w:rsid w:val="00314E75"/>
    <w:rsid w:val="00323FDD"/>
    <w:rsid w:val="00327C11"/>
    <w:rsid w:val="00327C57"/>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579CF"/>
    <w:rsid w:val="003627B1"/>
    <w:rsid w:val="003649F0"/>
    <w:rsid w:val="00364D5F"/>
    <w:rsid w:val="00365875"/>
    <w:rsid w:val="003659AD"/>
    <w:rsid w:val="00371470"/>
    <w:rsid w:val="00371523"/>
    <w:rsid w:val="00371DC6"/>
    <w:rsid w:val="00371E1A"/>
    <w:rsid w:val="003765CD"/>
    <w:rsid w:val="00385103"/>
    <w:rsid w:val="00386424"/>
    <w:rsid w:val="00386D5A"/>
    <w:rsid w:val="0038749B"/>
    <w:rsid w:val="00393DD6"/>
    <w:rsid w:val="00394D70"/>
    <w:rsid w:val="0039737A"/>
    <w:rsid w:val="003A3FF0"/>
    <w:rsid w:val="003A4C11"/>
    <w:rsid w:val="003A525E"/>
    <w:rsid w:val="003A5C25"/>
    <w:rsid w:val="003A7455"/>
    <w:rsid w:val="003A7DC4"/>
    <w:rsid w:val="003B21D5"/>
    <w:rsid w:val="003B3E1E"/>
    <w:rsid w:val="003B4A50"/>
    <w:rsid w:val="003B4C4C"/>
    <w:rsid w:val="003B680A"/>
    <w:rsid w:val="003C1073"/>
    <w:rsid w:val="003C6832"/>
    <w:rsid w:val="003C6A42"/>
    <w:rsid w:val="003D0F41"/>
    <w:rsid w:val="003D26A8"/>
    <w:rsid w:val="003D36FF"/>
    <w:rsid w:val="003D3D24"/>
    <w:rsid w:val="003D400C"/>
    <w:rsid w:val="003D5245"/>
    <w:rsid w:val="003E0F2B"/>
    <w:rsid w:val="003E23F6"/>
    <w:rsid w:val="003E5274"/>
    <w:rsid w:val="003E62DE"/>
    <w:rsid w:val="003F5E2C"/>
    <w:rsid w:val="003F70DD"/>
    <w:rsid w:val="003F7195"/>
    <w:rsid w:val="003F73D3"/>
    <w:rsid w:val="003F7433"/>
    <w:rsid w:val="003F7BDE"/>
    <w:rsid w:val="00401F0A"/>
    <w:rsid w:val="00404B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361"/>
    <w:rsid w:val="004646F7"/>
    <w:rsid w:val="00465AB2"/>
    <w:rsid w:val="00466FB5"/>
    <w:rsid w:val="00470036"/>
    <w:rsid w:val="004707BC"/>
    <w:rsid w:val="004726D4"/>
    <w:rsid w:val="00473F14"/>
    <w:rsid w:val="004742EA"/>
    <w:rsid w:val="004743B6"/>
    <w:rsid w:val="00474B80"/>
    <w:rsid w:val="00476314"/>
    <w:rsid w:val="00481F7B"/>
    <w:rsid w:val="00482184"/>
    <w:rsid w:val="00482C30"/>
    <w:rsid w:val="00484C2D"/>
    <w:rsid w:val="00490396"/>
    <w:rsid w:val="0049040E"/>
    <w:rsid w:val="004909A0"/>
    <w:rsid w:val="00492379"/>
    <w:rsid w:val="004941E5"/>
    <w:rsid w:val="00494D6F"/>
    <w:rsid w:val="00494EAF"/>
    <w:rsid w:val="004A5CE6"/>
    <w:rsid w:val="004A60E1"/>
    <w:rsid w:val="004A65EB"/>
    <w:rsid w:val="004B003D"/>
    <w:rsid w:val="004B0DDA"/>
    <w:rsid w:val="004B39EB"/>
    <w:rsid w:val="004B4B9D"/>
    <w:rsid w:val="004C0D46"/>
    <w:rsid w:val="004C12DE"/>
    <w:rsid w:val="004C5782"/>
    <w:rsid w:val="004C5891"/>
    <w:rsid w:val="004C6027"/>
    <w:rsid w:val="004D04AA"/>
    <w:rsid w:val="004D3B44"/>
    <w:rsid w:val="004D5069"/>
    <w:rsid w:val="004D669B"/>
    <w:rsid w:val="004E09CA"/>
    <w:rsid w:val="004E2567"/>
    <w:rsid w:val="004E391B"/>
    <w:rsid w:val="004E502F"/>
    <w:rsid w:val="004E5F24"/>
    <w:rsid w:val="004E69E8"/>
    <w:rsid w:val="004E6F30"/>
    <w:rsid w:val="004F059C"/>
    <w:rsid w:val="004F103E"/>
    <w:rsid w:val="00500BE6"/>
    <w:rsid w:val="0050534D"/>
    <w:rsid w:val="0051194C"/>
    <w:rsid w:val="00513926"/>
    <w:rsid w:val="00516D27"/>
    <w:rsid w:val="00517382"/>
    <w:rsid w:val="005205CA"/>
    <w:rsid w:val="00520F76"/>
    <w:rsid w:val="00522191"/>
    <w:rsid w:val="00523D08"/>
    <w:rsid w:val="00525881"/>
    <w:rsid w:val="0052614B"/>
    <w:rsid w:val="005262D8"/>
    <w:rsid w:val="0052675D"/>
    <w:rsid w:val="00526B7A"/>
    <w:rsid w:val="0052753F"/>
    <w:rsid w:val="00530165"/>
    <w:rsid w:val="005302CE"/>
    <w:rsid w:val="00532754"/>
    <w:rsid w:val="00536A36"/>
    <w:rsid w:val="00536F37"/>
    <w:rsid w:val="00537837"/>
    <w:rsid w:val="005400EA"/>
    <w:rsid w:val="00540680"/>
    <w:rsid w:val="0054112A"/>
    <w:rsid w:val="005419BC"/>
    <w:rsid w:val="005428F8"/>
    <w:rsid w:val="00542966"/>
    <w:rsid w:val="00545D20"/>
    <w:rsid w:val="005475C0"/>
    <w:rsid w:val="00547681"/>
    <w:rsid w:val="005501A3"/>
    <w:rsid w:val="00551CBC"/>
    <w:rsid w:val="00552F81"/>
    <w:rsid w:val="00555249"/>
    <w:rsid w:val="0056224B"/>
    <w:rsid w:val="0056236E"/>
    <w:rsid w:val="005628C3"/>
    <w:rsid w:val="00566890"/>
    <w:rsid w:val="00567D3A"/>
    <w:rsid w:val="005700FC"/>
    <w:rsid w:val="00570544"/>
    <w:rsid w:val="005707AB"/>
    <w:rsid w:val="00572867"/>
    <w:rsid w:val="00573A16"/>
    <w:rsid w:val="0058140E"/>
    <w:rsid w:val="00581D64"/>
    <w:rsid w:val="00582D7B"/>
    <w:rsid w:val="005855C5"/>
    <w:rsid w:val="0058646E"/>
    <w:rsid w:val="00587446"/>
    <w:rsid w:val="00592597"/>
    <w:rsid w:val="00593466"/>
    <w:rsid w:val="00596353"/>
    <w:rsid w:val="00596B7E"/>
    <w:rsid w:val="005A0101"/>
    <w:rsid w:val="005A022F"/>
    <w:rsid w:val="005A6A98"/>
    <w:rsid w:val="005A6EAB"/>
    <w:rsid w:val="005B03D6"/>
    <w:rsid w:val="005B3B6D"/>
    <w:rsid w:val="005B419B"/>
    <w:rsid w:val="005B43D5"/>
    <w:rsid w:val="005B4B9A"/>
    <w:rsid w:val="005B5511"/>
    <w:rsid w:val="005D0992"/>
    <w:rsid w:val="005D4468"/>
    <w:rsid w:val="005D54FC"/>
    <w:rsid w:val="005E5A0B"/>
    <w:rsid w:val="005E722D"/>
    <w:rsid w:val="005F094C"/>
    <w:rsid w:val="005F0CAA"/>
    <w:rsid w:val="005F1765"/>
    <w:rsid w:val="005F21D9"/>
    <w:rsid w:val="006023B8"/>
    <w:rsid w:val="0060284F"/>
    <w:rsid w:val="006034B6"/>
    <w:rsid w:val="006038CB"/>
    <w:rsid w:val="00605813"/>
    <w:rsid w:val="00605CAB"/>
    <w:rsid w:val="006102F8"/>
    <w:rsid w:val="00610E09"/>
    <w:rsid w:val="00611CA5"/>
    <w:rsid w:val="00612FBB"/>
    <w:rsid w:val="0061625F"/>
    <w:rsid w:val="006226DC"/>
    <w:rsid w:val="00623756"/>
    <w:rsid w:val="00624CDA"/>
    <w:rsid w:val="00626B28"/>
    <w:rsid w:val="00630FFB"/>
    <w:rsid w:val="00632A1A"/>
    <w:rsid w:val="00634CF3"/>
    <w:rsid w:val="00635C62"/>
    <w:rsid w:val="00635F78"/>
    <w:rsid w:val="00645230"/>
    <w:rsid w:val="00645F0D"/>
    <w:rsid w:val="00646719"/>
    <w:rsid w:val="006501B7"/>
    <w:rsid w:val="00654280"/>
    <w:rsid w:val="006552F7"/>
    <w:rsid w:val="006575EA"/>
    <w:rsid w:val="00666DA9"/>
    <w:rsid w:val="0066709F"/>
    <w:rsid w:val="006674DD"/>
    <w:rsid w:val="00670ABA"/>
    <w:rsid w:val="00680077"/>
    <w:rsid w:val="006831AE"/>
    <w:rsid w:val="006855D2"/>
    <w:rsid w:val="00692E85"/>
    <w:rsid w:val="006931FC"/>
    <w:rsid w:val="00693498"/>
    <w:rsid w:val="0069461E"/>
    <w:rsid w:val="006A0CEB"/>
    <w:rsid w:val="006A21A5"/>
    <w:rsid w:val="006A30C4"/>
    <w:rsid w:val="006A356D"/>
    <w:rsid w:val="006A6AEE"/>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142F"/>
    <w:rsid w:val="00703666"/>
    <w:rsid w:val="0070603B"/>
    <w:rsid w:val="00706F00"/>
    <w:rsid w:val="00713E0D"/>
    <w:rsid w:val="00720153"/>
    <w:rsid w:val="00724967"/>
    <w:rsid w:val="00730129"/>
    <w:rsid w:val="00731530"/>
    <w:rsid w:val="00736DB7"/>
    <w:rsid w:val="00740F35"/>
    <w:rsid w:val="0074419C"/>
    <w:rsid w:val="007445E4"/>
    <w:rsid w:val="007501B1"/>
    <w:rsid w:val="0075176D"/>
    <w:rsid w:val="0075179B"/>
    <w:rsid w:val="007553B7"/>
    <w:rsid w:val="00755BFC"/>
    <w:rsid w:val="007572CE"/>
    <w:rsid w:val="00757465"/>
    <w:rsid w:val="00761932"/>
    <w:rsid w:val="00761ECC"/>
    <w:rsid w:val="00762067"/>
    <w:rsid w:val="00762918"/>
    <w:rsid w:val="00762969"/>
    <w:rsid w:val="00763A20"/>
    <w:rsid w:val="00766DB3"/>
    <w:rsid w:val="00767E45"/>
    <w:rsid w:val="007719DE"/>
    <w:rsid w:val="007735E7"/>
    <w:rsid w:val="00773B36"/>
    <w:rsid w:val="00777491"/>
    <w:rsid w:val="00780551"/>
    <w:rsid w:val="00780F8C"/>
    <w:rsid w:val="007817A1"/>
    <w:rsid w:val="007829AE"/>
    <w:rsid w:val="00783B9C"/>
    <w:rsid w:val="00784A94"/>
    <w:rsid w:val="00787076"/>
    <w:rsid w:val="00791ACA"/>
    <w:rsid w:val="00794C86"/>
    <w:rsid w:val="007975AF"/>
    <w:rsid w:val="00797A22"/>
    <w:rsid w:val="007A07E8"/>
    <w:rsid w:val="007A43F5"/>
    <w:rsid w:val="007A442B"/>
    <w:rsid w:val="007A553D"/>
    <w:rsid w:val="007B1307"/>
    <w:rsid w:val="007B51DD"/>
    <w:rsid w:val="007B7CC0"/>
    <w:rsid w:val="007C0E96"/>
    <w:rsid w:val="007C1D40"/>
    <w:rsid w:val="007C4B87"/>
    <w:rsid w:val="007C62CA"/>
    <w:rsid w:val="007C71F4"/>
    <w:rsid w:val="007D290F"/>
    <w:rsid w:val="007D34CA"/>
    <w:rsid w:val="007D36D4"/>
    <w:rsid w:val="007D40A4"/>
    <w:rsid w:val="007D4D03"/>
    <w:rsid w:val="007D7071"/>
    <w:rsid w:val="007E4470"/>
    <w:rsid w:val="007E6321"/>
    <w:rsid w:val="007E6726"/>
    <w:rsid w:val="007F0790"/>
    <w:rsid w:val="007F10F3"/>
    <w:rsid w:val="007F23CE"/>
    <w:rsid w:val="007F3D47"/>
    <w:rsid w:val="007F458D"/>
    <w:rsid w:val="007F5FDB"/>
    <w:rsid w:val="007F658A"/>
    <w:rsid w:val="007F78D8"/>
    <w:rsid w:val="00802976"/>
    <w:rsid w:val="008049A2"/>
    <w:rsid w:val="00807DD2"/>
    <w:rsid w:val="0081131C"/>
    <w:rsid w:val="00821BA6"/>
    <w:rsid w:val="00822F53"/>
    <w:rsid w:val="00824BAA"/>
    <w:rsid w:val="00824DF7"/>
    <w:rsid w:val="00824FB0"/>
    <w:rsid w:val="00827A50"/>
    <w:rsid w:val="00831649"/>
    <w:rsid w:val="00831D43"/>
    <w:rsid w:val="008323D0"/>
    <w:rsid w:val="00832DC1"/>
    <w:rsid w:val="008330A4"/>
    <w:rsid w:val="00833D8C"/>
    <w:rsid w:val="0083516A"/>
    <w:rsid w:val="00844510"/>
    <w:rsid w:val="0084462A"/>
    <w:rsid w:val="00845978"/>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C0559"/>
    <w:rsid w:val="008C1207"/>
    <w:rsid w:val="008C2913"/>
    <w:rsid w:val="008C3763"/>
    <w:rsid w:val="008D038F"/>
    <w:rsid w:val="008D0BA9"/>
    <w:rsid w:val="008D19B6"/>
    <w:rsid w:val="008D2392"/>
    <w:rsid w:val="008D53EB"/>
    <w:rsid w:val="008D5BB0"/>
    <w:rsid w:val="008D7117"/>
    <w:rsid w:val="008E1DC7"/>
    <w:rsid w:val="008E5AC0"/>
    <w:rsid w:val="008E6244"/>
    <w:rsid w:val="008F08B6"/>
    <w:rsid w:val="008F1FC3"/>
    <w:rsid w:val="008F2A38"/>
    <w:rsid w:val="008F3E64"/>
    <w:rsid w:val="008F5DAC"/>
    <w:rsid w:val="008F7654"/>
    <w:rsid w:val="0090131A"/>
    <w:rsid w:val="00902884"/>
    <w:rsid w:val="00903EAE"/>
    <w:rsid w:val="009069DD"/>
    <w:rsid w:val="00911565"/>
    <w:rsid w:val="0091589D"/>
    <w:rsid w:val="009228C8"/>
    <w:rsid w:val="009229F9"/>
    <w:rsid w:val="009312EE"/>
    <w:rsid w:val="00931A46"/>
    <w:rsid w:val="009329EC"/>
    <w:rsid w:val="009342C0"/>
    <w:rsid w:val="00944373"/>
    <w:rsid w:val="00944463"/>
    <w:rsid w:val="00944474"/>
    <w:rsid w:val="0094548B"/>
    <w:rsid w:val="00945A49"/>
    <w:rsid w:val="00945DBD"/>
    <w:rsid w:val="00947358"/>
    <w:rsid w:val="009501BA"/>
    <w:rsid w:val="00951504"/>
    <w:rsid w:val="00955AC5"/>
    <w:rsid w:val="00956834"/>
    <w:rsid w:val="0096299F"/>
    <w:rsid w:val="00965DB9"/>
    <w:rsid w:val="00966B8B"/>
    <w:rsid w:val="00971B1A"/>
    <w:rsid w:val="00972562"/>
    <w:rsid w:val="0097383F"/>
    <w:rsid w:val="00981148"/>
    <w:rsid w:val="00981A37"/>
    <w:rsid w:val="00981DD0"/>
    <w:rsid w:val="009856EC"/>
    <w:rsid w:val="009912B8"/>
    <w:rsid w:val="00993121"/>
    <w:rsid w:val="0099370B"/>
    <w:rsid w:val="00993BA5"/>
    <w:rsid w:val="009A4C0F"/>
    <w:rsid w:val="009A5957"/>
    <w:rsid w:val="009A5B4C"/>
    <w:rsid w:val="009A75A0"/>
    <w:rsid w:val="009B0492"/>
    <w:rsid w:val="009B08B2"/>
    <w:rsid w:val="009B13A1"/>
    <w:rsid w:val="009B1546"/>
    <w:rsid w:val="009B1644"/>
    <w:rsid w:val="009C0946"/>
    <w:rsid w:val="009C414E"/>
    <w:rsid w:val="009C5D0A"/>
    <w:rsid w:val="009D0425"/>
    <w:rsid w:val="009D1CC1"/>
    <w:rsid w:val="009D385D"/>
    <w:rsid w:val="009D5D56"/>
    <w:rsid w:val="009D5DA2"/>
    <w:rsid w:val="009E0273"/>
    <w:rsid w:val="009E1CE4"/>
    <w:rsid w:val="009E2103"/>
    <w:rsid w:val="009E21DC"/>
    <w:rsid w:val="009E5256"/>
    <w:rsid w:val="009E7450"/>
    <w:rsid w:val="009F2B85"/>
    <w:rsid w:val="009F2BA9"/>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1834"/>
    <w:rsid w:val="00A15B51"/>
    <w:rsid w:val="00A16927"/>
    <w:rsid w:val="00A2194D"/>
    <w:rsid w:val="00A23E15"/>
    <w:rsid w:val="00A255CB"/>
    <w:rsid w:val="00A27062"/>
    <w:rsid w:val="00A271E9"/>
    <w:rsid w:val="00A3089F"/>
    <w:rsid w:val="00A30A6C"/>
    <w:rsid w:val="00A31E8F"/>
    <w:rsid w:val="00A32C88"/>
    <w:rsid w:val="00A36699"/>
    <w:rsid w:val="00A412BF"/>
    <w:rsid w:val="00A45774"/>
    <w:rsid w:val="00A47EC0"/>
    <w:rsid w:val="00A50A9D"/>
    <w:rsid w:val="00A537CF"/>
    <w:rsid w:val="00A5494C"/>
    <w:rsid w:val="00A55ECC"/>
    <w:rsid w:val="00A57A39"/>
    <w:rsid w:val="00A60570"/>
    <w:rsid w:val="00A608B1"/>
    <w:rsid w:val="00A61482"/>
    <w:rsid w:val="00A641DF"/>
    <w:rsid w:val="00A65BF5"/>
    <w:rsid w:val="00A7187B"/>
    <w:rsid w:val="00A728DB"/>
    <w:rsid w:val="00A73C0C"/>
    <w:rsid w:val="00A75242"/>
    <w:rsid w:val="00A8134F"/>
    <w:rsid w:val="00A81BDC"/>
    <w:rsid w:val="00A82727"/>
    <w:rsid w:val="00A8454A"/>
    <w:rsid w:val="00A84B88"/>
    <w:rsid w:val="00A85658"/>
    <w:rsid w:val="00A877B6"/>
    <w:rsid w:val="00A90FDF"/>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2154"/>
    <w:rsid w:val="00AE505C"/>
    <w:rsid w:val="00AF2DB3"/>
    <w:rsid w:val="00AF35EB"/>
    <w:rsid w:val="00AF42F0"/>
    <w:rsid w:val="00AF5B58"/>
    <w:rsid w:val="00AF7DE3"/>
    <w:rsid w:val="00B0128A"/>
    <w:rsid w:val="00B01BD5"/>
    <w:rsid w:val="00B02AB8"/>
    <w:rsid w:val="00B03943"/>
    <w:rsid w:val="00B11074"/>
    <w:rsid w:val="00B142D1"/>
    <w:rsid w:val="00B14E33"/>
    <w:rsid w:val="00B1670C"/>
    <w:rsid w:val="00B16B84"/>
    <w:rsid w:val="00B17B7E"/>
    <w:rsid w:val="00B21D03"/>
    <w:rsid w:val="00B23100"/>
    <w:rsid w:val="00B407CC"/>
    <w:rsid w:val="00B5270D"/>
    <w:rsid w:val="00B54F76"/>
    <w:rsid w:val="00B555A0"/>
    <w:rsid w:val="00B60FD0"/>
    <w:rsid w:val="00B621B6"/>
    <w:rsid w:val="00B63555"/>
    <w:rsid w:val="00B716E6"/>
    <w:rsid w:val="00B71990"/>
    <w:rsid w:val="00B71D61"/>
    <w:rsid w:val="00B828A5"/>
    <w:rsid w:val="00B82C46"/>
    <w:rsid w:val="00B85594"/>
    <w:rsid w:val="00B921A2"/>
    <w:rsid w:val="00B93D12"/>
    <w:rsid w:val="00BA093E"/>
    <w:rsid w:val="00BA0D70"/>
    <w:rsid w:val="00BA24A6"/>
    <w:rsid w:val="00BA263D"/>
    <w:rsid w:val="00BA2971"/>
    <w:rsid w:val="00BA3777"/>
    <w:rsid w:val="00BA48FA"/>
    <w:rsid w:val="00BA4ABE"/>
    <w:rsid w:val="00BA63DE"/>
    <w:rsid w:val="00BA6FAF"/>
    <w:rsid w:val="00BB0A32"/>
    <w:rsid w:val="00BB0B06"/>
    <w:rsid w:val="00BB2188"/>
    <w:rsid w:val="00BB6414"/>
    <w:rsid w:val="00BC0077"/>
    <w:rsid w:val="00BC590E"/>
    <w:rsid w:val="00BD047B"/>
    <w:rsid w:val="00BD238D"/>
    <w:rsid w:val="00BD2B44"/>
    <w:rsid w:val="00BD2C00"/>
    <w:rsid w:val="00BE1391"/>
    <w:rsid w:val="00BE389F"/>
    <w:rsid w:val="00BE71B8"/>
    <w:rsid w:val="00BE7723"/>
    <w:rsid w:val="00BE7D5F"/>
    <w:rsid w:val="00BF25BF"/>
    <w:rsid w:val="00BF59C3"/>
    <w:rsid w:val="00BF618D"/>
    <w:rsid w:val="00BF79D3"/>
    <w:rsid w:val="00BF7C7C"/>
    <w:rsid w:val="00C02729"/>
    <w:rsid w:val="00C03D88"/>
    <w:rsid w:val="00C03F77"/>
    <w:rsid w:val="00C04FF1"/>
    <w:rsid w:val="00C1093F"/>
    <w:rsid w:val="00C12329"/>
    <w:rsid w:val="00C125AB"/>
    <w:rsid w:val="00C21CAC"/>
    <w:rsid w:val="00C2238C"/>
    <w:rsid w:val="00C23AEC"/>
    <w:rsid w:val="00C23F02"/>
    <w:rsid w:val="00C24755"/>
    <w:rsid w:val="00C25176"/>
    <w:rsid w:val="00C2528A"/>
    <w:rsid w:val="00C254DF"/>
    <w:rsid w:val="00C26AF2"/>
    <w:rsid w:val="00C27A0A"/>
    <w:rsid w:val="00C30D67"/>
    <w:rsid w:val="00C319F4"/>
    <w:rsid w:val="00C32D2A"/>
    <w:rsid w:val="00C335F2"/>
    <w:rsid w:val="00C33F90"/>
    <w:rsid w:val="00C3533D"/>
    <w:rsid w:val="00C35B2A"/>
    <w:rsid w:val="00C368C0"/>
    <w:rsid w:val="00C37B99"/>
    <w:rsid w:val="00C37DC4"/>
    <w:rsid w:val="00C37FD9"/>
    <w:rsid w:val="00C432A7"/>
    <w:rsid w:val="00C44F7F"/>
    <w:rsid w:val="00C45C9C"/>
    <w:rsid w:val="00C45FB9"/>
    <w:rsid w:val="00C46B3E"/>
    <w:rsid w:val="00C47288"/>
    <w:rsid w:val="00C51229"/>
    <w:rsid w:val="00C55095"/>
    <w:rsid w:val="00C613A4"/>
    <w:rsid w:val="00C62293"/>
    <w:rsid w:val="00C63A22"/>
    <w:rsid w:val="00C666F3"/>
    <w:rsid w:val="00C67A86"/>
    <w:rsid w:val="00C70B71"/>
    <w:rsid w:val="00C74750"/>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00E3"/>
    <w:rsid w:val="00CB5202"/>
    <w:rsid w:val="00CB556E"/>
    <w:rsid w:val="00CB6136"/>
    <w:rsid w:val="00CB634F"/>
    <w:rsid w:val="00CB7F80"/>
    <w:rsid w:val="00CC1325"/>
    <w:rsid w:val="00CC1B04"/>
    <w:rsid w:val="00CD3BEC"/>
    <w:rsid w:val="00CD41B4"/>
    <w:rsid w:val="00CD472A"/>
    <w:rsid w:val="00CD537F"/>
    <w:rsid w:val="00CD5754"/>
    <w:rsid w:val="00CD6756"/>
    <w:rsid w:val="00CE0218"/>
    <w:rsid w:val="00CE2985"/>
    <w:rsid w:val="00CE35DA"/>
    <w:rsid w:val="00CF094D"/>
    <w:rsid w:val="00CF1679"/>
    <w:rsid w:val="00CF26C4"/>
    <w:rsid w:val="00CF3458"/>
    <w:rsid w:val="00CF76E8"/>
    <w:rsid w:val="00CF7CE4"/>
    <w:rsid w:val="00D00D00"/>
    <w:rsid w:val="00D01D91"/>
    <w:rsid w:val="00D01EDD"/>
    <w:rsid w:val="00D03134"/>
    <w:rsid w:val="00D10561"/>
    <w:rsid w:val="00D11E93"/>
    <w:rsid w:val="00D1271C"/>
    <w:rsid w:val="00D1311C"/>
    <w:rsid w:val="00D14B39"/>
    <w:rsid w:val="00D15DC7"/>
    <w:rsid w:val="00D2734D"/>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67B25"/>
    <w:rsid w:val="00D71F16"/>
    <w:rsid w:val="00D73CD8"/>
    <w:rsid w:val="00D80FF9"/>
    <w:rsid w:val="00D81604"/>
    <w:rsid w:val="00D90F1C"/>
    <w:rsid w:val="00D91A6D"/>
    <w:rsid w:val="00D91D80"/>
    <w:rsid w:val="00D94CCC"/>
    <w:rsid w:val="00D95457"/>
    <w:rsid w:val="00D95631"/>
    <w:rsid w:val="00D9777E"/>
    <w:rsid w:val="00D97E0B"/>
    <w:rsid w:val="00D97F9A"/>
    <w:rsid w:val="00DA0588"/>
    <w:rsid w:val="00DA3638"/>
    <w:rsid w:val="00DA4644"/>
    <w:rsid w:val="00DA61F8"/>
    <w:rsid w:val="00DA73FE"/>
    <w:rsid w:val="00DB35C2"/>
    <w:rsid w:val="00DB3E79"/>
    <w:rsid w:val="00DB54D9"/>
    <w:rsid w:val="00DB70C4"/>
    <w:rsid w:val="00DB7968"/>
    <w:rsid w:val="00DB7D4C"/>
    <w:rsid w:val="00DC332A"/>
    <w:rsid w:val="00DC3F21"/>
    <w:rsid w:val="00DC3F78"/>
    <w:rsid w:val="00DC41DE"/>
    <w:rsid w:val="00DD2AC4"/>
    <w:rsid w:val="00DD3F35"/>
    <w:rsid w:val="00DE1F2D"/>
    <w:rsid w:val="00DE2A7B"/>
    <w:rsid w:val="00DE64A9"/>
    <w:rsid w:val="00DE69EE"/>
    <w:rsid w:val="00DF40ED"/>
    <w:rsid w:val="00DF4CFA"/>
    <w:rsid w:val="00E01CEC"/>
    <w:rsid w:val="00E0391A"/>
    <w:rsid w:val="00E03A9E"/>
    <w:rsid w:val="00E07172"/>
    <w:rsid w:val="00E120D0"/>
    <w:rsid w:val="00E17B41"/>
    <w:rsid w:val="00E229A3"/>
    <w:rsid w:val="00E26BA3"/>
    <w:rsid w:val="00E33ABF"/>
    <w:rsid w:val="00E417C5"/>
    <w:rsid w:val="00E50EEB"/>
    <w:rsid w:val="00E51BC9"/>
    <w:rsid w:val="00E55AAB"/>
    <w:rsid w:val="00E564E8"/>
    <w:rsid w:val="00E65FE2"/>
    <w:rsid w:val="00E71056"/>
    <w:rsid w:val="00E718BD"/>
    <w:rsid w:val="00E722AF"/>
    <w:rsid w:val="00E80CEE"/>
    <w:rsid w:val="00E82C12"/>
    <w:rsid w:val="00E84A38"/>
    <w:rsid w:val="00E9323B"/>
    <w:rsid w:val="00E950DB"/>
    <w:rsid w:val="00E95529"/>
    <w:rsid w:val="00EA01AC"/>
    <w:rsid w:val="00EA0B33"/>
    <w:rsid w:val="00EA100C"/>
    <w:rsid w:val="00EA5777"/>
    <w:rsid w:val="00EB2D42"/>
    <w:rsid w:val="00EB4DF2"/>
    <w:rsid w:val="00EB5C29"/>
    <w:rsid w:val="00EC10FD"/>
    <w:rsid w:val="00EC1254"/>
    <w:rsid w:val="00EC14FC"/>
    <w:rsid w:val="00EC4686"/>
    <w:rsid w:val="00ED07DF"/>
    <w:rsid w:val="00ED0B9A"/>
    <w:rsid w:val="00ED0D88"/>
    <w:rsid w:val="00ED3D74"/>
    <w:rsid w:val="00ED42B5"/>
    <w:rsid w:val="00ED7B90"/>
    <w:rsid w:val="00EE1282"/>
    <w:rsid w:val="00EE14CB"/>
    <w:rsid w:val="00EE2D47"/>
    <w:rsid w:val="00EE37D3"/>
    <w:rsid w:val="00EF0350"/>
    <w:rsid w:val="00EF0F77"/>
    <w:rsid w:val="00EF691C"/>
    <w:rsid w:val="00F00E4D"/>
    <w:rsid w:val="00F05F6D"/>
    <w:rsid w:val="00F07436"/>
    <w:rsid w:val="00F078AC"/>
    <w:rsid w:val="00F10AF7"/>
    <w:rsid w:val="00F12497"/>
    <w:rsid w:val="00F21E75"/>
    <w:rsid w:val="00F266D3"/>
    <w:rsid w:val="00F26C6C"/>
    <w:rsid w:val="00F26E96"/>
    <w:rsid w:val="00F2739F"/>
    <w:rsid w:val="00F30797"/>
    <w:rsid w:val="00F337DD"/>
    <w:rsid w:val="00F35A52"/>
    <w:rsid w:val="00F41CD5"/>
    <w:rsid w:val="00F43570"/>
    <w:rsid w:val="00F45A80"/>
    <w:rsid w:val="00F4720B"/>
    <w:rsid w:val="00F47484"/>
    <w:rsid w:val="00F47C14"/>
    <w:rsid w:val="00F53BD0"/>
    <w:rsid w:val="00F54766"/>
    <w:rsid w:val="00F608F1"/>
    <w:rsid w:val="00F65356"/>
    <w:rsid w:val="00F65883"/>
    <w:rsid w:val="00F76E04"/>
    <w:rsid w:val="00F775A7"/>
    <w:rsid w:val="00F81AB7"/>
    <w:rsid w:val="00F83718"/>
    <w:rsid w:val="00F84042"/>
    <w:rsid w:val="00F84975"/>
    <w:rsid w:val="00F85133"/>
    <w:rsid w:val="00F9092C"/>
    <w:rsid w:val="00F93BC7"/>
    <w:rsid w:val="00F94421"/>
    <w:rsid w:val="00F946ED"/>
    <w:rsid w:val="00F965BC"/>
    <w:rsid w:val="00FA2A4F"/>
    <w:rsid w:val="00FA2CCF"/>
    <w:rsid w:val="00FA3740"/>
    <w:rsid w:val="00FA3A1B"/>
    <w:rsid w:val="00FA3BBC"/>
    <w:rsid w:val="00FB0857"/>
    <w:rsid w:val="00FB13A9"/>
    <w:rsid w:val="00FB2022"/>
    <w:rsid w:val="00FB265C"/>
    <w:rsid w:val="00FB2970"/>
    <w:rsid w:val="00FB556D"/>
    <w:rsid w:val="00FC033B"/>
    <w:rsid w:val="00FC0B62"/>
    <w:rsid w:val="00FC1C67"/>
    <w:rsid w:val="00FC2011"/>
    <w:rsid w:val="00FC2B90"/>
    <w:rsid w:val="00FC4A2E"/>
    <w:rsid w:val="00FC6726"/>
    <w:rsid w:val="00FD4385"/>
    <w:rsid w:val="00FD5FBD"/>
    <w:rsid w:val="00FE1B4D"/>
    <w:rsid w:val="00FE2CB7"/>
    <w:rsid w:val="00FE4811"/>
    <w:rsid w:val="00FE4969"/>
    <w:rsid w:val="00FE5B14"/>
    <w:rsid w:val="00FF07C1"/>
    <w:rsid w:val="00FF0D5C"/>
    <w:rsid w:val="00FF2B51"/>
    <w:rsid w:val="00FF45F4"/>
    <w:rsid w:val="00FF5EC5"/>
    <w:rsid w:val="00FF61E5"/>
    <w:rsid w:val="00FF6CC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1D39B4"/>
  <w15:docId w15:val="{EF5B16A3-A4EB-4715-B1BA-EDEAEDD8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rPr>
  </w:style>
  <w:style w:type="paragraph" w:styleId="Heading1">
    <w:name w:val="heading 1"/>
    <w:basedOn w:val="Normal"/>
    <w:next w:val="Normal"/>
    <w:link w:val="Heading1Char"/>
    <w:uiPriority w:val="99"/>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uiPriority w:val="99"/>
    <w:qFormat/>
    <w:rsid w:val="00BD2B44"/>
    <w:pPr>
      <w:outlineLvl w:val="1"/>
    </w:pPr>
    <w:rPr>
      <w:b/>
    </w:rPr>
  </w:style>
  <w:style w:type="paragraph" w:styleId="Heading4">
    <w:name w:val="heading 4"/>
    <w:basedOn w:val="Normal"/>
    <w:next w:val="Normal"/>
    <w:link w:val="Heading4Char"/>
    <w:uiPriority w:val="99"/>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9"/>
    <w:qFormat/>
    <w:rsid w:val="00890996"/>
    <w:pPr>
      <w:spacing w:before="240" w:after="60"/>
      <w:outlineLvl w:val="4"/>
    </w:pPr>
    <w:rPr>
      <w:b/>
      <w:bCs/>
      <w:i/>
      <w:iCs/>
      <w:sz w:val="26"/>
      <w:szCs w:val="26"/>
    </w:rPr>
  </w:style>
  <w:style w:type="paragraph" w:styleId="Heading6">
    <w:name w:val="heading 6"/>
    <w:basedOn w:val="Normal"/>
    <w:next w:val="Normal"/>
    <w:link w:val="Heading6Char"/>
    <w:uiPriority w:val="99"/>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2B44"/>
    <w:rPr>
      <w:rFonts w:ascii="Arial" w:hAnsi="Arial" w:cs="Times New Roman"/>
      <w:sz w:val="18"/>
      <w:szCs w:val="18"/>
      <w:lang w:val="en-AU" w:eastAsia="en-AU" w:bidi="ar-SA"/>
    </w:rPr>
  </w:style>
  <w:style w:type="character" w:customStyle="1" w:styleId="Heading2Char">
    <w:name w:val="Heading 2 Char"/>
    <w:basedOn w:val="Heading1Char"/>
    <w:link w:val="Heading2"/>
    <w:uiPriority w:val="99"/>
    <w:locked/>
    <w:rsid w:val="00BD2B44"/>
    <w:rPr>
      <w:rFonts w:ascii="Arial" w:hAnsi="Arial" w:cs="Times New Roman"/>
      <w:b/>
      <w:sz w:val="18"/>
      <w:szCs w:val="18"/>
      <w:lang w:val="en-AU" w:eastAsia="en-AU" w:bidi="ar-SA"/>
    </w:rPr>
  </w:style>
  <w:style w:type="character" w:customStyle="1" w:styleId="Heading4Char">
    <w:name w:val="Heading 4 Char"/>
    <w:basedOn w:val="DefaultParagraphFont"/>
    <w:link w:val="Heading4"/>
    <w:uiPriority w:val="99"/>
    <w:semiHidden/>
    <w:locked/>
    <w:rsid w:val="009B049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B049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B0492"/>
    <w:rPr>
      <w:rFonts w:ascii="Calibri" w:hAnsi="Calibri" w:cs="Times New Roman"/>
      <w:b/>
      <w:bCs/>
    </w:rPr>
  </w:style>
  <w:style w:type="character" w:customStyle="1" w:styleId="Heading7Char">
    <w:name w:val="Heading 7 Char"/>
    <w:basedOn w:val="DefaultParagraphFont"/>
    <w:link w:val="Heading7"/>
    <w:uiPriority w:val="99"/>
    <w:semiHidden/>
    <w:locked/>
    <w:rsid w:val="009B049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B049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B0492"/>
    <w:rPr>
      <w:rFonts w:ascii="Cambria" w:hAnsi="Cambria" w:cs="Times New Roman"/>
    </w:rPr>
  </w:style>
  <w:style w:type="paragraph" w:styleId="Footer">
    <w:name w:val="footer"/>
    <w:basedOn w:val="Normal"/>
    <w:link w:val="FooterChar"/>
    <w:uiPriority w:val="99"/>
    <w:rsid w:val="00184B7C"/>
    <w:pPr>
      <w:tabs>
        <w:tab w:val="center" w:pos="4153"/>
        <w:tab w:val="right" w:pos="8306"/>
      </w:tabs>
    </w:pPr>
  </w:style>
  <w:style w:type="character" w:customStyle="1" w:styleId="FooterChar">
    <w:name w:val="Footer Char"/>
    <w:basedOn w:val="DefaultParagraphFont"/>
    <w:link w:val="Footer"/>
    <w:uiPriority w:val="99"/>
    <w:semiHidden/>
    <w:locked/>
    <w:rsid w:val="009B0492"/>
    <w:rPr>
      <w:rFonts w:ascii="Arial" w:hAnsi="Arial" w:cs="Arial"/>
      <w:sz w:val="20"/>
      <w:szCs w:val="20"/>
    </w:rPr>
  </w:style>
  <w:style w:type="paragraph" w:styleId="Header">
    <w:name w:val="header"/>
    <w:basedOn w:val="Normal"/>
    <w:link w:val="HeaderChar"/>
    <w:uiPriority w:val="99"/>
    <w:rsid w:val="00184B7C"/>
    <w:pPr>
      <w:tabs>
        <w:tab w:val="center" w:pos="4153"/>
        <w:tab w:val="right" w:pos="8306"/>
      </w:tabs>
    </w:pPr>
  </w:style>
  <w:style w:type="character" w:customStyle="1" w:styleId="HeaderChar">
    <w:name w:val="Header Char"/>
    <w:basedOn w:val="DefaultParagraphFont"/>
    <w:link w:val="Header"/>
    <w:uiPriority w:val="99"/>
    <w:semiHidden/>
    <w:locked/>
    <w:rsid w:val="009B0492"/>
    <w:rPr>
      <w:rFonts w:ascii="Arial" w:hAnsi="Arial" w:cs="Arial"/>
      <w:sz w:val="20"/>
      <w:szCs w:val="20"/>
    </w:rPr>
  </w:style>
  <w:style w:type="paragraph" w:styleId="BalloonText">
    <w:name w:val="Balloon Text"/>
    <w:basedOn w:val="Normal"/>
    <w:link w:val="BalloonTextChar"/>
    <w:uiPriority w:val="99"/>
    <w:semiHidden/>
    <w:rsid w:val="00CB520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0492"/>
    <w:rPr>
      <w:rFonts w:cs="Arial"/>
      <w:sz w:val="2"/>
    </w:rPr>
  </w:style>
  <w:style w:type="paragraph" w:customStyle="1" w:styleId="NTTHeaderInfo">
    <w:name w:val="NTT Header Info"/>
    <w:uiPriority w:val="99"/>
    <w:rsid w:val="00713E0D"/>
    <w:pPr>
      <w:spacing w:line="240" w:lineRule="exact"/>
      <w:jc w:val="right"/>
    </w:pPr>
    <w:rPr>
      <w:rFonts w:ascii="Arial" w:hAnsi="Arial"/>
      <w:sz w:val="18"/>
      <w:szCs w:val="18"/>
    </w:rPr>
  </w:style>
  <w:style w:type="paragraph" w:customStyle="1" w:styleId="NTTBodyText">
    <w:name w:val="NTT Body Text"/>
    <w:uiPriority w:val="99"/>
    <w:rsid w:val="00E51BC9"/>
    <w:pPr>
      <w:spacing w:after="120" w:line="300" w:lineRule="exact"/>
    </w:pPr>
    <w:rPr>
      <w:rFonts w:ascii="Arial" w:hAnsi="Arial"/>
      <w:szCs w:val="24"/>
    </w:rPr>
  </w:style>
  <w:style w:type="character" w:styleId="PageNumber">
    <w:name w:val="page number"/>
    <w:basedOn w:val="DefaultParagraphFont"/>
    <w:uiPriority w:val="99"/>
    <w:rsid w:val="0019571B"/>
    <w:rPr>
      <w:rFonts w:cs="Times New Roman"/>
    </w:rPr>
  </w:style>
  <w:style w:type="paragraph" w:customStyle="1" w:styleId="NTTBodyTextTitle">
    <w:name w:val="NTT Body Text Title"/>
    <w:basedOn w:val="NTTBodyText"/>
    <w:uiPriority w:val="99"/>
    <w:rsid w:val="001D7DC4"/>
    <w:rPr>
      <w:b/>
      <w:bCs/>
    </w:rPr>
  </w:style>
  <w:style w:type="table" w:styleId="TableGrid">
    <w:name w:val="Table Grid"/>
    <w:basedOn w:val="TableNormal"/>
    <w:uiPriority w:val="99"/>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uiPriority w:val="99"/>
    <w:rsid w:val="00364D5F"/>
    <w:pPr>
      <w:spacing w:after="120"/>
      <w:jc w:val="center"/>
    </w:pPr>
    <w:rPr>
      <w:rFonts w:cs="Times New Roman"/>
      <w:b/>
      <w:bCs/>
      <w:sz w:val="32"/>
    </w:rPr>
  </w:style>
  <w:style w:type="paragraph" w:customStyle="1" w:styleId="HeadingTwo">
    <w:name w:val="Heading Two"/>
    <w:basedOn w:val="Normal"/>
    <w:uiPriority w:val="99"/>
    <w:rsid w:val="00EE14CB"/>
    <w:pPr>
      <w:keepNext/>
      <w:pBdr>
        <w:bottom w:val="single" w:sz="4" w:space="1" w:color="auto"/>
      </w:pBdr>
      <w:spacing w:before="360" w:after="120"/>
    </w:pPr>
    <w:rPr>
      <w:rFonts w:cs="Times New Roman"/>
      <w:b/>
      <w:bCs/>
    </w:rPr>
  </w:style>
  <w:style w:type="character" w:styleId="Hyperlink">
    <w:name w:val="Hyperlink"/>
    <w:basedOn w:val="DefaultParagraphFont"/>
    <w:uiPriority w:val="99"/>
    <w:rsid w:val="00545D20"/>
    <w:rPr>
      <w:rFonts w:cs="Times New Roman"/>
      <w:color w:val="0000FF"/>
      <w:u w:val="single"/>
    </w:rPr>
  </w:style>
  <w:style w:type="paragraph" w:styleId="BlockText">
    <w:name w:val="Block Text"/>
    <w:basedOn w:val="ListNumber"/>
    <w:link w:val="BlockTextChar"/>
    <w:uiPriority w:val="99"/>
    <w:rsid w:val="00F65356"/>
    <w:pPr>
      <w:tabs>
        <w:tab w:val="clear" w:pos="360"/>
        <w:tab w:val="num" w:pos="2007"/>
      </w:tabs>
      <w:spacing w:after="120"/>
      <w:ind w:left="2007" w:hanging="567"/>
      <w:jc w:val="both"/>
    </w:pPr>
  </w:style>
  <w:style w:type="paragraph" w:customStyle="1" w:styleId="HeadingThree">
    <w:name w:val="Heading Three"/>
    <w:basedOn w:val="HeadingTwo"/>
    <w:link w:val="HeadingThreeChar"/>
    <w:uiPriority w:val="99"/>
    <w:rsid w:val="00545D20"/>
    <w:pPr>
      <w:pBdr>
        <w:bottom w:val="none" w:sz="0" w:space="0" w:color="auto"/>
      </w:pBdr>
    </w:pPr>
    <w:rPr>
      <w:i/>
      <w:iCs/>
    </w:rPr>
  </w:style>
  <w:style w:type="paragraph" w:customStyle="1" w:styleId="HeadingFour">
    <w:name w:val="Heading Four"/>
    <w:basedOn w:val="HeadingThree"/>
    <w:uiPriority w:val="99"/>
    <w:rsid w:val="006034B6"/>
    <w:rPr>
      <w:b w:val="0"/>
      <w:bCs w:val="0"/>
      <w:u w:val="single"/>
    </w:rPr>
  </w:style>
  <w:style w:type="paragraph" w:styleId="BodyText2">
    <w:name w:val="Body Text 2"/>
    <w:basedOn w:val="Normal"/>
    <w:link w:val="BodyText2Char"/>
    <w:uiPriority w:val="99"/>
    <w:rsid w:val="00513926"/>
    <w:pPr>
      <w:spacing w:after="120"/>
      <w:jc w:val="both"/>
    </w:pPr>
    <w:rPr>
      <w:rFonts w:ascii="Tahoma" w:hAnsi="Tahoma" w:cs="Times New Roman"/>
      <w:b/>
    </w:rPr>
  </w:style>
  <w:style w:type="character" w:customStyle="1" w:styleId="BodyText2Char">
    <w:name w:val="Body Text 2 Char"/>
    <w:basedOn w:val="DefaultParagraphFont"/>
    <w:link w:val="BodyText2"/>
    <w:uiPriority w:val="99"/>
    <w:semiHidden/>
    <w:locked/>
    <w:rsid w:val="009B0492"/>
    <w:rPr>
      <w:rFonts w:ascii="Arial" w:hAnsi="Arial" w:cs="Arial"/>
      <w:sz w:val="20"/>
      <w:szCs w:val="20"/>
    </w:rPr>
  </w:style>
  <w:style w:type="paragraph" w:styleId="ListNumber">
    <w:name w:val="List Number"/>
    <w:basedOn w:val="Normal"/>
    <w:uiPriority w:val="99"/>
    <w:rsid w:val="00890996"/>
    <w:pPr>
      <w:tabs>
        <w:tab w:val="num" w:pos="360"/>
      </w:tabs>
      <w:ind w:left="360" w:hanging="360"/>
    </w:pPr>
  </w:style>
  <w:style w:type="paragraph" w:customStyle="1" w:styleId="ExampleBox">
    <w:name w:val="Example Box"/>
    <w:uiPriority w:val="99"/>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rPr>
  </w:style>
  <w:style w:type="paragraph" w:customStyle="1" w:styleId="BodyText">
    <w:name w:val="Body Text."/>
    <w:basedOn w:val="Normal"/>
    <w:autoRedefine/>
    <w:uiPriority w:val="99"/>
    <w:rsid w:val="0070142F"/>
    <w:pPr>
      <w:spacing w:before="120" w:line="260" w:lineRule="exact"/>
      <w:jc w:val="both"/>
    </w:pPr>
    <w:rPr>
      <w:rFonts w:cs="Times New Roman"/>
      <w:noProof/>
      <w:sz w:val="21"/>
    </w:rPr>
  </w:style>
  <w:style w:type="character" w:customStyle="1" w:styleId="BlockTextChar">
    <w:name w:val="Block Text Char"/>
    <w:basedOn w:val="DefaultParagraphFont"/>
    <w:link w:val="BlockText"/>
    <w:uiPriority w:val="99"/>
    <w:locked/>
    <w:rsid w:val="00EE14CB"/>
    <w:rPr>
      <w:rFonts w:ascii="Arial" w:hAnsi="Arial" w:cs="Arial"/>
      <w:szCs w:val="20"/>
    </w:rPr>
  </w:style>
  <w:style w:type="character" w:customStyle="1" w:styleId="HeadingThreeChar">
    <w:name w:val="Heading Three Char"/>
    <w:basedOn w:val="DefaultParagraphFont"/>
    <w:link w:val="HeadingThree"/>
    <w:uiPriority w:val="99"/>
    <w:locked/>
    <w:rsid w:val="00EE14CB"/>
    <w:rPr>
      <w:rFonts w:ascii="Arial" w:hAnsi="Arial" w:cs="Times New Roman"/>
      <w:b/>
      <w:bCs/>
      <w:i/>
      <w:iCs/>
      <w:sz w:val="22"/>
      <w:lang w:val="en-AU" w:eastAsia="en-AU" w:bidi="ar-SA"/>
    </w:rPr>
  </w:style>
  <w:style w:type="character" w:styleId="FollowedHyperlink">
    <w:name w:val="FollowedHyperlink"/>
    <w:basedOn w:val="DefaultParagraphFont"/>
    <w:uiPriority w:val="99"/>
    <w:rsid w:val="00EE14CB"/>
    <w:rPr>
      <w:rFonts w:cs="Times New Roman"/>
      <w:color w:val="800080"/>
      <w:u w:val="single"/>
    </w:rPr>
  </w:style>
  <w:style w:type="paragraph" w:styleId="FootnoteText">
    <w:name w:val="footnote text"/>
    <w:basedOn w:val="Normal"/>
    <w:link w:val="FootnoteTextChar"/>
    <w:uiPriority w:val="99"/>
    <w:semiHidden/>
    <w:rsid w:val="000C7F66"/>
  </w:style>
  <w:style w:type="character" w:customStyle="1" w:styleId="FootnoteTextChar">
    <w:name w:val="Footnote Text Char"/>
    <w:basedOn w:val="DefaultParagraphFont"/>
    <w:link w:val="FootnoteText"/>
    <w:uiPriority w:val="99"/>
    <w:semiHidden/>
    <w:locked/>
    <w:rsid w:val="009B0492"/>
    <w:rPr>
      <w:rFonts w:ascii="Arial" w:hAnsi="Arial" w:cs="Arial"/>
      <w:sz w:val="20"/>
      <w:szCs w:val="20"/>
    </w:rPr>
  </w:style>
  <w:style w:type="character" w:styleId="FootnoteReference">
    <w:name w:val="footnote reference"/>
    <w:basedOn w:val="DefaultParagraphFont"/>
    <w:uiPriority w:val="99"/>
    <w:semiHidden/>
    <w:rsid w:val="000C7F66"/>
    <w:rPr>
      <w:rFonts w:cs="Times New Roman"/>
      <w:vertAlign w:val="superscript"/>
    </w:rPr>
  </w:style>
  <w:style w:type="character" w:styleId="CommentReference">
    <w:name w:val="annotation reference"/>
    <w:basedOn w:val="DefaultParagraphFont"/>
    <w:uiPriority w:val="99"/>
    <w:rsid w:val="006855D2"/>
    <w:rPr>
      <w:rFonts w:cs="Times New Roman"/>
      <w:sz w:val="16"/>
      <w:szCs w:val="16"/>
    </w:rPr>
  </w:style>
  <w:style w:type="paragraph" w:styleId="CommentText">
    <w:name w:val="annotation text"/>
    <w:basedOn w:val="Normal"/>
    <w:link w:val="CommentTextChar"/>
    <w:uiPriority w:val="99"/>
    <w:rsid w:val="006855D2"/>
  </w:style>
  <w:style w:type="character" w:customStyle="1" w:styleId="CommentTextChar">
    <w:name w:val="Comment Text Char"/>
    <w:basedOn w:val="DefaultParagraphFont"/>
    <w:link w:val="CommentText"/>
    <w:uiPriority w:val="99"/>
    <w:locked/>
    <w:rsid w:val="006855D2"/>
    <w:rPr>
      <w:rFonts w:ascii="Arial" w:hAnsi="Arial" w:cs="Arial"/>
    </w:rPr>
  </w:style>
  <w:style w:type="paragraph" w:styleId="CommentSubject">
    <w:name w:val="annotation subject"/>
    <w:basedOn w:val="CommentText"/>
    <w:next w:val="CommentText"/>
    <w:link w:val="CommentSubjectChar"/>
    <w:uiPriority w:val="99"/>
    <w:rsid w:val="006855D2"/>
    <w:rPr>
      <w:b/>
      <w:bCs/>
    </w:rPr>
  </w:style>
  <w:style w:type="character" w:customStyle="1" w:styleId="CommentSubjectChar">
    <w:name w:val="Comment Subject Char"/>
    <w:basedOn w:val="CommentTextChar"/>
    <w:link w:val="CommentSubject"/>
    <w:uiPriority w:val="99"/>
    <w:locked/>
    <w:rsid w:val="006855D2"/>
    <w:rPr>
      <w:rFonts w:ascii="Arial" w:hAnsi="Arial" w:cs="Arial"/>
      <w:b/>
      <w:bCs/>
    </w:rPr>
  </w:style>
  <w:style w:type="numbering" w:customStyle="1" w:styleId="Text">
    <w:name w:val="Text"/>
    <w:rsid w:val="002962C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easury.nt.gov.au/PMS/Publications/TaxesRoyaltiesGrants/HomeOwnerIncent/F-HI-00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treasury.nt.gov.au/PMS/Publications/TaxesRoyaltiesGrants/HomeOwnerIncent/CG-HI-001.pdf" TargetMode="External"/><Relationship Id="rId17" Type="http://schemas.openxmlformats.org/officeDocument/2006/relationships/hyperlink" Target="http://www.revenue.nt.gov.au" TargetMode="External"/><Relationship Id="rId2" Type="http://schemas.openxmlformats.org/officeDocument/2006/relationships/customXml" Target="../customXml/item2.xml"/><Relationship Id="rId16" Type="http://schemas.openxmlformats.org/officeDocument/2006/relationships/hyperlink" Target="mailto:ntrevenue.ntt@nt.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HomeOwnerIncent/CG-HI-011A.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tiff"/><Relationship Id="rId23" Type="http://schemas.openxmlformats.org/officeDocument/2006/relationships/fontTable" Target="fontTable.xml"/><Relationship Id="rId10" Type="http://schemas.openxmlformats.org/officeDocument/2006/relationships/hyperlink" Target="http://www.treasury.nt.gov.au/PMS/Publications/TaxesRoyaltiesGrants/HomeOwnerIncent/F-HI-001.pdf"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easury.nt.gov.au/PMS/Publications/TaxesRoyaltiesGrants/GeneralAdmin/CG-GEN-001.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General (G)</Tax_x0020_Type>
    <Publication_x0020_Title xmlns="378e824e-6e02-4c0d-8321-dd86fba681ee">2012-13 Mini-Budget Measures</Publication_x0020_Title>
    <Details xmlns="378e824e-6e02-4c0d-8321-dd86fba681ee" xsi:nil="true"/>
    <Identifier xmlns="378e824e-6e02-4c0d-8321-dd86fba681ee">RC-GEN-013</Identifier>
    <Publication_x0020_Type xmlns="378e824e-6e02-4c0d-8321-dd86fba681ee">Revenue Circulars (RC)</Publication_x0020_Type>
    <Sub_x0020_Sub_x0020_Category xmlns="378e824e-6e02-4c0d-8321-dd86fba681ee" xsi:nil="true"/>
    <Release_x0020_Date xmlns="378e824e-6e02-4c0d-8321-dd86fba681ee" xsi:nil="true"/>
    <Sub_x0020_Category xmlns="378e824e-6e02-4c0d-8321-dd86fba681ee">26</Sub_x0020_Category>
    <Notify xmlns="378e824e-6e02-4c0d-8321-dd86fba681ee">false</Notify>
  </documentManagement>
</p:properties>
</file>

<file path=customXml/itemProps1.xml><?xml version="1.0" encoding="utf-8"?>
<ds:datastoreItem xmlns:ds="http://schemas.openxmlformats.org/officeDocument/2006/customXml" ds:itemID="{C9556F61-5D9F-456D-9DCC-7C116DC00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9AD84-9720-4BB2-A712-9B158E08E5B7}">
  <ds:schemaRefs>
    <ds:schemaRef ds:uri="http://schemas.microsoft.com/sharepoint/v3/contenttype/forms"/>
  </ds:schemaRefs>
</ds:datastoreItem>
</file>

<file path=customXml/itemProps3.xml><?xml version="1.0" encoding="utf-8"?>
<ds:datastoreItem xmlns:ds="http://schemas.openxmlformats.org/officeDocument/2006/customXml" ds:itemID="{E3634F3C-1DB3-4C45-AEF1-55DDBC739E35}">
  <ds:schemaRefs>
    <ds:schemaRef ds:uri="http://schemas.microsoft.com/office/2006/metadata/properties"/>
    <ds:schemaRef ds:uri="http://schemas.microsoft.com/office/infopath/2007/PartnerControls"/>
    <ds:schemaRef ds:uri="378e824e-6e02-4c0d-8321-dd86fba681ee"/>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1544</Words>
  <Characters>8807</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2012-13 Mini-Budget Measures</dc:title>
  <dc:subject/>
  <dc:creator>Northern Territory Government</dc:creator>
  <cp:keywords/>
  <dc:description/>
  <cp:lastModifiedBy>Jessica Symonds</cp:lastModifiedBy>
  <cp:revision>10</cp:revision>
  <cp:lastPrinted>2012-12-07T01:56:00Z</cp:lastPrinted>
  <dcterms:created xsi:type="dcterms:W3CDTF">2012-12-04T00:45:00Z</dcterms:created>
  <dcterms:modified xsi:type="dcterms:W3CDTF">2021-09-08T02:01:00Z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