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0A" w:rsidRPr="00AE50DD" w:rsidRDefault="00931A0A" w:rsidP="007C3AAA">
      <w:pPr>
        <w:pStyle w:val="Heading2"/>
        <w:rPr>
          <w:sz w:val="36"/>
          <w:szCs w:val="36"/>
        </w:rPr>
      </w:pPr>
      <w:r w:rsidRPr="00B6209F">
        <w:rPr>
          <w:rStyle w:val="Heading1Char"/>
          <w:b/>
          <w:i w:val="0"/>
        </w:rPr>
        <w:t>Payroll Tax</w:t>
      </w:r>
      <w:r w:rsidRPr="00AE50DD">
        <w:rPr>
          <w:rStyle w:val="Heading1Char"/>
          <w:i w:val="0"/>
        </w:rPr>
        <w:t xml:space="preserve"> </w:t>
      </w:r>
      <w:r>
        <w:rPr>
          <w:sz w:val="36"/>
          <w:szCs w:val="36"/>
        </w:rPr>
        <w:t>Ruling PTA013</w:t>
      </w:r>
    </w:p>
    <w:p w:rsidR="00931A0A" w:rsidRPr="00AE50DD" w:rsidRDefault="00931A0A" w:rsidP="00FF0316">
      <w:pPr>
        <w:pStyle w:val="Heading3"/>
        <w:rPr>
          <w:sz w:val="36"/>
          <w:szCs w:val="36"/>
        </w:rPr>
      </w:pPr>
      <w:r w:rsidRPr="00AE50DD">
        <w:rPr>
          <w:sz w:val="36"/>
          <w:szCs w:val="36"/>
        </w:rPr>
        <w:t xml:space="preserve">Fees Paid </w:t>
      </w:r>
      <w:r>
        <w:rPr>
          <w:sz w:val="36"/>
          <w:szCs w:val="36"/>
        </w:rPr>
        <w:t>to Golf Professionals by Golf Clubs</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0" w:type="dxa"/>
          <w:bottom w:w="57" w:type="dxa"/>
          <w:right w:w="0" w:type="dxa"/>
        </w:tblCellMar>
        <w:tblLook w:val="01E0" w:firstRow="1" w:lastRow="1" w:firstColumn="1" w:lastColumn="1" w:noHBand="0" w:noVBand="0"/>
      </w:tblPr>
      <w:tblGrid>
        <w:gridCol w:w="2409"/>
        <w:gridCol w:w="2410"/>
        <w:gridCol w:w="2410"/>
        <w:gridCol w:w="2410"/>
      </w:tblGrid>
      <w:tr w:rsidR="00931A0A" w:rsidRPr="005F7B83" w:rsidTr="005F7B83">
        <w:tc>
          <w:tcPr>
            <w:tcW w:w="2409" w:type="dxa"/>
            <w:shd w:val="clear" w:color="auto" w:fill="E6E6E6"/>
          </w:tcPr>
          <w:p w:rsidR="00931A0A" w:rsidRPr="00FF0316" w:rsidRDefault="00931A0A" w:rsidP="007C3AAA">
            <w:pPr>
              <w:pStyle w:val="RulingTableTitles"/>
            </w:pPr>
            <w:r w:rsidRPr="00FF0316">
              <w:t>Version</w:t>
            </w:r>
          </w:p>
        </w:tc>
        <w:tc>
          <w:tcPr>
            <w:tcW w:w="2410" w:type="dxa"/>
            <w:shd w:val="clear" w:color="auto" w:fill="E6E6E6"/>
          </w:tcPr>
          <w:p w:rsidR="00931A0A" w:rsidRPr="00FF0316" w:rsidRDefault="00931A0A" w:rsidP="007C3AAA">
            <w:pPr>
              <w:pStyle w:val="RulingTableTitles"/>
            </w:pPr>
            <w:r w:rsidRPr="00FF0316">
              <w:t>Issued</w:t>
            </w:r>
          </w:p>
        </w:tc>
        <w:tc>
          <w:tcPr>
            <w:tcW w:w="4820" w:type="dxa"/>
            <w:gridSpan w:val="2"/>
            <w:shd w:val="clear" w:color="auto" w:fill="E6E6E6"/>
          </w:tcPr>
          <w:p w:rsidR="00931A0A" w:rsidRPr="00FF0316" w:rsidRDefault="00931A0A" w:rsidP="007C3AAA">
            <w:pPr>
              <w:pStyle w:val="RulingTableTitles"/>
            </w:pPr>
            <w:r w:rsidRPr="00FF0316">
              <w:t>Dates of Effect</w:t>
            </w:r>
          </w:p>
        </w:tc>
      </w:tr>
      <w:tr w:rsidR="00931A0A" w:rsidRPr="00D970EC" w:rsidTr="005F7B83">
        <w:tc>
          <w:tcPr>
            <w:tcW w:w="2409" w:type="dxa"/>
          </w:tcPr>
          <w:p w:rsidR="00931A0A" w:rsidRPr="005C5E02" w:rsidRDefault="00931A0A" w:rsidP="005F7B83">
            <w:pPr>
              <w:jc w:val="center"/>
            </w:pPr>
            <w:r>
              <w:t>1</w:t>
            </w:r>
          </w:p>
        </w:tc>
        <w:tc>
          <w:tcPr>
            <w:tcW w:w="2410" w:type="dxa"/>
          </w:tcPr>
          <w:p w:rsidR="00931A0A" w:rsidRPr="005C5E02" w:rsidRDefault="00931A0A" w:rsidP="005F7B83">
            <w:pPr>
              <w:jc w:val="center"/>
            </w:pPr>
            <w:r>
              <w:t>7 July 2009</w:t>
            </w:r>
          </w:p>
        </w:tc>
        <w:tc>
          <w:tcPr>
            <w:tcW w:w="2410" w:type="dxa"/>
          </w:tcPr>
          <w:p w:rsidR="00931A0A" w:rsidRPr="005C5E02" w:rsidRDefault="00931A0A" w:rsidP="005F7B83">
            <w:pPr>
              <w:jc w:val="center"/>
            </w:pPr>
            <w:r w:rsidRPr="005C5E02">
              <w:t xml:space="preserve">From: </w:t>
            </w:r>
            <w:r>
              <w:t>1 July 2009</w:t>
            </w:r>
          </w:p>
        </w:tc>
        <w:tc>
          <w:tcPr>
            <w:tcW w:w="2410" w:type="dxa"/>
          </w:tcPr>
          <w:p w:rsidR="00931A0A" w:rsidRPr="005C5E02" w:rsidRDefault="00931A0A" w:rsidP="005F1850">
            <w:pPr>
              <w:jc w:val="center"/>
            </w:pPr>
            <w:r w:rsidRPr="005C5E02">
              <w:t xml:space="preserve">To: </w:t>
            </w:r>
            <w:r>
              <w:t>30 May 2013</w:t>
            </w:r>
          </w:p>
        </w:tc>
      </w:tr>
      <w:tr w:rsidR="00931A0A" w:rsidRPr="00D970EC" w:rsidTr="005F7B83">
        <w:tc>
          <w:tcPr>
            <w:tcW w:w="2409" w:type="dxa"/>
          </w:tcPr>
          <w:p w:rsidR="00931A0A" w:rsidRDefault="00931A0A" w:rsidP="005F7B83">
            <w:pPr>
              <w:jc w:val="center"/>
            </w:pPr>
            <w:r>
              <w:t>2</w:t>
            </w:r>
          </w:p>
        </w:tc>
        <w:tc>
          <w:tcPr>
            <w:tcW w:w="2410" w:type="dxa"/>
          </w:tcPr>
          <w:p w:rsidR="00931A0A" w:rsidRDefault="00832FFE" w:rsidP="005F7B83">
            <w:pPr>
              <w:jc w:val="center"/>
            </w:pPr>
            <w:r>
              <w:t>3 June</w:t>
            </w:r>
            <w:r w:rsidR="00931A0A">
              <w:t xml:space="preserve"> 2013</w:t>
            </w:r>
          </w:p>
        </w:tc>
        <w:tc>
          <w:tcPr>
            <w:tcW w:w="2410" w:type="dxa"/>
          </w:tcPr>
          <w:p w:rsidR="00931A0A" w:rsidRPr="005C5E02" w:rsidRDefault="00931A0A" w:rsidP="00832FFE">
            <w:pPr>
              <w:jc w:val="center"/>
            </w:pPr>
            <w:r>
              <w:t xml:space="preserve">From: </w:t>
            </w:r>
            <w:r w:rsidR="00832FFE">
              <w:t>3 June</w:t>
            </w:r>
            <w:r>
              <w:t xml:space="preserve"> 2013</w:t>
            </w:r>
          </w:p>
        </w:tc>
        <w:tc>
          <w:tcPr>
            <w:tcW w:w="2410" w:type="dxa"/>
          </w:tcPr>
          <w:p w:rsidR="00931A0A" w:rsidRPr="005C5E02" w:rsidRDefault="00931A0A" w:rsidP="005F7B83">
            <w:pPr>
              <w:jc w:val="center"/>
            </w:pPr>
            <w:r>
              <w:t>To: Current</w:t>
            </w:r>
          </w:p>
        </w:tc>
      </w:tr>
    </w:tbl>
    <w:p w:rsidR="00931A0A" w:rsidRPr="00DF5711" w:rsidRDefault="00931A0A" w:rsidP="00933E57">
      <w:pPr>
        <w:pStyle w:val="RulingBodyText"/>
      </w:pPr>
    </w:p>
    <w:p w:rsidR="00931A0A" w:rsidRPr="00AE50DD" w:rsidRDefault="00931A0A" w:rsidP="00CB1C14">
      <w:pPr>
        <w:pStyle w:val="RulingHeading4"/>
        <w:rPr>
          <w:sz w:val="24"/>
          <w:szCs w:val="24"/>
        </w:rPr>
      </w:pPr>
      <w:r w:rsidRPr="00AE50DD">
        <w:rPr>
          <w:sz w:val="24"/>
          <w:szCs w:val="24"/>
        </w:rPr>
        <w:t>PREAMBLE</w:t>
      </w:r>
    </w:p>
    <w:p w:rsidR="00931A0A" w:rsidRDefault="00931A0A" w:rsidP="005C5E02">
      <w:pPr>
        <w:pStyle w:val="RulingBodyText"/>
      </w:pPr>
    </w:p>
    <w:p w:rsidR="00931A0A" w:rsidRDefault="00931A0A" w:rsidP="005C5E02">
      <w:pPr>
        <w:pStyle w:val="RulingBodyText"/>
      </w:pPr>
      <w:r w:rsidRPr="005D77C0">
        <w:t xml:space="preserve">The </w:t>
      </w:r>
      <w:r w:rsidRPr="005D77C0">
        <w:rPr>
          <w:i/>
        </w:rPr>
        <w:t>Payroll Tax Act</w:t>
      </w:r>
      <w:r w:rsidRPr="005D77C0">
        <w:t xml:space="preserve"> (the Act), which commenced on 1 July 2009, rewrites the </w:t>
      </w:r>
      <w:r w:rsidRPr="005D77C0">
        <w:rPr>
          <w:i/>
        </w:rPr>
        <w:t xml:space="preserve">Pay-roll Tax Act </w:t>
      </w:r>
      <w:r w:rsidR="00832FFE">
        <w:t>and largely harmonises the payroll tax legislation in a number of Australian jurisdictions.</w:t>
      </w:r>
    </w:p>
    <w:p w:rsidR="00931A0A" w:rsidRDefault="00931A0A" w:rsidP="00251E3E">
      <w:pPr>
        <w:autoSpaceDE w:val="0"/>
        <w:autoSpaceDN w:val="0"/>
        <w:adjustRightInd w:val="0"/>
        <w:spacing w:line="240" w:lineRule="auto"/>
      </w:pPr>
      <w:r w:rsidRPr="00251E3E">
        <w:t>Even though a golf club may set a minimum number</w:t>
      </w:r>
      <w:r>
        <w:t xml:space="preserve"> </w:t>
      </w:r>
      <w:r w:rsidRPr="00251E3E">
        <w:t>of working hours, a golf professional is unlikely to be</w:t>
      </w:r>
      <w:r>
        <w:t xml:space="preserve"> </w:t>
      </w:r>
      <w:r w:rsidRPr="00251E3E">
        <w:t>a common law employee as the golf professional may</w:t>
      </w:r>
      <w:r>
        <w:t xml:space="preserve"> </w:t>
      </w:r>
      <w:r w:rsidRPr="00251E3E">
        <w:t>be carrying on a business of providing professional golf</w:t>
      </w:r>
      <w:r>
        <w:t xml:space="preserve"> </w:t>
      </w:r>
      <w:r w:rsidRPr="00251E3E">
        <w:t>services (whether in his/her own capacity,</w:t>
      </w:r>
      <w:r w:rsidR="00832FFE">
        <w:t xml:space="preserve"> or through a</w:t>
      </w:r>
      <w:r w:rsidRPr="00251E3E">
        <w:t xml:space="preserve"> partnership</w:t>
      </w:r>
      <w:r>
        <w:t xml:space="preserve"> </w:t>
      </w:r>
      <w:r w:rsidRPr="00251E3E">
        <w:t>or an incorporated entity). In addition, a golf</w:t>
      </w:r>
      <w:r>
        <w:t xml:space="preserve"> </w:t>
      </w:r>
      <w:r w:rsidRPr="00251E3E">
        <w:t>professional is not usually entitled to the various types</w:t>
      </w:r>
      <w:r>
        <w:t xml:space="preserve"> </w:t>
      </w:r>
      <w:r w:rsidRPr="00251E3E">
        <w:t xml:space="preserve">of paid leave </w:t>
      </w:r>
      <w:r w:rsidR="00832FFE">
        <w:t>to which an</w:t>
      </w:r>
      <w:r w:rsidRPr="00251E3E">
        <w:t xml:space="preserve"> employee is normally entitled</w:t>
      </w:r>
      <w:r w:rsidR="00832FFE">
        <w:t>.</w:t>
      </w:r>
    </w:p>
    <w:p w:rsidR="00931A0A" w:rsidRPr="00251E3E" w:rsidRDefault="00931A0A" w:rsidP="00251E3E">
      <w:pPr>
        <w:autoSpaceDE w:val="0"/>
        <w:autoSpaceDN w:val="0"/>
        <w:adjustRightInd w:val="0"/>
        <w:spacing w:line="240" w:lineRule="auto"/>
      </w:pPr>
    </w:p>
    <w:p w:rsidR="00931A0A" w:rsidRDefault="00931A0A" w:rsidP="00251E3E">
      <w:pPr>
        <w:autoSpaceDE w:val="0"/>
        <w:autoSpaceDN w:val="0"/>
        <w:adjustRightInd w:val="0"/>
        <w:spacing w:line="240" w:lineRule="auto"/>
      </w:pPr>
      <w:r w:rsidRPr="00251E3E">
        <w:t>The income of a golf professional may include prize</w:t>
      </w:r>
      <w:r>
        <w:t xml:space="preserve"> </w:t>
      </w:r>
      <w:r w:rsidRPr="00251E3E">
        <w:t>money, proceeds from the sale of goods in the pro</w:t>
      </w:r>
      <w:r>
        <w:t xml:space="preserve"> </w:t>
      </w:r>
      <w:r w:rsidRPr="00251E3E">
        <w:t>shop, fees for golf lessons provided, and retainer and</w:t>
      </w:r>
      <w:r>
        <w:t xml:space="preserve"> </w:t>
      </w:r>
      <w:r w:rsidRPr="00251E3E">
        <w:t xml:space="preserve">commission payments from a golf club. </w:t>
      </w:r>
    </w:p>
    <w:p w:rsidR="00931A0A" w:rsidRDefault="00931A0A" w:rsidP="00251E3E">
      <w:pPr>
        <w:autoSpaceDE w:val="0"/>
        <w:autoSpaceDN w:val="0"/>
        <w:adjustRightInd w:val="0"/>
        <w:spacing w:line="240" w:lineRule="auto"/>
      </w:pPr>
    </w:p>
    <w:p w:rsidR="00931A0A" w:rsidRPr="00251E3E" w:rsidRDefault="00931A0A" w:rsidP="00251E3E">
      <w:pPr>
        <w:autoSpaceDE w:val="0"/>
        <w:autoSpaceDN w:val="0"/>
        <w:adjustRightInd w:val="0"/>
        <w:spacing w:line="240" w:lineRule="auto"/>
      </w:pPr>
      <w:r w:rsidRPr="00251E3E">
        <w:t>The purpose of</w:t>
      </w:r>
      <w:r>
        <w:t xml:space="preserve"> </w:t>
      </w:r>
      <w:r w:rsidRPr="00251E3E">
        <w:t xml:space="preserve">this </w:t>
      </w:r>
      <w:r>
        <w:t xml:space="preserve">Payroll Tax </w:t>
      </w:r>
      <w:r w:rsidRPr="00251E3E">
        <w:t>Ruling is to clarify a golf club’s payroll tax</w:t>
      </w:r>
      <w:r>
        <w:t xml:space="preserve"> </w:t>
      </w:r>
      <w:r w:rsidRPr="00251E3E">
        <w:t>liability on payments made to a golf professional.</w:t>
      </w:r>
    </w:p>
    <w:p w:rsidR="00931A0A" w:rsidRDefault="00931A0A" w:rsidP="00DB5668"/>
    <w:p w:rsidR="00931A0A" w:rsidRPr="00AE50DD" w:rsidRDefault="00931A0A" w:rsidP="0073344F">
      <w:pPr>
        <w:pStyle w:val="RulingHeading4"/>
        <w:tabs>
          <w:tab w:val="left" w:pos="2043"/>
        </w:tabs>
        <w:rPr>
          <w:sz w:val="24"/>
          <w:szCs w:val="24"/>
        </w:rPr>
      </w:pPr>
      <w:r w:rsidRPr="00AE50DD">
        <w:rPr>
          <w:sz w:val="24"/>
          <w:szCs w:val="24"/>
        </w:rPr>
        <w:t>R</w:t>
      </w:r>
      <w:r>
        <w:rPr>
          <w:sz w:val="24"/>
          <w:szCs w:val="24"/>
        </w:rPr>
        <w:t>ULING</w:t>
      </w:r>
      <w:r w:rsidR="0073344F">
        <w:rPr>
          <w:sz w:val="24"/>
          <w:szCs w:val="24"/>
        </w:rPr>
        <w:tab/>
      </w:r>
    </w:p>
    <w:p w:rsidR="00931A0A" w:rsidRPr="00DE02A8" w:rsidRDefault="00931A0A" w:rsidP="00DE02A8"/>
    <w:p w:rsidR="00931A0A" w:rsidRPr="00251E3E" w:rsidRDefault="00931A0A" w:rsidP="00251E3E">
      <w:pPr>
        <w:autoSpaceDE w:val="0"/>
        <w:autoSpaceDN w:val="0"/>
        <w:adjustRightInd w:val="0"/>
        <w:spacing w:line="240" w:lineRule="auto"/>
      </w:pPr>
      <w:r w:rsidRPr="00251E3E">
        <w:t>Although a golf professional is unlikely to be a</w:t>
      </w:r>
      <w:r>
        <w:t xml:space="preserve"> </w:t>
      </w:r>
      <w:r w:rsidRPr="00251E3E">
        <w:t>common law employee of a golf club, the golf</w:t>
      </w:r>
      <w:r>
        <w:t xml:space="preserve"> </w:t>
      </w:r>
      <w:r w:rsidRPr="00251E3E">
        <w:t>professional may be deemed as an employee of</w:t>
      </w:r>
      <w:r>
        <w:t xml:space="preserve"> </w:t>
      </w:r>
      <w:r w:rsidRPr="00251E3E">
        <w:t>the golf club and any payments made to the golf</w:t>
      </w:r>
      <w:r>
        <w:t xml:space="preserve"> </w:t>
      </w:r>
      <w:r w:rsidRPr="00251E3E">
        <w:t>professional may be deemed as wages under Division</w:t>
      </w:r>
      <w:r>
        <w:t xml:space="preserve"> </w:t>
      </w:r>
      <w:r w:rsidRPr="00251E3E">
        <w:t>7 of Part 3 of the Act (the Contractor Provisions).</w:t>
      </w:r>
      <w:r>
        <w:t xml:space="preserve"> </w:t>
      </w:r>
      <w:r w:rsidRPr="00251E3E">
        <w:t>Deemed wages are subject to payroll tax under section</w:t>
      </w:r>
      <w:r>
        <w:t xml:space="preserve"> </w:t>
      </w:r>
      <w:r w:rsidRPr="00251E3E">
        <w:t>3</w:t>
      </w:r>
      <w:r>
        <w:t>5</w:t>
      </w:r>
      <w:r w:rsidRPr="00251E3E">
        <w:t xml:space="preserve"> of the Act.</w:t>
      </w:r>
    </w:p>
    <w:p w:rsidR="00931A0A" w:rsidRDefault="00931A0A" w:rsidP="00251E3E">
      <w:pPr>
        <w:autoSpaceDE w:val="0"/>
        <w:autoSpaceDN w:val="0"/>
        <w:adjustRightInd w:val="0"/>
        <w:spacing w:line="240" w:lineRule="auto"/>
      </w:pPr>
    </w:p>
    <w:p w:rsidR="00931A0A" w:rsidRPr="00251E3E" w:rsidRDefault="00931A0A" w:rsidP="00251E3E">
      <w:pPr>
        <w:autoSpaceDE w:val="0"/>
        <w:autoSpaceDN w:val="0"/>
        <w:adjustRightInd w:val="0"/>
        <w:spacing w:line="240" w:lineRule="auto"/>
      </w:pPr>
      <w:r w:rsidRPr="00251E3E">
        <w:t>However, payments made by a golf club to a golf</w:t>
      </w:r>
      <w:r>
        <w:t xml:space="preserve"> </w:t>
      </w:r>
      <w:r w:rsidRPr="00251E3E">
        <w:t>professional may be exempt from payroll tax if:</w:t>
      </w:r>
    </w:p>
    <w:p w:rsidR="00931A0A" w:rsidRDefault="00931A0A" w:rsidP="00DB5668">
      <w:pPr>
        <w:pStyle w:val="RulingBodyText"/>
      </w:pPr>
    </w:p>
    <w:p w:rsidR="00931A0A" w:rsidRPr="00251E3E" w:rsidRDefault="00931A0A" w:rsidP="004E59A4">
      <w:pPr>
        <w:numPr>
          <w:ilvl w:val="0"/>
          <w:numId w:val="14"/>
        </w:numPr>
        <w:tabs>
          <w:tab w:val="clear" w:pos="720"/>
          <w:tab w:val="num" w:pos="360"/>
        </w:tabs>
        <w:autoSpaceDE w:val="0"/>
        <w:autoSpaceDN w:val="0"/>
        <w:adjustRightInd w:val="0"/>
        <w:spacing w:line="240" w:lineRule="auto"/>
        <w:ind w:left="360"/>
      </w:pPr>
      <w:r>
        <w:t>t</w:t>
      </w:r>
      <w:r w:rsidRPr="00251E3E">
        <w:t>he golf professional provides services to the golf</w:t>
      </w:r>
      <w:r>
        <w:t xml:space="preserve"> </w:t>
      </w:r>
      <w:r w:rsidRPr="00251E3E">
        <w:t>club for no more than 90 days in a financial</w:t>
      </w:r>
      <w:r>
        <w:t xml:space="preserve"> </w:t>
      </w:r>
      <w:r w:rsidRPr="00251E3E">
        <w:t>year (section 32(2)(b)(iii) of the Act). For more</w:t>
      </w:r>
      <w:r>
        <w:t xml:space="preserve"> </w:t>
      </w:r>
      <w:r w:rsidRPr="00251E3E">
        <w:t>information on what constitutes a day’s work, refer</w:t>
      </w:r>
      <w:r>
        <w:t xml:space="preserve"> </w:t>
      </w:r>
      <w:r w:rsidRPr="00251E3E">
        <w:t xml:space="preserve">to </w:t>
      </w:r>
      <w:r>
        <w:t xml:space="preserve">Payroll Tax </w:t>
      </w:r>
      <w:r w:rsidRPr="00251E3E">
        <w:t>Ruling PTA014.</w:t>
      </w:r>
    </w:p>
    <w:p w:rsidR="00931A0A" w:rsidRDefault="00931A0A" w:rsidP="00DB5668">
      <w:pPr>
        <w:pStyle w:val="RulingBodyText"/>
      </w:pPr>
    </w:p>
    <w:p w:rsidR="00931A0A" w:rsidRPr="00A74C97" w:rsidRDefault="00931A0A" w:rsidP="004E59A4">
      <w:pPr>
        <w:numPr>
          <w:ilvl w:val="0"/>
          <w:numId w:val="14"/>
        </w:numPr>
        <w:tabs>
          <w:tab w:val="clear" w:pos="720"/>
          <w:tab w:val="num" w:pos="360"/>
        </w:tabs>
        <w:autoSpaceDE w:val="0"/>
        <w:autoSpaceDN w:val="0"/>
        <w:adjustRightInd w:val="0"/>
        <w:spacing w:line="240" w:lineRule="auto"/>
        <w:ind w:left="360"/>
      </w:pPr>
      <w:r w:rsidRPr="00A74C97">
        <w:t>the golf professional engages another person to assist in providing the services to the golf club (section 32(2)(c) of the Act). That person must be engaged in a substantially full-time capacity and provide services required of the golf professional under the contract between the golf professional and the club. Further, that person cannot merely be providing administrative services to the golf professional’s business.</w:t>
      </w:r>
    </w:p>
    <w:p w:rsidR="00931A0A" w:rsidRDefault="00931A0A" w:rsidP="00DB5668">
      <w:pPr>
        <w:pStyle w:val="RulingBodyText"/>
      </w:pPr>
    </w:p>
    <w:p w:rsidR="00931A0A" w:rsidRDefault="00931A0A" w:rsidP="004E59A4">
      <w:pPr>
        <w:numPr>
          <w:ilvl w:val="0"/>
          <w:numId w:val="14"/>
        </w:numPr>
        <w:tabs>
          <w:tab w:val="clear" w:pos="720"/>
          <w:tab w:val="num" w:pos="360"/>
        </w:tabs>
        <w:autoSpaceDE w:val="0"/>
        <w:autoSpaceDN w:val="0"/>
        <w:adjustRightInd w:val="0"/>
        <w:spacing w:line="240" w:lineRule="auto"/>
        <w:ind w:left="360"/>
      </w:pPr>
      <w:r w:rsidRPr="0038639D">
        <w:t>the Commissioner of Territory Revenue (the Commissioner) is satisfied that the golf professional provides the same kind of services provided to the club, to the general public in that financial year (section 32(2)(b)(iv) of the Act). The Commissioner would generally accept that the golf professional provides services to the general public if the golf professional earns more than 50 per cent of his/her income as a golf professional from sources other than the golf club that engages him/her.</w:t>
      </w:r>
    </w:p>
    <w:p w:rsidR="00931A0A" w:rsidRDefault="00931A0A" w:rsidP="00D563CF">
      <w:pPr>
        <w:autoSpaceDE w:val="0"/>
        <w:autoSpaceDN w:val="0"/>
        <w:adjustRightInd w:val="0"/>
        <w:spacing w:line="240" w:lineRule="auto"/>
      </w:pPr>
    </w:p>
    <w:p w:rsidR="00931A0A" w:rsidRPr="00D563CF" w:rsidRDefault="00931A0A" w:rsidP="00D563CF">
      <w:pPr>
        <w:pStyle w:val="RulingHeading4"/>
        <w:rPr>
          <w:i/>
        </w:rPr>
      </w:pPr>
      <w:r w:rsidRPr="00D563CF">
        <w:rPr>
          <w:i/>
        </w:rPr>
        <w:t>Grouping of the business of the golf professional and the golf club</w:t>
      </w:r>
    </w:p>
    <w:p w:rsidR="00931A0A" w:rsidRDefault="00931A0A" w:rsidP="00AE50DD">
      <w:pPr>
        <w:autoSpaceDE w:val="0"/>
        <w:autoSpaceDN w:val="0"/>
        <w:adjustRightInd w:val="0"/>
        <w:spacing w:line="120" w:lineRule="exact"/>
      </w:pPr>
    </w:p>
    <w:p w:rsidR="00931A0A" w:rsidRPr="00D563CF" w:rsidRDefault="00931A0A" w:rsidP="00D563CF">
      <w:pPr>
        <w:autoSpaceDE w:val="0"/>
        <w:autoSpaceDN w:val="0"/>
        <w:adjustRightInd w:val="0"/>
        <w:spacing w:line="240" w:lineRule="auto"/>
      </w:pPr>
      <w:r w:rsidRPr="00D563CF">
        <w:t>Even if the payments to a golf professional were exempt under the Contractor Provisions, the business of the golf club</w:t>
      </w:r>
      <w:r>
        <w:t xml:space="preserve"> may still be</w:t>
      </w:r>
      <w:r w:rsidRPr="00D563CF">
        <w:t xml:space="preserve"> grouped with the business of the golf professional under Part</w:t>
      </w:r>
      <w:r>
        <w:t> </w:t>
      </w:r>
      <w:r w:rsidRPr="00D563CF">
        <w:t xml:space="preserve">5 of the Act (the Grouping Provisions). </w:t>
      </w:r>
      <w:r>
        <w:t>If so, in</w:t>
      </w:r>
      <w:r w:rsidRPr="00D563CF">
        <w:t xml:space="preserve"> calculating the payroll tax liability under the Grouping</w:t>
      </w:r>
      <w:r>
        <w:t> </w:t>
      </w:r>
      <w:r w:rsidRPr="00D563CF">
        <w:t>Provisions, all wages paid by the golf professional’s business and those paid by</w:t>
      </w:r>
      <w:r>
        <w:t xml:space="preserve"> </w:t>
      </w:r>
      <w:r w:rsidRPr="00D563CF">
        <w:t>the golf club are aggregated.</w:t>
      </w:r>
    </w:p>
    <w:p w:rsidR="00931A0A" w:rsidRPr="0038639D" w:rsidRDefault="00931A0A" w:rsidP="00D563CF">
      <w:pPr>
        <w:autoSpaceDE w:val="0"/>
        <w:autoSpaceDN w:val="0"/>
        <w:adjustRightInd w:val="0"/>
        <w:spacing w:line="240" w:lineRule="auto"/>
      </w:pPr>
    </w:p>
    <w:p w:rsidR="00931A0A" w:rsidRDefault="00931A0A" w:rsidP="00D563CF">
      <w:pPr>
        <w:autoSpaceDE w:val="0"/>
        <w:autoSpaceDN w:val="0"/>
        <w:adjustRightInd w:val="0"/>
        <w:spacing w:line="240" w:lineRule="auto"/>
      </w:pPr>
      <w:r w:rsidRPr="00D563CF">
        <w:t>For the Grouping Provisions to apply, the business of the golf club and the golf professional would have to be substantially dependent or connected. Given the way that most golf professionals operate, if less than 50 per cent of the golf professional’s income for providing professional golf services is derived from the golf club, the Commissioner would generally exercise his discretion not to group the golf professional with</w:t>
      </w:r>
      <w:r>
        <w:t xml:space="preserve"> </w:t>
      </w:r>
      <w:r w:rsidRPr="00D563CF">
        <w:t>the golf club.</w:t>
      </w:r>
    </w:p>
    <w:p w:rsidR="00931A0A" w:rsidRDefault="00931A0A" w:rsidP="00D563CF">
      <w:pPr>
        <w:autoSpaceDE w:val="0"/>
        <w:autoSpaceDN w:val="0"/>
        <w:adjustRightInd w:val="0"/>
        <w:spacing w:line="240" w:lineRule="auto"/>
      </w:pPr>
    </w:p>
    <w:p w:rsidR="00931A0A" w:rsidRPr="00D563CF" w:rsidRDefault="00931A0A" w:rsidP="00D563CF">
      <w:pPr>
        <w:autoSpaceDE w:val="0"/>
        <w:autoSpaceDN w:val="0"/>
        <w:adjustRightInd w:val="0"/>
        <w:spacing w:line="240" w:lineRule="auto"/>
      </w:pPr>
      <w:r w:rsidRPr="00D563CF">
        <w:t xml:space="preserve">Golf clubs should apply to the Commissioner for </w:t>
      </w:r>
      <w:r>
        <w:t>clarification</w:t>
      </w:r>
      <w:r w:rsidRPr="00D563CF">
        <w:t xml:space="preserve"> if they are uncertain as to whether their</w:t>
      </w:r>
      <w:r>
        <w:t xml:space="preserve"> </w:t>
      </w:r>
      <w:r w:rsidRPr="00D563CF">
        <w:t>payments to golf professionals are subject to payroll</w:t>
      </w:r>
      <w:r>
        <w:t xml:space="preserve"> </w:t>
      </w:r>
      <w:r w:rsidRPr="00D563CF">
        <w:t>tax</w:t>
      </w:r>
      <w:r>
        <w:t>.</w:t>
      </w:r>
    </w:p>
    <w:p w:rsidR="00931A0A" w:rsidRDefault="00931A0A" w:rsidP="00865E0D">
      <w:pPr>
        <w:pStyle w:val="RulingBodyText"/>
      </w:pPr>
    </w:p>
    <w:p w:rsidR="00931A0A" w:rsidRPr="00CB1C14" w:rsidRDefault="00931A0A" w:rsidP="00CB1C14">
      <w:pPr>
        <w:pStyle w:val="Bold"/>
      </w:pPr>
      <w:r w:rsidRPr="00CB1C14">
        <w:t xml:space="preserve">Please note that rulings do not have the force of law.  Each </w:t>
      </w:r>
      <w:r>
        <w:t xml:space="preserve">decision made by the Territory Revenue Office </w:t>
      </w:r>
      <w:r w:rsidRPr="00CB1C14">
        <w:t xml:space="preserve">is made on the merits of each individual case, having regard to any relevant ruling.  </w:t>
      </w:r>
      <w:hyperlink r:id="rId10" w:tooltip="Link to Commissioner’s Guideline CG-GEN-001" w:history="1">
        <w:r w:rsidRPr="003E7593">
          <w:rPr>
            <w:rStyle w:val="Hyperlink"/>
          </w:rPr>
          <w:t>Commissioner’s Guideline CG-GEN-001,</w:t>
        </w:r>
      </w:hyperlink>
      <w:r w:rsidRPr="00CB1C14">
        <w:t xml:space="preserve"> which sets out information on the revenue publication system, is incorporated into and is to be read as one with this Ruling.  All Circulars, Guidelines and Rulings are available from </w:t>
      </w:r>
      <w:hyperlink r:id="rId11" w:history="1">
        <w:r w:rsidRPr="00FF0316">
          <w:t>www.revenue.nt.gov.au</w:t>
        </w:r>
      </w:hyperlink>
      <w:r w:rsidRPr="00CB1C14">
        <w:t>.</w:t>
      </w:r>
    </w:p>
    <w:p w:rsidR="00931A0A" w:rsidRDefault="00931A0A" w:rsidP="00865E0D">
      <w:pPr>
        <w:pStyle w:val="RulingBodyText"/>
      </w:pPr>
    </w:p>
    <w:p w:rsidR="00931A0A" w:rsidRDefault="00931A0A" w:rsidP="00865E0D">
      <w:pPr>
        <w:pStyle w:val="RulingBodyText"/>
      </w:pPr>
    </w:p>
    <w:p w:rsidR="00931A0A" w:rsidRDefault="00DB5A8E" w:rsidP="00865E0D">
      <w:pPr>
        <w:pStyle w:val="RulingBodyText"/>
      </w:pPr>
      <w:r>
        <w:rPr>
          <w:noProof/>
        </w:rPr>
        <w:drawing>
          <wp:inline distT="0" distB="0" distL="0" distR="0" wp14:anchorId="7D117C02" wp14:editId="22CF4440">
            <wp:extent cx="1871345" cy="351155"/>
            <wp:effectExtent l="0" t="0" r="0" b="0"/>
            <wp:docPr id="1" name="Picture 5" descr="Image: Grant Parsons electronic signature" title="Image: Grant Parsons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t Parsons electronic signature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1345" cy="351155"/>
                    </a:xfrm>
                    <a:prstGeom prst="rect">
                      <a:avLst/>
                    </a:prstGeom>
                    <a:noFill/>
                    <a:ln>
                      <a:noFill/>
                    </a:ln>
                  </pic:spPr>
                </pic:pic>
              </a:graphicData>
            </a:graphic>
          </wp:inline>
        </w:drawing>
      </w:r>
    </w:p>
    <w:p w:rsidR="00931A0A" w:rsidRDefault="00931A0A" w:rsidP="00865E0D">
      <w:pPr>
        <w:pStyle w:val="RulingBodyText"/>
      </w:pPr>
    </w:p>
    <w:p w:rsidR="00931A0A" w:rsidRDefault="00931A0A" w:rsidP="005C5E02">
      <w:pPr>
        <w:pStyle w:val="RulingBodyText"/>
      </w:pPr>
      <w:r>
        <w:t>Grant Parsons</w:t>
      </w:r>
    </w:p>
    <w:p w:rsidR="00931A0A" w:rsidRDefault="00931A0A" w:rsidP="00CB1C14">
      <w:pPr>
        <w:pStyle w:val="Bold"/>
      </w:pPr>
      <w:r>
        <w:t>COMMISSIONER OF TERRITORY REVENUE</w:t>
      </w:r>
    </w:p>
    <w:p w:rsidR="00931A0A" w:rsidRDefault="00931A0A" w:rsidP="005C5E02">
      <w:pPr>
        <w:pStyle w:val="RulingBodyText"/>
      </w:pPr>
    </w:p>
    <w:p w:rsidR="00931A0A" w:rsidRDefault="00931A0A" w:rsidP="005C5E02">
      <w:pPr>
        <w:pStyle w:val="RulingBodyText"/>
      </w:pPr>
    </w:p>
    <w:tbl>
      <w:tblPr>
        <w:tblW w:w="0" w:type="auto"/>
        <w:tblCellMar>
          <w:top w:w="57" w:type="dxa"/>
          <w:left w:w="0" w:type="dxa"/>
          <w:bottom w:w="57" w:type="dxa"/>
          <w:right w:w="0" w:type="dxa"/>
        </w:tblCellMar>
        <w:tblLook w:val="01E0" w:firstRow="1" w:lastRow="1" w:firstColumn="1" w:lastColumn="1" w:noHBand="0" w:noVBand="0"/>
      </w:tblPr>
      <w:tblGrid>
        <w:gridCol w:w="3056"/>
        <w:gridCol w:w="3189"/>
        <w:gridCol w:w="3460"/>
      </w:tblGrid>
      <w:tr w:rsidR="00931A0A" w:rsidRPr="005F7B83" w:rsidTr="005F7B83">
        <w:trPr>
          <w:cantSplit/>
        </w:trPr>
        <w:tc>
          <w:tcPr>
            <w:tcW w:w="9705" w:type="dxa"/>
            <w:gridSpan w:val="3"/>
            <w:tcBorders>
              <w:top w:val="single" w:sz="8" w:space="0" w:color="auto"/>
              <w:left w:val="single" w:sz="8" w:space="0" w:color="auto"/>
              <w:bottom w:val="single" w:sz="8" w:space="0" w:color="auto"/>
              <w:right w:val="single" w:sz="8" w:space="0" w:color="auto"/>
            </w:tcBorders>
            <w:shd w:val="clear" w:color="auto" w:fill="E6E6E6"/>
          </w:tcPr>
          <w:p w:rsidR="00931A0A" w:rsidRPr="005C5E02" w:rsidRDefault="00931A0A" w:rsidP="005F7B83">
            <w:pPr>
              <w:pStyle w:val="RulingBodyText"/>
              <w:ind w:firstLine="185"/>
            </w:pPr>
            <w:r w:rsidRPr="005C5E02">
              <w:t>For further information contact the Territory Revenue Office:</w:t>
            </w:r>
          </w:p>
        </w:tc>
      </w:tr>
      <w:tr w:rsidR="00931A0A" w:rsidRPr="005F7B83" w:rsidTr="005F7B83">
        <w:trPr>
          <w:cantSplit/>
        </w:trPr>
        <w:tc>
          <w:tcPr>
            <w:tcW w:w="3056" w:type="dxa"/>
            <w:tcBorders>
              <w:top w:val="single" w:sz="8" w:space="0" w:color="auto"/>
              <w:left w:val="single" w:sz="8" w:space="0" w:color="auto"/>
              <w:bottom w:val="single" w:sz="8" w:space="0" w:color="auto"/>
            </w:tcBorders>
          </w:tcPr>
          <w:p w:rsidR="00931A0A" w:rsidRPr="005C5E02" w:rsidRDefault="00931A0A" w:rsidP="005F7B83">
            <w:pPr>
              <w:pStyle w:val="RulingBodyText"/>
              <w:ind w:firstLine="185"/>
            </w:pPr>
            <w:r w:rsidRPr="005C5E02">
              <w:t>GPO Box</w:t>
            </w:r>
            <w:r w:rsidR="00F06B6C">
              <w:t xml:space="preserve"> 197</w:t>
            </w:r>
            <w:bookmarkStart w:id="0" w:name="_GoBack"/>
            <w:bookmarkEnd w:id="0"/>
            <w:r w:rsidRPr="005C5E02">
              <w:t>4</w:t>
            </w:r>
          </w:p>
          <w:p w:rsidR="00931A0A" w:rsidRPr="005C5E02" w:rsidRDefault="00931A0A" w:rsidP="005F7B83">
            <w:pPr>
              <w:pStyle w:val="RulingBodyText"/>
              <w:ind w:firstLine="185"/>
            </w:pPr>
            <w:smartTag w:uri="urn:schemas-microsoft-com:office:smarttags" w:element="City">
              <w:smartTag w:uri="urn:schemas-microsoft-com:office:smarttags" w:element="place">
                <w:r w:rsidRPr="005C5E02">
                  <w:t>DARWIN</w:t>
                </w:r>
              </w:smartTag>
            </w:smartTag>
            <w:r w:rsidRPr="005C5E02">
              <w:t xml:space="preserve"> NT 0801</w:t>
            </w:r>
          </w:p>
          <w:p w:rsidR="00931A0A" w:rsidRPr="005C5E02" w:rsidRDefault="00931A0A" w:rsidP="005F7B83">
            <w:pPr>
              <w:pStyle w:val="RulingBodyText"/>
              <w:ind w:firstLine="185"/>
            </w:pPr>
          </w:p>
        </w:tc>
        <w:tc>
          <w:tcPr>
            <w:tcW w:w="3189" w:type="dxa"/>
            <w:tcBorders>
              <w:top w:val="single" w:sz="8" w:space="0" w:color="auto"/>
              <w:bottom w:val="single" w:sz="8" w:space="0" w:color="auto"/>
            </w:tcBorders>
          </w:tcPr>
          <w:p w:rsidR="00931A0A" w:rsidRPr="005C5E02" w:rsidRDefault="00931A0A" w:rsidP="009225F3">
            <w:pPr>
              <w:pStyle w:val="RulingBodyText"/>
            </w:pPr>
            <w:r w:rsidRPr="005C5E02">
              <w:rPr>
                <w:noProof/>
              </w:rPr>
              <w:t xml:space="preserve">Tel </w:t>
            </w:r>
            <w:r w:rsidRPr="005C5E02">
              <w:t>1300 305 353</w:t>
            </w:r>
          </w:p>
          <w:p w:rsidR="00931A0A" w:rsidRPr="005C5E02" w:rsidRDefault="00931A0A" w:rsidP="009225F3">
            <w:pPr>
              <w:pStyle w:val="RulingBodyText"/>
            </w:pPr>
            <w:r w:rsidRPr="005C5E02">
              <w:rPr>
                <w:noProof/>
              </w:rPr>
              <w:t xml:space="preserve">Fax </w:t>
            </w:r>
            <w:r w:rsidRPr="005C5E02">
              <w:t xml:space="preserve">08 8999 </w:t>
            </w:r>
            <w:r>
              <w:t>5577</w:t>
            </w:r>
          </w:p>
          <w:p w:rsidR="00931A0A" w:rsidRPr="005C5E02" w:rsidRDefault="00931A0A" w:rsidP="009225F3">
            <w:pPr>
              <w:pStyle w:val="RulingBodyText"/>
              <w:rPr>
                <w:noProof/>
              </w:rPr>
            </w:pPr>
          </w:p>
        </w:tc>
        <w:tc>
          <w:tcPr>
            <w:tcW w:w="3460" w:type="dxa"/>
            <w:tcBorders>
              <w:top w:val="single" w:sz="8" w:space="0" w:color="auto"/>
              <w:bottom w:val="single" w:sz="8" w:space="0" w:color="auto"/>
              <w:right w:val="single" w:sz="8" w:space="0" w:color="auto"/>
            </w:tcBorders>
          </w:tcPr>
          <w:p w:rsidR="00931A0A" w:rsidRPr="005C5E02" w:rsidRDefault="00931A0A" w:rsidP="009225F3">
            <w:pPr>
              <w:pStyle w:val="RulingBodyText"/>
            </w:pPr>
            <w:r w:rsidRPr="005C5E02">
              <w:t xml:space="preserve">Email: </w:t>
            </w:r>
            <w:hyperlink r:id="rId13" w:history="1">
              <w:r w:rsidRPr="00CB6588">
                <w:rPr>
                  <w:rStyle w:val="Hyperlink"/>
                </w:rPr>
                <w:t>ntrevenue.ntt@nt.gov.au</w:t>
              </w:r>
            </w:hyperlink>
            <w:r>
              <w:br/>
            </w:r>
            <w:r w:rsidRPr="005C5E02">
              <w:t xml:space="preserve">Website: </w:t>
            </w:r>
            <w:hyperlink r:id="rId14" w:tooltip="Link to TRO Website" w:history="1">
              <w:r w:rsidRPr="003E7593">
                <w:rPr>
                  <w:color w:val="0000FF"/>
                  <w:u w:val="single"/>
                </w:rPr>
                <w:t>www.revenue.nt.gov.au</w:t>
              </w:r>
            </w:hyperlink>
          </w:p>
        </w:tc>
      </w:tr>
    </w:tbl>
    <w:p w:rsidR="00931A0A" w:rsidRDefault="00931A0A" w:rsidP="005C5E02">
      <w:pPr>
        <w:pStyle w:val="RulingBodyText"/>
      </w:pPr>
    </w:p>
    <w:p w:rsidR="00931A0A" w:rsidRDefault="00931A0A" w:rsidP="005C5E02">
      <w:pPr>
        <w:pStyle w:val="RulingBodyText"/>
      </w:pPr>
    </w:p>
    <w:p w:rsidR="00931A0A" w:rsidRDefault="00931A0A" w:rsidP="00DE02A8">
      <w:pPr>
        <w:pStyle w:val="RulingBodyText"/>
      </w:pPr>
    </w:p>
    <w:sectPr w:rsidR="00931A0A" w:rsidSect="00AE50DD">
      <w:headerReference w:type="even" r:id="rId15"/>
      <w:footerReference w:type="default" r:id="rId16"/>
      <w:headerReference w:type="first" r:id="rId17"/>
      <w:footerReference w:type="first" r:id="rId18"/>
      <w:pgSz w:w="11906" w:h="16838" w:code="9"/>
      <w:pgMar w:top="851" w:right="1077" w:bottom="567"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7A" w:rsidRDefault="007B477A">
      <w:r>
        <w:separator/>
      </w:r>
    </w:p>
    <w:p w:rsidR="007B477A" w:rsidRDefault="007B477A"/>
  </w:endnote>
  <w:endnote w:type="continuationSeparator" w:id="0">
    <w:p w:rsidR="007B477A" w:rsidRDefault="007B477A">
      <w:r>
        <w:continuationSeparator/>
      </w:r>
    </w:p>
    <w:p w:rsidR="007B477A" w:rsidRDefault="007B4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FE" w:rsidRDefault="00832FFE" w:rsidP="00CB1C14">
    <w:pPr>
      <w:pStyle w:val="Footer"/>
      <w:pBdr>
        <w:top w:val="none" w:sz="0" w:space="0" w:color="auto"/>
      </w:pBdr>
    </w:pPr>
  </w:p>
  <w:p w:rsidR="00832FFE" w:rsidRDefault="00832FFE" w:rsidP="00CB1C14">
    <w:pPr>
      <w:pStyle w:val="Footer"/>
    </w:pPr>
    <w:r w:rsidRPr="004E59A4">
      <w:t xml:space="preserve">Payroll Tax </w:t>
    </w:r>
    <w:r>
      <w:t>Ruling PTA013 – V2</w:t>
    </w:r>
    <w:r>
      <w:tab/>
    </w:r>
    <w:r w:rsidRPr="005D6184">
      <w:t xml:space="preserve">Page </w:t>
    </w:r>
    <w:r w:rsidR="00DB5A8E">
      <w:fldChar w:fldCharType="begin"/>
    </w:r>
    <w:r w:rsidR="00DB5A8E">
      <w:instrText xml:space="preserve"> PAGE </w:instrText>
    </w:r>
    <w:r w:rsidR="00DB5A8E">
      <w:fldChar w:fldCharType="separate"/>
    </w:r>
    <w:r w:rsidR="00F06B6C">
      <w:rPr>
        <w:noProof/>
      </w:rPr>
      <w:t>2</w:t>
    </w:r>
    <w:r w:rsidR="00DB5A8E">
      <w:rPr>
        <w:noProof/>
      </w:rPr>
      <w:fldChar w:fldCharType="end"/>
    </w:r>
    <w:r w:rsidRPr="005D6184">
      <w:t xml:space="preserve"> of </w:t>
    </w:r>
    <w:fldSimple w:instr=" NUMPAGES ">
      <w:r w:rsidR="00F06B6C">
        <w:rPr>
          <w:noProof/>
        </w:rPr>
        <w:t>2</w:t>
      </w:r>
    </w:fldSimple>
  </w:p>
  <w:p w:rsidR="00832FFE" w:rsidRDefault="00832FFE" w:rsidP="00CB1C14">
    <w:pPr>
      <w:pStyle w:val="Footer"/>
      <w:pBdr>
        <w:top w:val="none" w:sz="0" w:space="0" w:color="auto"/>
      </w:pBdr>
    </w:pPr>
    <w:r>
      <w:t xml:space="preserve">Fees Paid </w:t>
    </w:r>
    <w:r w:rsidRPr="004D046A">
      <w:t>to Golf Professionals by Golf Clubs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FE" w:rsidRDefault="00832FFE" w:rsidP="004A18C6">
    <w:pPr>
      <w:pStyle w:val="Footer"/>
    </w:pPr>
    <w:r w:rsidRPr="004E59A4">
      <w:t xml:space="preserve">Payroll Tax </w:t>
    </w:r>
    <w:r>
      <w:t>Ruling PTA013 – V2</w:t>
    </w:r>
    <w:r>
      <w:tab/>
    </w:r>
    <w:r w:rsidRPr="005D6184">
      <w:t xml:space="preserve">Page </w:t>
    </w:r>
    <w:r w:rsidR="00DB5A8E">
      <w:fldChar w:fldCharType="begin"/>
    </w:r>
    <w:r w:rsidR="00DB5A8E">
      <w:instrText xml:space="preserve"> PAGE </w:instrText>
    </w:r>
    <w:r w:rsidR="00DB5A8E">
      <w:fldChar w:fldCharType="separate"/>
    </w:r>
    <w:r w:rsidR="00F06B6C">
      <w:rPr>
        <w:noProof/>
      </w:rPr>
      <w:t>1</w:t>
    </w:r>
    <w:r w:rsidR="00DB5A8E">
      <w:rPr>
        <w:noProof/>
      </w:rPr>
      <w:fldChar w:fldCharType="end"/>
    </w:r>
    <w:r w:rsidRPr="005D6184">
      <w:t xml:space="preserve"> of </w:t>
    </w:r>
    <w:fldSimple w:instr=" NUMPAGES ">
      <w:r w:rsidR="00F06B6C">
        <w:rPr>
          <w:noProof/>
        </w:rPr>
        <w:t>2</w:t>
      </w:r>
    </w:fldSimple>
  </w:p>
  <w:p w:rsidR="00832FFE" w:rsidRDefault="00832FFE" w:rsidP="004A18C6">
    <w:pPr>
      <w:pStyle w:val="Footer"/>
      <w:pBdr>
        <w:top w:val="none" w:sz="0" w:space="0" w:color="auto"/>
      </w:pBdr>
    </w:pPr>
    <w:r>
      <w:t xml:space="preserve">Fees Paid </w:t>
    </w:r>
    <w:r w:rsidRPr="004D046A">
      <w:t>to Golf Professionals by Golf Clubs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7A" w:rsidRDefault="007B477A">
      <w:r>
        <w:separator/>
      </w:r>
    </w:p>
    <w:p w:rsidR="007B477A" w:rsidRDefault="007B477A"/>
  </w:footnote>
  <w:footnote w:type="continuationSeparator" w:id="0">
    <w:p w:rsidR="007B477A" w:rsidRDefault="007B477A">
      <w:r>
        <w:continuationSeparator/>
      </w:r>
    </w:p>
    <w:p w:rsidR="007B477A" w:rsidRDefault="007B47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FE" w:rsidRDefault="00B703C5" w:rsidP="002C10C3">
    <w:r>
      <w:fldChar w:fldCharType="begin"/>
    </w:r>
    <w:r w:rsidR="00832FFE">
      <w:instrText xml:space="preserve">PAGE  </w:instrText>
    </w:r>
    <w:r>
      <w:fldChar w:fldCharType="end"/>
    </w:r>
  </w:p>
  <w:p w:rsidR="00832FFE" w:rsidRDefault="00832FFE" w:rsidP="002C10C3"/>
  <w:p w:rsidR="00832FFE" w:rsidRDefault="00832F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FFE" w:rsidRDefault="00DB5A8E">
    <w:pPr>
      <w:pStyle w:val="Header"/>
    </w:pPr>
    <w:r>
      <w:rPr>
        <w:noProof/>
      </w:rPr>
      <w:drawing>
        <wp:inline distT="0" distB="0" distL="0" distR="0">
          <wp:extent cx="6124575" cy="765810"/>
          <wp:effectExtent l="0" t="0" r="9525" b="0"/>
          <wp:docPr id="2" name="Picture 1" descr="Image: Department of Treasury and Finance blue header with NTG logo" title="Image: Department of Treasury and Finance blue header with NT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65810"/>
                  </a:xfrm>
                  <a:prstGeom prst="rect">
                    <a:avLst/>
                  </a:prstGeom>
                  <a:noFill/>
                  <a:ln>
                    <a:noFill/>
                  </a:ln>
                </pic:spPr>
              </pic:pic>
            </a:graphicData>
          </a:graphic>
        </wp:inline>
      </w:drawing>
    </w:r>
  </w:p>
  <w:p w:rsidR="00832FFE" w:rsidRDefault="00832F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5A5"/>
    <w:multiLevelType w:val="multilevel"/>
    <w:tmpl w:val="A5B0F224"/>
    <w:numStyleLink w:val="RulingBullet"/>
  </w:abstractNum>
  <w:abstractNum w:abstractNumId="1" w15:restartNumberingAfterBreak="0">
    <w:nsid w:val="0D354A0E"/>
    <w:multiLevelType w:val="multilevel"/>
    <w:tmpl w:val="A5B0F224"/>
    <w:numStyleLink w:val="RulingBullet"/>
  </w:abstractNum>
  <w:abstractNum w:abstractNumId="2" w15:restartNumberingAfterBreak="0">
    <w:nsid w:val="12D767AA"/>
    <w:multiLevelType w:val="multilevel"/>
    <w:tmpl w:val="A5E4B0DC"/>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50D18AA"/>
    <w:multiLevelType w:val="multilevel"/>
    <w:tmpl w:val="A5B0F224"/>
    <w:styleLink w:val="RulingBullet"/>
    <w:lvl w:ilvl="0">
      <w:start w:val="1"/>
      <w:numFmt w:val="bullet"/>
      <w:lvlText w:val=""/>
      <w:lvlJc w:val="left"/>
      <w:pPr>
        <w:tabs>
          <w:tab w:val="num" w:pos="360"/>
        </w:tabs>
        <w:ind w:left="360" w:hanging="360"/>
      </w:pPr>
      <w:rPr>
        <w:rFonts w:ascii="Symbol" w:hAnsi="Symbol" w:hint="default"/>
        <w:sz w:val="22"/>
      </w:rPr>
    </w:lvl>
    <w:lvl w:ilvl="1">
      <w:start w:val="1"/>
      <w:numFmt w:val="bullet"/>
      <w:lvlText w:val="-"/>
      <w:lvlJc w:val="left"/>
      <w:pPr>
        <w:tabs>
          <w:tab w:val="num" w:pos="851"/>
        </w:tabs>
        <w:ind w:left="851" w:hanging="426"/>
      </w:pPr>
      <w:rPr>
        <w:rFonts w:ascii="Times New Roman" w:hAnsi="Times New Roman" w:hint="default"/>
      </w:rPr>
    </w:lvl>
    <w:lvl w:ilvl="2">
      <w:start w:val="1"/>
      <w:numFmt w:val="bullet"/>
      <w:lvlText w:val=""/>
      <w:lvlJc w:val="left"/>
      <w:pPr>
        <w:tabs>
          <w:tab w:val="num" w:pos="1276"/>
        </w:tabs>
        <w:ind w:left="1276" w:hanging="425"/>
      </w:pPr>
      <w:rPr>
        <w:rFonts w:ascii="Wingdings 2" w:hAnsi="Wingdings 2"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4" w15:restartNumberingAfterBreak="0">
    <w:nsid w:val="2B761B83"/>
    <w:multiLevelType w:val="multilevel"/>
    <w:tmpl w:val="B9628CDE"/>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284"/>
        </w:tabs>
        <w:ind w:left="567" w:hanging="283"/>
      </w:pPr>
      <w:rPr>
        <w:rFonts w:cs="Times New Roman" w:hint="default"/>
      </w:rPr>
    </w:lvl>
    <w:lvl w:ilvl="2">
      <w:start w:val="1"/>
      <w:numFmt w:val="lowerRoman"/>
      <w:lvlText w:val="%3."/>
      <w:lvlJc w:val="left"/>
      <w:pPr>
        <w:tabs>
          <w:tab w:val="num" w:pos="284"/>
        </w:tabs>
        <w:ind w:left="851" w:hanging="284"/>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DD45532"/>
    <w:multiLevelType w:val="multilevel"/>
    <w:tmpl w:val="B9628CDE"/>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284"/>
        </w:tabs>
        <w:ind w:left="567" w:hanging="283"/>
      </w:pPr>
      <w:rPr>
        <w:rFonts w:cs="Times New Roman" w:hint="default"/>
      </w:rPr>
    </w:lvl>
    <w:lvl w:ilvl="2">
      <w:start w:val="1"/>
      <w:numFmt w:val="lowerRoman"/>
      <w:lvlText w:val="%3."/>
      <w:lvlJc w:val="left"/>
      <w:pPr>
        <w:tabs>
          <w:tab w:val="num" w:pos="284"/>
        </w:tabs>
        <w:ind w:left="851" w:hanging="284"/>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30294E58"/>
    <w:multiLevelType w:val="hybridMultilevel"/>
    <w:tmpl w:val="B1580C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9014E1"/>
    <w:multiLevelType w:val="multilevel"/>
    <w:tmpl w:val="DD36E9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8682AB1"/>
    <w:multiLevelType w:val="multilevel"/>
    <w:tmpl w:val="F124A128"/>
    <w:lvl w:ilvl="0">
      <w:start w:val="1"/>
      <w:numFmt w:val="decimal"/>
      <w:lvlText w:val="%1."/>
      <w:lvlJc w:val="left"/>
      <w:pPr>
        <w:tabs>
          <w:tab w:val="num" w:pos="425"/>
        </w:tabs>
        <w:ind w:left="425" w:hanging="425"/>
      </w:pPr>
      <w:rPr>
        <w:rFonts w:ascii="Arial" w:hAnsi="Arial" w:cs="Times New Roman" w:hint="default"/>
        <w:sz w:val="22"/>
      </w:rPr>
    </w:lvl>
    <w:lvl w:ilvl="1">
      <w:start w:val="1"/>
      <w:numFmt w:val="lowerLetter"/>
      <w:lvlText w:val="%2."/>
      <w:lvlJc w:val="left"/>
      <w:pPr>
        <w:tabs>
          <w:tab w:val="num" w:pos="425"/>
        </w:tabs>
        <w:ind w:left="851" w:hanging="426"/>
      </w:pPr>
      <w:rPr>
        <w:rFonts w:cs="Times New Roman" w:hint="default"/>
      </w:rPr>
    </w:lvl>
    <w:lvl w:ilvl="2">
      <w:start w:val="1"/>
      <w:numFmt w:val="lowerRoman"/>
      <w:lvlText w:val="%3."/>
      <w:lvlJc w:val="left"/>
      <w:pPr>
        <w:tabs>
          <w:tab w:val="num" w:pos="425"/>
        </w:tabs>
        <w:ind w:left="1559" w:hanging="708"/>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9" w15:restartNumberingAfterBreak="0">
    <w:nsid w:val="40926037"/>
    <w:multiLevelType w:val="hybridMultilevel"/>
    <w:tmpl w:val="DD36E90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F0E183A"/>
    <w:multiLevelType w:val="multilevel"/>
    <w:tmpl w:val="108AD60A"/>
    <w:lvl w:ilvl="0">
      <w:start w:val="1"/>
      <w:numFmt w:val="decimal"/>
      <w:lvlText w:val="%1."/>
      <w:lvlJc w:val="left"/>
      <w:pPr>
        <w:tabs>
          <w:tab w:val="num" w:pos="425"/>
        </w:tabs>
        <w:ind w:left="425" w:hanging="425"/>
      </w:pPr>
      <w:rPr>
        <w:rFonts w:ascii="Arial" w:hAnsi="Arial" w:cs="Times New Roman" w:hint="default"/>
        <w:sz w:val="22"/>
      </w:rPr>
    </w:lvl>
    <w:lvl w:ilvl="1">
      <w:start w:val="1"/>
      <w:numFmt w:val="lowerLetter"/>
      <w:lvlText w:val="%2."/>
      <w:lvlJc w:val="left"/>
      <w:pPr>
        <w:tabs>
          <w:tab w:val="num" w:pos="425"/>
        </w:tabs>
        <w:ind w:left="851" w:hanging="426"/>
      </w:pPr>
      <w:rPr>
        <w:rFonts w:cs="Times New Roman" w:hint="default"/>
      </w:rPr>
    </w:lvl>
    <w:lvl w:ilvl="2">
      <w:start w:val="1"/>
      <w:numFmt w:val="lowerRoman"/>
      <w:lvlText w:val="%3."/>
      <w:lvlJc w:val="left"/>
      <w:pPr>
        <w:tabs>
          <w:tab w:val="num" w:pos="425"/>
        </w:tabs>
        <w:ind w:left="1276" w:hanging="425"/>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11" w15:restartNumberingAfterBreak="0">
    <w:nsid w:val="573B4377"/>
    <w:multiLevelType w:val="multilevel"/>
    <w:tmpl w:val="BD785CE8"/>
    <w:lvl w:ilvl="0">
      <w:start w:val="1"/>
      <w:numFmt w:val="decimal"/>
      <w:lvlText w:val="%1."/>
      <w:lvlJc w:val="left"/>
      <w:pPr>
        <w:tabs>
          <w:tab w:val="num" w:pos="567"/>
        </w:tabs>
        <w:ind w:left="567" w:hanging="567"/>
      </w:pPr>
      <w:rPr>
        <w:rFonts w:ascii="Arial" w:hAnsi="Arial" w:cs="Times New Roman" w:hint="default"/>
        <w:sz w:val="22"/>
      </w:rPr>
    </w:lvl>
    <w:lvl w:ilvl="1">
      <w:start w:val="1"/>
      <w:numFmt w:val="lowerLetter"/>
      <w:lvlText w:val="%2."/>
      <w:lvlJc w:val="left"/>
      <w:pPr>
        <w:tabs>
          <w:tab w:val="num" w:pos="567"/>
        </w:tabs>
        <w:ind w:left="1134" w:hanging="567"/>
      </w:pPr>
      <w:rPr>
        <w:rFonts w:cs="Times New Roman" w:hint="default"/>
      </w:rPr>
    </w:lvl>
    <w:lvl w:ilvl="2">
      <w:start w:val="1"/>
      <w:numFmt w:val="lowerRoman"/>
      <w:lvlText w:val="%3."/>
      <w:lvlJc w:val="left"/>
      <w:pPr>
        <w:tabs>
          <w:tab w:val="num" w:pos="567"/>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12" w15:restartNumberingAfterBreak="0">
    <w:nsid w:val="583F351C"/>
    <w:multiLevelType w:val="multilevel"/>
    <w:tmpl w:val="DD36E9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E9839DA"/>
    <w:multiLevelType w:val="multilevel"/>
    <w:tmpl w:val="B25635AC"/>
    <w:lvl w:ilvl="0">
      <w:start w:val="1"/>
      <w:numFmt w:val="decimal"/>
      <w:lvlText w:val="%1."/>
      <w:lvlJc w:val="left"/>
      <w:pPr>
        <w:tabs>
          <w:tab w:val="num" w:pos="567"/>
        </w:tabs>
        <w:ind w:left="567" w:hanging="567"/>
      </w:pPr>
      <w:rPr>
        <w:rFonts w:ascii="Arial" w:hAnsi="Arial" w:cs="Times New Roman" w:hint="default"/>
        <w:sz w:val="22"/>
      </w:rPr>
    </w:lvl>
    <w:lvl w:ilvl="1">
      <w:start w:val="1"/>
      <w:numFmt w:val="lowerLetter"/>
      <w:lvlText w:val="%2."/>
      <w:lvlJc w:val="left"/>
      <w:pPr>
        <w:tabs>
          <w:tab w:val="num" w:pos="567"/>
        </w:tabs>
        <w:ind w:left="1134" w:hanging="567"/>
      </w:pPr>
      <w:rPr>
        <w:rFonts w:cs="Times New Roman" w:hint="default"/>
      </w:rPr>
    </w:lvl>
    <w:lvl w:ilvl="2">
      <w:start w:val="1"/>
      <w:numFmt w:val="lowerRoman"/>
      <w:lvlText w:val="%3."/>
      <w:lvlJc w:val="left"/>
      <w:pPr>
        <w:tabs>
          <w:tab w:val="num" w:pos="567"/>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14" w15:restartNumberingAfterBreak="0">
    <w:nsid w:val="6B7E0EFA"/>
    <w:multiLevelType w:val="multilevel"/>
    <w:tmpl w:val="53CC0DB8"/>
    <w:lvl w:ilvl="0">
      <w:start w:val="1"/>
      <w:numFmt w:val="decimal"/>
      <w:lvlText w:val="%1."/>
      <w:lvlJc w:val="left"/>
      <w:pPr>
        <w:tabs>
          <w:tab w:val="num" w:pos="567"/>
        </w:tabs>
        <w:ind w:left="567" w:hanging="567"/>
      </w:pPr>
      <w:rPr>
        <w:rFonts w:ascii="Arial" w:hAnsi="Arial" w:cs="Times New Roman" w:hint="default"/>
        <w:sz w:val="22"/>
      </w:rPr>
    </w:lvl>
    <w:lvl w:ilvl="1">
      <w:start w:val="1"/>
      <w:numFmt w:val="lowerLetter"/>
      <w:lvlText w:val="%2."/>
      <w:lvlJc w:val="left"/>
      <w:pPr>
        <w:tabs>
          <w:tab w:val="num" w:pos="567"/>
        </w:tabs>
        <w:ind w:left="1134" w:hanging="567"/>
      </w:pPr>
      <w:rPr>
        <w:rFonts w:cs="Times New Roman" w:hint="default"/>
      </w:rPr>
    </w:lvl>
    <w:lvl w:ilvl="2">
      <w:start w:val="1"/>
      <w:numFmt w:val="lowerRoman"/>
      <w:lvlText w:val="%3."/>
      <w:lvlJc w:val="left"/>
      <w:pPr>
        <w:tabs>
          <w:tab w:val="num" w:pos="284"/>
        </w:tabs>
        <w:ind w:left="1418" w:hanging="284"/>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none"/>
      <w:lvlText w:val=""/>
      <w:lvlJc w:val="left"/>
      <w:pPr>
        <w:tabs>
          <w:tab w:val="num" w:pos="360"/>
        </w:tabs>
      </w:pPr>
      <w:rPr>
        <w:rFonts w:cs="Times New Roman"/>
      </w:rPr>
    </w:lvl>
  </w:abstractNum>
  <w:abstractNum w:abstractNumId="15" w15:restartNumberingAfterBreak="0">
    <w:nsid w:val="7A136AA2"/>
    <w:multiLevelType w:val="hybridMultilevel"/>
    <w:tmpl w:val="0B00657E"/>
    <w:lvl w:ilvl="0" w:tplc="1C148EE0">
      <w:start w:val="1"/>
      <w:numFmt w:val="bullet"/>
      <w:lvlText w:val="-"/>
      <w:lvlJc w:val="left"/>
      <w:pPr>
        <w:tabs>
          <w:tab w:val="num" w:pos="360"/>
        </w:tabs>
        <w:ind w:left="360" w:hanging="360"/>
      </w:pPr>
      <w:rPr>
        <w:rFonts w:ascii="Courier New" w:hAnsi="Courier New" w:hint="default"/>
      </w:rPr>
    </w:lvl>
    <w:lvl w:ilvl="1" w:tplc="0C090003" w:tentative="1">
      <w:start w:val="1"/>
      <w:numFmt w:val="bullet"/>
      <w:lvlText w:val="o"/>
      <w:lvlJc w:val="left"/>
      <w:pPr>
        <w:tabs>
          <w:tab w:val="num" w:pos="900"/>
        </w:tabs>
        <w:ind w:left="900" w:hanging="360"/>
      </w:pPr>
      <w:rPr>
        <w:rFonts w:ascii="Courier New" w:hAnsi="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4"/>
  </w:num>
  <w:num w:numId="6">
    <w:abstractNumId w:val="11"/>
  </w:num>
  <w:num w:numId="7">
    <w:abstractNumId w:val="13"/>
  </w:num>
  <w:num w:numId="8">
    <w:abstractNumId w:val="8"/>
  </w:num>
  <w:num w:numId="9">
    <w:abstractNumId w:val="10"/>
  </w:num>
  <w:num w:numId="10">
    <w:abstractNumId w:val="1"/>
  </w:num>
  <w:num w:numId="11">
    <w:abstractNumId w:val="3"/>
  </w:num>
  <w:num w:numId="12">
    <w:abstractNumId w:val="15"/>
  </w:num>
  <w:num w:numId="13">
    <w:abstractNumId w:val="6"/>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yRY2GH81VQu4QrRfjd44Oq2/Rli/JAYIt5Y+7+QlhDxP926adc11TOjb81/7VHJLc3VUe9x0Rmml2O/rizn0Q==" w:salt="Lty5+yvoB9W/j3kHtcdJ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668"/>
    <w:rsid w:val="000013AE"/>
    <w:rsid w:val="000064CB"/>
    <w:rsid w:val="000104AB"/>
    <w:rsid w:val="00010EEA"/>
    <w:rsid w:val="00014108"/>
    <w:rsid w:val="00015F34"/>
    <w:rsid w:val="0002150C"/>
    <w:rsid w:val="00022413"/>
    <w:rsid w:val="00022863"/>
    <w:rsid w:val="00023645"/>
    <w:rsid w:val="000264DF"/>
    <w:rsid w:val="000302C0"/>
    <w:rsid w:val="0003038E"/>
    <w:rsid w:val="000333C6"/>
    <w:rsid w:val="00036330"/>
    <w:rsid w:val="000376B2"/>
    <w:rsid w:val="000377EF"/>
    <w:rsid w:val="000424F1"/>
    <w:rsid w:val="00042BC9"/>
    <w:rsid w:val="00045CCE"/>
    <w:rsid w:val="00046838"/>
    <w:rsid w:val="0005160E"/>
    <w:rsid w:val="00054E58"/>
    <w:rsid w:val="00055A15"/>
    <w:rsid w:val="00055F6E"/>
    <w:rsid w:val="000567BE"/>
    <w:rsid w:val="0005747B"/>
    <w:rsid w:val="00063A93"/>
    <w:rsid w:val="00063EAC"/>
    <w:rsid w:val="000678C1"/>
    <w:rsid w:val="00070001"/>
    <w:rsid w:val="00072AEC"/>
    <w:rsid w:val="000755D7"/>
    <w:rsid w:val="000765C5"/>
    <w:rsid w:val="00081963"/>
    <w:rsid w:val="00081984"/>
    <w:rsid w:val="00083B38"/>
    <w:rsid w:val="000917B2"/>
    <w:rsid w:val="00091A42"/>
    <w:rsid w:val="00092A40"/>
    <w:rsid w:val="00094167"/>
    <w:rsid w:val="00094D2B"/>
    <w:rsid w:val="00096701"/>
    <w:rsid w:val="000968BE"/>
    <w:rsid w:val="000A058E"/>
    <w:rsid w:val="000A1789"/>
    <w:rsid w:val="000A215C"/>
    <w:rsid w:val="000A57FE"/>
    <w:rsid w:val="000A5BAB"/>
    <w:rsid w:val="000A5FAF"/>
    <w:rsid w:val="000A7ABD"/>
    <w:rsid w:val="000B1FE4"/>
    <w:rsid w:val="000B3B6C"/>
    <w:rsid w:val="000C0288"/>
    <w:rsid w:val="000C0DCC"/>
    <w:rsid w:val="000C0DD5"/>
    <w:rsid w:val="000C1DD2"/>
    <w:rsid w:val="000C2C04"/>
    <w:rsid w:val="000C3AD0"/>
    <w:rsid w:val="000C5DAB"/>
    <w:rsid w:val="000D21B9"/>
    <w:rsid w:val="000D4683"/>
    <w:rsid w:val="000D5D05"/>
    <w:rsid w:val="000D760C"/>
    <w:rsid w:val="000E26E6"/>
    <w:rsid w:val="000E4D8E"/>
    <w:rsid w:val="000F2391"/>
    <w:rsid w:val="000F7515"/>
    <w:rsid w:val="00103086"/>
    <w:rsid w:val="00103A2C"/>
    <w:rsid w:val="00112237"/>
    <w:rsid w:val="001138AC"/>
    <w:rsid w:val="001171EA"/>
    <w:rsid w:val="00117E21"/>
    <w:rsid w:val="00117F5D"/>
    <w:rsid w:val="00120400"/>
    <w:rsid w:val="0012101B"/>
    <w:rsid w:val="00122826"/>
    <w:rsid w:val="001241D0"/>
    <w:rsid w:val="0012610A"/>
    <w:rsid w:val="001271FF"/>
    <w:rsid w:val="00131AC0"/>
    <w:rsid w:val="0013250A"/>
    <w:rsid w:val="00134634"/>
    <w:rsid w:val="00135C96"/>
    <w:rsid w:val="001364CD"/>
    <w:rsid w:val="00136F05"/>
    <w:rsid w:val="00140472"/>
    <w:rsid w:val="001407E2"/>
    <w:rsid w:val="001422DD"/>
    <w:rsid w:val="00144A4F"/>
    <w:rsid w:val="00145D9D"/>
    <w:rsid w:val="0014622F"/>
    <w:rsid w:val="001521B6"/>
    <w:rsid w:val="00152AAD"/>
    <w:rsid w:val="00152C5E"/>
    <w:rsid w:val="00153959"/>
    <w:rsid w:val="00153B9F"/>
    <w:rsid w:val="00153D5C"/>
    <w:rsid w:val="001545F9"/>
    <w:rsid w:val="001579C2"/>
    <w:rsid w:val="00160881"/>
    <w:rsid w:val="0016262C"/>
    <w:rsid w:val="00164258"/>
    <w:rsid w:val="00164330"/>
    <w:rsid w:val="00164A3A"/>
    <w:rsid w:val="00166509"/>
    <w:rsid w:val="00176573"/>
    <w:rsid w:val="00177A67"/>
    <w:rsid w:val="0018095D"/>
    <w:rsid w:val="0018229E"/>
    <w:rsid w:val="00184056"/>
    <w:rsid w:val="001847CF"/>
    <w:rsid w:val="00184984"/>
    <w:rsid w:val="00187674"/>
    <w:rsid w:val="00192F6F"/>
    <w:rsid w:val="001954EB"/>
    <w:rsid w:val="00196A92"/>
    <w:rsid w:val="0019771F"/>
    <w:rsid w:val="00197821"/>
    <w:rsid w:val="001A0478"/>
    <w:rsid w:val="001A107E"/>
    <w:rsid w:val="001A3455"/>
    <w:rsid w:val="001A6196"/>
    <w:rsid w:val="001B1843"/>
    <w:rsid w:val="001B7AC7"/>
    <w:rsid w:val="001C4033"/>
    <w:rsid w:val="001C422C"/>
    <w:rsid w:val="001C4568"/>
    <w:rsid w:val="001D27E9"/>
    <w:rsid w:val="001D4089"/>
    <w:rsid w:val="001D5A9F"/>
    <w:rsid w:val="001D6742"/>
    <w:rsid w:val="001D69E9"/>
    <w:rsid w:val="001E2235"/>
    <w:rsid w:val="001E27EB"/>
    <w:rsid w:val="001E3578"/>
    <w:rsid w:val="001E6135"/>
    <w:rsid w:val="001F17D1"/>
    <w:rsid w:val="001F2C70"/>
    <w:rsid w:val="001F4991"/>
    <w:rsid w:val="001F5273"/>
    <w:rsid w:val="001F60FE"/>
    <w:rsid w:val="001F6B23"/>
    <w:rsid w:val="001F7B6E"/>
    <w:rsid w:val="00200935"/>
    <w:rsid w:val="0020232B"/>
    <w:rsid w:val="00202BCE"/>
    <w:rsid w:val="002033BE"/>
    <w:rsid w:val="00203889"/>
    <w:rsid w:val="00204372"/>
    <w:rsid w:val="00207E37"/>
    <w:rsid w:val="00210686"/>
    <w:rsid w:val="002115E6"/>
    <w:rsid w:val="00211ADE"/>
    <w:rsid w:val="002133AD"/>
    <w:rsid w:val="00214323"/>
    <w:rsid w:val="00215A9D"/>
    <w:rsid w:val="00220E1E"/>
    <w:rsid w:val="00221114"/>
    <w:rsid w:val="00221B1B"/>
    <w:rsid w:val="00221D75"/>
    <w:rsid w:val="0022361B"/>
    <w:rsid w:val="00224644"/>
    <w:rsid w:val="0022584E"/>
    <w:rsid w:val="002306CE"/>
    <w:rsid w:val="0023083D"/>
    <w:rsid w:val="00232222"/>
    <w:rsid w:val="00232880"/>
    <w:rsid w:val="00233DBD"/>
    <w:rsid w:val="00234D24"/>
    <w:rsid w:val="002360E1"/>
    <w:rsid w:val="002374AC"/>
    <w:rsid w:val="00237B7C"/>
    <w:rsid w:val="00242910"/>
    <w:rsid w:val="002430F6"/>
    <w:rsid w:val="002440CC"/>
    <w:rsid w:val="00244ACB"/>
    <w:rsid w:val="002466CE"/>
    <w:rsid w:val="002478F6"/>
    <w:rsid w:val="00251E3E"/>
    <w:rsid w:val="002524C0"/>
    <w:rsid w:val="002526A8"/>
    <w:rsid w:val="0025288C"/>
    <w:rsid w:val="00252EA3"/>
    <w:rsid w:val="0025439F"/>
    <w:rsid w:val="002545A4"/>
    <w:rsid w:val="002548C6"/>
    <w:rsid w:val="002555DE"/>
    <w:rsid w:val="002568B6"/>
    <w:rsid w:val="002705DD"/>
    <w:rsid w:val="00271740"/>
    <w:rsid w:val="0027710E"/>
    <w:rsid w:val="00281F18"/>
    <w:rsid w:val="002863EF"/>
    <w:rsid w:val="00295BEF"/>
    <w:rsid w:val="00296CA1"/>
    <w:rsid w:val="002970BF"/>
    <w:rsid w:val="00297CD4"/>
    <w:rsid w:val="00297E74"/>
    <w:rsid w:val="00297FDA"/>
    <w:rsid w:val="002A031D"/>
    <w:rsid w:val="002A03A5"/>
    <w:rsid w:val="002A3775"/>
    <w:rsid w:val="002A5567"/>
    <w:rsid w:val="002A5623"/>
    <w:rsid w:val="002A5B03"/>
    <w:rsid w:val="002A75C6"/>
    <w:rsid w:val="002A7D1F"/>
    <w:rsid w:val="002B08E1"/>
    <w:rsid w:val="002B1738"/>
    <w:rsid w:val="002B313B"/>
    <w:rsid w:val="002B3A07"/>
    <w:rsid w:val="002B6D21"/>
    <w:rsid w:val="002B6F74"/>
    <w:rsid w:val="002C0386"/>
    <w:rsid w:val="002C10C3"/>
    <w:rsid w:val="002C1DA7"/>
    <w:rsid w:val="002C267D"/>
    <w:rsid w:val="002C6CC5"/>
    <w:rsid w:val="002D083F"/>
    <w:rsid w:val="002D4686"/>
    <w:rsid w:val="002D5919"/>
    <w:rsid w:val="002D6B9D"/>
    <w:rsid w:val="002D7B81"/>
    <w:rsid w:val="002E0369"/>
    <w:rsid w:val="002E085B"/>
    <w:rsid w:val="002E1CE1"/>
    <w:rsid w:val="002E4B64"/>
    <w:rsid w:val="002F0035"/>
    <w:rsid w:val="00303230"/>
    <w:rsid w:val="00307F79"/>
    <w:rsid w:val="00314B99"/>
    <w:rsid w:val="00314C98"/>
    <w:rsid w:val="00314E75"/>
    <w:rsid w:val="00323FDD"/>
    <w:rsid w:val="00324DA5"/>
    <w:rsid w:val="00326283"/>
    <w:rsid w:val="00327C11"/>
    <w:rsid w:val="00330CA3"/>
    <w:rsid w:val="00332D45"/>
    <w:rsid w:val="00332DC7"/>
    <w:rsid w:val="00333737"/>
    <w:rsid w:val="00340212"/>
    <w:rsid w:val="00343BDF"/>
    <w:rsid w:val="00344E3A"/>
    <w:rsid w:val="003455BA"/>
    <w:rsid w:val="003458E7"/>
    <w:rsid w:val="00350C52"/>
    <w:rsid w:val="00350DA3"/>
    <w:rsid w:val="0035373D"/>
    <w:rsid w:val="00353DE7"/>
    <w:rsid w:val="00354185"/>
    <w:rsid w:val="00354627"/>
    <w:rsid w:val="00354C90"/>
    <w:rsid w:val="00355AD3"/>
    <w:rsid w:val="003566B4"/>
    <w:rsid w:val="00360600"/>
    <w:rsid w:val="003625CD"/>
    <w:rsid w:val="003641DB"/>
    <w:rsid w:val="00365875"/>
    <w:rsid w:val="003659AD"/>
    <w:rsid w:val="00367796"/>
    <w:rsid w:val="00371470"/>
    <w:rsid w:val="00371523"/>
    <w:rsid w:val="003718AF"/>
    <w:rsid w:val="00371DC6"/>
    <w:rsid w:val="00371E1A"/>
    <w:rsid w:val="00377715"/>
    <w:rsid w:val="00377BBA"/>
    <w:rsid w:val="003844B3"/>
    <w:rsid w:val="00385103"/>
    <w:rsid w:val="0038639D"/>
    <w:rsid w:val="00386424"/>
    <w:rsid w:val="00386D5A"/>
    <w:rsid w:val="0038749B"/>
    <w:rsid w:val="00392EE5"/>
    <w:rsid w:val="00393DD6"/>
    <w:rsid w:val="00394D70"/>
    <w:rsid w:val="00395081"/>
    <w:rsid w:val="0039737A"/>
    <w:rsid w:val="003A42BA"/>
    <w:rsid w:val="003A4595"/>
    <w:rsid w:val="003A525E"/>
    <w:rsid w:val="003A7455"/>
    <w:rsid w:val="003B21D5"/>
    <w:rsid w:val="003B4A50"/>
    <w:rsid w:val="003B4C4C"/>
    <w:rsid w:val="003B680A"/>
    <w:rsid w:val="003C1073"/>
    <w:rsid w:val="003C2BD2"/>
    <w:rsid w:val="003C331B"/>
    <w:rsid w:val="003C48B0"/>
    <w:rsid w:val="003C6832"/>
    <w:rsid w:val="003C7275"/>
    <w:rsid w:val="003D0099"/>
    <w:rsid w:val="003D0F41"/>
    <w:rsid w:val="003D26A8"/>
    <w:rsid w:val="003D3D24"/>
    <w:rsid w:val="003D400C"/>
    <w:rsid w:val="003D5245"/>
    <w:rsid w:val="003E148D"/>
    <w:rsid w:val="003E23F6"/>
    <w:rsid w:val="003E2D74"/>
    <w:rsid w:val="003E46BC"/>
    <w:rsid w:val="003E5274"/>
    <w:rsid w:val="003E62DE"/>
    <w:rsid w:val="003E67A6"/>
    <w:rsid w:val="003E7593"/>
    <w:rsid w:val="003F5E2C"/>
    <w:rsid w:val="003F70DD"/>
    <w:rsid w:val="003F7195"/>
    <w:rsid w:val="003F73D3"/>
    <w:rsid w:val="003F7433"/>
    <w:rsid w:val="003F7BDE"/>
    <w:rsid w:val="00401797"/>
    <w:rsid w:val="00401F0A"/>
    <w:rsid w:val="004050CF"/>
    <w:rsid w:val="004057EA"/>
    <w:rsid w:val="0041111B"/>
    <w:rsid w:val="004124F6"/>
    <w:rsid w:val="00412F76"/>
    <w:rsid w:val="004130A1"/>
    <w:rsid w:val="0041454C"/>
    <w:rsid w:val="00415325"/>
    <w:rsid w:val="0041637D"/>
    <w:rsid w:val="00416ACB"/>
    <w:rsid w:val="00416ACC"/>
    <w:rsid w:val="00420BA2"/>
    <w:rsid w:val="00424DCE"/>
    <w:rsid w:val="004302A2"/>
    <w:rsid w:val="00430725"/>
    <w:rsid w:val="00431E0A"/>
    <w:rsid w:val="00432945"/>
    <w:rsid w:val="00434F1E"/>
    <w:rsid w:val="004362E6"/>
    <w:rsid w:val="004379E6"/>
    <w:rsid w:val="004446C4"/>
    <w:rsid w:val="004474D3"/>
    <w:rsid w:val="0045299A"/>
    <w:rsid w:val="0045306F"/>
    <w:rsid w:val="0045415A"/>
    <w:rsid w:val="0045697A"/>
    <w:rsid w:val="00456CDA"/>
    <w:rsid w:val="004572A6"/>
    <w:rsid w:val="00461243"/>
    <w:rsid w:val="00462D84"/>
    <w:rsid w:val="0046336D"/>
    <w:rsid w:val="00463743"/>
    <w:rsid w:val="00463FAF"/>
    <w:rsid w:val="004646F7"/>
    <w:rsid w:val="00465AB2"/>
    <w:rsid w:val="00465B24"/>
    <w:rsid w:val="00466FB5"/>
    <w:rsid w:val="00470036"/>
    <w:rsid w:val="004707BC"/>
    <w:rsid w:val="004726D4"/>
    <w:rsid w:val="00473F14"/>
    <w:rsid w:val="004742EA"/>
    <w:rsid w:val="004743B6"/>
    <w:rsid w:val="00474877"/>
    <w:rsid w:val="00474B80"/>
    <w:rsid w:val="00476314"/>
    <w:rsid w:val="00481F7B"/>
    <w:rsid w:val="00482184"/>
    <w:rsid w:val="00482C30"/>
    <w:rsid w:val="00490396"/>
    <w:rsid w:val="0049040E"/>
    <w:rsid w:val="004909A0"/>
    <w:rsid w:val="00492379"/>
    <w:rsid w:val="004941E5"/>
    <w:rsid w:val="00494D6F"/>
    <w:rsid w:val="004A0370"/>
    <w:rsid w:val="004A0B66"/>
    <w:rsid w:val="004A18C6"/>
    <w:rsid w:val="004A5CE6"/>
    <w:rsid w:val="004A60E1"/>
    <w:rsid w:val="004B003D"/>
    <w:rsid w:val="004B2903"/>
    <w:rsid w:val="004B3709"/>
    <w:rsid w:val="004B39EB"/>
    <w:rsid w:val="004B4B9D"/>
    <w:rsid w:val="004C12DE"/>
    <w:rsid w:val="004C5782"/>
    <w:rsid w:val="004C5891"/>
    <w:rsid w:val="004C5896"/>
    <w:rsid w:val="004C6027"/>
    <w:rsid w:val="004D046A"/>
    <w:rsid w:val="004D06FC"/>
    <w:rsid w:val="004D3B44"/>
    <w:rsid w:val="004D6017"/>
    <w:rsid w:val="004E09CA"/>
    <w:rsid w:val="004E391B"/>
    <w:rsid w:val="004E502F"/>
    <w:rsid w:val="004E59A4"/>
    <w:rsid w:val="004E5D10"/>
    <w:rsid w:val="004E5F24"/>
    <w:rsid w:val="004E69E8"/>
    <w:rsid w:val="004F103E"/>
    <w:rsid w:val="00500BE6"/>
    <w:rsid w:val="0050534D"/>
    <w:rsid w:val="00507882"/>
    <w:rsid w:val="00514494"/>
    <w:rsid w:val="00516D27"/>
    <w:rsid w:val="00517382"/>
    <w:rsid w:val="005205CA"/>
    <w:rsid w:val="00520F76"/>
    <w:rsid w:val="00522191"/>
    <w:rsid w:val="00524B00"/>
    <w:rsid w:val="00525881"/>
    <w:rsid w:val="0052614B"/>
    <w:rsid w:val="0052675D"/>
    <w:rsid w:val="0052696D"/>
    <w:rsid w:val="005269C2"/>
    <w:rsid w:val="00526B7A"/>
    <w:rsid w:val="00527D87"/>
    <w:rsid w:val="00530165"/>
    <w:rsid w:val="005302CE"/>
    <w:rsid w:val="00532754"/>
    <w:rsid w:val="00533E90"/>
    <w:rsid w:val="00536F37"/>
    <w:rsid w:val="005400EA"/>
    <w:rsid w:val="005407B6"/>
    <w:rsid w:val="00541433"/>
    <w:rsid w:val="005419BC"/>
    <w:rsid w:val="005428F8"/>
    <w:rsid w:val="00542966"/>
    <w:rsid w:val="005475C0"/>
    <w:rsid w:val="00547681"/>
    <w:rsid w:val="00550ADB"/>
    <w:rsid w:val="00551CBC"/>
    <w:rsid w:val="00555249"/>
    <w:rsid w:val="005617C2"/>
    <w:rsid w:val="0056224B"/>
    <w:rsid w:val="005628C3"/>
    <w:rsid w:val="00563D4E"/>
    <w:rsid w:val="00566890"/>
    <w:rsid w:val="005707AB"/>
    <w:rsid w:val="00572867"/>
    <w:rsid w:val="00573A16"/>
    <w:rsid w:val="00573E7C"/>
    <w:rsid w:val="0057616E"/>
    <w:rsid w:val="0058140E"/>
    <w:rsid w:val="005815BF"/>
    <w:rsid w:val="00581D64"/>
    <w:rsid w:val="00582D7B"/>
    <w:rsid w:val="005855C5"/>
    <w:rsid w:val="0058646E"/>
    <w:rsid w:val="00587446"/>
    <w:rsid w:val="00596353"/>
    <w:rsid w:val="00596B7E"/>
    <w:rsid w:val="005A0101"/>
    <w:rsid w:val="005A1176"/>
    <w:rsid w:val="005A3FB8"/>
    <w:rsid w:val="005A6A98"/>
    <w:rsid w:val="005A6EAB"/>
    <w:rsid w:val="005B03D6"/>
    <w:rsid w:val="005B0864"/>
    <w:rsid w:val="005B09E1"/>
    <w:rsid w:val="005B2D01"/>
    <w:rsid w:val="005B3B6D"/>
    <w:rsid w:val="005B419B"/>
    <w:rsid w:val="005B43D5"/>
    <w:rsid w:val="005B4B9A"/>
    <w:rsid w:val="005B5744"/>
    <w:rsid w:val="005C0060"/>
    <w:rsid w:val="005C09C1"/>
    <w:rsid w:val="005C56F3"/>
    <w:rsid w:val="005C5E02"/>
    <w:rsid w:val="005D0992"/>
    <w:rsid w:val="005D4468"/>
    <w:rsid w:val="005D54FC"/>
    <w:rsid w:val="005D6184"/>
    <w:rsid w:val="005D77C0"/>
    <w:rsid w:val="005E0BFC"/>
    <w:rsid w:val="005E58CB"/>
    <w:rsid w:val="005E5A0B"/>
    <w:rsid w:val="005E5E41"/>
    <w:rsid w:val="005F1850"/>
    <w:rsid w:val="005F21D9"/>
    <w:rsid w:val="005F2E81"/>
    <w:rsid w:val="005F77D0"/>
    <w:rsid w:val="005F7B83"/>
    <w:rsid w:val="0060044D"/>
    <w:rsid w:val="00601052"/>
    <w:rsid w:val="00601923"/>
    <w:rsid w:val="006023B8"/>
    <w:rsid w:val="00602715"/>
    <w:rsid w:val="0060284F"/>
    <w:rsid w:val="00605813"/>
    <w:rsid w:val="00605CAB"/>
    <w:rsid w:val="006102F8"/>
    <w:rsid w:val="00612FBB"/>
    <w:rsid w:val="0061625F"/>
    <w:rsid w:val="006169C2"/>
    <w:rsid w:val="006226DC"/>
    <w:rsid w:val="00623756"/>
    <w:rsid w:val="006248B1"/>
    <w:rsid w:val="00624CDA"/>
    <w:rsid w:val="00626B28"/>
    <w:rsid w:val="00630FFB"/>
    <w:rsid w:val="00632A1A"/>
    <w:rsid w:val="00633964"/>
    <w:rsid w:val="00634B53"/>
    <w:rsid w:val="00635C62"/>
    <w:rsid w:val="00635F78"/>
    <w:rsid w:val="00645230"/>
    <w:rsid w:val="00645F0D"/>
    <w:rsid w:val="006501B7"/>
    <w:rsid w:val="0065068C"/>
    <w:rsid w:val="00654280"/>
    <w:rsid w:val="00654FE1"/>
    <w:rsid w:val="006552F7"/>
    <w:rsid w:val="00655B85"/>
    <w:rsid w:val="006575EA"/>
    <w:rsid w:val="00663A0C"/>
    <w:rsid w:val="0066709F"/>
    <w:rsid w:val="00672E53"/>
    <w:rsid w:val="00680808"/>
    <w:rsid w:val="00681928"/>
    <w:rsid w:val="00682ABF"/>
    <w:rsid w:val="006831AE"/>
    <w:rsid w:val="0069461E"/>
    <w:rsid w:val="00696320"/>
    <w:rsid w:val="006A1D3D"/>
    <w:rsid w:val="006A21A5"/>
    <w:rsid w:val="006A356D"/>
    <w:rsid w:val="006A767F"/>
    <w:rsid w:val="006A7A4D"/>
    <w:rsid w:val="006B002A"/>
    <w:rsid w:val="006B0776"/>
    <w:rsid w:val="006B19DB"/>
    <w:rsid w:val="006B3D13"/>
    <w:rsid w:val="006B455C"/>
    <w:rsid w:val="006B605D"/>
    <w:rsid w:val="006B6FB1"/>
    <w:rsid w:val="006B767A"/>
    <w:rsid w:val="006B7698"/>
    <w:rsid w:val="006C05D0"/>
    <w:rsid w:val="006C1229"/>
    <w:rsid w:val="006C12B1"/>
    <w:rsid w:val="006C360A"/>
    <w:rsid w:val="006C49CB"/>
    <w:rsid w:val="006C7B8B"/>
    <w:rsid w:val="006D0C05"/>
    <w:rsid w:val="006D1FDB"/>
    <w:rsid w:val="006D34E1"/>
    <w:rsid w:val="006D6003"/>
    <w:rsid w:val="006D7D4A"/>
    <w:rsid w:val="006E03DB"/>
    <w:rsid w:val="006E0735"/>
    <w:rsid w:val="006E32F6"/>
    <w:rsid w:val="006E3A88"/>
    <w:rsid w:val="006E3BD0"/>
    <w:rsid w:val="006E3FC6"/>
    <w:rsid w:val="006E58B0"/>
    <w:rsid w:val="006E60B9"/>
    <w:rsid w:val="006E79AA"/>
    <w:rsid w:val="006E7AEF"/>
    <w:rsid w:val="006F1AB6"/>
    <w:rsid w:val="006F56AA"/>
    <w:rsid w:val="006F5C85"/>
    <w:rsid w:val="006F7FCD"/>
    <w:rsid w:val="00700C9F"/>
    <w:rsid w:val="00703666"/>
    <w:rsid w:val="0070603B"/>
    <w:rsid w:val="00706F00"/>
    <w:rsid w:val="00707ED9"/>
    <w:rsid w:val="00712D04"/>
    <w:rsid w:val="00724967"/>
    <w:rsid w:val="00731530"/>
    <w:rsid w:val="0073344F"/>
    <w:rsid w:val="00734B1E"/>
    <w:rsid w:val="00736DB7"/>
    <w:rsid w:val="00737EDB"/>
    <w:rsid w:val="00743ED9"/>
    <w:rsid w:val="0074419C"/>
    <w:rsid w:val="007445E4"/>
    <w:rsid w:val="00745A7C"/>
    <w:rsid w:val="00745F50"/>
    <w:rsid w:val="007501B1"/>
    <w:rsid w:val="0075176D"/>
    <w:rsid w:val="0075179B"/>
    <w:rsid w:val="00753E2E"/>
    <w:rsid w:val="00754D3C"/>
    <w:rsid w:val="007553B7"/>
    <w:rsid w:val="00755BFC"/>
    <w:rsid w:val="007572CE"/>
    <w:rsid w:val="00757465"/>
    <w:rsid w:val="00761932"/>
    <w:rsid w:val="00761935"/>
    <w:rsid w:val="00762067"/>
    <w:rsid w:val="00762918"/>
    <w:rsid w:val="00762969"/>
    <w:rsid w:val="00767E45"/>
    <w:rsid w:val="00767EC1"/>
    <w:rsid w:val="007719DE"/>
    <w:rsid w:val="007735E7"/>
    <w:rsid w:val="00773B36"/>
    <w:rsid w:val="00774B33"/>
    <w:rsid w:val="00777491"/>
    <w:rsid w:val="00780551"/>
    <w:rsid w:val="00780F8C"/>
    <w:rsid w:val="007817A1"/>
    <w:rsid w:val="007819CB"/>
    <w:rsid w:val="007829AE"/>
    <w:rsid w:val="00784821"/>
    <w:rsid w:val="00784A94"/>
    <w:rsid w:val="007851E7"/>
    <w:rsid w:val="007856AF"/>
    <w:rsid w:val="00787076"/>
    <w:rsid w:val="00791ACA"/>
    <w:rsid w:val="0079273B"/>
    <w:rsid w:val="00797A22"/>
    <w:rsid w:val="007A07E8"/>
    <w:rsid w:val="007A180C"/>
    <w:rsid w:val="007A330B"/>
    <w:rsid w:val="007A4F88"/>
    <w:rsid w:val="007A4FB4"/>
    <w:rsid w:val="007A553D"/>
    <w:rsid w:val="007A71B3"/>
    <w:rsid w:val="007A77DC"/>
    <w:rsid w:val="007B02D7"/>
    <w:rsid w:val="007B1307"/>
    <w:rsid w:val="007B477A"/>
    <w:rsid w:val="007B49F8"/>
    <w:rsid w:val="007B51DD"/>
    <w:rsid w:val="007B791E"/>
    <w:rsid w:val="007B7CC0"/>
    <w:rsid w:val="007C0E96"/>
    <w:rsid w:val="007C1D40"/>
    <w:rsid w:val="007C3AAA"/>
    <w:rsid w:val="007C4B87"/>
    <w:rsid w:val="007C62CA"/>
    <w:rsid w:val="007C71F4"/>
    <w:rsid w:val="007D290F"/>
    <w:rsid w:val="007D34CA"/>
    <w:rsid w:val="007D3C81"/>
    <w:rsid w:val="007D40A4"/>
    <w:rsid w:val="007D4D03"/>
    <w:rsid w:val="007D7071"/>
    <w:rsid w:val="007E4470"/>
    <w:rsid w:val="007E6321"/>
    <w:rsid w:val="007E66D1"/>
    <w:rsid w:val="007E6726"/>
    <w:rsid w:val="007F0790"/>
    <w:rsid w:val="007F10F3"/>
    <w:rsid w:val="007F23CE"/>
    <w:rsid w:val="007F3D47"/>
    <w:rsid w:val="007F4542"/>
    <w:rsid w:val="007F458D"/>
    <w:rsid w:val="007F5FDB"/>
    <w:rsid w:val="007F658A"/>
    <w:rsid w:val="007F78D8"/>
    <w:rsid w:val="008049A2"/>
    <w:rsid w:val="00807A6B"/>
    <w:rsid w:val="00807DD2"/>
    <w:rsid w:val="0081131C"/>
    <w:rsid w:val="0082162A"/>
    <w:rsid w:val="00821BA6"/>
    <w:rsid w:val="00824BAA"/>
    <w:rsid w:val="00824DF7"/>
    <w:rsid w:val="00825ABF"/>
    <w:rsid w:val="00827A50"/>
    <w:rsid w:val="00831D54"/>
    <w:rsid w:val="008323D0"/>
    <w:rsid w:val="00832DC1"/>
    <w:rsid w:val="00832FFE"/>
    <w:rsid w:val="008336A8"/>
    <w:rsid w:val="008372E2"/>
    <w:rsid w:val="0083750A"/>
    <w:rsid w:val="0084462A"/>
    <w:rsid w:val="00850130"/>
    <w:rsid w:val="00851D5B"/>
    <w:rsid w:val="008525BF"/>
    <w:rsid w:val="00854345"/>
    <w:rsid w:val="008552BE"/>
    <w:rsid w:val="00855C7A"/>
    <w:rsid w:val="00855DA8"/>
    <w:rsid w:val="00856301"/>
    <w:rsid w:val="008571F7"/>
    <w:rsid w:val="008618DE"/>
    <w:rsid w:val="008642D5"/>
    <w:rsid w:val="00865384"/>
    <w:rsid w:val="00865E0D"/>
    <w:rsid w:val="00866773"/>
    <w:rsid w:val="00866915"/>
    <w:rsid w:val="00870B80"/>
    <w:rsid w:val="00874692"/>
    <w:rsid w:val="00874C6C"/>
    <w:rsid w:val="00875635"/>
    <w:rsid w:val="00880CC9"/>
    <w:rsid w:val="0088327C"/>
    <w:rsid w:val="00885B5E"/>
    <w:rsid w:val="0088762D"/>
    <w:rsid w:val="008877ED"/>
    <w:rsid w:val="00890DB6"/>
    <w:rsid w:val="008933D8"/>
    <w:rsid w:val="008A0085"/>
    <w:rsid w:val="008A0833"/>
    <w:rsid w:val="008A0912"/>
    <w:rsid w:val="008A0DC2"/>
    <w:rsid w:val="008A1786"/>
    <w:rsid w:val="008A2519"/>
    <w:rsid w:val="008A3E60"/>
    <w:rsid w:val="008A43A5"/>
    <w:rsid w:val="008A48AB"/>
    <w:rsid w:val="008A4CD1"/>
    <w:rsid w:val="008A7265"/>
    <w:rsid w:val="008A7D39"/>
    <w:rsid w:val="008B103D"/>
    <w:rsid w:val="008B23E9"/>
    <w:rsid w:val="008B3039"/>
    <w:rsid w:val="008B3BD4"/>
    <w:rsid w:val="008B5328"/>
    <w:rsid w:val="008C06EA"/>
    <w:rsid w:val="008C1207"/>
    <w:rsid w:val="008C3763"/>
    <w:rsid w:val="008D038F"/>
    <w:rsid w:val="008D0BA9"/>
    <w:rsid w:val="008D5BB0"/>
    <w:rsid w:val="008D7117"/>
    <w:rsid w:val="008E1DC7"/>
    <w:rsid w:val="008E3701"/>
    <w:rsid w:val="008E5AC0"/>
    <w:rsid w:val="008F036F"/>
    <w:rsid w:val="008F2A38"/>
    <w:rsid w:val="008F3E64"/>
    <w:rsid w:val="008F4443"/>
    <w:rsid w:val="008F5DAC"/>
    <w:rsid w:val="008F6075"/>
    <w:rsid w:val="008F7654"/>
    <w:rsid w:val="0090131A"/>
    <w:rsid w:val="00901D3A"/>
    <w:rsid w:val="00902884"/>
    <w:rsid w:val="00903557"/>
    <w:rsid w:val="00903EAE"/>
    <w:rsid w:val="009069DD"/>
    <w:rsid w:val="0091589D"/>
    <w:rsid w:val="00922106"/>
    <w:rsid w:val="009225F3"/>
    <w:rsid w:val="009312EE"/>
    <w:rsid w:val="00931A0A"/>
    <w:rsid w:val="00931A46"/>
    <w:rsid w:val="00933E57"/>
    <w:rsid w:val="009342C0"/>
    <w:rsid w:val="0093499D"/>
    <w:rsid w:val="00944373"/>
    <w:rsid w:val="00944463"/>
    <w:rsid w:val="0094548B"/>
    <w:rsid w:val="00947358"/>
    <w:rsid w:val="00951504"/>
    <w:rsid w:val="009522DC"/>
    <w:rsid w:val="00955AC5"/>
    <w:rsid w:val="00955E36"/>
    <w:rsid w:val="00956834"/>
    <w:rsid w:val="0096299F"/>
    <w:rsid w:val="00964D30"/>
    <w:rsid w:val="00966B8B"/>
    <w:rsid w:val="00971B1A"/>
    <w:rsid w:val="00971E02"/>
    <w:rsid w:val="00971EEF"/>
    <w:rsid w:val="00972562"/>
    <w:rsid w:val="0097383F"/>
    <w:rsid w:val="00973A6F"/>
    <w:rsid w:val="00981A37"/>
    <w:rsid w:val="00981DD0"/>
    <w:rsid w:val="00990CCE"/>
    <w:rsid w:val="009912B8"/>
    <w:rsid w:val="00993121"/>
    <w:rsid w:val="0099370B"/>
    <w:rsid w:val="00997911"/>
    <w:rsid w:val="009A2853"/>
    <w:rsid w:val="009A3923"/>
    <w:rsid w:val="009A3A0A"/>
    <w:rsid w:val="009A4C0F"/>
    <w:rsid w:val="009A5957"/>
    <w:rsid w:val="009A5B4C"/>
    <w:rsid w:val="009A635D"/>
    <w:rsid w:val="009A75A0"/>
    <w:rsid w:val="009B08B2"/>
    <w:rsid w:val="009B13A1"/>
    <w:rsid w:val="009B1546"/>
    <w:rsid w:val="009B1644"/>
    <w:rsid w:val="009B397D"/>
    <w:rsid w:val="009C414E"/>
    <w:rsid w:val="009C6AC5"/>
    <w:rsid w:val="009D0425"/>
    <w:rsid w:val="009D1CC1"/>
    <w:rsid w:val="009D385D"/>
    <w:rsid w:val="009D5D56"/>
    <w:rsid w:val="009D5DA2"/>
    <w:rsid w:val="009D6E0F"/>
    <w:rsid w:val="009E0273"/>
    <w:rsid w:val="009E1CE4"/>
    <w:rsid w:val="009E2103"/>
    <w:rsid w:val="009E21DC"/>
    <w:rsid w:val="009E6BC3"/>
    <w:rsid w:val="009E7450"/>
    <w:rsid w:val="009F13A9"/>
    <w:rsid w:val="009F259B"/>
    <w:rsid w:val="009F372D"/>
    <w:rsid w:val="009F3A74"/>
    <w:rsid w:val="009F48CB"/>
    <w:rsid w:val="009F5A99"/>
    <w:rsid w:val="009F6DAD"/>
    <w:rsid w:val="009F759A"/>
    <w:rsid w:val="00A00C96"/>
    <w:rsid w:val="00A00F49"/>
    <w:rsid w:val="00A00FF6"/>
    <w:rsid w:val="00A036F2"/>
    <w:rsid w:val="00A03DF6"/>
    <w:rsid w:val="00A04E8C"/>
    <w:rsid w:val="00A0565D"/>
    <w:rsid w:val="00A06FB0"/>
    <w:rsid w:val="00A10398"/>
    <w:rsid w:val="00A10DB1"/>
    <w:rsid w:val="00A16927"/>
    <w:rsid w:val="00A2194D"/>
    <w:rsid w:val="00A23E15"/>
    <w:rsid w:val="00A255CB"/>
    <w:rsid w:val="00A27062"/>
    <w:rsid w:val="00A271E9"/>
    <w:rsid w:val="00A30A6C"/>
    <w:rsid w:val="00A31DC6"/>
    <w:rsid w:val="00A341D7"/>
    <w:rsid w:val="00A36699"/>
    <w:rsid w:val="00A401EE"/>
    <w:rsid w:val="00A45774"/>
    <w:rsid w:val="00A47EC0"/>
    <w:rsid w:val="00A537CF"/>
    <w:rsid w:val="00A5494C"/>
    <w:rsid w:val="00A55ECC"/>
    <w:rsid w:val="00A57A39"/>
    <w:rsid w:val="00A60570"/>
    <w:rsid w:val="00A607C8"/>
    <w:rsid w:val="00A608B1"/>
    <w:rsid w:val="00A632D3"/>
    <w:rsid w:val="00A63AB0"/>
    <w:rsid w:val="00A641DF"/>
    <w:rsid w:val="00A64887"/>
    <w:rsid w:val="00A64DD7"/>
    <w:rsid w:val="00A65BF5"/>
    <w:rsid w:val="00A7187B"/>
    <w:rsid w:val="00A728DB"/>
    <w:rsid w:val="00A73741"/>
    <w:rsid w:val="00A73C0C"/>
    <w:rsid w:val="00A749EA"/>
    <w:rsid w:val="00A74C97"/>
    <w:rsid w:val="00A7568F"/>
    <w:rsid w:val="00A764C0"/>
    <w:rsid w:val="00A8134F"/>
    <w:rsid w:val="00A81BDC"/>
    <w:rsid w:val="00A843C8"/>
    <w:rsid w:val="00A8454A"/>
    <w:rsid w:val="00A84B88"/>
    <w:rsid w:val="00A85010"/>
    <w:rsid w:val="00A92A33"/>
    <w:rsid w:val="00A94CD2"/>
    <w:rsid w:val="00A968CE"/>
    <w:rsid w:val="00A97CCB"/>
    <w:rsid w:val="00AA04C3"/>
    <w:rsid w:val="00AA0714"/>
    <w:rsid w:val="00AA3273"/>
    <w:rsid w:val="00AA548A"/>
    <w:rsid w:val="00AA6273"/>
    <w:rsid w:val="00AA632B"/>
    <w:rsid w:val="00AA7082"/>
    <w:rsid w:val="00AB1281"/>
    <w:rsid w:val="00AB22EA"/>
    <w:rsid w:val="00AB358B"/>
    <w:rsid w:val="00AB3949"/>
    <w:rsid w:val="00AB3EA7"/>
    <w:rsid w:val="00AB4AB1"/>
    <w:rsid w:val="00AB5CE5"/>
    <w:rsid w:val="00AC5873"/>
    <w:rsid w:val="00AC6677"/>
    <w:rsid w:val="00AC74BE"/>
    <w:rsid w:val="00AD0349"/>
    <w:rsid w:val="00AD1BB0"/>
    <w:rsid w:val="00AD5EAB"/>
    <w:rsid w:val="00AD5EAF"/>
    <w:rsid w:val="00AE0B75"/>
    <w:rsid w:val="00AE2154"/>
    <w:rsid w:val="00AE50DD"/>
    <w:rsid w:val="00AE5B13"/>
    <w:rsid w:val="00AE78C1"/>
    <w:rsid w:val="00AF0349"/>
    <w:rsid w:val="00AF261A"/>
    <w:rsid w:val="00AF2DB3"/>
    <w:rsid w:val="00AF35EB"/>
    <w:rsid w:val="00AF38C2"/>
    <w:rsid w:val="00AF42F0"/>
    <w:rsid w:val="00AF5B58"/>
    <w:rsid w:val="00AF631E"/>
    <w:rsid w:val="00B0128A"/>
    <w:rsid w:val="00B01BD5"/>
    <w:rsid w:val="00B02AB8"/>
    <w:rsid w:val="00B03943"/>
    <w:rsid w:val="00B11074"/>
    <w:rsid w:val="00B125B6"/>
    <w:rsid w:val="00B142D1"/>
    <w:rsid w:val="00B14812"/>
    <w:rsid w:val="00B14E33"/>
    <w:rsid w:val="00B16B84"/>
    <w:rsid w:val="00B16BBA"/>
    <w:rsid w:val="00B17675"/>
    <w:rsid w:val="00B17B7E"/>
    <w:rsid w:val="00B21D03"/>
    <w:rsid w:val="00B23100"/>
    <w:rsid w:val="00B317C3"/>
    <w:rsid w:val="00B35C5C"/>
    <w:rsid w:val="00B407CC"/>
    <w:rsid w:val="00B5270D"/>
    <w:rsid w:val="00B5485D"/>
    <w:rsid w:val="00B54F76"/>
    <w:rsid w:val="00B555A0"/>
    <w:rsid w:val="00B566AF"/>
    <w:rsid w:val="00B568DD"/>
    <w:rsid w:val="00B60FD0"/>
    <w:rsid w:val="00B6209F"/>
    <w:rsid w:val="00B621B6"/>
    <w:rsid w:val="00B63555"/>
    <w:rsid w:val="00B703C5"/>
    <w:rsid w:val="00B709F6"/>
    <w:rsid w:val="00B71D61"/>
    <w:rsid w:val="00B81398"/>
    <w:rsid w:val="00B818B2"/>
    <w:rsid w:val="00B828A5"/>
    <w:rsid w:val="00B82C46"/>
    <w:rsid w:val="00B84235"/>
    <w:rsid w:val="00B85594"/>
    <w:rsid w:val="00B90714"/>
    <w:rsid w:val="00B91811"/>
    <w:rsid w:val="00B921A2"/>
    <w:rsid w:val="00BA013F"/>
    <w:rsid w:val="00BA093E"/>
    <w:rsid w:val="00BA0D70"/>
    <w:rsid w:val="00BA1B89"/>
    <w:rsid w:val="00BA24A6"/>
    <w:rsid w:val="00BA263D"/>
    <w:rsid w:val="00BA2971"/>
    <w:rsid w:val="00BA2DED"/>
    <w:rsid w:val="00BA3777"/>
    <w:rsid w:val="00BA48FA"/>
    <w:rsid w:val="00BA4ABE"/>
    <w:rsid w:val="00BA63DE"/>
    <w:rsid w:val="00BA6E34"/>
    <w:rsid w:val="00BA6FAF"/>
    <w:rsid w:val="00BA7002"/>
    <w:rsid w:val="00BB0A32"/>
    <w:rsid w:val="00BB0B06"/>
    <w:rsid w:val="00BB0C8D"/>
    <w:rsid w:val="00BB1ADB"/>
    <w:rsid w:val="00BB2188"/>
    <w:rsid w:val="00BC0077"/>
    <w:rsid w:val="00BC618D"/>
    <w:rsid w:val="00BC67AD"/>
    <w:rsid w:val="00BD047B"/>
    <w:rsid w:val="00BD2C00"/>
    <w:rsid w:val="00BD75FD"/>
    <w:rsid w:val="00BE1391"/>
    <w:rsid w:val="00BE3E5F"/>
    <w:rsid w:val="00BE71B8"/>
    <w:rsid w:val="00BE7723"/>
    <w:rsid w:val="00BE786F"/>
    <w:rsid w:val="00BE7D5F"/>
    <w:rsid w:val="00BF1C72"/>
    <w:rsid w:val="00BF25BF"/>
    <w:rsid w:val="00BF4390"/>
    <w:rsid w:val="00BF59C3"/>
    <w:rsid w:val="00BF618D"/>
    <w:rsid w:val="00BF7595"/>
    <w:rsid w:val="00BF79D3"/>
    <w:rsid w:val="00BF7C7C"/>
    <w:rsid w:val="00C02729"/>
    <w:rsid w:val="00C03D88"/>
    <w:rsid w:val="00C03F77"/>
    <w:rsid w:val="00C04FF1"/>
    <w:rsid w:val="00C06B71"/>
    <w:rsid w:val="00C1093F"/>
    <w:rsid w:val="00C12329"/>
    <w:rsid w:val="00C12E35"/>
    <w:rsid w:val="00C20316"/>
    <w:rsid w:val="00C209F8"/>
    <w:rsid w:val="00C21CAC"/>
    <w:rsid w:val="00C23AEC"/>
    <w:rsid w:val="00C23F02"/>
    <w:rsid w:val="00C24755"/>
    <w:rsid w:val="00C2528A"/>
    <w:rsid w:val="00C254DF"/>
    <w:rsid w:val="00C26AF2"/>
    <w:rsid w:val="00C278F1"/>
    <w:rsid w:val="00C30D67"/>
    <w:rsid w:val="00C319F4"/>
    <w:rsid w:val="00C328F0"/>
    <w:rsid w:val="00C32A50"/>
    <w:rsid w:val="00C32D2A"/>
    <w:rsid w:val="00C335F2"/>
    <w:rsid w:val="00C33F90"/>
    <w:rsid w:val="00C35583"/>
    <w:rsid w:val="00C35B2A"/>
    <w:rsid w:val="00C36805"/>
    <w:rsid w:val="00C368C0"/>
    <w:rsid w:val="00C37204"/>
    <w:rsid w:val="00C37B99"/>
    <w:rsid w:val="00C37DC4"/>
    <w:rsid w:val="00C432A7"/>
    <w:rsid w:val="00C44F7F"/>
    <w:rsid w:val="00C45C9C"/>
    <w:rsid w:val="00C45FB9"/>
    <w:rsid w:val="00C46FE3"/>
    <w:rsid w:val="00C47288"/>
    <w:rsid w:val="00C50C09"/>
    <w:rsid w:val="00C51229"/>
    <w:rsid w:val="00C522A5"/>
    <w:rsid w:val="00C55095"/>
    <w:rsid w:val="00C5751A"/>
    <w:rsid w:val="00C613A4"/>
    <w:rsid w:val="00C62C2D"/>
    <w:rsid w:val="00C63A22"/>
    <w:rsid w:val="00C64CD2"/>
    <w:rsid w:val="00C666F3"/>
    <w:rsid w:val="00C66B0B"/>
    <w:rsid w:val="00C67A86"/>
    <w:rsid w:val="00C67C65"/>
    <w:rsid w:val="00C7642D"/>
    <w:rsid w:val="00C80B4A"/>
    <w:rsid w:val="00C83BA4"/>
    <w:rsid w:val="00C83DF5"/>
    <w:rsid w:val="00C8698C"/>
    <w:rsid w:val="00C8717C"/>
    <w:rsid w:val="00C90295"/>
    <w:rsid w:val="00C90E10"/>
    <w:rsid w:val="00C914DE"/>
    <w:rsid w:val="00C92230"/>
    <w:rsid w:val="00C93068"/>
    <w:rsid w:val="00C93DBA"/>
    <w:rsid w:val="00CA154B"/>
    <w:rsid w:val="00CA4134"/>
    <w:rsid w:val="00CA44FC"/>
    <w:rsid w:val="00CA4C4C"/>
    <w:rsid w:val="00CA51FC"/>
    <w:rsid w:val="00CA7A00"/>
    <w:rsid w:val="00CB1C14"/>
    <w:rsid w:val="00CB215F"/>
    <w:rsid w:val="00CB556E"/>
    <w:rsid w:val="00CB6136"/>
    <w:rsid w:val="00CB634F"/>
    <w:rsid w:val="00CB6588"/>
    <w:rsid w:val="00CB7F80"/>
    <w:rsid w:val="00CC0D16"/>
    <w:rsid w:val="00CC1325"/>
    <w:rsid w:val="00CC411A"/>
    <w:rsid w:val="00CC698D"/>
    <w:rsid w:val="00CD1370"/>
    <w:rsid w:val="00CD3BEC"/>
    <w:rsid w:val="00CD41B4"/>
    <w:rsid w:val="00CD472A"/>
    <w:rsid w:val="00CD5754"/>
    <w:rsid w:val="00CD6756"/>
    <w:rsid w:val="00CD7D65"/>
    <w:rsid w:val="00CE0218"/>
    <w:rsid w:val="00CE2293"/>
    <w:rsid w:val="00CE2985"/>
    <w:rsid w:val="00CF094D"/>
    <w:rsid w:val="00CF1679"/>
    <w:rsid w:val="00CF26C4"/>
    <w:rsid w:val="00CF3458"/>
    <w:rsid w:val="00CF673A"/>
    <w:rsid w:val="00CF76E8"/>
    <w:rsid w:val="00CF7CE4"/>
    <w:rsid w:val="00D00D00"/>
    <w:rsid w:val="00D01D91"/>
    <w:rsid w:val="00D01EDD"/>
    <w:rsid w:val="00D048C7"/>
    <w:rsid w:val="00D054A6"/>
    <w:rsid w:val="00D10561"/>
    <w:rsid w:val="00D1271C"/>
    <w:rsid w:val="00D1311C"/>
    <w:rsid w:val="00D1315C"/>
    <w:rsid w:val="00D14B12"/>
    <w:rsid w:val="00D14B39"/>
    <w:rsid w:val="00D14CBA"/>
    <w:rsid w:val="00D15DC7"/>
    <w:rsid w:val="00D25FC0"/>
    <w:rsid w:val="00D2734D"/>
    <w:rsid w:val="00D33F87"/>
    <w:rsid w:val="00D376EE"/>
    <w:rsid w:val="00D40FB2"/>
    <w:rsid w:val="00D426E7"/>
    <w:rsid w:val="00D44B5C"/>
    <w:rsid w:val="00D45648"/>
    <w:rsid w:val="00D4588E"/>
    <w:rsid w:val="00D4597F"/>
    <w:rsid w:val="00D462D2"/>
    <w:rsid w:val="00D46D7A"/>
    <w:rsid w:val="00D47F5D"/>
    <w:rsid w:val="00D54990"/>
    <w:rsid w:val="00D54F29"/>
    <w:rsid w:val="00D552BE"/>
    <w:rsid w:val="00D55AA8"/>
    <w:rsid w:val="00D563CF"/>
    <w:rsid w:val="00D56764"/>
    <w:rsid w:val="00D61191"/>
    <w:rsid w:val="00D61DEE"/>
    <w:rsid w:val="00D63B95"/>
    <w:rsid w:val="00D63C57"/>
    <w:rsid w:val="00D65C30"/>
    <w:rsid w:val="00D6670A"/>
    <w:rsid w:val="00D71F16"/>
    <w:rsid w:val="00D73CD8"/>
    <w:rsid w:val="00D81604"/>
    <w:rsid w:val="00D8766A"/>
    <w:rsid w:val="00D913F2"/>
    <w:rsid w:val="00D91A6D"/>
    <w:rsid w:val="00D91D80"/>
    <w:rsid w:val="00D94CCC"/>
    <w:rsid w:val="00D95631"/>
    <w:rsid w:val="00D970EC"/>
    <w:rsid w:val="00D9777E"/>
    <w:rsid w:val="00D97E0B"/>
    <w:rsid w:val="00D97F9A"/>
    <w:rsid w:val="00DA0588"/>
    <w:rsid w:val="00DA18FD"/>
    <w:rsid w:val="00DA26A8"/>
    <w:rsid w:val="00DA3638"/>
    <w:rsid w:val="00DA43F2"/>
    <w:rsid w:val="00DA73FE"/>
    <w:rsid w:val="00DB039A"/>
    <w:rsid w:val="00DB0F65"/>
    <w:rsid w:val="00DB3E79"/>
    <w:rsid w:val="00DB5668"/>
    <w:rsid w:val="00DB5A8E"/>
    <w:rsid w:val="00DB70C4"/>
    <w:rsid w:val="00DB7968"/>
    <w:rsid w:val="00DB7D4C"/>
    <w:rsid w:val="00DC0B89"/>
    <w:rsid w:val="00DC332A"/>
    <w:rsid w:val="00DC3F21"/>
    <w:rsid w:val="00DC3F78"/>
    <w:rsid w:val="00DC41DE"/>
    <w:rsid w:val="00DC493C"/>
    <w:rsid w:val="00DD2366"/>
    <w:rsid w:val="00DD2AC4"/>
    <w:rsid w:val="00DD2BA9"/>
    <w:rsid w:val="00DD3F35"/>
    <w:rsid w:val="00DD4D87"/>
    <w:rsid w:val="00DD623E"/>
    <w:rsid w:val="00DE02A8"/>
    <w:rsid w:val="00DE0487"/>
    <w:rsid w:val="00DE1543"/>
    <w:rsid w:val="00DE7F89"/>
    <w:rsid w:val="00DF40ED"/>
    <w:rsid w:val="00DF5711"/>
    <w:rsid w:val="00E00C71"/>
    <w:rsid w:val="00E01CEC"/>
    <w:rsid w:val="00E03095"/>
    <w:rsid w:val="00E0391A"/>
    <w:rsid w:val="00E065FF"/>
    <w:rsid w:val="00E07172"/>
    <w:rsid w:val="00E120D0"/>
    <w:rsid w:val="00E229A3"/>
    <w:rsid w:val="00E2377B"/>
    <w:rsid w:val="00E26BA3"/>
    <w:rsid w:val="00E3081D"/>
    <w:rsid w:val="00E33ABF"/>
    <w:rsid w:val="00E36E6F"/>
    <w:rsid w:val="00E44BDD"/>
    <w:rsid w:val="00E50EEB"/>
    <w:rsid w:val="00E55AAB"/>
    <w:rsid w:val="00E564E8"/>
    <w:rsid w:val="00E56535"/>
    <w:rsid w:val="00E65FE2"/>
    <w:rsid w:val="00E66D0E"/>
    <w:rsid w:val="00E71056"/>
    <w:rsid w:val="00E718BD"/>
    <w:rsid w:val="00E76040"/>
    <w:rsid w:val="00E760FD"/>
    <w:rsid w:val="00E80CEE"/>
    <w:rsid w:val="00E82C12"/>
    <w:rsid w:val="00E92CC4"/>
    <w:rsid w:val="00E96783"/>
    <w:rsid w:val="00EA01AC"/>
    <w:rsid w:val="00EA0B33"/>
    <w:rsid w:val="00EA100C"/>
    <w:rsid w:val="00EA3BD2"/>
    <w:rsid w:val="00EA5777"/>
    <w:rsid w:val="00EB4DF2"/>
    <w:rsid w:val="00EB5C29"/>
    <w:rsid w:val="00EC1285"/>
    <w:rsid w:val="00EC14FC"/>
    <w:rsid w:val="00EC24C6"/>
    <w:rsid w:val="00EC4686"/>
    <w:rsid w:val="00ED07DF"/>
    <w:rsid w:val="00ED0B9A"/>
    <w:rsid w:val="00ED0D88"/>
    <w:rsid w:val="00ED3D74"/>
    <w:rsid w:val="00ED4E7C"/>
    <w:rsid w:val="00ED671D"/>
    <w:rsid w:val="00ED7B90"/>
    <w:rsid w:val="00EE0626"/>
    <w:rsid w:val="00EE10B4"/>
    <w:rsid w:val="00EE1282"/>
    <w:rsid w:val="00EE2D47"/>
    <w:rsid w:val="00EE37D3"/>
    <w:rsid w:val="00EE7E25"/>
    <w:rsid w:val="00EF0350"/>
    <w:rsid w:val="00EF0F77"/>
    <w:rsid w:val="00EF31F3"/>
    <w:rsid w:val="00EF4536"/>
    <w:rsid w:val="00F00E4D"/>
    <w:rsid w:val="00F04423"/>
    <w:rsid w:val="00F06B6C"/>
    <w:rsid w:val="00F0729E"/>
    <w:rsid w:val="00F07436"/>
    <w:rsid w:val="00F078AC"/>
    <w:rsid w:val="00F10AF7"/>
    <w:rsid w:val="00F12497"/>
    <w:rsid w:val="00F156F7"/>
    <w:rsid w:val="00F166EE"/>
    <w:rsid w:val="00F213D5"/>
    <w:rsid w:val="00F21E75"/>
    <w:rsid w:val="00F25C2F"/>
    <w:rsid w:val="00F25CBE"/>
    <w:rsid w:val="00F266D3"/>
    <w:rsid w:val="00F26C6C"/>
    <w:rsid w:val="00F26E96"/>
    <w:rsid w:val="00F2739F"/>
    <w:rsid w:val="00F30797"/>
    <w:rsid w:val="00F309DF"/>
    <w:rsid w:val="00F334FA"/>
    <w:rsid w:val="00F34828"/>
    <w:rsid w:val="00F35A52"/>
    <w:rsid w:val="00F36D9F"/>
    <w:rsid w:val="00F41CD5"/>
    <w:rsid w:val="00F42949"/>
    <w:rsid w:val="00F43570"/>
    <w:rsid w:val="00F45A80"/>
    <w:rsid w:val="00F4720B"/>
    <w:rsid w:val="00F52548"/>
    <w:rsid w:val="00F53264"/>
    <w:rsid w:val="00F53807"/>
    <w:rsid w:val="00F53BD0"/>
    <w:rsid w:val="00F54766"/>
    <w:rsid w:val="00F57F68"/>
    <w:rsid w:val="00F61917"/>
    <w:rsid w:val="00F6548C"/>
    <w:rsid w:val="00F65883"/>
    <w:rsid w:val="00F70927"/>
    <w:rsid w:val="00F775A7"/>
    <w:rsid w:val="00F77C12"/>
    <w:rsid w:val="00F81AB7"/>
    <w:rsid w:val="00F83718"/>
    <w:rsid w:val="00F84042"/>
    <w:rsid w:val="00F9092C"/>
    <w:rsid w:val="00F93BC7"/>
    <w:rsid w:val="00F94421"/>
    <w:rsid w:val="00F946ED"/>
    <w:rsid w:val="00F94905"/>
    <w:rsid w:val="00F94E45"/>
    <w:rsid w:val="00F94E89"/>
    <w:rsid w:val="00F965BC"/>
    <w:rsid w:val="00F965E6"/>
    <w:rsid w:val="00FA2A4F"/>
    <w:rsid w:val="00FA2CCF"/>
    <w:rsid w:val="00FA3740"/>
    <w:rsid w:val="00FA3A1B"/>
    <w:rsid w:val="00FB0857"/>
    <w:rsid w:val="00FB13A9"/>
    <w:rsid w:val="00FB2549"/>
    <w:rsid w:val="00FB265C"/>
    <w:rsid w:val="00FB6528"/>
    <w:rsid w:val="00FC033B"/>
    <w:rsid w:val="00FC05D8"/>
    <w:rsid w:val="00FC0A59"/>
    <w:rsid w:val="00FC0B62"/>
    <w:rsid w:val="00FC2011"/>
    <w:rsid w:val="00FC2B90"/>
    <w:rsid w:val="00FC4A2E"/>
    <w:rsid w:val="00FC50D2"/>
    <w:rsid w:val="00FC6726"/>
    <w:rsid w:val="00FD4385"/>
    <w:rsid w:val="00FE2BFD"/>
    <w:rsid w:val="00FE2CB7"/>
    <w:rsid w:val="00FE3104"/>
    <w:rsid w:val="00FE4969"/>
    <w:rsid w:val="00FE5B14"/>
    <w:rsid w:val="00FF0316"/>
    <w:rsid w:val="00FF0797"/>
    <w:rsid w:val="00FF07C1"/>
    <w:rsid w:val="00FF2B51"/>
    <w:rsid w:val="00FF45F4"/>
    <w:rsid w:val="00FF5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385A0ED"/>
  <w15:docId w15:val="{18C0A549-0DEB-47E5-8A4B-F0D0ABE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E81"/>
    <w:pPr>
      <w:spacing w:line="280" w:lineRule="atLeast"/>
    </w:pPr>
    <w:rPr>
      <w:rFonts w:ascii="Arial" w:hAnsi="Arial"/>
      <w:szCs w:val="2"/>
    </w:rPr>
  </w:style>
  <w:style w:type="paragraph" w:styleId="Heading1">
    <w:name w:val="heading 1"/>
    <w:basedOn w:val="Normal"/>
    <w:next w:val="Normal"/>
    <w:link w:val="Heading1Char"/>
    <w:uiPriority w:val="99"/>
    <w:qFormat/>
    <w:rsid w:val="007C3AAA"/>
    <w:pPr>
      <w:spacing w:line="240" w:lineRule="auto"/>
      <w:jc w:val="center"/>
      <w:outlineLvl w:val="0"/>
    </w:pPr>
    <w:rPr>
      <w:b/>
      <w:i/>
      <w:sz w:val="30"/>
      <w:szCs w:val="36"/>
    </w:rPr>
  </w:style>
  <w:style w:type="paragraph" w:styleId="Heading2">
    <w:name w:val="heading 2"/>
    <w:basedOn w:val="Normal"/>
    <w:next w:val="Normal"/>
    <w:link w:val="Heading2Char"/>
    <w:uiPriority w:val="99"/>
    <w:qFormat/>
    <w:rsid w:val="007C3AAA"/>
    <w:pPr>
      <w:spacing w:line="240" w:lineRule="auto"/>
      <w:jc w:val="center"/>
      <w:outlineLvl w:val="1"/>
    </w:pPr>
    <w:rPr>
      <w:b/>
      <w:sz w:val="30"/>
      <w:szCs w:val="32"/>
    </w:rPr>
  </w:style>
  <w:style w:type="paragraph" w:styleId="Heading3">
    <w:name w:val="heading 3"/>
    <w:basedOn w:val="Normal"/>
    <w:next w:val="Normal"/>
    <w:link w:val="Heading3Char"/>
    <w:uiPriority w:val="99"/>
    <w:qFormat/>
    <w:rsid w:val="005F2E81"/>
    <w:pPr>
      <w:spacing w:before="120" w:after="360" w:line="240" w:lineRule="auto"/>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AAA"/>
    <w:rPr>
      <w:rFonts w:ascii="Arial" w:hAnsi="Arial" w:cs="Times New Roman"/>
      <w:b/>
      <w:i/>
      <w:sz w:val="36"/>
      <w:szCs w:val="36"/>
      <w:lang w:val="en-AU" w:eastAsia="en-AU" w:bidi="ar-SA"/>
    </w:rPr>
  </w:style>
  <w:style w:type="character" w:customStyle="1" w:styleId="Heading2Char">
    <w:name w:val="Heading 2 Char"/>
    <w:basedOn w:val="DefaultParagraphFont"/>
    <w:link w:val="Heading2"/>
    <w:uiPriority w:val="99"/>
    <w:locked/>
    <w:rsid w:val="007C3AAA"/>
    <w:rPr>
      <w:rFonts w:ascii="Arial" w:hAnsi="Arial" w:cs="Times New Roman"/>
      <w:b/>
      <w:sz w:val="32"/>
      <w:szCs w:val="32"/>
      <w:lang w:val="en-AU" w:eastAsia="en-AU" w:bidi="ar-SA"/>
    </w:rPr>
  </w:style>
  <w:style w:type="character" w:customStyle="1" w:styleId="Heading3Char">
    <w:name w:val="Heading 3 Char"/>
    <w:basedOn w:val="DefaultParagraphFont"/>
    <w:link w:val="Heading3"/>
    <w:uiPriority w:val="9"/>
    <w:semiHidden/>
    <w:rsid w:val="00C2424B"/>
    <w:rPr>
      <w:rFonts w:asciiTheme="majorHAnsi" w:eastAsiaTheme="majorEastAsia" w:hAnsiTheme="majorHAnsi" w:cstheme="majorBidi"/>
      <w:b/>
      <w:bCs/>
      <w:sz w:val="26"/>
      <w:szCs w:val="26"/>
    </w:rPr>
  </w:style>
  <w:style w:type="paragraph" w:customStyle="1" w:styleId="RulingNumbering">
    <w:name w:val="Ruling Numbering"/>
    <w:basedOn w:val="Normal"/>
    <w:uiPriority w:val="99"/>
    <w:rsid w:val="002C10C3"/>
    <w:pPr>
      <w:spacing w:before="160"/>
    </w:pPr>
  </w:style>
  <w:style w:type="table" w:styleId="TableGrid">
    <w:name w:val="Table Grid"/>
    <w:basedOn w:val="TableNormal"/>
    <w:uiPriority w:val="99"/>
    <w:rsid w:val="00FF0316"/>
    <w:pPr>
      <w:spacing w:line="220" w:lineRule="atLeast"/>
    </w:pPr>
    <w:rPr>
      <w:rFonts w:ascii="Arial" w:hAnsi="Arial"/>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ingTableTitles">
    <w:name w:val="Ruling Table Titles"/>
    <w:basedOn w:val="Normal"/>
    <w:uiPriority w:val="99"/>
    <w:rsid w:val="00FF0797"/>
    <w:pPr>
      <w:jc w:val="center"/>
    </w:pPr>
    <w:rPr>
      <w:b/>
      <w:bCs/>
      <w:szCs w:val="20"/>
    </w:rPr>
  </w:style>
  <w:style w:type="paragraph" w:styleId="Footer">
    <w:name w:val="footer"/>
    <w:basedOn w:val="Normal"/>
    <w:link w:val="FooterChar"/>
    <w:uiPriority w:val="99"/>
    <w:rsid w:val="005C5E02"/>
    <w:pPr>
      <w:pBdr>
        <w:top w:val="single" w:sz="4" w:space="1" w:color="auto"/>
      </w:pBdr>
      <w:tabs>
        <w:tab w:val="right" w:pos="9638"/>
      </w:tabs>
      <w:spacing w:line="220" w:lineRule="atLeast"/>
    </w:pPr>
    <w:rPr>
      <w:sz w:val="18"/>
      <w:szCs w:val="18"/>
    </w:rPr>
  </w:style>
  <w:style w:type="character" w:customStyle="1" w:styleId="FooterChar">
    <w:name w:val="Footer Char"/>
    <w:basedOn w:val="DefaultParagraphFont"/>
    <w:link w:val="Footer"/>
    <w:uiPriority w:val="99"/>
    <w:semiHidden/>
    <w:rsid w:val="00C2424B"/>
    <w:rPr>
      <w:rFonts w:ascii="Arial" w:hAnsi="Arial"/>
      <w:szCs w:val="2"/>
    </w:rPr>
  </w:style>
  <w:style w:type="paragraph" w:customStyle="1" w:styleId="RulingHeading4">
    <w:name w:val="Ruling Heading 4"/>
    <w:basedOn w:val="Normal"/>
    <w:next w:val="Normal"/>
    <w:uiPriority w:val="99"/>
    <w:rsid w:val="00FF0316"/>
    <w:pPr>
      <w:spacing w:before="120"/>
    </w:pPr>
    <w:rPr>
      <w:b/>
    </w:rPr>
  </w:style>
  <w:style w:type="paragraph" w:customStyle="1" w:styleId="RulingBodyText">
    <w:name w:val="Ruling Body Text"/>
    <w:link w:val="RulingBodyTextChar"/>
    <w:uiPriority w:val="99"/>
    <w:rsid w:val="005F2E81"/>
    <w:pPr>
      <w:spacing w:line="280" w:lineRule="atLeast"/>
    </w:pPr>
    <w:rPr>
      <w:rFonts w:ascii="Arial" w:hAnsi="Arial"/>
      <w:szCs w:val="2"/>
    </w:rPr>
  </w:style>
  <w:style w:type="character" w:customStyle="1" w:styleId="RulingBodyTextChar">
    <w:name w:val="Ruling Body Text Char"/>
    <w:basedOn w:val="DefaultParagraphFont"/>
    <w:link w:val="RulingBodyText"/>
    <w:uiPriority w:val="99"/>
    <w:locked/>
    <w:rsid w:val="005F2E81"/>
    <w:rPr>
      <w:rFonts w:ascii="Arial" w:hAnsi="Arial" w:cs="Times New Roman"/>
      <w:sz w:val="2"/>
      <w:szCs w:val="2"/>
      <w:lang w:val="en-AU" w:eastAsia="en-AU" w:bidi="ar-SA"/>
    </w:rPr>
  </w:style>
  <w:style w:type="paragraph" w:customStyle="1" w:styleId="Bold">
    <w:name w:val="Bold"/>
    <w:basedOn w:val="RulingBodyText"/>
    <w:link w:val="BoldCharChar"/>
    <w:uiPriority w:val="99"/>
    <w:rsid w:val="00FF0316"/>
    <w:rPr>
      <w:b/>
      <w:bCs/>
    </w:rPr>
  </w:style>
  <w:style w:type="character" w:customStyle="1" w:styleId="BoldCharChar">
    <w:name w:val="Bold Char Char"/>
    <w:basedOn w:val="RulingBodyTextChar"/>
    <w:link w:val="Bold"/>
    <w:uiPriority w:val="99"/>
    <w:locked/>
    <w:rsid w:val="00FF0316"/>
    <w:rPr>
      <w:rFonts w:ascii="Arial" w:hAnsi="Arial" w:cs="Times New Roman"/>
      <w:b/>
      <w:bCs/>
      <w:sz w:val="2"/>
      <w:szCs w:val="2"/>
      <w:lang w:val="en-AU" w:eastAsia="en-AU" w:bidi="ar-SA"/>
    </w:rPr>
  </w:style>
  <w:style w:type="paragraph" w:customStyle="1" w:styleId="RulingHeading5">
    <w:name w:val="Ruling Heading 5"/>
    <w:basedOn w:val="RulingBodyText"/>
    <w:uiPriority w:val="99"/>
    <w:rsid w:val="00CB1C14"/>
    <w:rPr>
      <w:b/>
      <w:bCs/>
      <w:i/>
      <w:iCs/>
    </w:rPr>
  </w:style>
  <w:style w:type="character" w:customStyle="1" w:styleId="Italic">
    <w:name w:val="Italic"/>
    <w:basedOn w:val="RulingBodyTextChar"/>
    <w:uiPriority w:val="99"/>
    <w:rsid w:val="00BD75FD"/>
    <w:rPr>
      <w:rFonts w:ascii="Arial" w:hAnsi="Arial" w:cs="Arial"/>
      <w:i/>
      <w:sz w:val="22"/>
      <w:szCs w:val="22"/>
      <w:lang w:val="en-AU" w:eastAsia="en-AU" w:bidi="ar-SA"/>
    </w:rPr>
  </w:style>
  <w:style w:type="paragraph" w:styleId="Header">
    <w:name w:val="header"/>
    <w:basedOn w:val="Normal"/>
    <w:link w:val="HeaderChar"/>
    <w:uiPriority w:val="99"/>
    <w:rsid w:val="00DE02A8"/>
    <w:pPr>
      <w:tabs>
        <w:tab w:val="center" w:pos="4153"/>
        <w:tab w:val="right" w:pos="8306"/>
      </w:tabs>
    </w:pPr>
  </w:style>
  <w:style w:type="character" w:customStyle="1" w:styleId="HeaderChar">
    <w:name w:val="Header Char"/>
    <w:basedOn w:val="DefaultParagraphFont"/>
    <w:link w:val="Header"/>
    <w:uiPriority w:val="99"/>
    <w:locked/>
    <w:rsid w:val="00A04E8C"/>
    <w:rPr>
      <w:rFonts w:ascii="Arial" w:hAnsi="Arial" w:cs="Times New Roman"/>
      <w:sz w:val="2"/>
      <w:szCs w:val="2"/>
    </w:rPr>
  </w:style>
  <w:style w:type="paragraph" w:styleId="BalloonText">
    <w:name w:val="Balloon Text"/>
    <w:basedOn w:val="Normal"/>
    <w:link w:val="BalloonTextChar"/>
    <w:uiPriority w:val="99"/>
    <w:semiHidden/>
    <w:rsid w:val="006D6003"/>
    <w:rPr>
      <w:rFonts w:ascii="Tahoma" w:hAnsi="Tahoma" w:cs="Tahoma"/>
      <w:sz w:val="16"/>
      <w:szCs w:val="16"/>
    </w:rPr>
  </w:style>
  <w:style w:type="character" w:customStyle="1" w:styleId="BalloonTextChar">
    <w:name w:val="Balloon Text Char"/>
    <w:basedOn w:val="DefaultParagraphFont"/>
    <w:link w:val="BalloonText"/>
    <w:uiPriority w:val="99"/>
    <w:semiHidden/>
    <w:rsid w:val="00C2424B"/>
    <w:rPr>
      <w:sz w:val="0"/>
      <w:szCs w:val="0"/>
    </w:rPr>
  </w:style>
  <w:style w:type="character" w:styleId="Hyperlink">
    <w:name w:val="Hyperlink"/>
    <w:basedOn w:val="DefaultParagraphFont"/>
    <w:uiPriority w:val="99"/>
    <w:rsid w:val="004E59A4"/>
    <w:rPr>
      <w:rFonts w:cs="Times New Roman"/>
      <w:color w:val="0000FF"/>
      <w:u w:val="single"/>
    </w:rPr>
  </w:style>
  <w:style w:type="character" w:styleId="CommentReference">
    <w:name w:val="annotation reference"/>
    <w:basedOn w:val="DefaultParagraphFont"/>
    <w:uiPriority w:val="99"/>
    <w:rsid w:val="002033BE"/>
    <w:rPr>
      <w:rFonts w:cs="Times New Roman"/>
      <w:sz w:val="16"/>
      <w:szCs w:val="16"/>
    </w:rPr>
  </w:style>
  <w:style w:type="paragraph" w:styleId="CommentText">
    <w:name w:val="annotation text"/>
    <w:basedOn w:val="Normal"/>
    <w:link w:val="CommentTextChar"/>
    <w:uiPriority w:val="99"/>
    <w:rsid w:val="002033BE"/>
    <w:rPr>
      <w:sz w:val="20"/>
      <w:szCs w:val="20"/>
    </w:rPr>
  </w:style>
  <w:style w:type="character" w:customStyle="1" w:styleId="CommentTextChar">
    <w:name w:val="Comment Text Char"/>
    <w:basedOn w:val="DefaultParagraphFont"/>
    <w:link w:val="CommentText"/>
    <w:uiPriority w:val="99"/>
    <w:locked/>
    <w:rsid w:val="002033BE"/>
    <w:rPr>
      <w:rFonts w:ascii="Arial" w:hAnsi="Arial" w:cs="Times New Roman"/>
    </w:rPr>
  </w:style>
  <w:style w:type="paragraph" w:styleId="CommentSubject">
    <w:name w:val="annotation subject"/>
    <w:basedOn w:val="CommentText"/>
    <w:next w:val="CommentText"/>
    <w:link w:val="CommentSubjectChar"/>
    <w:uiPriority w:val="99"/>
    <w:rsid w:val="002033BE"/>
    <w:rPr>
      <w:b/>
      <w:bCs/>
    </w:rPr>
  </w:style>
  <w:style w:type="character" w:customStyle="1" w:styleId="CommentSubjectChar">
    <w:name w:val="Comment Subject Char"/>
    <w:basedOn w:val="CommentTextChar"/>
    <w:link w:val="CommentSubject"/>
    <w:uiPriority w:val="99"/>
    <w:locked/>
    <w:rsid w:val="002033BE"/>
    <w:rPr>
      <w:rFonts w:ascii="Arial" w:hAnsi="Arial" w:cs="Times New Roman"/>
      <w:b/>
      <w:bCs/>
    </w:rPr>
  </w:style>
  <w:style w:type="numbering" w:customStyle="1" w:styleId="RulingBullet">
    <w:name w:val="Ruling Bullet"/>
    <w:rsid w:val="00C2424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revenue.ntt@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nue.nt.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asury.nt.gov.au/PMS/Publications/TaxesRoyaltiesGrants/GeneralAdmin/CG-GEN-00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Payroll Tax (PRT)</Tax_x0020_Type>
    <Release_x0020_Date xmlns="378e824e-6e02-4c0d-8321-dd86fba681ee">2013-06-02T14:30:00+00:00</Release_x0020_Date>
    <Publication_x0020_Title xmlns="378e824e-6e02-4c0d-8321-dd86fba681ee">Fees Paid for Golf Club Professionals</Publication_x0020_Title>
    <Sub_x0020_Sub_x0020_Category xmlns="378e824e-6e02-4c0d-8321-dd86fba681ee" xsi:nil="true"/>
    <Details xmlns="378e824e-6e02-4c0d-8321-dd86fba681ee">Clarifies a golf club’s payroll tax liability on payments made to golf professionals.</Details>
    <Main_x0020_Category xmlns="378e824e-6e02-4c0d-8321-dd86fba681ee">6</Main_x0020_Category>
    <Tax_x0020_Type_x0020_Topic xmlns="378e824e-6e02-4c0d-8321-dd86fba681ee">Contractors</Tax_x0020_Type_x0020_Topic>
    <Sub_x0020_Category xmlns="378e824e-6e02-4c0d-8321-dd86fba681ee">25</Sub_x0020_Category>
    <Identifier xmlns="378e824e-6e02-4c0d-8321-dd86fba681ee">PTA013</Identifier>
    <Notify xmlns="378e824e-6e02-4c0d-8321-dd86fba681ee">false</Notify>
    <Publication_x0020_Type xmlns="378e824e-6e02-4c0d-8321-dd86fba681ee">Payroll Tax Rulings (PTA)</Publication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F99B-C1B5-45F8-BAE7-51E335976DDB}">
  <ds:schemaRefs>
    <ds:schemaRef ds:uri="http://schemas.microsoft.com/sharepoint/v3/contenttype/forms"/>
  </ds:schemaRefs>
</ds:datastoreItem>
</file>

<file path=customXml/itemProps2.xml><?xml version="1.0" encoding="utf-8"?>
<ds:datastoreItem xmlns:ds="http://schemas.openxmlformats.org/officeDocument/2006/customXml" ds:itemID="{6060ABF5-ACB3-46E2-9500-982EF6909EB0}">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AE2F5AD5-084B-45E1-84C6-0D9F3954B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728</Words>
  <Characters>4154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REVENUE RULING</vt:lpstr>
    </vt:vector>
  </TitlesOfParts>
  <Company>Northern Territory Government</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Fees Paid for Golf Club Professionals</dc:title>
  <dc:subject/>
  <dc:creator>Sarah Schubert</dc:creator>
  <cp:keywords/>
  <dc:description/>
  <cp:lastModifiedBy>Jessica Symonds</cp:lastModifiedBy>
  <cp:revision>7</cp:revision>
  <cp:lastPrinted>2013-06-02T23:56:00Z</cp:lastPrinted>
  <dcterms:created xsi:type="dcterms:W3CDTF">2013-05-30T01:52:00Z</dcterms:created>
  <dcterms:modified xsi:type="dcterms:W3CDTF">2021-09-14T01:31:00Z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