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1766A" w14:textId="77777777" w:rsidR="00D46D7A" w:rsidRPr="008D602E" w:rsidRDefault="004379BA" w:rsidP="007C3AAA">
      <w:pPr>
        <w:pStyle w:val="Heading2"/>
        <w:rPr>
          <w:sz w:val="36"/>
          <w:szCs w:val="36"/>
        </w:rPr>
      </w:pPr>
      <w:r w:rsidRPr="008D602E">
        <w:rPr>
          <w:rStyle w:val="Heading1Char"/>
          <w:i w:val="0"/>
          <w:sz w:val="36"/>
        </w:rPr>
        <w:t>Payroll Tax</w:t>
      </w:r>
      <w:r w:rsidR="00B52133" w:rsidRPr="008D602E">
        <w:rPr>
          <w:i/>
          <w:sz w:val="36"/>
          <w:szCs w:val="36"/>
        </w:rPr>
        <w:t xml:space="preserve"> </w:t>
      </w:r>
      <w:r w:rsidR="00B52133" w:rsidRPr="008D602E">
        <w:rPr>
          <w:sz w:val="36"/>
          <w:szCs w:val="36"/>
        </w:rPr>
        <w:t>Ruling PTA003</w:t>
      </w:r>
    </w:p>
    <w:p w14:paraId="43C1766B" w14:textId="77777777" w:rsidR="00B52133" w:rsidRPr="008D602E" w:rsidRDefault="00B52133" w:rsidP="00B52133">
      <w:pPr>
        <w:pStyle w:val="Heading3"/>
        <w:rPr>
          <w:sz w:val="36"/>
          <w:szCs w:val="36"/>
        </w:rPr>
      </w:pPr>
      <w:r w:rsidRPr="008D602E">
        <w:rPr>
          <w:sz w:val="36"/>
          <w:szCs w:val="36"/>
        </w:rPr>
        <w:t>Fringe Benefits</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0" w:type="dxa"/>
          <w:bottom w:w="57" w:type="dxa"/>
          <w:right w:w="0" w:type="dxa"/>
        </w:tblCellMar>
        <w:tblLook w:val="01E0" w:firstRow="1" w:lastRow="1" w:firstColumn="1" w:lastColumn="1" w:noHBand="0" w:noVBand="0"/>
      </w:tblPr>
      <w:tblGrid>
        <w:gridCol w:w="2409"/>
        <w:gridCol w:w="2410"/>
        <w:gridCol w:w="2410"/>
        <w:gridCol w:w="2410"/>
      </w:tblGrid>
      <w:tr w:rsidR="00B52133" w:rsidRPr="0098495F" w14:paraId="43C1766F" w14:textId="77777777" w:rsidTr="0098495F">
        <w:tc>
          <w:tcPr>
            <w:tcW w:w="2409" w:type="dxa"/>
            <w:shd w:val="clear" w:color="auto" w:fill="E6E6E6"/>
            <w:vAlign w:val="center"/>
          </w:tcPr>
          <w:p w14:paraId="43C1766C" w14:textId="77777777" w:rsidR="00B52133" w:rsidRPr="00FF0797" w:rsidRDefault="00B52133" w:rsidP="0098495F">
            <w:pPr>
              <w:pStyle w:val="Bold"/>
              <w:jc w:val="center"/>
            </w:pPr>
            <w:r w:rsidRPr="00FF0797">
              <w:t>Version</w:t>
            </w:r>
          </w:p>
        </w:tc>
        <w:tc>
          <w:tcPr>
            <w:tcW w:w="2410" w:type="dxa"/>
            <w:shd w:val="clear" w:color="auto" w:fill="E6E6E6"/>
            <w:vAlign w:val="center"/>
          </w:tcPr>
          <w:p w14:paraId="43C1766D" w14:textId="77777777" w:rsidR="00B52133" w:rsidRPr="00FF0797" w:rsidRDefault="00B52133" w:rsidP="0098495F">
            <w:pPr>
              <w:pStyle w:val="Bold"/>
              <w:jc w:val="center"/>
            </w:pPr>
            <w:r w:rsidRPr="00FF0797">
              <w:t>Issued</w:t>
            </w:r>
          </w:p>
        </w:tc>
        <w:tc>
          <w:tcPr>
            <w:tcW w:w="4820" w:type="dxa"/>
            <w:gridSpan w:val="2"/>
            <w:shd w:val="clear" w:color="auto" w:fill="E6E6E6"/>
            <w:vAlign w:val="center"/>
          </w:tcPr>
          <w:p w14:paraId="43C1766E" w14:textId="77777777" w:rsidR="00B52133" w:rsidRPr="00FF0797" w:rsidRDefault="00B52133" w:rsidP="0098495F">
            <w:pPr>
              <w:pStyle w:val="Bold"/>
              <w:jc w:val="center"/>
            </w:pPr>
            <w:r w:rsidRPr="00FF0797">
              <w:t>Dates of Effect</w:t>
            </w:r>
          </w:p>
        </w:tc>
      </w:tr>
      <w:tr w:rsidR="00B52133" w:rsidRPr="00D970EC" w14:paraId="43C17674" w14:textId="77777777" w:rsidTr="0098495F">
        <w:tc>
          <w:tcPr>
            <w:tcW w:w="2409" w:type="dxa"/>
            <w:shd w:val="clear" w:color="auto" w:fill="auto"/>
            <w:vAlign w:val="center"/>
          </w:tcPr>
          <w:p w14:paraId="43C17670" w14:textId="77777777" w:rsidR="00B52133" w:rsidRPr="00D970EC" w:rsidRDefault="00D35A2E" w:rsidP="0098495F">
            <w:pPr>
              <w:pStyle w:val="RulingBodyText"/>
              <w:jc w:val="center"/>
            </w:pPr>
            <w:r>
              <w:t>1</w:t>
            </w:r>
          </w:p>
        </w:tc>
        <w:tc>
          <w:tcPr>
            <w:tcW w:w="2410" w:type="dxa"/>
            <w:shd w:val="clear" w:color="auto" w:fill="auto"/>
            <w:vAlign w:val="center"/>
          </w:tcPr>
          <w:p w14:paraId="43C17671" w14:textId="77777777" w:rsidR="00B52133" w:rsidRPr="00D970EC" w:rsidRDefault="00B52133" w:rsidP="0098495F">
            <w:pPr>
              <w:pStyle w:val="RulingBodyText"/>
              <w:jc w:val="center"/>
            </w:pPr>
            <w:r>
              <w:t>1 July 2009</w:t>
            </w:r>
          </w:p>
        </w:tc>
        <w:tc>
          <w:tcPr>
            <w:tcW w:w="2410" w:type="dxa"/>
            <w:shd w:val="clear" w:color="auto" w:fill="auto"/>
            <w:vAlign w:val="center"/>
          </w:tcPr>
          <w:p w14:paraId="43C17672" w14:textId="77777777" w:rsidR="00B52133" w:rsidRPr="0098495F" w:rsidRDefault="00B52133" w:rsidP="0098495F">
            <w:pPr>
              <w:pStyle w:val="Bold"/>
              <w:jc w:val="center"/>
              <w:rPr>
                <w:b w:val="0"/>
              </w:rPr>
            </w:pPr>
            <w:r w:rsidRPr="0098495F">
              <w:rPr>
                <w:b w:val="0"/>
              </w:rPr>
              <w:t>From: 1 July 2009</w:t>
            </w:r>
          </w:p>
        </w:tc>
        <w:tc>
          <w:tcPr>
            <w:tcW w:w="2410" w:type="dxa"/>
            <w:shd w:val="clear" w:color="auto" w:fill="auto"/>
            <w:vAlign w:val="center"/>
          </w:tcPr>
          <w:p w14:paraId="43C17673" w14:textId="77777777" w:rsidR="00B52133" w:rsidRPr="0098495F" w:rsidRDefault="00B52133" w:rsidP="0098495F">
            <w:pPr>
              <w:pStyle w:val="Bold"/>
              <w:jc w:val="center"/>
              <w:rPr>
                <w:b w:val="0"/>
              </w:rPr>
            </w:pPr>
            <w:r w:rsidRPr="0098495F">
              <w:rPr>
                <w:b w:val="0"/>
              </w:rPr>
              <w:t xml:space="preserve">To: </w:t>
            </w:r>
            <w:r w:rsidR="007813CE">
              <w:rPr>
                <w:b w:val="0"/>
              </w:rPr>
              <w:t xml:space="preserve">30 </w:t>
            </w:r>
            <w:r w:rsidR="008D602E">
              <w:rPr>
                <w:b w:val="0"/>
              </w:rPr>
              <w:t>June 2016</w:t>
            </w:r>
          </w:p>
        </w:tc>
      </w:tr>
      <w:tr w:rsidR="008D602E" w:rsidRPr="00D970EC" w14:paraId="43C17679" w14:textId="77777777" w:rsidTr="0098495F">
        <w:tc>
          <w:tcPr>
            <w:tcW w:w="2409" w:type="dxa"/>
            <w:shd w:val="clear" w:color="auto" w:fill="auto"/>
            <w:vAlign w:val="center"/>
          </w:tcPr>
          <w:p w14:paraId="43C17675" w14:textId="77777777" w:rsidR="008D602E" w:rsidRDefault="008D602E" w:rsidP="0098495F">
            <w:pPr>
              <w:pStyle w:val="RulingBodyText"/>
              <w:jc w:val="center"/>
            </w:pPr>
            <w:r>
              <w:t>2</w:t>
            </w:r>
          </w:p>
        </w:tc>
        <w:tc>
          <w:tcPr>
            <w:tcW w:w="2410" w:type="dxa"/>
            <w:shd w:val="clear" w:color="auto" w:fill="auto"/>
            <w:vAlign w:val="center"/>
          </w:tcPr>
          <w:p w14:paraId="43C17676" w14:textId="77777777" w:rsidR="008D602E" w:rsidRDefault="008D602E" w:rsidP="0098495F">
            <w:pPr>
              <w:pStyle w:val="RulingBodyText"/>
              <w:jc w:val="center"/>
            </w:pPr>
            <w:r>
              <w:t>1 July 2016</w:t>
            </w:r>
          </w:p>
        </w:tc>
        <w:tc>
          <w:tcPr>
            <w:tcW w:w="2410" w:type="dxa"/>
            <w:shd w:val="clear" w:color="auto" w:fill="auto"/>
            <w:vAlign w:val="center"/>
          </w:tcPr>
          <w:p w14:paraId="43C17677" w14:textId="77777777" w:rsidR="008D602E" w:rsidRPr="0098495F" w:rsidRDefault="008D602E" w:rsidP="0098495F">
            <w:pPr>
              <w:pStyle w:val="Bold"/>
              <w:jc w:val="center"/>
              <w:rPr>
                <w:b w:val="0"/>
              </w:rPr>
            </w:pPr>
            <w:r>
              <w:rPr>
                <w:b w:val="0"/>
              </w:rPr>
              <w:t>From: 1 July 2016</w:t>
            </w:r>
          </w:p>
        </w:tc>
        <w:tc>
          <w:tcPr>
            <w:tcW w:w="2410" w:type="dxa"/>
            <w:shd w:val="clear" w:color="auto" w:fill="auto"/>
            <w:vAlign w:val="center"/>
          </w:tcPr>
          <w:p w14:paraId="43C17678" w14:textId="77777777" w:rsidR="008D602E" w:rsidRPr="0098495F" w:rsidDel="008D602E" w:rsidRDefault="008D602E" w:rsidP="0098495F">
            <w:pPr>
              <w:pStyle w:val="Bold"/>
              <w:jc w:val="center"/>
              <w:rPr>
                <w:b w:val="0"/>
              </w:rPr>
            </w:pPr>
            <w:r>
              <w:rPr>
                <w:b w:val="0"/>
              </w:rPr>
              <w:t>Current</w:t>
            </w:r>
          </w:p>
        </w:tc>
      </w:tr>
    </w:tbl>
    <w:p w14:paraId="43C1767A" w14:textId="77777777" w:rsidR="00B52133" w:rsidRDefault="00B52133" w:rsidP="00B52133">
      <w:pPr>
        <w:pStyle w:val="RulingBodyText"/>
      </w:pPr>
    </w:p>
    <w:p w14:paraId="43C1767B" w14:textId="77777777" w:rsidR="00B52133" w:rsidRPr="008D602E" w:rsidRDefault="004379BA" w:rsidP="00B52133">
      <w:pPr>
        <w:pStyle w:val="RulingHeading4"/>
        <w:rPr>
          <w:sz w:val="24"/>
          <w:szCs w:val="24"/>
        </w:rPr>
      </w:pPr>
      <w:r>
        <w:rPr>
          <w:sz w:val="24"/>
          <w:szCs w:val="24"/>
        </w:rPr>
        <w:t>PREAMBLE</w:t>
      </w:r>
    </w:p>
    <w:p w14:paraId="43C1767C" w14:textId="77777777" w:rsidR="00B52133" w:rsidRDefault="00B52133" w:rsidP="00B52133">
      <w:pPr>
        <w:pStyle w:val="RulingBodyText"/>
      </w:pPr>
    </w:p>
    <w:p w14:paraId="43C1767D" w14:textId="77777777" w:rsidR="00B52133" w:rsidRDefault="006D18EE" w:rsidP="00FA711A">
      <w:pPr>
        <w:pStyle w:val="RulingBodyText"/>
      </w:pPr>
      <w:r w:rsidRPr="005D77C0">
        <w:t xml:space="preserve">The </w:t>
      </w:r>
      <w:r w:rsidRPr="005D77C0">
        <w:rPr>
          <w:i/>
        </w:rPr>
        <w:t>Payroll Tax Act</w:t>
      </w:r>
      <w:r w:rsidRPr="005D77C0">
        <w:t xml:space="preserve"> (the Act), which commenced on 1 July 2009, rewrites the </w:t>
      </w:r>
      <w:r w:rsidRPr="005D77C0">
        <w:rPr>
          <w:i/>
        </w:rPr>
        <w:t xml:space="preserve">Pay-roll Tax Act </w:t>
      </w:r>
      <w:r w:rsidRPr="005D77C0">
        <w:t>to largely h</w:t>
      </w:r>
      <w:r>
        <w:t>armonise it with th</w:t>
      </w:r>
      <w:r w:rsidR="000F0D08">
        <w:t>e legislation</w:t>
      </w:r>
      <w:r w:rsidRPr="005D77C0">
        <w:t xml:space="preserve"> of other states</w:t>
      </w:r>
      <w:r w:rsidR="00B52133">
        <w:t>.</w:t>
      </w:r>
      <w:r w:rsidR="00F73B4E">
        <w:t xml:space="preserve"> One of the areas that have been harmonised is the value of fringe benefits to be declared for payroll tax purposes.</w:t>
      </w:r>
    </w:p>
    <w:p w14:paraId="43C1767E" w14:textId="77777777" w:rsidR="00FA711A" w:rsidRPr="00E22CF4" w:rsidRDefault="00FA711A" w:rsidP="00FA711A">
      <w:pPr>
        <w:pStyle w:val="RulingBodyText"/>
      </w:pPr>
    </w:p>
    <w:p w14:paraId="43C1767F" w14:textId="77777777" w:rsidR="00FA711A" w:rsidRDefault="00FA711A" w:rsidP="00FA711A">
      <w:pPr>
        <w:pStyle w:val="RulingBodyText"/>
        <w:rPr>
          <w:rFonts w:cs="Arial"/>
          <w:szCs w:val="22"/>
        </w:rPr>
      </w:pPr>
      <w:r>
        <w:rPr>
          <w:rFonts w:cs="Arial"/>
          <w:szCs w:val="22"/>
        </w:rPr>
        <w:t xml:space="preserve">This </w:t>
      </w:r>
      <w:r w:rsidR="00D031C7">
        <w:rPr>
          <w:rFonts w:cs="Arial"/>
          <w:szCs w:val="22"/>
        </w:rPr>
        <w:t>Payroll Tax</w:t>
      </w:r>
      <w:r>
        <w:rPr>
          <w:rFonts w:cs="Arial"/>
          <w:szCs w:val="22"/>
        </w:rPr>
        <w:t xml:space="preserve"> </w:t>
      </w:r>
      <w:r w:rsidR="005574EB">
        <w:rPr>
          <w:rFonts w:cs="Arial"/>
          <w:szCs w:val="22"/>
        </w:rPr>
        <w:t>R</w:t>
      </w:r>
      <w:r>
        <w:rPr>
          <w:rFonts w:cs="Arial"/>
          <w:szCs w:val="22"/>
        </w:rPr>
        <w:t>uling addresses the following points:</w:t>
      </w:r>
    </w:p>
    <w:p w14:paraId="43C17680" w14:textId="77777777" w:rsidR="00FA711A" w:rsidRDefault="00DA4D80" w:rsidP="008D602E">
      <w:pPr>
        <w:pStyle w:val="RulingNumbering"/>
        <w:numPr>
          <w:ilvl w:val="0"/>
          <w:numId w:val="19"/>
        </w:numPr>
        <w:tabs>
          <w:tab w:val="clear" w:pos="720"/>
          <w:tab w:val="num" w:pos="360"/>
        </w:tabs>
        <w:ind w:hanging="720"/>
      </w:pPr>
      <w:r>
        <w:t>C</w:t>
      </w:r>
      <w:r w:rsidR="00FA711A">
        <w:t>alculating the value of fringe benefits for payroll tax purposes</w:t>
      </w:r>
      <w:r>
        <w:t>.</w:t>
      </w:r>
    </w:p>
    <w:p w14:paraId="43C17681" w14:textId="77777777" w:rsidR="00FA711A" w:rsidRDefault="00DA4D80" w:rsidP="008D602E">
      <w:pPr>
        <w:pStyle w:val="RulingNumbering"/>
        <w:numPr>
          <w:ilvl w:val="0"/>
          <w:numId w:val="19"/>
        </w:numPr>
        <w:tabs>
          <w:tab w:val="clear" w:pos="720"/>
          <w:tab w:val="num" w:pos="360"/>
        </w:tabs>
        <w:ind w:left="360"/>
      </w:pPr>
      <w:r>
        <w:t>C</w:t>
      </w:r>
      <w:r w:rsidR="00FA711A">
        <w:t>larifying the treatment of fringe benefits with a nil taxable value and exempt benefits where</w:t>
      </w:r>
      <w:r>
        <w:t xml:space="preserve"> </w:t>
      </w:r>
      <w:r w:rsidR="00FA711A">
        <w:t>such benefits also fall within another part of the definition of wages</w:t>
      </w:r>
      <w:r>
        <w:t>.</w:t>
      </w:r>
    </w:p>
    <w:p w14:paraId="43C17682" w14:textId="77777777" w:rsidR="00FA711A" w:rsidRDefault="00DA4D80" w:rsidP="008D602E">
      <w:pPr>
        <w:pStyle w:val="RulingNumbering"/>
        <w:numPr>
          <w:ilvl w:val="0"/>
          <w:numId w:val="19"/>
        </w:numPr>
        <w:tabs>
          <w:tab w:val="clear" w:pos="720"/>
          <w:tab w:val="num" w:pos="360"/>
        </w:tabs>
        <w:ind w:hanging="720"/>
      </w:pPr>
      <w:r>
        <w:t>E</w:t>
      </w:r>
      <w:r w:rsidR="00FA711A">
        <w:t>xplaining the requirements of the alternative method of declaring fringe benefits</w:t>
      </w:r>
      <w:r>
        <w:t>.</w:t>
      </w:r>
    </w:p>
    <w:p w14:paraId="43C17683" w14:textId="77777777" w:rsidR="00FA711A" w:rsidRDefault="00DA4D80" w:rsidP="008D602E">
      <w:pPr>
        <w:pStyle w:val="RulingNumbering"/>
        <w:numPr>
          <w:ilvl w:val="0"/>
          <w:numId w:val="19"/>
        </w:numPr>
        <w:tabs>
          <w:tab w:val="clear" w:pos="720"/>
          <w:tab w:val="num" w:pos="360"/>
        </w:tabs>
        <w:ind w:left="360"/>
      </w:pPr>
      <w:r>
        <w:t>E</w:t>
      </w:r>
      <w:r w:rsidR="00FA711A">
        <w:t>xplaining the method of calculating the Territory component of fringe benefits when they are not readily identifiable</w:t>
      </w:r>
      <w:r>
        <w:t>.</w:t>
      </w:r>
    </w:p>
    <w:p w14:paraId="43C17684" w14:textId="77777777" w:rsidR="00FA711A" w:rsidRPr="00BC0CDB" w:rsidRDefault="00DA4D80" w:rsidP="008D602E">
      <w:pPr>
        <w:pStyle w:val="RulingNumbering"/>
        <w:numPr>
          <w:ilvl w:val="0"/>
          <w:numId w:val="19"/>
        </w:numPr>
        <w:tabs>
          <w:tab w:val="clear" w:pos="720"/>
          <w:tab w:val="num" w:pos="360"/>
        </w:tabs>
        <w:ind w:hanging="720"/>
      </w:pPr>
      <w:r>
        <w:t>T</w:t>
      </w:r>
      <w:r w:rsidR="00FA711A">
        <w:t>he adoption of Australian Taxation Office (ATO) fringe benefits tax rulings.</w:t>
      </w:r>
    </w:p>
    <w:p w14:paraId="43C17685" w14:textId="77777777" w:rsidR="00B52133" w:rsidRDefault="00B52133" w:rsidP="00B52133">
      <w:pPr>
        <w:pStyle w:val="RulingBodyText"/>
      </w:pPr>
    </w:p>
    <w:p w14:paraId="43C17686" w14:textId="77777777" w:rsidR="00B52133" w:rsidRPr="008D602E" w:rsidRDefault="004379BA" w:rsidP="00B52133">
      <w:pPr>
        <w:pStyle w:val="RulingHeading4"/>
        <w:rPr>
          <w:sz w:val="24"/>
          <w:szCs w:val="24"/>
        </w:rPr>
      </w:pPr>
      <w:r>
        <w:rPr>
          <w:sz w:val="24"/>
          <w:szCs w:val="24"/>
        </w:rPr>
        <w:t>RULING</w:t>
      </w:r>
    </w:p>
    <w:p w14:paraId="43C17687" w14:textId="77777777" w:rsidR="00B52133" w:rsidRDefault="00B52133" w:rsidP="00B52133">
      <w:pPr>
        <w:pStyle w:val="RulingBodyText"/>
      </w:pPr>
    </w:p>
    <w:p w14:paraId="43C17688" w14:textId="77777777" w:rsidR="00B52133" w:rsidRPr="00E26876" w:rsidRDefault="00B52133" w:rsidP="00FA711A">
      <w:pPr>
        <w:pStyle w:val="RulingHeading5"/>
      </w:pPr>
      <w:r w:rsidRPr="00E26876">
        <w:t xml:space="preserve">Value of </w:t>
      </w:r>
      <w:r>
        <w:t>f</w:t>
      </w:r>
      <w:r w:rsidRPr="00E26876">
        <w:t xml:space="preserve">ringe </w:t>
      </w:r>
      <w:r>
        <w:t>b</w:t>
      </w:r>
      <w:r w:rsidRPr="00E26876">
        <w:t>enefits for payroll tax purposes</w:t>
      </w:r>
    </w:p>
    <w:p w14:paraId="43C17689" w14:textId="77777777" w:rsidR="00B52133" w:rsidRPr="008E6035" w:rsidRDefault="00B52133" w:rsidP="008D602E">
      <w:pPr>
        <w:pStyle w:val="RulingBodyText"/>
        <w:spacing w:line="120" w:lineRule="exact"/>
      </w:pPr>
    </w:p>
    <w:p w14:paraId="43C1768A" w14:textId="77777777" w:rsidR="00B52133" w:rsidRDefault="00B52133" w:rsidP="00B52133">
      <w:pPr>
        <w:pStyle w:val="RulingBodyText"/>
        <w:rPr>
          <w:rFonts w:cs="Arial"/>
          <w:szCs w:val="22"/>
        </w:rPr>
      </w:pPr>
      <w:r>
        <w:rPr>
          <w:rFonts w:cs="Arial"/>
          <w:szCs w:val="22"/>
        </w:rPr>
        <w:t>The definition of wages in Part 3 of the Act includes fringe benefits as defined in the</w:t>
      </w:r>
      <w:r w:rsidR="004379BA">
        <w:rPr>
          <w:rFonts w:cs="Arial"/>
          <w:szCs w:val="22"/>
        </w:rPr>
        <w:br/>
      </w:r>
      <w:r w:rsidRPr="008E6035">
        <w:rPr>
          <w:rFonts w:cs="Arial"/>
          <w:i/>
          <w:iCs/>
          <w:szCs w:val="22"/>
        </w:rPr>
        <w:t xml:space="preserve">Fringe Benefits Tax Assessment Act </w:t>
      </w:r>
      <w:r w:rsidRPr="00FA711A">
        <w:rPr>
          <w:rFonts w:cs="Arial"/>
          <w:iCs/>
          <w:szCs w:val="22"/>
        </w:rPr>
        <w:t xml:space="preserve">1986 </w:t>
      </w:r>
      <w:r>
        <w:rPr>
          <w:rFonts w:cs="Arial"/>
          <w:szCs w:val="22"/>
        </w:rPr>
        <w:t>(FBT Act), but does not include tax exempt body entertainment fringe benefits.</w:t>
      </w:r>
    </w:p>
    <w:p w14:paraId="43C1768B" w14:textId="77777777" w:rsidR="006D18EE" w:rsidRDefault="006D18EE" w:rsidP="00B52133">
      <w:pPr>
        <w:pStyle w:val="RulingBodyText"/>
        <w:rPr>
          <w:rFonts w:cs="Arial"/>
          <w:szCs w:val="22"/>
        </w:rPr>
      </w:pPr>
    </w:p>
    <w:p w14:paraId="43C1768C" w14:textId="77777777" w:rsidR="00B52133" w:rsidRDefault="00B52133" w:rsidP="008D602E">
      <w:pPr>
        <w:pStyle w:val="RulingBodyText"/>
        <w:rPr>
          <w:rFonts w:cs="Arial"/>
          <w:szCs w:val="22"/>
        </w:rPr>
      </w:pPr>
      <w:r>
        <w:rPr>
          <w:rFonts w:cs="Arial"/>
          <w:szCs w:val="22"/>
        </w:rPr>
        <w:t xml:space="preserve">Under the FBT Act, fringe benefits are categorised into two types depending on the GST implications. The Type 1 fringe benefits for which the employer can claim a GST input tax credit are grossed up by a </w:t>
      </w:r>
      <w:r w:rsidR="008D602E">
        <w:rPr>
          <w:rFonts w:cs="Arial"/>
          <w:szCs w:val="22"/>
        </w:rPr>
        <w:t xml:space="preserve">higher Type 1 factor </w:t>
      </w:r>
      <w:r>
        <w:rPr>
          <w:rFonts w:cs="Arial"/>
          <w:szCs w:val="22"/>
        </w:rPr>
        <w:t xml:space="preserve">and Type 2 fringe benefits for which the employer cannot claim a GST input tax credit are grossed up by a </w:t>
      </w:r>
      <w:r w:rsidR="008D602E">
        <w:rPr>
          <w:rFonts w:cs="Arial"/>
          <w:szCs w:val="22"/>
        </w:rPr>
        <w:t>lower Type 2 factor</w:t>
      </w:r>
      <w:r>
        <w:rPr>
          <w:rFonts w:cs="Arial"/>
          <w:szCs w:val="22"/>
        </w:rPr>
        <w:t>.</w:t>
      </w:r>
    </w:p>
    <w:p w14:paraId="43C1768D" w14:textId="77777777" w:rsidR="00B52133" w:rsidRDefault="00B52133" w:rsidP="00B52133">
      <w:pPr>
        <w:pStyle w:val="RulingBodyText"/>
        <w:rPr>
          <w:rFonts w:cs="Arial"/>
          <w:szCs w:val="22"/>
        </w:rPr>
      </w:pPr>
    </w:p>
    <w:p w14:paraId="43C1768E" w14:textId="77777777" w:rsidR="00B52133" w:rsidRDefault="005574EB" w:rsidP="00B52133">
      <w:pPr>
        <w:pStyle w:val="RulingBodyText"/>
        <w:rPr>
          <w:rFonts w:cs="Arial"/>
          <w:szCs w:val="22"/>
        </w:rPr>
      </w:pPr>
      <w:r>
        <w:rPr>
          <w:rFonts w:cs="Arial"/>
          <w:szCs w:val="22"/>
        </w:rPr>
        <w:t>S</w:t>
      </w:r>
      <w:r w:rsidR="00B52133">
        <w:rPr>
          <w:rFonts w:cs="Arial"/>
          <w:szCs w:val="22"/>
        </w:rPr>
        <w:t xml:space="preserve">ection 15 of the Act requires employers to gross up all fringe benefits by using only the </w:t>
      </w:r>
      <w:r w:rsidR="008D602E">
        <w:rPr>
          <w:rFonts w:cs="Arial"/>
          <w:szCs w:val="22"/>
        </w:rPr>
        <w:t xml:space="preserve">lower </w:t>
      </w:r>
      <w:r w:rsidR="00B52133">
        <w:rPr>
          <w:rFonts w:cs="Arial"/>
          <w:szCs w:val="22"/>
        </w:rPr>
        <w:t>Type</w:t>
      </w:r>
      <w:r w:rsidR="008D602E">
        <w:rPr>
          <w:rFonts w:cs="Arial"/>
          <w:szCs w:val="22"/>
        </w:rPr>
        <w:t> </w:t>
      </w:r>
      <w:r w:rsidR="00B52133">
        <w:rPr>
          <w:rFonts w:cs="Arial"/>
          <w:szCs w:val="22"/>
        </w:rPr>
        <w:t>2 factor.</w:t>
      </w:r>
      <w:r w:rsidR="008D602E">
        <w:rPr>
          <w:rFonts w:cs="Arial"/>
          <w:szCs w:val="22"/>
        </w:rPr>
        <w:t xml:space="preserve"> The Type 2 factor may be calculated as follows:</w:t>
      </w:r>
    </w:p>
    <w:p w14:paraId="43C1768F" w14:textId="77777777" w:rsidR="008D602E" w:rsidRPr="00464987" w:rsidRDefault="00D1463C" w:rsidP="008D602E">
      <w:pPr>
        <w:spacing w:before="120"/>
        <w:jc w:val="center"/>
        <w:rPr>
          <w:rFonts w:cs="Arial"/>
          <w:szCs w:val="22"/>
        </w:rPr>
      </w:pPr>
      <m:oMathPara>
        <m:oMath>
          <m:f>
            <m:fPr>
              <m:ctrlPr>
                <w:rPr>
                  <w:rFonts w:ascii="Cambria Math" w:hAnsi="Cambria Math" w:cs="Arial"/>
                  <w:i/>
                  <w:szCs w:val="22"/>
                </w:rPr>
              </m:ctrlPr>
            </m:fPr>
            <m:num>
              <m:r>
                <m:rPr>
                  <m:nor/>
                </m:rPr>
                <w:rPr>
                  <w:rFonts w:cs="Arial"/>
                  <w:szCs w:val="22"/>
                </w:rPr>
                <m:t>1</m:t>
              </m:r>
            </m:num>
            <m:den>
              <m:r>
                <m:rPr>
                  <m:nor/>
                </m:rPr>
                <w:rPr>
                  <w:rFonts w:cs="Arial"/>
                  <w:szCs w:val="22"/>
                </w:rPr>
                <m:t>1-FBT rate</m:t>
              </m:r>
            </m:den>
          </m:f>
        </m:oMath>
      </m:oMathPara>
    </w:p>
    <w:p w14:paraId="43C17690" w14:textId="77777777" w:rsidR="006D18EE" w:rsidRDefault="006D18EE" w:rsidP="00210625">
      <w:pPr>
        <w:pStyle w:val="RulingHeading5"/>
        <w:rPr>
          <w:rFonts w:cs="Arial"/>
          <w:szCs w:val="22"/>
        </w:rPr>
      </w:pPr>
    </w:p>
    <w:p w14:paraId="43C17691" w14:textId="77777777" w:rsidR="006C338F" w:rsidRDefault="006C338F" w:rsidP="00210625">
      <w:pPr>
        <w:pStyle w:val="RulingHeading5"/>
      </w:pPr>
    </w:p>
    <w:p w14:paraId="43C17692" w14:textId="77777777" w:rsidR="00B52133" w:rsidRPr="00E26876" w:rsidRDefault="00B52133" w:rsidP="00210625">
      <w:pPr>
        <w:pStyle w:val="RulingHeading5"/>
      </w:pPr>
      <w:r>
        <w:lastRenderedPageBreak/>
        <w:t>Fringe b</w:t>
      </w:r>
      <w:r w:rsidRPr="00E26876">
        <w:t>enefits with a nil taxable value</w:t>
      </w:r>
    </w:p>
    <w:p w14:paraId="43C17693" w14:textId="77777777" w:rsidR="00B52133" w:rsidRDefault="00B52133" w:rsidP="008D602E">
      <w:pPr>
        <w:pStyle w:val="RulingBodyText"/>
        <w:spacing w:line="120" w:lineRule="exact"/>
        <w:rPr>
          <w:rFonts w:cs="Arial"/>
          <w:szCs w:val="22"/>
        </w:rPr>
      </w:pPr>
    </w:p>
    <w:p w14:paraId="43C17694" w14:textId="77777777" w:rsidR="00B52133" w:rsidRDefault="00B52133" w:rsidP="00B52133">
      <w:pPr>
        <w:pStyle w:val="RulingBodyText"/>
        <w:rPr>
          <w:rFonts w:cs="Arial"/>
          <w:szCs w:val="22"/>
        </w:rPr>
      </w:pPr>
      <w:r>
        <w:rPr>
          <w:rFonts w:cs="Arial"/>
          <w:szCs w:val="22"/>
        </w:rPr>
        <w:t>Where a benefit has a nil taxable value under the FBT Act, some uncertainty may exist as to whether or not such benefits will be subject to payroll tax where the benefit also falls within another part of the definition of wages under the Act.</w:t>
      </w:r>
    </w:p>
    <w:p w14:paraId="43C17695" w14:textId="77777777" w:rsidR="00B52133" w:rsidRDefault="00B52133" w:rsidP="00B52133">
      <w:pPr>
        <w:pStyle w:val="RulingBodyText"/>
        <w:rPr>
          <w:rFonts w:cs="Arial"/>
          <w:szCs w:val="22"/>
        </w:rPr>
      </w:pPr>
    </w:p>
    <w:p w14:paraId="43C17696" w14:textId="77777777" w:rsidR="00B52133" w:rsidRDefault="00B52133" w:rsidP="00B52133">
      <w:pPr>
        <w:pStyle w:val="RulingBodyText"/>
        <w:rPr>
          <w:rFonts w:cs="Arial"/>
          <w:szCs w:val="22"/>
        </w:rPr>
      </w:pPr>
      <w:r>
        <w:rPr>
          <w:rFonts w:cs="Arial"/>
          <w:szCs w:val="22"/>
        </w:rPr>
        <w:t>Fringe benefits which have a nil taxable value under the FBT Act will also have a nil taxable value for payroll tax purposes.</w:t>
      </w:r>
    </w:p>
    <w:p w14:paraId="43C17697" w14:textId="77777777" w:rsidR="00B52133" w:rsidRDefault="00B52133" w:rsidP="00B52133">
      <w:pPr>
        <w:pStyle w:val="RulingBodyText"/>
        <w:rPr>
          <w:rFonts w:cs="Arial"/>
          <w:szCs w:val="22"/>
        </w:rPr>
      </w:pPr>
    </w:p>
    <w:p w14:paraId="43C17698" w14:textId="77777777" w:rsidR="00B52133" w:rsidRPr="00E26876" w:rsidRDefault="00B52133" w:rsidP="00FA711A">
      <w:pPr>
        <w:pStyle w:val="RulingHeading5"/>
      </w:pPr>
      <w:r w:rsidRPr="00E26876">
        <w:t>Exempt benefits</w:t>
      </w:r>
    </w:p>
    <w:p w14:paraId="43C17699" w14:textId="77777777" w:rsidR="00B52133" w:rsidRPr="000A1192" w:rsidRDefault="00B52133" w:rsidP="008D602E">
      <w:pPr>
        <w:pStyle w:val="RulingBodyText"/>
        <w:spacing w:line="120" w:lineRule="exact"/>
      </w:pPr>
    </w:p>
    <w:p w14:paraId="43C1769A" w14:textId="77777777" w:rsidR="00B52133" w:rsidRDefault="00B52133" w:rsidP="00B52133">
      <w:pPr>
        <w:pStyle w:val="RulingBodyText"/>
        <w:rPr>
          <w:rFonts w:cs="Arial"/>
          <w:szCs w:val="22"/>
        </w:rPr>
      </w:pPr>
      <w:r>
        <w:rPr>
          <w:rFonts w:cs="Arial"/>
          <w:szCs w:val="22"/>
        </w:rPr>
        <w:t>The FBT Act provides specific exemptions for certain types of benefits. Such exempt benefits are not fringe benefits for the purposes of the FBT Act. Some uncertainty may exist as to whether or not such benefits will be subject to payroll tax where the benefit also falls within another part of the definition of wages under the Act.</w:t>
      </w:r>
    </w:p>
    <w:p w14:paraId="43C1769B" w14:textId="77777777" w:rsidR="00B52133" w:rsidRDefault="00B52133" w:rsidP="00B52133">
      <w:pPr>
        <w:pStyle w:val="RulingBodyText"/>
        <w:rPr>
          <w:rFonts w:cs="Arial"/>
          <w:szCs w:val="22"/>
        </w:rPr>
      </w:pPr>
    </w:p>
    <w:p w14:paraId="43C1769C" w14:textId="77777777" w:rsidR="00B52133" w:rsidRDefault="00B52133" w:rsidP="00B52133">
      <w:pPr>
        <w:pStyle w:val="RulingBodyText"/>
        <w:rPr>
          <w:rFonts w:cs="Arial"/>
          <w:szCs w:val="22"/>
        </w:rPr>
      </w:pPr>
      <w:r>
        <w:rPr>
          <w:rFonts w:cs="Arial"/>
          <w:szCs w:val="22"/>
        </w:rPr>
        <w:t xml:space="preserve">Section 14(2) of the Act ensures that exempt benefits are not fringe benefits for payroll tax purposes even where the exempt benefit would also fit within another part of the definition of wages under the Act. Deposits to a Superannuation Holding Account Special Account within the meaning of the </w:t>
      </w:r>
      <w:r w:rsidRPr="008E6035">
        <w:rPr>
          <w:rFonts w:cs="Arial"/>
          <w:i/>
          <w:iCs/>
          <w:szCs w:val="22"/>
        </w:rPr>
        <w:t xml:space="preserve">Small Superannuation Accounts Act </w:t>
      </w:r>
      <w:r w:rsidRPr="008D602E">
        <w:rPr>
          <w:rFonts w:cs="Arial"/>
          <w:i/>
          <w:iCs/>
          <w:szCs w:val="22"/>
        </w:rPr>
        <w:t>1995</w:t>
      </w:r>
      <w:r w:rsidRPr="00210625">
        <w:rPr>
          <w:rFonts w:cs="Arial"/>
          <w:iCs/>
          <w:szCs w:val="22"/>
        </w:rPr>
        <w:t xml:space="preserve"> </w:t>
      </w:r>
      <w:r w:rsidRPr="00210625">
        <w:rPr>
          <w:rFonts w:cs="Arial"/>
          <w:szCs w:val="22"/>
        </w:rPr>
        <w:t>(</w:t>
      </w:r>
      <w:r>
        <w:rPr>
          <w:rFonts w:cs="Arial"/>
          <w:szCs w:val="22"/>
        </w:rPr>
        <w:t>Cth) are an exception to this rule, as specified in section 14(2) of the Act.</w:t>
      </w:r>
    </w:p>
    <w:p w14:paraId="43C1769D" w14:textId="77777777" w:rsidR="00B52133" w:rsidRDefault="00B52133" w:rsidP="00B52133">
      <w:pPr>
        <w:pStyle w:val="RulingBodyText"/>
        <w:rPr>
          <w:rFonts w:cs="Arial"/>
          <w:szCs w:val="22"/>
        </w:rPr>
      </w:pPr>
    </w:p>
    <w:p w14:paraId="43C1769E" w14:textId="77777777" w:rsidR="00B52133" w:rsidRPr="00E26876" w:rsidRDefault="00B52133" w:rsidP="00FA711A">
      <w:pPr>
        <w:pStyle w:val="RulingHeading5"/>
      </w:pPr>
      <w:r w:rsidRPr="00E26876">
        <w:t>Election for alternative method to declare fringe benefits</w:t>
      </w:r>
    </w:p>
    <w:p w14:paraId="43C1769F" w14:textId="77777777" w:rsidR="00B52133" w:rsidRPr="000A1192" w:rsidRDefault="00B52133" w:rsidP="008D602E">
      <w:pPr>
        <w:pStyle w:val="RulingBodyText"/>
        <w:spacing w:line="120" w:lineRule="exact"/>
      </w:pPr>
    </w:p>
    <w:p w14:paraId="43C176A0" w14:textId="77777777" w:rsidR="00B52133" w:rsidRDefault="00B52133" w:rsidP="00B52133">
      <w:pPr>
        <w:pStyle w:val="RulingBodyText"/>
        <w:rPr>
          <w:rFonts w:cs="Arial"/>
          <w:szCs w:val="22"/>
        </w:rPr>
      </w:pPr>
      <w:r>
        <w:rPr>
          <w:rFonts w:cs="Arial"/>
          <w:szCs w:val="22"/>
        </w:rPr>
        <w:t>Employers are required to declare in their monthly returns the actual value of total fringe benefits (grossed up by the Type 2 factor) provided in each month.</w:t>
      </w:r>
    </w:p>
    <w:p w14:paraId="43C176A1" w14:textId="77777777" w:rsidR="00B52133" w:rsidRDefault="00B52133" w:rsidP="00B52133">
      <w:pPr>
        <w:pStyle w:val="RulingBodyText"/>
        <w:rPr>
          <w:rFonts w:cs="Arial"/>
          <w:szCs w:val="22"/>
        </w:rPr>
      </w:pPr>
    </w:p>
    <w:p w14:paraId="43C176A2" w14:textId="77777777" w:rsidR="00B52133" w:rsidRDefault="00B52133" w:rsidP="00B52133">
      <w:pPr>
        <w:pStyle w:val="RulingBodyText"/>
        <w:rPr>
          <w:rFonts w:cs="Arial"/>
          <w:szCs w:val="22"/>
        </w:rPr>
      </w:pPr>
      <w:r>
        <w:rPr>
          <w:rFonts w:cs="Arial"/>
          <w:szCs w:val="22"/>
        </w:rPr>
        <w:t>For administrative ease, section 16 of the Act allows employers to make a formal election to adopt an alternative method, whereby the amounts declared are based on the FBT returns.</w:t>
      </w:r>
    </w:p>
    <w:p w14:paraId="43C176A3" w14:textId="77777777" w:rsidR="00B52133" w:rsidRDefault="00B52133" w:rsidP="00B52133">
      <w:pPr>
        <w:pStyle w:val="RulingBodyText"/>
        <w:rPr>
          <w:rFonts w:cs="Arial"/>
          <w:szCs w:val="22"/>
        </w:rPr>
      </w:pPr>
    </w:p>
    <w:p w14:paraId="43C176A4" w14:textId="77777777" w:rsidR="00B52133" w:rsidRDefault="00B52133" w:rsidP="00B52133">
      <w:pPr>
        <w:pStyle w:val="RulingBodyText"/>
        <w:rPr>
          <w:rFonts w:cs="Arial"/>
          <w:szCs w:val="22"/>
        </w:rPr>
      </w:pPr>
      <w:r>
        <w:rPr>
          <w:rFonts w:cs="Arial"/>
          <w:szCs w:val="22"/>
        </w:rPr>
        <w:t>Where such an election is made, employers must include in each monthly payroll tax return from July to May, one-twelfth of the total taxable value of fringe benefits in the FBT return for the year ending 31 March immediately preceding the start of each financial year, grossed up by the Type 2 factor. The Annual Adjustment return for each financial year should include the total taxable value of fringe benefits declared in the FBT return ending 31 March immediately before the Annual Adjustment return, grossed up by the Type 2 factor.</w:t>
      </w:r>
    </w:p>
    <w:p w14:paraId="43C176A5" w14:textId="77777777" w:rsidR="00B52133" w:rsidRDefault="00B52133" w:rsidP="00B52133">
      <w:pPr>
        <w:pStyle w:val="RulingBodyText"/>
        <w:rPr>
          <w:rFonts w:cs="Arial"/>
          <w:szCs w:val="22"/>
        </w:rPr>
      </w:pPr>
    </w:p>
    <w:p w14:paraId="43C176A6"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b/>
          <w:i/>
          <w:szCs w:val="22"/>
        </w:rPr>
      </w:pPr>
      <w:r w:rsidRPr="008D602E">
        <w:rPr>
          <w:rFonts w:cs="Arial"/>
          <w:b/>
          <w:i/>
          <w:szCs w:val="22"/>
        </w:rPr>
        <w:t>Example:</w:t>
      </w:r>
    </w:p>
    <w:p w14:paraId="43C176A7"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spacing w:line="120" w:lineRule="exact"/>
        <w:rPr>
          <w:rFonts w:cs="Arial"/>
          <w:i/>
          <w:szCs w:val="22"/>
        </w:rPr>
      </w:pPr>
    </w:p>
    <w:p w14:paraId="43C176A8"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sidRPr="008D602E">
        <w:rPr>
          <w:rFonts w:cs="Arial"/>
          <w:i/>
          <w:szCs w:val="22"/>
        </w:rPr>
        <w:t xml:space="preserve">ABC Pty Ltd made the election to adopt the alternative method of declaring fringe benefits for payroll tax purposes. In the FBT year ended 31 March </w:t>
      </w:r>
      <w:r w:rsidR="008D602E" w:rsidRPr="008D602E">
        <w:rPr>
          <w:rFonts w:cs="Arial"/>
          <w:i/>
          <w:szCs w:val="22"/>
        </w:rPr>
        <w:t>20</w:t>
      </w:r>
      <w:r w:rsidR="008D602E">
        <w:rPr>
          <w:rFonts w:cs="Arial"/>
          <w:i/>
          <w:szCs w:val="22"/>
        </w:rPr>
        <w:t>15</w:t>
      </w:r>
      <w:r w:rsidRPr="008D602E">
        <w:rPr>
          <w:rFonts w:cs="Arial"/>
          <w:i/>
          <w:szCs w:val="22"/>
        </w:rPr>
        <w:t xml:space="preserve">, the total taxable value of the fringe benefits grossed-up by the Type 2 factor is $100 000. Accordingly, ABC Pty Ltd would declare $8333 of fringe benefits in each payroll tax return for July </w:t>
      </w:r>
      <w:r w:rsidR="008D602E" w:rsidRPr="008D602E">
        <w:rPr>
          <w:rFonts w:cs="Arial"/>
          <w:i/>
          <w:szCs w:val="22"/>
        </w:rPr>
        <w:t>20</w:t>
      </w:r>
      <w:r w:rsidR="008D602E">
        <w:rPr>
          <w:rFonts w:cs="Arial"/>
          <w:i/>
          <w:szCs w:val="22"/>
        </w:rPr>
        <w:t>15</w:t>
      </w:r>
      <w:r w:rsidR="008D602E" w:rsidRPr="008D602E">
        <w:rPr>
          <w:rFonts w:cs="Arial"/>
          <w:i/>
          <w:szCs w:val="22"/>
        </w:rPr>
        <w:t xml:space="preserve"> </w:t>
      </w:r>
      <w:r w:rsidRPr="008D602E">
        <w:rPr>
          <w:rFonts w:cs="Arial"/>
          <w:i/>
          <w:szCs w:val="22"/>
        </w:rPr>
        <w:t xml:space="preserve">to May </w:t>
      </w:r>
      <w:r w:rsidR="008D602E" w:rsidRPr="008D602E">
        <w:rPr>
          <w:rFonts w:cs="Arial"/>
          <w:i/>
          <w:szCs w:val="22"/>
        </w:rPr>
        <w:t>20</w:t>
      </w:r>
      <w:r w:rsidR="008D602E">
        <w:rPr>
          <w:rFonts w:cs="Arial"/>
          <w:i/>
          <w:szCs w:val="22"/>
        </w:rPr>
        <w:t>16</w:t>
      </w:r>
      <w:r w:rsidR="008D602E" w:rsidRPr="008D602E">
        <w:rPr>
          <w:rFonts w:cs="Arial"/>
          <w:i/>
          <w:szCs w:val="22"/>
        </w:rPr>
        <w:t xml:space="preserve"> </w:t>
      </w:r>
      <w:r w:rsidR="00077814">
        <w:rPr>
          <w:rFonts w:cs="Arial"/>
          <w:i/>
          <w:szCs w:val="22"/>
        </w:rPr>
        <w:br/>
      </w:r>
      <w:r w:rsidRPr="008D602E">
        <w:rPr>
          <w:rFonts w:cs="Arial"/>
          <w:i/>
          <w:szCs w:val="22"/>
        </w:rPr>
        <w:t>(i.e. 1/12 x $100 000 = $8333).</w:t>
      </w:r>
    </w:p>
    <w:p w14:paraId="43C176A9"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p>
    <w:p w14:paraId="43C176AA"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sidRPr="008D602E">
        <w:rPr>
          <w:rFonts w:cs="Arial"/>
          <w:i/>
          <w:szCs w:val="22"/>
        </w:rPr>
        <w:t xml:space="preserve">In its FBT return for the year ended 31 March </w:t>
      </w:r>
      <w:r w:rsidR="008D602E" w:rsidRPr="008D602E">
        <w:rPr>
          <w:rFonts w:cs="Arial"/>
          <w:i/>
          <w:szCs w:val="22"/>
        </w:rPr>
        <w:t>20</w:t>
      </w:r>
      <w:r w:rsidR="008D602E">
        <w:rPr>
          <w:rFonts w:cs="Arial"/>
          <w:i/>
          <w:szCs w:val="22"/>
        </w:rPr>
        <w:t>16</w:t>
      </w:r>
      <w:r w:rsidRPr="008D602E">
        <w:rPr>
          <w:rFonts w:cs="Arial"/>
          <w:i/>
          <w:szCs w:val="22"/>
        </w:rPr>
        <w:t>, the total taxable value of the fringe benefits grossed-up by the Type 2 factor is $105 000, which is the amount that would be declared as the fringe benefits amount in the 20</w:t>
      </w:r>
      <w:r w:rsidR="006C338F">
        <w:rPr>
          <w:rFonts w:cs="Arial"/>
          <w:i/>
          <w:szCs w:val="22"/>
        </w:rPr>
        <w:t>15</w:t>
      </w:r>
      <w:r w:rsidR="006C338F">
        <w:rPr>
          <w:rFonts w:cs="Arial"/>
          <w:i/>
          <w:szCs w:val="22"/>
        </w:rPr>
        <w:noBreakHyphen/>
        <w:t>16</w:t>
      </w:r>
      <w:r w:rsidRPr="008D602E">
        <w:rPr>
          <w:rFonts w:cs="Arial"/>
          <w:i/>
          <w:szCs w:val="22"/>
        </w:rPr>
        <w:t xml:space="preserve"> Annual Adjustment return.</w:t>
      </w:r>
    </w:p>
    <w:p w14:paraId="43C176AB" w14:textId="77777777" w:rsidR="00B52133" w:rsidRDefault="00B52133" w:rsidP="00B52133">
      <w:pPr>
        <w:pStyle w:val="RulingBodyText"/>
        <w:rPr>
          <w:rFonts w:cs="Arial"/>
          <w:szCs w:val="22"/>
        </w:rPr>
      </w:pPr>
    </w:p>
    <w:p w14:paraId="43C176AC" w14:textId="77777777" w:rsidR="00B52133" w:rsidRDefault="00B52133" w:rsidP="00210625">
      <w:pPr>
        <w:pStyle w:val="RulingBodyText"/>
      </w:pPr>
      <w:r>
        <w:rPr>
          <w:rFonts w:cs="Arial"/>
          <w:szCs w:val="22"/>
        </w:rPr>
        <w:t>Under the Act</w:t>
      </w:r>
      <w:r w:rsidR="00C01B10">
        <w:rPr>
          <w:rFonts w:cs="Arial"/>
          <w:szCs w:val="22"/>
        </w:rPr>
        <w:t>,</w:t>
      </w:r>
      <w:r>
        <w:rPr>
          <w:rFonts w:cs="Arial"/>
          <w:szCs w:val="22"/>
        </w:rPr>
        <w:t xml:space="preserve"> an employer may only take advantage of the formal election where</w:t>
      </w:r>
      <w:r w:rsidR="00210625">
        <w:rPr>
          <w:rFonts w:cs="Arial"/>
          <w:szCs w:val="22"/>
        </w:rPr>
        <w:t xml:space="preserve"> </w:t>
      </w:r>
      <w:r>
        <w:t xml:space="preserve">the employer was liable to pay FBT for a period of not less than 15 months prior to the commencement of the relevant tax year and the Commissioner </w:t>
      </w:r>
      <w:r w:rsidR="005574EB">
        <w:t xml:space="preserve">of Territory Revenue </w:t>
      </w:r>
      <w:r w:rsidR="00C01B10">
        <w:t xml:space="preserve">(the Commissioner) </w:t>
      </w:r>
      <w:r>
        <w:t>is notified of the election in the approved form.</w:t>
      </w:r>
    </w:p>
    <w:p w14:paraId="43C176AD" w14:textId="77777777" w:rsidR="00C01B10" w:rsidRDefault="00C01B10" w:rsidP="00B52133">
      <w:pPr>
        <w:pStyle w:val="RulingBodyText"/>
        <w:rPr>
          <w:rFonts w:cs="Arial"/>
          <w:szCs w:val="22"/>
        </w:rPr>
      </w:pPr>
    </w:p>
    <w:p w14:paraId="43C176AE" w14:textId="77777777" w:rsidR="00B52133" w:rsidRDefault="00B52133" w:rsidP="00B52133">
      <w:pPr>
        <w:pStyle w:val="RulingBodyText"/>
        <w:rPr>
          <w:rFonts w:cs="Arial"/>
          <w:szCs w:val="22"/>
        </w:rPr>
      </w:pPr>
      <w:r>
        <w:rPr>
          <w:rFonts w:cs="Arial"/>
          <w:szCs w:val="22"/>
        </w:rPr>
        <w:lastRenderedPageBreak/>
        <w:t>An employer who does not meet these requirements must return the actual value of the fringe benefits paid during the relevant return period or make a written request for another method for declaring the fringe benefits.</w:t>
      </w:r>
    </w:p>
    <w:p w14:paraId="43C176AF" w14:textId="77777777" w:rsidR="006C338F" w:rsidRDefault="006C338F" w:rsidP="00B52133">
      <w:pPr>
        <w:pStyle w:val="RulingBodyText"/>
        <w:rPr>
          <w:rFonts w:cs="Arial"/>
          <w:szCs w:val="22"/>
        </w:rPr>
      </w:pPr>
    </w:p>
    <w:p w14:paraId="43C176B0" w14:textId="77777777" w:rsidR="00B52133" w:rsidRDefault="00B52133" w:rsidP="00B52133">
      <w:pPr>
        <w:pStyle w:val="RulingBodyText"/>
        <w:rPr>
          <w:rFonts w:cs="Arial"/>
          <w:szCs w:val="22"/>
        </w:rPr>
      </w:pPr>
      <w:r>
        <w:rPr>
          <w:rFonts w:cs="Arial"/>
          <w:szCs w:val="22"/>
        </w:rPr>
        <w:t xml:space="preserve">Once an election is made, an employer will not be permitted to revert to declaring the actual value of fringe benefits in monthly payroll tax returns, unless approval is given in writing by the Commissioner. </w:t>
      </w:r>
      <w:r w:rsidR="00C01B10">
        <w:rPr>
          <w:rFonts w:cs="Arial"/>
          <w:szCs w:val="22"/>
        </w:rPr>
        <w:t>(</w:t>
      </w:r>
      <w:r>
        <w:rPr>
          <w:rFonts w:cs="Arial"/>
          <w:szCs w:val="22"/>
        </w:rPr>
        <w:t>Note: an employer must not use a combination of methods.</w:t>
      </w:r>
      <w:r w:rsidR="00C01B10">
        <w:rPr>
          <w:rFonts w:cs="Arial"/>
          <w:szCs w:val="22"/>
        </w:rPr>
        <w:t>)</w:t>
      </w:r>
    </w:p>
    <w:p w14:paraId="43C176B1" w14:textId="77777777" w:rsidR="00B52133" w:rsidRDefault="00B52133" w:rsidP="00B52133">
      <w:pPr>
        <w:pStyle w:val="RulingBodyText"/>
        <w:rPr>
          <w:rFonts w:cs="Arial"/>
          <w:szCs w:val="22"/>
        </w:rPr>
      </w:pPr>
    </w:p>
    <w:p w14:paraId="43C176B2" w14:textId="77777777" w:rsidR="00B52133" w:rsidRDefault="00B52133" w:rsidP="00B52133">
      <w:pPr>
        <w:pStyle w:val="RulingBodyText"/>
        <w:rPr>
          <w:rFonts w:cs="Arial"/>
          <w:szCs w:val="22"/>
        </w:rPr>
      </w:pPr>
      <w:r>
        <w:rPr>
          <w:rFonts w:cs="Arial"/>
          <w:szCs w:val="22"/>
        </w:rPr>
        <w:t>Employers seeking such approval must lodge an application in writing which explains why termination of the election is sought</w:t>
      </w:r>
      <w:r w:rsidR="00210625">
        <w:rPr>
          <w:rFonts w:cs="Arial"/>
          <w:szCs w:val="22"/>
        </w:rPr>
        <w:t xml:space="preserve"> (</w:t>
      </w:r>
      <w:r w:rsidR="00C01B10">
        <w:rPr>
          <w:rFonts w:cs="Arial"/>
          <w:szCs w:val="22"/>
        </w:rPr>
        <w:t>i.e.</w:t>
      </w:r>
      <w:r>
        <w:rPr>
          <w:rFonts w:cs="Arial"/>
          <w:szCs w:val="22"/>
        </w:rPr>
        <w:t xml:space="preserve"> the employer provides fewer benefits during the current financial year compared with the previous FBT year)</w:t>
      </w:r>
      <w:r w:rsidR="00210625">
        <w:rPr>
          <w:rFonts w:cs="Arial"/>
          <w:szCs w:val="22"/>
        </w:rPr>
        <w:t>.</w:t>
      </w:r>
    </w:p>
    <w:p w14:paraId="43C176B3" w14:textId="77777777" w:rsidR="00B52133" w:rsidRDefault="00B52133" w:rsidP="00B52133">
      <w:pPr>
        <w:pStyle w:val="RulingBodyText"/>
        <w:rPr>
          <w:rFonts w:cs="Arial"/>
          <w:szCs w:val="22"/>
        </w:rPr>
      </w:pPr>
    </w:p>
    <w:p w14:paraId="43C176B4" w14:textId="77777777" w:rsidR="00B52133" w:rsidRDefault="00B52133" w:rsidP="00210625">
      <w:pPr>
        <w:pStyle w:val="RulingBodyText"/>
      </w:pPr>
      <w:r>
        <w:rPr>
          <w:rFonts w:cs="Arial"/>
          <w:szCs w:val="22"/>
        </w:rPr>
        <w:t>Where an employer ceases to be liable for payroll tax, regardless of whether or not the election has been made, the amount of fringe benefits declared in the employer’s final payroll tax return is to be as follows:</w:t>
      </w:r>
    </w:p>
    <w:p w14:paraId="43C176B5" w14:textId="77777777" w:rsidR="00862E28" w:rsidRDefault="00B52133" w:rsidP="004379BA">
      <w:pPr>
        <w:pStyle w:val="RulingNumbering"/>
        <w:numPr>
          <w:ilvl w:val="0"/>
          <w:numId w:val="21"/>
        </w:numPr>
        <w:tabs>
          <w:tab w:val="clear" w:pos="720"/>
          <w:tab w:val="num" w:pos="360"/>
        </w:tabs>
        <w:ind w:left="360"/>
      </w:pPr>
      <w:r>
        <w:t xml:space="preserve">the actual value of the Territory </w:t>
      </w:r>
      <w:r w:rsidR="008D602E">
        <w:t xml:space="preserve">component of </w:t>
      </w:r>
      <w:r>
        <w:t xml:space="preserve">fringe benefits paid or payable by the employer for the period from the preceding 1 July to the cease date, grossed up by the Type 2 factor; less </w:t>
      </w:r>
    </w:p>
    <w:p w14:paraId="43C176B6" w14:textId="77777777" w:rsidR="00B52133" w:rsidRDefault="00B52133" w:rsidP="004379BA">
      <w:pPr>
        <w:pStyle w:val="RulingNumbering"/>
        <w:numPr>
          <w:ilvl w:val="0"/>
          <w:numId w:val="21"/>
        </w:numPr>
        <w:tabs>
          <w:tab w:val="clear" w:pos="720"/>
          <w:tab w:val="num" w:pos="360"/>
        </w:tabs>
        <w:ind w:left="360"/>
      </w:pPr>
      <w:r>
        <w:t>the value of the Territory</w:t>
      </w:r>
      <w:r w:rsidR="008D602E">
        <w:t xml:space="preserve"> component of</w:t>
      </w:r>
      <w:r>
        <w:t xml:space="preserve"> fringe benefits declared in payroll tax returns during that period.</w:t>
      </w:r>
    </w:p>
    <w:p w14:paraId="43C176B7" w14:textId="77777777" w:rsidR="00B52133" w:rsidRPr="000A1192" w:rsidRDefault="00B52133" w:rsidP="000A1192">
      <w:pPr>
        <w:pStyle w:val="RulingBodyText"/>
      </w:pPr>
    </w:p>
    <w:p w14:paraId="43C176B8" w14:textId="77777777" w:rsidR="00B52133" w:rsidRPr="00E26876" w:rsidRDefault="00B52133" w:rsidP="00FA711A">
      <w:pPr>
        <w:pStyle w:val="RulingHeading5"/>
      </w:pPr>
      <w:r w:rsidRPr="00E26876">
        <w:t xml:space="preserve">Determination of </w:t>
      </w:r>
      <w:r>
        <w:t>the Territory</w:t>
      </w:r>
      <w:r w:rsidRPr="00E26876">
        <w:t xml:space="preserve"> component of fringe benefits</w:t>
      </w:r>
    </w:p>
    <w:p w14:paraId="43C176B9" w14:textId="77777777" w:rsidR="00B52133" w:rsidRPr="000A1192" w:rsidRDefault="00B52133" w:rsidP="008D602E">
      <w:pPr>
        <w:pStyle w:val="RulingBodyText"/>
        <w:spacing w:line="120" w:lineRule="exact"/>
      </w:pPr>
    </w:p>
    <w:p w14:paraId="43C176BA" w14:textId="77777777" w:rsidR="00B52133" w:rsidRDefault="00B52133" w:rsidP="00B52133">
      <w:pPr>
        <w:pStyle w:val="RulingBodyText"/>
        <w:rPr>
          <w:rFonts w:cs="Arial"/>
          <w:szCs w:val="22"/>
        </w:rPr>
      </w:pPr>
      <w:r>
        <w:rPr>
          <w:rFonts w:cs="Arial"/>
          <w:szCs w:val="22"/>
        </w:rPr>
        <w:t>In relation to employers who employ in more than one State and/or Territory, it is recognised that existing FBT record-keeping systems may not allow an employer to identify the Territory component of the fringe benefits.</w:t>
      </w:r>
    </w:p>
    <w:p w14:paraId="43C176BB" w14:textId="77777777" w:rsidR="00B52133" w:rsidRDefault="00B52133" w:rsidP="00B52133">
      <w:pPr>
        <w:pStyle w:val="RulingBodyText"/>
        <w:rPr>
          <w:rFonts w:cs="Arial"/>
          <w:szCs w:val="22"/>
        </w:rPr>
      </w:pPr>
    </w:p>
    <w:p w14:paraId="43C176BC" w14:textId="77777777" w:rsidR="00B52133" w:rsidRDefault="00B52133" w:rsidP="00B52133">
      <w:pPr>
        <w:pStyle w:val="RulingBodyText"/>
        <w:rPr>
          <w:rFonts w:cs="Arial"/>
          <w:szCs w:val="22"/>
        </w:rPr>
      </w:pPr>
      <w:r>
        <w:rPr>
          <w:rFonts w:cs="Arial"/>
          <w:szCs w:val="22"/>
        </w:rPr>
        <w:t>In such circumstances, the Territory component of the fringe benefit amount may be declared on an apportionment basis, calculated in accordance with the approved method.</w:t>
      </w:r>
    </w:p>
    <w:p w14:paraId="43C176BD" w14:textId="77777777" w:rsidR="00B52133" w:rsidRDefault="00B52133" w:rsidP="00B52133">
      <w:pPr>
        <w:pStyle w:val="RulingBodyText"/>
        <w:rPr>
          <w:rFonts w:cs="Arial"/>
          <w:szCs w:val="22"/>
        </w:rPr>
      </w:pPr>
    </w:p>
    <w:p w14:paraId="43C176BE" w14:textId="77777777" w:rsidR="00B52133" w:rsidRDefault="00B52133" w:rsidP="00B52133">
      <w:pPr>
        <w:pStyle w:val="RulingBodyText"/>
        <w:rPr>
          <w:rFonts w:cs="Arial"/>
          <w:szCs w:val="22"/>
        </w:rPr>
      </w:pPr>
      <w:r>
        <w:rPr>
          <w:rFonts w:cs="Arial"/>
          <w:szCs w:val="22"/>
        </w:rPr>
        <w:t>The approved method of estimating the Territo</w:t>
      </w:r>
      <w:r w:rsidR="00210625">
        <w:rPr>
          <w:rFonts w:cs="Arial"/>
          <w:szCs w:val="22"/>
        </w:rPr>
        <w:t>r</w:t>
      </w:r>
      <w:r>
        <w:rPr>
          <w:rFonts w:cs="Arial"/>
          <w:szCs w:val="22"/>
        </w:rPr>
        <w:t>y component of the total value of fringe benefits is only available where:</w:t>
      </w:r>
    </w:p>
    <w:p w14:paraId="43C176BF" w14:textId="77777777" w:rsidR="00B52133" w:rsidRDefault="00B52133" w:rsidP="004379BA">
      <w:pPr>
        <w:pStyle w:val="RulingNumbering"/>
        <w:numPr>
          <w:ilvl w:val="0"/>
          <w:numId w:val="20"/>
        </w:numPr>
        <w:tabs>
          <w:tab w:val="clear" w:pos="720"/>
          <w:tab w:val="num" w:pos="360"/>
        </w:tabs>
        <w:ind w:left="360"/>
      </w:pPr>
      <w:r>
        <w:t>existing records do not allow the identification of the actual fringe benefits which relate to the Territory; and</w:t>
      </w:r>
    </w:p>
    <w:p w14:paraId="43C176C0" w14:textId="77777777" w:rsidR="00B52133" w:rsidRDefault="00B52133" w:rsidP="004379BA">
      <w:pPr>
        <w:pStyle w:val="RulingNumbering"/>
        <w:numPr>
          <w:ilvl w:val="0"/>
          <w:numId w:val="20"/>
        </w:numPr>
        <w:tabs>
          <w:tab w:val="clear" w:pos="720"/>
          <w:tab w:val="num" w:pos="360"/>
        </w:tabs>
        <w:ind w:left="360"/>
      </w:pPr>
      <w:r>
        <w:t>the employer has formally elected to declare fringe benefits based on the alternative method.</w:t>
      </w:r>
    </w:p>
    <w:p w14:paraId="43C176C1" w14:textId="77777777" w:rsidR="00B52133" w:rsidRDefault="00B52133" w:rsidP="00B52133">
      <w:pPr>
        <w:pStyle w:val="RulingBodyText"/>
        <w:rPr>
          <w:rFonts w:cs="Arial"/>
          <w:szCs w:val="22"/>
        </w:rPr>
      </w:pPr>
    </w:p>
    <w:p w14:paraId="43C176C2" w14:textId="77777777" w:rsidR="00B52133" w:rsidRDefault="00B52133" w:rsidP="00B52133">
      <w:pPr>
        <w:pStyle w:val="RulingBodyText"/>
        <w:rPr>
          <w:rFonts w:cs="Arial"/>
          <w:szCs w:val="22"/>
        </w:rPr>
      </w:pPr>
      <w:r>
        <w:rPr>
          <w:rFonts w:cs="Arial"/>
          <w:szCs w:val="22"/>
        </w:rPr>
        <w:t>The approved method of calculating the Territory component of total fringe benefits involves two steps.</w:t>
      </w:r>
    </w:p>
    <w:p w14:paraId="43C176C3" w14:textId="77777777" w:rsidR="00B52133" w:rsidRDefault="00B52133" w:rsidP="00B52133">
      <w:pPr>
        <w:pStyle w:val="RulingBodyText"/>
        <w:rPr>
          <w:rFonts w:cs="Arial"/>
          <w:szCs w:val="22"/>
        </w:rPr>
      </w:pPr>
    </w:p>
    <w:p w14:paraId="43C176C4" w14:textId="77777777" w:rsidR="00B52133" w:rsidRPr="000A1192" w:rsidRDefault="00B52133" w:rsidP="00FA711A">
      <w:pPr>
        <w:pStyle w:val="RulingHeading5"/>
        <w:rPr>
          <w:b w:val="0"/>
        </w:rPr>
      </w:pPr>
      <w:r w:rsidRPr="000A1192">
        <w:rPr>
          <w:b w:val="0"/>
        </w:rPr>
        <w:t>Step one — July to May monthly returns</w:t>
      </w:r>
    </w:p>
    <w:p w14:paraId="43C176C5" w14:textId="77777777" w:rsidR="00B52133" w:rsidRPr="000A1192" w:rsidRDefault="00B52133" w:rsidP="008D602E">
      <w:pPr>
        <w:pStyle w:val="RulingBodyText"/>
        <w:spacing w:line="120" w:lineRule="exact"/>
      </w:pPr>
    </w:p>
    <w:p w14:paraId="43C176C6" w14:textId="77777777" w:rsidR="00B52133" w:rsidRDefault="00B52133" w:rsidP="00B52133">
      <w:pPr>
        <w:pStyle w:val="RulingBodyText"/>
        <w:rPr>
          <w:rFonts w:cs="Arial"/>
          <w:szCs w:val="22"/>
        </w:rPr>
      </w:pPr>
      <w:r>
        <w:rPr>
          <w:rFonts w:cs="Arial"/>
          <w:szCs w:val="22"/>
        </w:rPr>
        <w:t>The amount to be declared in each of the monthly returns July to May, is one</w:t>
      </w:r>
      <w:r w:rsidR="005574EB">
        <w:rPr>
          <w:rFonts w:cs="Arial"/>
          <w:szCs w:val="22"/>
        </w:rPr>
        <w:noBreakHyphen/>
      </w:r>
      <w:r>
        <w:rPr>
          <w:rFonts w:cs="Arial"/>
          <w:szCs w:val="22"/>
        </w:rPr>
        <w:t>twelfth of the total value of the fringe benefits declared in the FBT return for the year ending 31 March (immediately preceding the current financial year) grossed up by the Type 2 factor, adjusted by the ratio of total Territory taxable wages to total Australian taxable wages, for the full financial year (immediately preceding the current financial year).</w:t>
      </w:r>
    </w:p>
    <w:p w14:paraId="43C176C7" w14:textId="77777777" w:rsidR="00B52133" w:rsidRDefault="00B52133" w:rsidP="00B52133">
      <w:pPr>
        <w:pStyle w:val="RulingBodyText"/>
        <w:rPr>
          <w:rFonts w:cs="Arial"/>
          <w:szCs w:val="22"/>
        </w:rPr>
      </w:pPr>
    </w:p>
    <w:p w14:paraId="43C176C8" w14:textId="77777777" w:rsidR="00B52133" w:rsidRPr="000A1192" w:rsidRDefault="00B52133" w:rsidP="00FA711A">
      <w:pPr>
        <w:pStyle w:val="RulingHeading5"/>
        <w:rPr>
          <w:b w:val="0"/>
        </w:rPr>
      </w:pPr>
      <w:r w:rsidRPr="000A1192">
        <w:rPr>
          <w:b w:val="0"/>
        </w:rPr>
        <w:t>Step two — Annual Adjustment return</w:t>
      </w:r>
    </w:p>
    <w:p w14:paraId="43C176C9" w14:textId="77777777" w:rsidR="00B52133" w:rsidRPr="000A1192" w:rsidRDefault="00B52133" w:rsidP="008D602E">
      <w:pPr>
        <w:pStyle w:val="RulingBodyText"/>
        <w:spacing w:line="120" w:lineRule="exact"/>
      </w:pPr>
    </w:p>
    <w:p w14:paraId="43C176CA" w14:textId="77777777" w:rsidR="00B52133" w:rsidRDefault="00B52133" w:rsidP="00B52133">
      <w:pPr>
        <w:pStyle w:val="RulingBodyText"/>
        <w:rPr>
          <w:rFonts w:cs="Arial"/>
          <w:szCs w:val="22"/>
        </w:rPr>
      </w:pPr>
      <w:r>
        <w:rPr>
          <w:rFonts w:cs="Arial"/>
          <w:szCs w:val="22"/>
        </w:rPr>
        <w:t>The amount to be declared in the Annual Adjustment return is the total value of fringe benefits declared in the FBT return for the year ending 31 March, immediately preceding the Annual Adjustment return grossed up by the Type 2 factor, adjusted by the ratio of Territory taxable wages to Australian taxable wages, for the current financial year.</w:t>
      </w:r>
    </w:p>
    <w:p w14:paraId="43C176CB" w14:textId="77777777" w:rsidR="00B52133" w:rsidRDefault="00B52133" w:rsidP="00B52133">
      <w:pPr>
        <w:pStyle w:val="RulingBodyText"/>
        <w:rPr>
          <w:rFonts w:cs="Arial"/>
          <w:szCs w:val="22"/>
        </w:rPr>
      </w:pPr>
      <w:r>
        <w:rPr>
          <w:rFonts w:cs="Arial"/>
          <w:szCs w:val="22"/>
        </w:rPr>
        <w:lastRenderedPageBreak/>
        <w:t>The Territory taxable wages and the Australian taxable wages in the above two steps should not include fringe benefits.</w:t>
      </w:r>
    </w:p>
    <w:p w14:paraId="43C176CC" w14:textId="77777777" w:rsidR="00B52133" w:rsidRPr="008D602E" w:rsidRDefault="00B52133" w:rsidP="00E669DB">
      <w:pPr>
        <w:pStyle w:val="RulingBodyText"/>
        <w:rPr>
          <w:rFonts w:cs="Arial"/>
          <w:i/>
          <w:szCs w:val="22"/>
        </w:rPr>
      </w:pPr>
    </w:p>
    <w:p w14:paraId="43C176CD" w14:textId="77777777" w:rsidR="00E669DB" w:rsidRDefault="00E669DB"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b/>
          <w:i/>
          <w:szCs w:val="22"/>
        </w:rPr>
      </w:pPr>
      <w:r w:rsidRPr="004379BA">
        <w:rPr>
          <w:rFonts w:cs="Arial"/>
          <w:b/>
          <w:i/>
          <w:szCs w:val="22"/>
        </w:rPr>
        <w:t>Example:</w:t>
      </w:r>
    </w:p>
    <w:p w14:paraId="43C176CE"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sidRPr="008D602E">
        <w:rPr>
          <w:rFonts w:cs="Arial"/>
          <w:i/>
          <w:szCs w:val="22"/>
        </w:rPr>
        <w:t xml:space="preserve">The value of fringe benefits of XYZ Pty Ltd in its 31 March </w:t>
      </w:r>
      <w:r w:rsidR="008D602E" w:rsidRPr="008D602E">
        <w:rPr>
          <w:rFonts w:cs="Arial"/>
          <w:i/>
          <w:szCs w:val="22"/>
        </w:rPr>
        <w:t>20</w:t>
      </w:r>
      <w:r w:rsidR="008D602E">
        <w:rPr>
          <w:rFonts w:cs="Arial"/>
          <w:i/>
          <w:szCs w:val="22"/>
        </w:rPr>
        <w:t>15</w:t>
      </w:r>
      <w:r w:rsidR="008D602E" w:rsidRPr="008D602E">
        <w:rPr>
          <w:rFonts w:cs="Arial"/>
          <w:i/>
          <w:szCs w:val="22"/>
        </w:rPr>
        <w:t xml:space="preserve"> </w:t>
      </w:r>
      <w:r w:rsidRPr="008D602E">
        <w:rPr>
          <w:rFonts w:cs="Arial"/>
          <w:i/>
          <w:szCs w:val="22"/>
        </w:rPr>
        <w:t>FBT return after grossing up by the Type 2 factor is $120 000. XYZ Pty Ltd paid a total of $600 000 (excluding fringe benefits) in taxable wages for the 20</w:t>
      </w:r>
      <w:r w:rsidR="008D602E">
        <w:rPr>
          <w:rFonts w:cs="Arial"/>
          <w:i/>
          <w:szCs w:val="22"/>
        </w:rPr>
        <w:t>14-15</w:t>
      </w:r>
      <w:r w:rsidRPr="008D602E">
        <w:rPr>
          <w:rFonts w:cs="Arial"/>
          <w:i/>
          <w:szCs w:val="22"/>
        </w:rPr>
        <w:t xml:space="preserve"> financial year, of which $300 000 (excluding fringe benefits) were Territory wages.</w:t>
      </w:r>
    </w:p>
    <w:p w14:paraId="43C176CF" w14:textId="77777777" w:rsidR="0087766B" w:rsidRDefault="0087766B" w:rsidP="00077814">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p>
    <w:p w14:paraId="43C176D0" w14:textId="77777777" w:rsidR="00B52133" w:rsidRPr="008D602E" w:rsidRDefault="00464987"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Pr>
          <w:rFonts w:cs="Arial"/>
          <w:i/>
          <w:noProof/>
          <w:szCs w:val="22"/>
        </w:rPr>
        <w:drawing>
          <wp:inline distT="0" distB="0" distL="0" distR="0" wp14:anchorId="43C176F2" wp14:editId="43C176F3">
            <wp:extent cx="5592445" cy="266065"/>
            <wp:effectExtent l="0" t="0" r="8255" b="635"/>
            <wp:docPr id="2" name="Picture 2" descr="Documen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17"/>
                    <pic:cNvPicPr>
                      <a:picLocks noChangeAspect="1" noChangeArrowheads="1"/>
                    </pic:cNvPicPr>
                  </pic:nvPicPr>
                  <pic:blipFill>
                    <a:blip r:embed="rId11">
                      <a:extLst>
                        <a:ext uri="{28A0092B-C50C-407E-A947-70E740481C1C}">
                          <a14:useLocalDpi xmlns:a14="http://schemas.microsoft.com/office/drawing/2010/main" val="0"/>
                        </a:ext>
                      </a:extLst>
                    </a:blip>
                    <a:srcRect l="14801" t="8777" r="11093" b="88600"/>
                    <a:stretch>
                      <a:fillRect/>
                    </a:stretch>
                  </pic:blipFill>
                  <pic:spPr bwMode="auto">
                    <a:xfrm>
                      <a:off x="0" y="0"/>
                      <a:ext cx="5592445" cy="266065"/>
                    </a:xfrm>
                    <a:prstGeom prst="rect">
                      <a:avLst/>
                    </a:prstGeom>
                    <a:noFill/>
                    <a:ln>
                      <a:noFill/>
                    </a:ln>
                  </pic:spPr>
                </pic:pic>
              </a:graphicData>
            </a:graphic>
          </wp:inline>
        </w:drawing>
      </w:r>
    </w:p>
    <w:p w14:paraId="43C176D1" w14:textId="77777777" w:rsidR="00B52133" w:rsidRPr="00077814" w:rsidRDefault="00B52133" w:rsidP="00077814">
      <w:pPr>
        <w:pStyle w:val="RulingBodyText"/>
        <w:pBdr>
          <w:top w:val="single" w:sz="4" w:space="1" w:color="auto"/>
          <w:left w:val="single" w:sz="4" w:space="4" w:color="auto"/>
          <w:bottom w:val="single" w:sz="4" w:space="1" w:color="auto"/>
          <w:right w:val="single" w:sz="4" w:space="4" w:color="auto"/>
        </w:pBdr>
        <w:shd w:val="clear" w:color="auto" w:fill="F3F3F3"/>
        <w:rPr>
          <w:rFonts w:cs="Arial"/>
          <w:i/>
          <w:sz w:val="16"/>
          <w:szCs w:val="16"/>
        </w:rPr>
      </w:pPr>
    </w:p>
    <w:p w14:paraId="43C176D2"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sidRPr="008D602E">
        <w:rPr>
          <w:rFonts w:cs="Arial"/>
          <w:i/>
          <w:szCs w:val="22"/>
        </w:rPr>
        <w:t xml:space="preserve">Therefore, $60 000 ÷ 12 = $5 000 of fringe benefits is to be declared in each monthly Territory payroll tax return from July </w:t>
      </w:r>
      <w:r w:rsidR="006C338F" w:rsidRPr="008D602E">
        <w:rPr>
          <w:rFonts w:cs="Arial"/>
          <w:i/>
          <w:szCs w:val="22"/>
        </w:rPr>
        <w:t>20</w:t>
      </w:r>
      <w:r w:rsidR="006C338F">
        <w:rPr>
          <w:rFonts w:cs="Arial"/>
          <w:i/>
          <w:szCs w:val="22"/>
        </w:rPr>
        <w:t>15</w:t>
      </w:r>
      <w:r w:rsidR="006C338F" w:rsidRPr="008D602E">
        <w:rPr>
          <w:rFonts w:cs="Arial"/>
          <w:i/>
          <w:szCs w:val="22"/>
        </w:rPr>
        <w:t xml:space="preserve"> </w:t>
      </w:r>
      <w:r w:rsidRPr="008D602E">
        <w:rPr>
          <w:rFonts w:cs="Arial"/>
          <w:i/>
          <w:szCs w:val="22"/>
        </w:rPr>
        <w:t xml:space="preserve">to May </w:t>
      </w:r>
      <w:r w:rsidR="00077814">
        <w:rPr>
          <w:rFonts w:cs="Arial"/>
          <w:i/>
          <w:szCs w:val="22"/>
        </w:rPr>
        <w:t>20</w:t>
      </w:r>
      <w:r w:rsidR="008D602E">
        <w:rPr>
          <w:rFonts w:cs="Arial"/>
          <w:i/>
          <w:szCs w:val="22"/>
        </w:rPr>
        <w:t>16</w:t>
      </w:r>
      <w:r w:rsidRPr="008D602E">
        <w:rPr>
          <w:rFonts w:cs="Arial"/>
          <w:i/>
          <w:szCs w:val="22"/>
        </w:rPr>
        <w:t>.</w:t>
      </w:r>
    </w:p>
    <w:p w14:paraId="43C176D3"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p>
    <w:p w14:paraId="43C176D4"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sidRPr="008D602E">
        <w:rPr>
          <w:rFonts w:cs="Arial"/>
          <w:i/>
          <w:szCs w:val="22"/>
        </w:rPr>
        <w:t xml:space="preserve">The value of fringe benefits of XYZ Pty Ltd in its 31 March </w:t>
      </w:r>
      <w:r w:rsidR="006C338F" w:rsidRPr="008D602E">
        <w:rPr>
          <w:rFonts w:cs="Arial"/>
          <w:i/>
          <w:szCs w:val="22"/>
        </w:rPr>
        <w:t>20</w:t>
      </w:r>
      <w:r w:rsidR="006C338F">
        <w:rPr>
          <w:rFonts w:cs="Arial"/>
          <w:i/>
          <w:szCs w:val="22"/>
        </w:rPr>
        <w:t>16</w:t>
      </w:r>
      <w:r w:rsidR="006C338F" w:rsidRPr="008D602E">
        <w:rPr>
          <w:rFonts w:cs="Arial"/>
          <w:i/>
          <w:szCs w:val="22"/>
        </w:rPr>
        <w:t xml:space="preserve"> </w:t>
      </w:r>
      <w:r w:rsidRPr="008D602E">
        <w:rPr>
          <w:rFonts w:cs="Arial"/>
          <w:i/>
          <w:szCs w:val="22"/>
        </w:rPr>
        <w:t xml:space="preserve">FBT return after grossing up by the Type 2 factor is $180 000. The total Australian taxable wages for the </w:t>
      </w:r>
      <w:r w:rsidR="00077814">
        <w:rPr>
          <w:rFonts w:cs="Arial"/>
          <w:i/>
          <w:szCs w:val="22"/>
        </w:rPr>
        <w:t>20</w:t>
      </w:r>
      <w:r w:rsidR="008D602E">
        <w:rPr>
          <w:rFonts w:cs="Arial"/>
          <w:i/>
          <w:szCs w:val="22"/>
        </w:rPr>
        <w:t>15-16</w:t>
      </w:r>
      <w:r w:rsidRPr="008D602E">
        <w:rPr>
          <w:rFonts w:cs="Arial"/>
          <w:i/>
          <w:szCs w:val="22"/>
        </w:rPr>
        <w:t xml:space="preserve"> financial year were $800 000 (excluding fringe benefits), of which $600 000 (excluding fringe benefits) were Territory taxable wages.</w:t>
      </w:r>
    </w:p>
    <w:p w14:paraId="43C176D5" w14:textId="77777777" w:rsidR="00BB0CC6" w:rsidRDefault="00BB0CC6"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p>
    <w:p w14:paraId="43C176D6" w14:textId="77777777" w:rsidR="0087766B" w:rsidRDefault="00464987"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Pr>
          <w:rFonts w:cs="Arial"/>
          <w:i/>
          <w:noProof/>
          <w:szCs w:val="22"/>
        </w:rPr>
        <w:drawing>
          <wp:inline distT="0" distB="0" distL="0" distR="0" wp14:anchorId="43C176F4" wp14:editId="43C176F5">
            <wp:extent cx="4008755" cy="287020"/>
            <wp:effectExtent l="0" t="0" r="0" b="0"/>
            <wp:docPr id="3" name="Picture 3" descr="Docum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1"/>
                    <pic:cNvPicPr>
                      <a:picLocks noChangeAspect="1" noChangeArrowheads="1"/>
                    </pic:cNvPicPr>
                  </pic:nvPicPr>
                  <pic:blipFill>
                    <a:blip r:embed="rId12">
                      <a:extLst>
                        <a:ext uri="{28A0092B-C50C-407E-A947-70E740481C1C}">
                          <a14:useLocalDpi xmlns:a14="http://schemas.microsoft.com/office/drawing/2010/main" val="0"/>
                        </a:ext>
                      </a:extLst>
                    </a:blip>
                    <a:srcRect l="14799" t="8621" r="27643" b="88336"/>
                    <a:stretch>
                      <a:fillRect/>
                    </a:stretch>
                  </pic:blipFill>
                  <pic:spPr bwMode="auto">
                    <a:xfrm>
                      <a:off x="0" y="0"/>
                      <a:ext cx="4008755" cy="287020"/>
                    </a:xfrm>
                    <a:prstGeom prst="rect">
                      <a:avLst/>
                    </a:prstGeom>
                    <a:noFill/>
                    <a:ln>
                      <a:noFill/>
                    </a:ln>
                  </pic:spPr>
                </pic:pic>
              </a:graphicData>
            </a:graphic>
          </wp:inline>
        </w:drawing>
      </w:r>
    </w:p>
    <w:p w14:paraId="43C176D7" w14:textId="77777777" w:rsidR="00B52133" w:rsidRPr="00077814"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 w:val="12"/>
          <w:szCs w:val="12"/>
        </w:rPr>
      </w:pPr>
    </w:p>
    <w:p w14:paraId="43C176D8" w14:textId="77777777" w:rsidR="00B52133" w:rsidRPr="008D602E" w:rsidRDefault="00B52133" w:rsidP="008D602E">
      <w:pPr>
        <w:pStyle w:val="RulingBodyText"/>
        <w:pBdr>
          <w:top w:val="single" w:sz="4" w:space="1" w:color="auto"/>
          <w:left w:val="single" w:sz="4" w:space="4" w:color="auto"/>
          <w:bottom w:val="single" w:sz="4" w:space="1" w:color="auto"/>
          <w:right w:val="single" w:sz="4" w:space="4" w:color="auto"/>
        </w:pBdr>
        <w:shd w:val="clear" w:color="auto" w:fill="F3F3F3"/>
        <w:rPr>
          <w:rFonts w:cs="Arial"/>
          <w:i/>
          <w:szCs w:val="22"/>
        </w:rPr>
      </w:pPr>
      <w:r w:rsidRPr="008D602E">
        <w:rPr>
          <w:rFonts w:cs="Arial"/>
          <w:i/>
          <w:szCs w:val="22"/>
        </w:rPr>
        <w:t xml:space="preserve">The Territory </w:t>
      </w:r>
      <w:r w:rsidR="008D602E">
        <w:rPr>
          <w:rFonts w:cs="Arial"/>
          <w:i/>
          <w:szCs w:val="22"/>
        </w:rPr>
        <w:t xml:space="preserve">component of </w:t>
      </w:r>
      <w:r w:rsidRPr="008D602E">
        <w:rPr>
          <w:rFonts w:cs="Arial"/>
          <w:i/>
          <w:szCs w:val="22"/>
        </w:rPr>
        <w:t>fringe benefits to be declared in the 20</w:t>
      </w:r>
      <w:r w:rsidR="008D602E">
        <w:rPr>
          <w:rFonts w:cs="Arial"/>
          <w:i/>
          <w:szCs w:val="22"/>
        </w:rPr>
        <w:t>15-16</w:t>
      </w:r>
      <w:r w:rsidRPr="008D602E">
        <w:rPr>
          <w:rFonts w:cs="Arial"/>
          <w:i/>
          <w:szCs w:val="22"/>
        </w:rPr>
        <w:t xml:space="preserve"> Annual Adjustment return is $135 000.</w:t>
      </w:r>
    </w:p>
    <w:p w14:paraId="43C176D9" w14:textId="77777777" w:rsidR="00B52133" w:rsidRDefault="00B52133" w:rsidP="00B52133">
      <w:pPr>
        <w:pStyle w:val="RulingBodyText"/>
        <w:rPr>
          <w:rFonts w:cs="Arial"/>
          <w:szCs w:val="22"/>
        </w:rPr>
      </w:pPr>
    </w:p>
    <w:p w14:paraId="43C176DA" w14:textId="77777777" w:rsidR="00B52133" w:rsidRDefault="00B52133" w:rsidP="00B52133">
      <w:pPr>
        <w:pStyle w:val="RulingBodyText"/>
        <w:rPr>
          <w:rFonts w:cs="Arial"/>
          <w:szCs w:val="22"/>
        </w:rPr>
      </w:pPr>
      <w:r>
        <w:rPr>
          <w:rFonts w:cs="Arial"/>
          <w:szCs w:val="22"/>
        </w:rPr>
        <w:t xml:space="preserve">Employers who are unable to calculate the actual Territory component of fringe benefits and are unable to adopt the approved method or believe they would be disadvantaged by adopting the approved method, should make a written submission to the Commissioner </w:t>
      </w:r>
      <w:r w:rsidR="005574EB">
        <w:rPr>
          <w:rFonts w:cs="Arial"/>
          <w:szCs w:val="22"/>
        </w:rPr>
        <w:t xml:space="preserve">of Territory Revenue </w:t>
      </w:r>
      <w:r w:rsidR="00C01B10">
        <w:rPr>
          <w:rFonts w:cs="Arial"/>
          <w:szCs w:val="22"/>
        </w:rPr>
        <w:t xml:space="preserve">(the Commissioner) </w:t>
      </w:r>
      <w:r>
        <w:rPr>
          <w:rFonts w:cs="Arial"/>
          <w:szCs w:val="22"/>
        </w:rPr>
        <w:t>detailing another method.</w:t>
      </w:r>
    </w:p>
    <w:p w14:paraId="43C176DB" w14:textId="77777777" w:rsidR="00B52133" w:rsidRDefault="00B52133" w:rsidP="00B52133">
      <w:pPr>
        <w:pStyle w:val="RulingBodyText"/>
        <w:rPr>
          <w:rFonts w:cs="Arial"/>
          <w:szCs w:val="22"/>
        </w:rPr>
      </w:pPr>
    </w:p>
    <w:p w14:paraId="43C176DC" w14:textId="77777777" w:rsidR="00B52133" w:rsidRDefault="00B52133" w:rsidP="00FA711A">
      <w:pPr>
        <w:pStyle w:val="RulingHeading5"/>
      </w:pPr>
      <w:r w:rsidRPr="008724F7">
        <w:t>Adoption of ATO fringe benefits tax rulings</w:t>
      </w:r>
    </w:p>
    <w:p w14:paraId="43C176DD" w14:textId="77777777" w:rsidR="00B52133" w:rsidRPr="000A1192" w:rsidRDefault="00B52133" w:rsidP="008D602E">
      <w:pPr>
        <w:pStyle w:val="RulingBodyText"/>
        <w:spacing w:line="120" w:lineRule="exact"/>
      </w:pPr>
    </w:p>
    <w:p w14:paraId="43C176DE" w14:textId="77777777" w:rsidR="00B52133" w:rsidRDefault="00B52133" w:rsidP="00B52133">
      <w:pPr>
        <w:pStyle w:val="RulingBodyText"/>
        <w:rPr>
          <w:rFonts w:cs="Arial"/>
          <w:szCs w:val="22"/>
        </w:rPr>
      </w:pPr>
      <w:r>
        <w:rPr>
          <w:rFonts w:cs="Arial"/>
          <w:szCs w:val="22"/>
        </w:rPr>
        <w:t>In order to follow as closely as possible the effect of the FBT Act, the Commissioner will adopt all rulings issued by the ATO which relate to fringe benefits tax (with the exception of rulings relating to employee share schemes).</w:t>
      </w:r>
    </w:p>
    <w:p w14:paraId="43C176DF" w14:textId="77777777" w:rsidR="00B52133" w:rsidRDefault="00B52133" w:rsidP="00B52133">
      <w:pPr>
        <w:pStyle w:val="RulingBodyText"/>
        <w:rPr>
          <w:rFonts w:cs="Arial"/>
          <w:szCs w:val="22"/>
        </w:rPr>
      </w:pPr>
    </w:p>
    <w:p w14:paraId="43C176E0" w14:textId="77777777" w:rsidR="005D6184" w:rsidRPr="00FA711A" w:rsidRDefault="005D6184" w:rsidP="00FA711A">
      <w:pPr>
        <w:pStyle w:val="Bold"/>
      </w:pPr>
      <w:r w:rsidRPr="00FA711A">
        <w:t xml:space="preserve">Please note that rulings do not have the force of law.  </w:t>
      </w:r>
      <w:r w:rsidR="00A749EA" w:rsidRPr="00FA711A">
        <w:t xml:space="preserve">Each </w:t>
      </w:r>
      <w:r w:rsidR="004379BA">
        <w:t xml:space="preserve">decision made by the </w:t>
      </w:r>
      <w:r w:rsidR="007A180C" w:rsidRPr="00FA711A">
        <w:t>Territory Revenue Office</w:t>
      </w:r>
      <w:r w:rsidR="00F166EE" w:rsidRPr="00FA711A">
        <w:t xml:space="preserve"> </w:t>
      </w:r>
      <w:r w:rsidR="00865E0D" w:rsidRPr="00FA711A">
        <w:t>is made on the merits of each individual case</w:t>
      </w:r>
      <w:r w:rsidR="00A749EA" w:rsidRPr="00FA711A">
        <w:t>,</w:t>
      </w:r>
      <w:r w:rsidR="00865E0D" w:rsidRPr="00FA711A">
        <w:t xml:space="preserve"> having regard to any relevant ruling.  </w:t>
      </w:r>
      <w:r w:rsidRPr="00FA711A">
        <w:t>Commissioner’s Guideline CG-GEN-001, which sets out information on the revenue publication system, is incorporated into and is to be</w:t>
      </w:r>
      <w:r w:rsidR="00865E0D" w:rsidRPr="00FA711A">
        <w:t xml:space="preserve"> read as one with this Ruling.  All C</w:t>
      </w:r>
      <w:r w:rsidRPr="00FA711A">
        <w:t>irculars</w:t>
      </w:r>
      <w:r w:rsidR="00865E0D" w:rsidRPr="00FA711A">
        <w:t xml:space="preserve">, Guidelines and Rulings are available from </w:t>
      </w:r>
      <w:hyperlink r:id="rId13" w:history="1">
        <w:r w:rsidRPr="00FA711A">
          <w:t>www.revenue.nt.gov.au</w:t>
        </w:r>
      </w:hyperlink>
      <w:r w:rsidR="00865E0D" w:rsidRPr="00FA711A">
        <w:t>.</w:t>
      </w:r>
    </w:p>
    <w:p w14:paraId="43C176E1" w14:textId="77777777" w:rsidR="005D6184" w:rsidRDefault="00464987" w:rsidP="00865E0D">
      <w:pPr>
        <w:pStyle w:val="RulingBodyText"/>
      </w:pPr>
      <w:r>
        <w:rPr>
          <w:noProof/>
        </w:rPr>
        <w:drawing>
          <wp:anchor distT="0" distB="0" distL="114300" distR="114300" simplePos="0" relativeHeight="251659264" behindDoc="0" locked="0" layoutInCell="1" allowOverlap="1" wp14:anchorId="43C176F6" wp14:editId="43C176F7">
            <wp:simplePos x="0" y="0"/>
            <wp:positionH relativeFrom="column">
              <wp:posOffset>45720</wp:posOffset>
            </wp:positionH>
            <wp:positionV relativeFrom="paragraph">
              <wp:posOffset>76835</wp:posOffset>
            </wp:positionV>
            <wp:extent cx="1511935" cy="654050"/>
            <wp:effectExtent l="0" t="0" r="0" b="0"/>
            <wp:wrapNone/>
            <wp:docPr id="1" name="Picture 2" descr="Signature: Mick Bu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Mick Butl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1935"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176E2" w14:textId="77777777" w:rsidR="006C338F" w:rsidRDefault="006C338F" w:rsidP="00865E0D">
      <w:pPr>
        <w:pStyle w:val="RulingBodyText"/>
      </w:pPr>
    </w:p>
    <w:p w14:paraId="43C176E3" w14:textId="77777777" w:rsidR="00077814" w:rsidRDefault="00077814" w:rsidP="00865E0D">
      <w:pPr>
        <w:pStyle w:val="RulingBodyText"/>
      </w:pPr>
    </w:p>
    <w:p w14:paraId="43C176E4" w14:textId="77777777" w:rsidR="00077814" w:rsidRDefault="00077814" w:rsidP="00865E0D">
      <w:pPr>
        <w:pStyle w:val="RulingBodyText"/>
      </w:pPr>
    </w:p>
    <w:p w14:paraId="43C176E5" w14:textId="77777777" w:rsidR="005D6184" w:rsidRDefault="008D602E" w:rsidP="005C5E02">
      <w:pPr>
        <w:pStyle w:val="RulingBodyText"/>
      </w:pPr>
      <w:r>
        <w:t>Mick Butler</w:t>
      </w:r>
    </w:p>
    <w:p w14:paraId="43C176E6" w14:textId="77777777" w:rsidR="002C10C3" w:rsidRDefault="00635A2E" w:rsidP="008D602E">
      <w:pPr>
        <w:pStyle w:val="Bold"/>
      </w:pPr>
      <w:r>
        <w:t xml:space="preserve">DEPUTY </w:t>
      </w:r>
      <w:r w:rsidR="00CB1C14" w:rsidRPr="00FA711A">
        <w:t>COMMISSIONER OF TERRITORY REVENUE</w:t>
      </w:r>
    </w:p>
    <w:p w14:paraId="43C176E7" w14:textId="77777777" w:rsidR="00CB1C14" w:rsidRPr="00077814" w:rsidRDefault="00CB1C14" w:rsidP="005C5E02">
      <w:pPr>
        <w:pStyle w:val="RulingBodyText"/>
        <w:rPr>
          <w:sz w:val="12"/>
          <w:szCs w:val="12"/>
        </w:rPr>
      </w:pPr>
    </w:p>
    <w:tbl>
      <w:tblPr>
        <w:tblW w:w="9720" w:type="dxa"/>
        <w:tblBorders>
          <w:top w:val="single" w:sz="4" w:space="0" w:color="auto"/>
          <w:left w:val="single" w:sz="4" w:space="0" w:color="auto"/>
          <w:bottom w:val="single" w:sz="4" w:space="0" w:color="auto"/>
          <w:right w:val="single" w:sz="4" w:space="0" w:color="auto"/>
        </w:tblBorders>
        <w:tblCellMar>
          <w:top w:w="57" w:type="dxa"/>
          <w:left w:w="0" w:type="dxa"/>
          <w:bottom w:w="57" w:type="dxa"/>
          <w:right w:w="0" w:type="dxa"/>
        </w:tblCellMar>
        <w:tblLook w:val="01E0" w:firstRow="1" w:lastRow="1" w:firstColumn="1" w:lastColumn="1" w:noHBand="0" w:noVBand="0"/>
        <w:tblDescription w:val="TRO contact details"/>
      </w:tblPr>
      <w:tblGrid>
        <w:gridCol w:w="3060"/>
        <w:gridCol w:w="3060"/>
        <w:gridCol w:w="3600"/>
      </w:tblGrid>
      <w:tr w:rsidR="004379BA" w:rsidRPr="0098495F" w14:paraId="43C176E9" w14:textId="77777777" w:rsidTr="0098495F">
        <w:trPr>
          <w:cantSplit/>
        </w:trPr>
        <w:tc>
          <w:tcPr>
            <w:tcW w:w="9720" w:type="dxa"/>
            <w:gridSpan w:val="3"/>
            <w:tcBorders>
              <w:top w:val="single" w:sz="8" w:space="0" w:color="auto"/>
              <w:left w:val="single" w:sz="8" w:space="0" w:color="auto"/>
              <w:bottom w:val="single" w:sz="8" w:space="0" w:color="auto"/>
              <w:right w:val="single" w:sz="8" w:space="0" w:color="auto"/>
            </w:tcBorders>
            <w:shd w:val="clear" w:color="auto" w:fill="E6E6E6"/>
          </w:tcPr>
          <w:p w14:paraId="43C176E8" w14:textId="77777777" w:rsidR="004379BA" w:rsidRPr="005C5E02" w:rsidRDefault="004379BA" w:rsidP="0098495F">
            <w:pPr>
              <w:pStyle w:val="RulingBodyText"/>
              <w:ind w:firstLine="185"/>
            </w:pPr>
            <w:r w:rsidRPr="005C5E02">
              <w:t>For further information contact the Territory Revenue Office:</w:t>
            </w:r>
          </w:p>
        </w:tc>
      </w:tr>
      <w:tr w:rsidR="004379BA" w:rsidRPr="0098495F" w14:paraId="43C176F0" w14:textId="77777777" w:rsidTr="0098495F">
        <w:trPr>
          <w:cantSplit/>
        </w:trPr>
        <w:tc>
          <w:tcPr>
            <w:tcW w:w="3060" w:type="dxa"/>
            <w:tcBorders>
              <w:top w:val="single" w:sz="8" w:space="0" w:color="auto"/>
            </w:tcBorders>
            <w:shd w:val="clear" w:color="auto" w:fill="auto"/>
          </w:tcPr>
          <w:p w14:paraId="43C176EA" w14:textId="22594557" w:rsidR="004379BA" w:rsidRPr="005C5E02" w:rsidRDefault="004379BA" w:rsidP="0098495F">
            <w:pPr>
              <w:pStyle w:val="RulingBodyText"/>
              <w:ind w:firstLine="185"/>
            </w:pPr>
            <w:r w:rsidRPr="005C5E02">
              <w:t>GPO Box</w:t>
            </w:r>
            <w:r w:rsidR="00CD2212">
              <w:t xml:space="preserve"> 197</w:t>
            </w:r>
            <w:bookmarkStart w:id="0" w:name="_GoBack"/>
            <w:bookmarkEnd w:id="0"/>
            <w:r w:rsidRPr="005C5E02">
              <w:t>4</w:t>
            </w:r>
          </w:p>
          <w:p w14:paraId="43C176EB" w14:textId="77777777" w:rsidR="004379BA" w:rsidRPr="005C5E02" w:rsidRDefault="004379BA" w:rsidP="00077814">
            <w:pPr>
              <w:pStyle w:val="RulingBodyText"/>
              <w:ind w:firstLine="185"/>
            </w:pPr>
            <w:r w:rsidRPr="005C5E02">
              <w:t>DARWIN NT 0801</w:t>
            </w:r>
          </w:p>
        </w:tc>
        <w:tc>
          <w:tcPr>
            <w:tcW w:w="3060" w:type="dxa"/>
            <w:tcBorders>
              <w:top w:val="single" w:sz="8" w:space="0" w:color="auto"/>
            </w:tcBorders>
            <w:shd w:val="clear" w:color="auto" w:fill="auto"/>
          </w:tcPr>
          <w:p w14:paraId="43C176EC" w14:textId="77777777" w:rsidR="004379BA" w:rsidRPr="005C5E02" w:rsidRDefault="004379BA" w:rsidP="004379BA">
            <w:pPr>
              <w:pStyle w:val="RulingBodyText"/>
            </w:pPr>
            <w:r w:rsidRPr="005C5E02">
              <w:rPr>
                <w:noProof/>
              </w:rPr>
              <w:t>Tel</w:t>
            </w:r>
            <w:r w:rsidR="00442F3C">
              <w:rPr>
                <w:noProof/>
              </w:rPr>
              <w:t>:</w:t>
            </w:r>
            <w:r w:rsidRPr="005C5E02">
              <w:rPr>
                <w:noProof/>
              </w:rPr>
              <w:t xml:space="preserve"> </w:t>
            </w:r>
            <w:r w:rsidRPr="005C5E02">
              <w:t>1300 305 353</w:t>
            </w:r>
          </w:p>
          <w:p w14:paraId="43C176ED" w14:textId="77777777" w:rsidR="004379BA" w:rsidRPr="005C5E02" w:rsidRDefault="004379BA" w:rsidP="007813CE">
            <w:pPr>
              <w:pStyle w:val="RulingBodyText"/>
              <w:rPr>
                <w:noProof/>
              </w:rPr>
            </w:pPr>
          </w:p>
        </w:tc>
        <w:tc>
          <w:tcPr>
            <w:tcW w:w="3600" w:type="dxa"/>
            <w:tcBorders>
              <w:top w:val="single" w:sz="8" w:space="0" w:color="auto"/>
            </w:tcBorders>
            <w:shd w:val="clear" w:color="auto" w:fill="auto"/>
          </w:tcPr>
          <w:p w14:paraId="43C176EE" w14:textId="77777777" w:rsidR="004379BA" w:rsidRDefault="004379BA" w:rsidP="00FA711A">
            <w:pPr>
              <w:pStyle w:val="RulingBodyText"/>
            </w:pPr>
            <w:r w:rsidRPr="005C5E02">
              <w:t xml:space="preserve">Email: </w:t>
            </w:r>
            <w:hyperlink r:id="rId15" w:history="1">
              <w:r w:rsidR="007D4B72" w:rsidRPr="003954E2">
                <w:rPr>
                  <w:rStyle w:val="Hyperlink"/>
                </w:rPr>
                <w:t>ntrevenue</w:t>
              </w:r>
              <w:r w:rsidR="007D4B72" w:rsidRPr="008D602E">
                <w:rPr>
                  <w:rStyle w:val="Hyperlink"/>
                </w:rPr>
                <w:t>@nt.gov.au</w:t>
              </w:r>
            </w:hyperlink>
          </w:p>
          <w:p w14:paraId="43C176EF" w14:textId="77777777" w:rsidR="004379BA" w:rsidRPr="005C5E02" w:rsidRDefault="004379BA" w:rsidP="00FA711A">
            <w:pPr>
              <w:pStyle w:val="RulingBodyText"/>
            </w:pPr>
            <w:r w:rsidRPr="005C5E02">
              <w:t xml:space="preserve">Website: </w:t>
            </w:r>
            <w:hyperlink r:id="rId16" w:history="1">
              <w:r w:rsidRPr="005C5E02">
                <w:t>www.revenue.nt.gov.au</w:t>
              </w:r>
            </w:hyperlink>
          </w:p>
        </w:tc>
      </w:tr>
    </w:tbl>
    <w:p w14:paraId="43C176F1" w14:textId="77777777" w:rsidR="00DA43F2" w:rsidRPr="00077814" w:rsidRDefault="00DA43F2" w:rsidP="00077814">
      <w:pPr>
        <w:pStyle w:val="RulingBodyText"/>
        <w:rPr>
          <w:sz w:val="12"/>
          <w:szCs w:val="12"/>
        </w:rPr>
      </w:pPr>
    </w:p>
    <w:sectPr w:rsidR="00DA43F2" w:rsidRPr="00077814" w:rsidSect="008D602E">
      <w:headerReference w:type="even" r:id="rId17"/>
      <w:footerReference w:type="default" r:id="rId18"/>
      <w:headerReference w:type="first" r:id="rId19"/>
      <w:footerReference w:type="first" r:id="rId20"/>
      <w:pgSz w:w="11906" w:h="16838" w:code="9"/>
      <w:pgMar w:top="737" w:right="1077" w:bottom="567"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8B726" w14:textId="77777777" w:rsidR="00D1463C" w:rsidRDefault="00D1463C">
      <w:r>
        <w:separator/>
      </w:r>
    </w:p>
    <w:p w14:paraId="7456E6DF" w14:textId="77777777" w:rsidR="00D1463C" w:rsidRDefault="00D1463C"/>
    <w:p w14:paraId="44E3F073" w14:textId="77777777" w:rsidR="00D1463C" w:rsidRDefault="00D1463C"/>
  </w:endnote>
  <w:endnote w:type="continuationSeparator" w:id="0">
    <w:p w14:paraId="58B12E97" w14:textId="77777777" w:rsidR="00D1463C" w:rsidRDefault="00D1463C">
      <w:r>
        <w:continuationSeparator/>
      </w:r>
    </w:p>
    <w:p w14:paraId="20553DE2" w14:textId="77777777" w:rsidR="00D1463C" w:rsidRDefault="00D1463C"/>
    <w:p w14:paraId="0133D794" w14:textId="77777777" w:rsidR="00D1463C" w:rsidRDefault="00D1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7708" w14:textId="77777777" w:rsidR="00BE7304" w:rsidRDefault="00BE7304" w:rsidP="00CB1C14">
    <w:pPr>
      <w:pStyle w:val="Footer"/>
      <w:pBdr>
        <w:top w:val="none" w:sz="0" w:space="0" w:color="auto"/>
      </w:pBdr>
    </w:pPr>
  </w:p>
  <w:p w14:paraId="43C17709" w14:textId="02933D61" w:rsidR="00BE7304" w:rsidRDefault="00BE7304" w:rsidP="00CB1C14">
    <w:pPr>
      <w:pStyle w:val="Footer"/>
    </w:pPr>
    <w:r w:rsidRPr="008D602E">
      <w:t>Payroll Tax</w:t>
    </w:r>
    <w:r>
      <w:t xml:space="preserve"> Ruling PTA003 – V</w:t>
    </w:r>
    <w:r w:rsidR="006C338F">
      <w:t>2</w:t>
    </w:r>
    <w:r>
      <w:tab/>
    </w:r>
    <w:r w:rsidRPr="005D6184">
      <w:t xml:space="preserve">Page </w:t>
    </w:r>
    <w:r w:rsidRPr="005D6184">
      <w:fldChar w:fldCharType="begin"/>
    </w:r>
    <w:r w:rsidRPr="005D6184">
      <w:instrText xml:space="preserve"> PAGE </w:instrText>
    </w:r>
    <w:r w:rsidRPr="005D6184">
      <w:fldChar w:fldCharType="separate"/>
    </w:r>
    <w:r w:rsidR="00CD2212">
      <w:rPr>
        <w:noProof/>
      </w:rPr>
      <w:t>4</w:t>
    </w:r>
    <w:r w:rsidRPr="005D6184">
      <w:fldChar w:fldCharType="end"/>
    </w:r>
    <w:r w:rsidRPr="005D6184">
      <w:t xml:space="preserve"> of </w:t>
    </w:r>
    <w:r w:rsidR="00442F3C">
      <w:t>4</w:t>
    </w:r>
  </w:p>
  <w:p w14:paraId="43C1770A" w14:textId="77777777" w:rsidR="00BE7304" w:rsidRDefault="00BE7304" w:rsidP="00FA711A">
    <w:pPr>
      <w:pStyle w:val="Footer"/>
      <w:pBdr>
        <w:top w:val="none" w:sz="0" w:space="0" w:color="auto"/>
      </w:pBdr>
    </w:pPr>
    <w:r>
      <w:t>Fringe Benefits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7711" w14:textId="7A4FD55F" w:rsidR="00BE7304" w:rsidRDefault="00BE7304" w:rsidP="00CB1C14">
    <w:pPr>
      <w:pStyle w:val="Footer"/>
    </w:pPr>
    <w:r>
      <w:t>Payroll Tax Ruling PTA003 – V</w:t>
    </w:r>
    <w:r w:rsidR="006C338F">
      <w:t>2</w:t>
    </w:r>
    <w:r>
      <w:tab/>
    </w:r>
    <w:r w:rsidRPr="005D6184">
      <w:t xml:space="preserve">Page </w:t>
    </w:r>
    <w:r w:rsidRPr="005D6184">
      <w:fldChar w:fldCharType="begin"/>
    </w:r>
    <w:r w:rsidRPr="005D6184">
      <w:instrText xml:space="preserve"> PAGE </w:instrText>
    </w:r>
    <w:r w:rsidRPr="005D6184">
      <w:fldChar w:fldCharType="separate"/>
    </w:r>
    <w:r w:rsidR="00CD2212">
      <w:rPr>
        <w:noProof/>
      </w:rPr>
      <w:t>1</w:t>
    </w:r>
    <w:r w:rsidRPr="005D6184">
      <w:fldChar w:fldCharType="end"/>
    </w:r>
    <w:r w:rsidRPr="005D6184">
      <w:t xml:space="preserve"> of </w:t>
    </w:r>
    <w:r w:rsidR="00442F3C">
      <w:t>4</w:t>
    </w:r>
    <w:r>
      <w:br/>
      <w:t>Fringe Benefits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EA30D" w14:textId="77777777" w:rsidR="00D1463C" w:rsidRDefault="00D1463C">
      <w:r>
        <w:separator/>
      </w:r>
    </w:p>
    <w:p w14:paraId="6201F8D8" w14:textId="77777777" w:rsidR="00D1463C" w:rsidRDefault="00D1463C"/>
    <w:p w14:paraId="00B46F7B" w14:textId="77777777" w:rsidR="00D1463C" w:rsidRDefault="00D1463C"/>
  </w:footnote>
  <w:footnote w:type="continuationSeparator" w:id="0">
    <w:p w14:paraId="2B0F006B" w14:textId="77777777" w:rsidR="00D1463C" w:rsidRDefault="00D1463C">
      <w:r>
        <w:continuationSeparator/>
      </w:r>
    </w:p>
    <w:p w14:paraId="798FE4FE" w14:textId="77777777" w:rsidR="00D1463C" w:rsidRDefault="00D1463C"/>
    <w:p w14:paraId="2050DDD9" w14:textId="77777777" w:rsidR="00D1463C" w:rsidRDefault="00D146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7704" w14:textId="77777777" w:rsidR="00BE7304" w:rsidRDefault="00BE7304" w:rsidP="002C10C3">
    <w:r>
      <w:fldChar w:fldCharType="begin"/>
    </w:r>
    <w:r>
      <w:instrText xml:space="preserve">PAGE  </w:instrText>
    </w:r>
    <w:r>
      <w:fldChar w:fldCharType="end"/>
    </w:r>
  </w:p>
  <w:p w14:paraId="43C17705" w14:textId="77777777" w:rsidR="00BE7304" w:rsidRDefault="00BE7304" w:rsidP="002C10C3"/>
  <w:p w14:paraId="43C17706" w14:textId="77777777" w:rsidR="00BE7304" w:rsidRDefault="00BE7304"/>
  <w:p w14:paraId="43C17707" w14:textId="77777777" w:rsidR="00BE7304" w:rsidRDefault="00BE73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770B" w14:textId="77777777" w:rsidR="00BE7304" w:rsidRDefault="00464987" w:rsidP="005C5E02">
    <w:pPr>
      <w:pStyle w:val="RulingBodyText"/>
    </w:pPr>
    <w:r>
      <w:rPr>
        <w:noProof/>
      </w:rPr>
      <w:drawing>
        <wp:anchor distT="0" distB="0" distL="114300" distR="114300" simplePos="0" relativeHeight="251657728" behindDoc="1" locked="0" layoutInCell="1" allowOverlap="1" wp14:anchorId="43C17712" wp14:editId="43C17713">
          <wp:simplePos x="0" y="0"/>
          <wp:positionH relativeFrom="column">
            <wp:posOffset>3175</wp:posOffset>
          </wp:positionH>
          <wp:positionV relativeFrom="paragraph">
            <wp:posOffset>-45720</wp:posOffset>
          </wp:positionV>
          <wp:extent cx="6081395" cy="812800"/>
          <wp:effectExtent l="0" t="0" r="0" b="6350"/>
          <wp:wrapThrough wrapText="bothSides">
            <wp:wrapPolygon edited="0">
              <wp:start x="0" y="0"/>
              <wp:lineTo x="0" y="21263"/>
              <wp:lineTo x="21517" y="21263"/>
              <wp:lineTo x="21517"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139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1770C" w14:textId="77777777" w:rsidR="00BE7304" w:rsidRDefault="00BE7304" w:rsidP="008D602E">
    <w:pPr>
      <w:pStyle w:val="RulingBodyText"/>
      <w:jc w:val="center"/>
    </w:pPr>
  </w:p>
  <w:p w14:paraId="43C1770D" w14:textId="77777777" w:rsidR="00BE7304" w:rsidRDefault="00BE7304" w:rsidP="005C5E02">
    <w:pPr>
      <w:pStyle w:val="RulingBodyText"/>
    </w:pPr>
  </w:p>
  <w:p w14:paraId="43C1770E" w14:textId="77777777" w:rsidR="00BE7304" w:rsidRDefault="00BE7304" w:rsidP="005C5E02">
    <w:pPr>
      <w:pStyle w:val="RulingBodyText"/>
    </w:pPr>
  </w:p>
  <w:p w14:paraId="43C1770F" w14:textId="77777777" w:rsidR="00BE7304" w:rsidRDefault="00BE7304" w:rsidP="00FA711A">
    <w:pPr>
      <w:pStyle w:val="RulingBodyText"/>
    </w:pPr>
  </w:p>
  <w:p w14:paraId="43C17710" w14:textId="77777777" w:rsidR="00BE7304" w:rsidRDefault="00BE73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2B6"/>
    <w:multiLevelType w:val="hybridMultilevel"/>
    <w:tmpl w:val="8F449F7E"/>
    <w:lvl w:ilvl="0" w:tplc="1C148EE0">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3A20772"/>
    <w:multiLevelType w:val="hybridMultilevel"/>
    <w:tmpl w:val="9BB866E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1035A5"/>
    <w:multiLevelType w:val="multilevel"/>
    <w:tmpl w:val="2B76A5BA"/>
    <w:lvl w:ilvl="0">
      <w:start w:val="1"/>
      <w:numFmt w:val="decimal"/>
      <w:pStyle w:val="RulingNumbering"/>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3" w15:restartNumberingAfterBreak="0">
    <w:nsid w:val="11AF1F54"/>
    <w:multiLevelType w:val="multilevel"/>
    <w:tmpl w:val="676C19A4"/>
    <w:lvl w:ilvl="0">
      <w:start w:val="1"/>
      <w:numFmt w:val="decim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4" w15:restartNumberingAfterBreak="0">
    <w:nsid w:val="12D767AA"/>
    <w:multiLevelType w:val="multilevel"/>
    <w:tmpl w:val="A5E4B0D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D81AE1"/>
    <w:multiLevelType w:val="hybridMultilevel"/>
    <w:tmpl w:val="DCF8C3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2E01F9D"/>
    <w:multiLevelType w:val="multilevel"/>
    <w:tmpl w:val="127A2018"/>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7" w15:restartNumberingAfterBreak="0">
    <w:nsid w:val="2B761B83"/>
    <w:multiLevelType w:val="multilevel"/>
    <w:tmpl w:val="B9628CDE"/>
    <w:lvl w:ilvl="0">
      <w:start w:val="1"/>
      <w:numFmt w:val="decimal"/>
      <w:lvlText w:val="%1."/>
      <w:lvlJc w:val="left"/>
      <w:pPr>
        <w:tabs>
          <w:tab w:val="num" w:pos="284"/>
        </w:tabs>
        <w:ind w:left="284" w:hanging="284"/>
      </w:pPr>
      <w:rPr>
        <w:rFonts w:ascii="Arial" w:hAnsi="Arial" w:hint="default"/>
        <w:sz w:val="22"/>
      </w:rPr>
    </w:lvl>
    <w:lvl w:ilvl="1">
      <w:start w:val="1"/>
      <w:numFmt w:val="lowerLetter"/>
      <w:lvlText w:val="%2."/>
      <w:lvlJc w:val="left"/>
      <w:pPr>
        <w:tabs>
          <w:tab w:val="num" w:pos="284"/>
        </w:tabs>
        <w:ind w:left="567" w:hanging="283"/>
      </w:pPr>
      <w:rPr>
        <w:rFonts w:hint="default"/>
      </w:rPr>
    </w:lvl>
    <w:lvl w:ilvl="2">
      <w:start w:val="1"/>
      <w:numFmt w:val="lowerRoman"/>
      <w:lvlText w:val="%3."/>
      <w:lvlJc w:val="left"/>
      <w:pPr>
        <w:tabs>
          <w:tab w:val="num" w:pos="284"/>
        </w:tabs>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DD45532"/>
    <w:multiLevelType w:val="multilevel"/>
    <w:tmpl w:val="B9628CDE"/>
    <w:lvl w:ilvl="0">
      <w:start w:val="1"/>
      <w:numFmt w:val="decimal"/>
      <w:lvlText w:val="%1."/>
      <w:lvlJc w:val="left"/>
      <w:pPr>
        <w:tabs>
          <w:tab w:val="num" w:pos="284"/>
        </w:tabs>
        <w:ind w:left="284" w:hanging="284"/>
      </w:pPr>
      <w:rPr>
        <w:rFonts w:ascii="Arial" w:hAnsi="Arial" w:hint="default"/>
        <w:sz w:val="22"/>
      </w:rPr>
    </w:lvl>
    <w:lvl w:ilvl="1">
      <w:start w:val="1"/>
      <w:numFmt w:val="lowerLetter"/>
      <w:lvlText w:val="%2."/>
      <w:lvlJc w:val="left"/>
      <w:pPr>
        <w:tabs>
          <w:tab w:val="num" w:pos="284"/>
        </w:tabs>
        <w:ind w:left="567" w:hanging="283"/>
      </w:pPr>
      <w:rPr>
        <w:rFonts w:hint="default"/>
      </w:rPr>
    </w:lvl>
    <w:lvl w:ilvl="2">
      <w:start w:val="1"/>
      <w:numFmt w:val="lowerRoman"/>
      <w:lvlText w:val="%3."/>
      <w:lvlJc w:val="left"/>
      <w:pPr>
        <w:tabs>
          <w:tab w:val="num" w:pos="284"/>
        </w:tabs>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17E73AD"/>
    <w:multiLevelType w:val="hybridMultilevel"/>
    <w:tmpl w:val="149ABE1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8682AB1"/>
    <w:multiLevelType w:val="multilevel"/>
    <w:tmpl w:val="A6EC3EA8"/>
    <w:lvl w:ilvl="0">
      <w:start w:val="1"/>
      <w:numFmt w:val="decim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425"/>
        </w:tabs>
        <w:ind w:left="851" w:hanging="426"/>
      </w:pPr>
      <w:rPr>
        <w:rFonts w:hint="default"/>
      </w:rPr>
    </w:lvl>
    <w:lvl w:ilvl="2">
      <w:start w:val="1"/>
      <w:numFmt w:val="lowerRoman"/>
      <w:lvlText w:val="%3."/>
      <w:lvlJc w:val="left"/>
      <w:pPr>
        <w:tabs>
          <w:tab w:val="num" w:pos="425"/>
        </w:tabs>
        <w:ind w:left="1559" w:hanging="7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1" w15:restartNumberingAfterBreak="0">
    <w:nsid w:val="4F0E183A"/>
    <w:multiLevelType w:val="multilevel"/>
    <w:tmpl w:val="2E5CF90A"/>
    <w:lvl w:ilvl="0">
      <w:start w:val="1"/>
      <w:numFmt w:val="decim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425"/>
        </w:tabs>
        <w:ind w:left="851" w:hanging="426"/>
      </w:pPr>
      <w:rPr>
        <w:rFonts w:hint="default"/>
      </w:rPr>
    </w:lvl>
    <w:lvl w:ilvl="2">
      <w:start w:val="1"/>
      <w:numFmt w:val="lowerRoman"/>
      <w:lvlText w:val="%3."/>
      <w:lvlJc w:val="left"/>
      <w:pPr>
        <w:tabs>
          <w:tab w:val="num" w:pos="425"/>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2" w15:restartNumberingAfterBreak="0">
    <w:nsid w:val="573B4377"/>
    <w:multiLevelType w:val="multilevel"/>
    <w:tmpl w:val="A19A14B6"/>
    <w:lvl w:ilvl="0">
      <w:start w:val="1"/>
      <w:numFmt w:val="decimal"/>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567"/>
        </w:tabs>
        <w:ind w:left="1134" w:hanging="567"/>
      </w:pPr>
      <w:rPr>
        <w:rFonts w:hint="default"/>
      </w:rPr>
    </w:lvl>
    <w:lvl w:ilvl="2">
      <w:start w:val="1"/>
      <w:numFmt w:val="lowerRoman"/>
      <w:lvlText w:val="%3."/>
      <w:lvlJc w:val="left"/>
      <w:pPr>
        <w:tabs>
          <w:tab w:val="num" w:pos="567"/>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3" w15:restartNumberingAfterBreak="0">
    <w:nsid w:val="5E9839DA"/>
    <w:multiLevelType w:val="multilevel"/>
    <w:tmpl w:val="C7AEE6D0"/>
    <w:lvl w:ilvl="0">
      <w:start w:val="1"/>
      <w:numFmt w:val="decimal"/>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567"/>
        </w:tabs>
        <w:ind w:left="1134" w:hanging="567"/>
      </w:pPr>
      <w:rPr>
        <w:rFonts w:hint="default"/>
      </w:rPr>
    </w:lvl>
    <w:lvl w:ilvl="2">
      <w:start w:val="1"/>
      <w:numFmt w:val="lowerRoman"/>
      <w:lvlText w:val="%3."/>
      <w:lvlJc w:val="left"/>
      <w:pPr>
        <w:tabs>
          <w:tab w:val="num" w:pos="567"/>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4" w15:restartNumberingAfterBreak="0">
    <w:nsid w:val="6B7E0EFA"/>
    <w:multiLevelType w:val="multilevel"/>
    <w:tmpl w:val="7A3EF7D2"/>
    <w:lvl w:ilvl="0">
      <w:start w:val="1"/>
      <w:numFmt w:val="decimal"/>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567"/>
        </w:tabs>
        <w:ind w:left="1134" w:hanging="567"/>
      </w:pPr>
      <w:rPr>
        <w:rFonts w:hint="default"/>
      </w:rPr>
    </w:lvl>
    <w:lvl w:ilvl="2">
      <w:start w:val="1"/>
      <w:numFmt w:val="lowerRoman"/>
      <w:lvlText w:val="%3."/>
      <w:lvlJc w:val="left"/>
      <w:pPr>
        <w:tabs>
          <w:tab w:val="num" w:pos="284"/>
        </w:tabs>
        <w:ind w:left="1418"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5" w15:restartNumberingAfterBreak="0">
    <w:nsid w:val="71C56D0D"/>
    <w:multiLevelType w:val="multilevel"/>
    <w:tmpl w:val="C532986A"/>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6" w15:restartNumberingAfterBreak="0">
    <w:nsid w:val="7A136AA2"/>
    <w:multiLevelType w:val="hybridMultilevel"/>
    <w:tmpl w:val="0B00657E"/>
    <w:lvl w:ilvl="0" w:tplc="1C148EE0">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7C5764CF"/>
    <w:multiLevelType w:val="multilevel"/>
    <w:tmpl w:val="AC6E9030"/>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abstractNum w:abstractNumId="18" w15:restartNumberingAfterBreak="0">
    <w:nsid w:val="7D307A05"/>
    <w:multiLevelType w:val="multilevel"/>
    <w:tmpl w:val="FD265AAA"/>
    <w:lvl w:ilvl="0">
      <w:start w:val="1"/>
      <w:numFmt w:val="decim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none"/>
      <w:lvlText w:val=""/>
      <w:lvlJc w:val="left"/>
      <w:pPr>
        <w:tabs>
          <w:tab w:val="num" w:pos="360"/>
        </w:tabs>
      </w:pPr>
    </w:lvl>
  </w:abstractNum>
  <w:num w:numId="1">
    <w:abstractNumId w:val="7"/>
  </w:num>
  <w:num w:numId="2">
    <w:abstractNumId w:val="4"/>
  </w:num>
  <w:num w:numId="3">
    <w:abstractNumId w:val="8"/>
  </w:num>
  <w:num w:numId="4">
    <w:abstractNumId w:val="2"/>
  </w:num>
  <w:num w:numId="5">
    <w:abstractNumId w:val="14"/>
  </w:num>
  <w:num w:numId="6">
    <w:abstractNumId w:val="12"/>
  </w:num>
  <w:num w:numId="7">
    <w:abstractNumId w:val="13"/>
  </w:num>
  <w:num w:numId="8">
    <w:abstractNumId w:val="10"/>
  </w:num>
  <w:num w:numId="9">
    <w:abstractNumId w:val="11"/>
  </w:num>
  <w:num w:numId="10">
    <w:abstractNumId w:val="16"/>
  </w:num>
  <w:num w:numId="11">
    <w:abstractNumId w:val="0"/>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6"/>
  </w:num>
  <w:num w:numId="19">
    <w:abstractNumId w:val="9"/>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dIrvJoJ7N7ByOjli6LtSZAWWon208EjqE9AkoamTqWLDDjS57P7HYW3C53Cx6CNVV0GT8rEouM/yUYBrxkapA==" w:salt="ecGrfmxIFIsdA1aQHaj5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33"/>
    <w:rsid w:val="000013AE"/>
    <w:rsid w:val="000064CB"/>
    <w:rsid w:val="000104AB"/>
    <w:rsid w:val="00010EEA"/>
    <w:rsid w:val="00014108"/>
    <w:rsid w:val="00015F34"/>
    <w:rsid w:val="00016480"/>
    <w:rsid w:val="0002150C"/>
    <w:rsid w:val="00022413"/>
    <w:rsid w:val="00022863"/>
    <w:rsid w:val="00023645"/>
    <w:rsid w:val="000264DF"/>
    <w:rsid w:val="000302C0"/>
    <w:rsid w:val="0003038E"/>
    <w:rsid w:val="000333C6"/>
    <w:rsid w:val="000347C5"/>
    <w:rsid w:val="00036330"/>
    <w:rsid w:val="000376B2"/>
    <w:rsid w:val="000377EF"/>
    <w:rsid w:val="000424F1"/>
    <w:rsid w:val="00042BC9"/>
    <w:rsid w:val="00045CCE"/>
    <w:rsid w:val="00046838"/>
    <w:rsid w:val="0005160E"/>
    <w:rsid w:val="00054E58"/>
    <w:rsid w:val="00055A15"/>
    <w:rsid w:val="00055F6E"/>
    <w:rsid w:val="000567BE"/>
    <w:rsid w:val="0005747B"/>
    <w:rsid w:val="00063A93"/>
    <w:rsid w:val="00063EAC"/>
    <w:rsid w:val="000678C1"/>
    <w:rsid w:val="00070001"/>
    <w:rsid w:val="00072080"/>
    <w:rsid w:val="00072AEC"/>
    <w:rsid w:val="000755D7"/>
    <w:rsid w:val="000765C5"/>
    <w:rsid w:val="00077814"/>
    <w:rsid w:val="00081963"/>
    <w:rsid w:val="00081984"/>
    <w:rsid w:val="00083B38"/>
    <w:rsid w:val="000917B2"/>
    <w:rsid w:val="00091A42"/>
    <w:rsid w:val="00092A40"/>
    <w:rsid w:val="00094167"/>
    <w:rsid w:val="00094D2B"/>
    <w:rsid w:val="00096701"/>
    <w:rsid w:val="000968BE"/>
    <w:rsid w:val="000A058E"/>
    <w:rsid w:val="000A1192"/>
    <w:rsid w:val="000A1789"/>
    <w:rsid w:val="000A215C"/>
    <w:rsid w:val="000A57FE"/>
    <w:rsid w:val="000A5BAB"/>
    <w:rsid w:val="000A5FAF"/>
    <w:rsid w:val="000A7ABD"/>
    <w:rsid w:val="000B1FE4"/>
    <w:rsid w:val="000B3B6C"/>
    <w:rsid w:val="000B4515"/>
    <w:rsid w:val="000B75F2"/>
    <w:rsid w:val="000C0288"/>
    <w:rsid w:val="000C0DCC"/>
    <w:rsid w:val="000C0DD5"/>
    <w:rsid w:val="000C1DD2"/>
    <w:rsid w:val="000C2C04"/>
    <w:rsid w:val="000C3AD0"/>
    <w:rsid w:val="000C5DAB"/>
    <w:rsid w:val="000D21B9"/>
    <w:rsid w:val="000D4683"/>
    <w:rsid w:val="000D5D05"/>
    <w:rsid w:val="000D760C"/>
    <w:rsid w:val="000E26E6"/>
    <w:rsid w:val="000E4D8E"/>
    <w:rsid w:val="000F0D08"/>
    <w:rsid w:val="000F2391"/>
    <w:rsid w:val="000F59E6"/>
    <w:rsid w:val="000F7515"/>
    <w:rsid w:val="00103A2C"/>
    <w:rsid w:val="00112237"/>
    <w:rsid w:val="001138AC"/>
    <w:rsid w:val="001171EA"/>
    <w:rsid w:val="00117E21"/>
    <w:rsid w:val="00117F5D"/>
    <w:rsid w:val="00120400"/>
    <w:rsid w:val="0012101B"/>
    <w:rsid w:val="00122826"/>
    <w:rsid w:val="001241D0"/>
    <w:rsid w:val="0012610A"/>
    <w:rsid w:val="001271FF"/>
    <w:rsid w:val="0013250A"/>
    <w:rsid w:val="00134634"/>
    <w:rsid w:val="00135C96"/>
    <w:rsid w:val="001364CD"/>
    <w:rsid w:val="00137C16"/>
    <w:rsid w:val="00140472"/>
    <w:rsid w:val="001407E2"/>
    <w:rsid w:val="001422DD"/>
    <w:rsid w:val="00144A4F"/>
    <w:rsid w:val="00145D9D"/>
    <w:rsid w:val="0014622F"/>
    <w:rsid w:val="001521B6"/>
    <w:rsid w:val="00152AAD"/>
    <w:rsid w:val="00153959"/>
    <w:rsid w:val="00153B9F"/>
    <w:rsid w:val="00153D5C"/>
    <w:rsid w:val="001545F9"/>
    <w:rsid w:val="001579C2"/>
    <w:rsid w:val="00160881"/>
    <w:rsid w:val="0016262C"/>
    <w:rsid w:val="00164258"/>
    <w:rsid w:val="00164A3A"/>
    <w:rsid w:val="00166509"/>
    <w:rsid w:val="00176573"/>
    <w:rsid w:val="00177A67"/>
    <w:rsid w:val="0018095D"/>
    <w:rsid w:val="0018229E"/>
    <w:rsid w:val="00184056"/>
    <w:rsid w:val="001847CF"/>
    <w:rsid w:val="00184984"/>
    <w:rsid w:val="00187674"/>
    <w:rsid w:val="00192F6F"/>
    <w:rsid w:val="001954EB"/>
    <w:rsid w:val="00196A92"/>
    <w:rsid w:val="0019771F"/>
    <w:rsid w:val="00197821"/>
    <w:rsid w:val="001A0478"/>
    <w:rsid w:val="001A107E"/>
    <w:rsid w:val="001A3455"/>
    <w:rsid w:val="001A6196"/>
    <w:rsid w:val="001B1843"/>
    <w:rsid w:val="001B7AC7"/>
    <w:rsid w:val="001C4033"/>
    <w:rsid w:val="001C422C"/>
    <w:rsid w:val="001C4568"/>
    <w:rsid w:val="001D201F"/>
    <w:rsid w:val="001D27E9"/>
    <w:rsid w:val="001D4089"/>
    <w:rsid w:val="001D5A9F"/>
    <w:rsid w:val="001D6742"/>
    <w:rsid w:val="001D69E9"/>
    <w:rsid w:val="001E2235"/>
    <w:rsid w:val="001E27EB"/>
    <w:rsid w:val="001E3578"/>
    <w:rsid w:val="001E6135"/>
    <w:rsid w:val="001E687A"/>
    <w:rsid w:val="001F17D1"/>
    <w:rsid w:val="001F2C70"/>
    <w:rsid w:val="001F4991"/>
    <w:rsid w:val="001F5273"/>
    <w:rsid w:val="001F60FE"/>
    <w:rsid w:val="001F6B23"/>
    <w:rsid w:val="001F7B6E"/>
    <w:rsid w:val="00200935"/>
    <w:rsid w:val="0020232B"/>
    <w:rsid w:val="002034B5"/>
    <w:rsid w:val="00203889"/>
    <w:rsid w:val="00204372"/>
    <w:rsid w:val="00207E37"/>
    <w:rsid w:val="00210625"/>
    <w:rsid w:val="00210686"/>
    <w:rsid w:val="002115E6"/>
    <w:rsid w:val="00211ADE"/>
    <w:rsid w:val="002133AD"/>
    <w:rsid w:val="00214323"/>
    <w:rsid w:val="00215A9D"/>
    <w:rsid w:val="00220E1E"/>
    <w:rsid w:val="00221114"/>
    <w:rsid w:val="00221D75"/>
    <w:rsid w:val="0022361B"/>
    <w:rsid w:val="00224644"/>
    <w:rsid w:val="0022584E"/>
    <w:rsid w:val="002306CE"/>
    <w:rsid w:val="0023083D"/>
    <w:rsid w:val="00232222"/>
    <w:rsid w:val="00232880"/>
    <w:rsid w:val="00233DBD"/>
    <w:rsid w:val="002360E1"/>
    <w:rsid w:val="002374AC"/>
    <w:rsid w:val="00237B7C"/>
    <w:rsid w:val="00242910"/>
    <w:rsid w:val="002430F6"/>
    <w:rsid w:val="002440CC"/>
    <w:rsid w:val="002466CE"/>
    <w:rsid w:val="002524C0"/>
    <w:rsid w:val="002526A8"/>
    <w:rsid w:val="0025288C"/>
    <w:rsid w:val="00252EA3"/>
    <w:rsid w:val="0025439F"/>
    <w:rsid w:val="002545A4"/>
    <w:rsid w:val="002548C6"/>
    <w:rsid w:val="002555DE"/>
    <w:rsid w:val="002568B6"/>
    <w:rsid w:val="002705DD"/>
    <w:rsid w:val="00271740"/>
    <w:rsid w:val="0027428E"/>
    <w:rsid w:val="0027710E"/>
    <w:rsid w:val="00281F18"/>
    <w:rsid w:val="002863EF"/>
    <w:rsid w:val="00294F9E"/>
    <w:rsid w:val="00295BEF"/>
    <w:rsid w:val="00296CA1"/>
    <w:rsid w:val="002970BF"/>
    <w:rsid w:val="00297CD4"/>
    <w:rsid w:val="00297E74"/>
    <w:rsid w:val="002A031D"/>
    <w:rsid w:val="002A03A5"/>
    <w:rsid w:val="002A3775"/>
    <w:rsid w:val="002A5567"/>
    <w:rsid w:val="002A5623"/>
    <w:rsid w:val="002A5B03"/>
    <w:rsid w:val="002A75C6"/>
    <w:rsid w:val="002A7D1F"/>
    <w:rsid w:val="002B08E1"/>
    <w:rsid w:val="002B1738"/>
    <w:rsid w:val="002B313B"/>
    <w:rsid w:val="002B3A07"/>
    <w:rsid w:val="002B6D21"/>
    <w:rsid w:val="002B6F74"/>
    <w:rsid w:val="002C0386"/>
    <w:rsid w:val="002C0A19"/>
    <w:rsid w:val="002C10C3"/>
    <w:rsid w:val="002C1DA7"/>
    <w:rsid w:val="002C267D"/>
    <w:rsid w:val="002C3419"/>
    <w:rsid w:val="002D083F"/>
    <w:rsid w:val="002D4686"/>
    <w:rsid w:val="002D6B9D"/>
    <w:rsid w:val="002D7B81"/>
    <w:rsid w:val="002E0369"/>
    <w:rsid w:val="002E085B"/>
    <w:rsid w:val="002E1CE1"/>
    <w:rsid w:val="002E4B64"/>
    <w:rsid w:val="002F0035"/>
    <w:rsid w:val="00303230"/>
    <w:rsid w:val="00303D64"/>
    <w:rsid w:val="00304E5C"/>
    <w:rsid w:val="00307F79"/>
    <w:rsid w:val="00313855"/>
    <w:rsid w:val="00314B99"/>
    <w:rsid w:val="00314C98"/>
    <w:rsid w:val="00314E75"/>
    <w:rsid w:val="00323FDD"/>
    <w:rsid w:val="00324DA5"/>
    <w:rsid w:val="00326283"/>
    <w:rsid w:val="00327C11"/>
    <w:rsid w:val="00330CA3"/>
    <w:rsid w:val="00332D45"/>
    <w:rsid w:val="00332DC7"/>
    <w:rsid w:val="00340212"/>
    <w:rsid w:val="00343BDF"/>
    <w:rsid w:val="003455BA"/>
    <w:rsid w:val="003458E7"/>
    <w:rsid w:val="00350C52"/>
    <w:rsid w:val="00350DA3"/>
    <w:rsid w:val="0035373D"/>
    <w:rsid w:val="00353DE7"/>
    <w:rsid w:val="00354185"/>
    <w:rsid w:val="00354627"/>
    <w:rsid w:val="00354C90"/>
    <w:rsid w:val="00355AD3"/>
    <w:rsid w:val="003566B4"/>
    <w:rsid w:val="00360600"/>
    <w:rsid w:val="003625CD"/>
    <w:rsid w:val="003641DB"/>
    <w:rsid w:val="00365875"/>
    <w:rsid w:val="003659AD"/>
    <w:rsid w:val="00367796"/>
    <w:rsid w:val="00371470"/>
    <w:rsid w:val="00371523"/>
    <w:rsid w:val="003718AF"/>
    <w:rsid w:val="00371DC6"/>
    <w:rsid w:val="00371E1A"/>
    <w:rsid w:val="00377715"/>
    <w:rsid w:val="00377BBA"/>
    <w:rsid w:val="003844B3"/>
    <w:rsid w:val="00385103"/>
    <w:rsid w:val="00386424"/>
    <w:rsid w:val="00386D5A"/>
    <w:rsid w:val="0038749B"/>
    <w:rsid w:val="00392EE5"/>
    <w:rsid w:val="00393DD6"/>
    <w:rsid w:val="00394D70"/>
    <w:rsid w:val="003954E2"/>
    <w:rsid w:val="0039737A"/>
    <w:rsid w:val="003A42BA"/>
    <w:rsid w:val="003A4595"/>
    <w:rsid w:val="003A525E"/>
    <w:rsid w:val="003A7455"/>
    <w:rsid w:val="003B21D5"/>
    <w:rsid w:val="003B4A50"/>
    <w:rsid w:val="003B4C4C"/>
    <w:rsid w:val="003B680A"/>
    <w:rsid w:val="003C1073"/>
    <w:rsid w:val="003C2BD2"/>
    <w:rsid w:val="003C331B"/>
    <w:rsid w:val="003C48B0"/>
    <w:rsid w:val="003C6832"/>
    <w:rsid w:val="003D0099"/>
    <w:rsid w:val="003D0F41"/>
    <w:rsid w:val="003D26A8"/>
    <w:rsid w:val="003D3D24"/>
    <w:rsid w:val="003D400C"/>
    <w:rsid w:val="003D5245"/>
    <w:rsid w:val="003E148D"/>
    <w:rsid w:val="003E23F6"/>
    <w:rsid w:val="003E2D74"/>
    <w:rsid w:val="003E46BC"/>
    <w:rsid w:val="003E5274"/>
    <w:rsid w:val="003E62DE"/>
    <w:rsid w:val="003E67A6"/>
    <w:rsid w:val="003F5E2C"/>
    <w:rsid w:val="003F70DD"/>
    <w:rsid w:val="003F7195"/>
    <w:rsid w:val="003F73D3"/>
    <w:rsid w:val="003F7433"/>
    <w:rsid w:val="003F7BDE"/>
    <w:rsid w:val="00401797"/>
    <w:rsid w:val="00401F0A"/>
    <w:rsid w:val="004050CF"/>
    <w:rsid w:val="004057EA"/>
    <w:rsid w:val="0041111B"/>
    <w:rsid w:val="004124F6"/>
    <w:rsid w:val="00412F76"/>
    <w:rsid w:val="004130A1"/>
    <w:rsid w:val="0041454C"/>
    <w:rsid w:val="00415DBB"/>
    <w:rsid w:val="0041637D"/>
    <w:rsid w:val="00416ACB"/>
    <w:rsid w:val="00416ACC"/>
    <w:rsid w:val="00420BA2"/>
    <w:rsid w:val="00424DCE"/>
    <w:rsid w:val="004302A2"/>
    <w:rsid w:val="00430725"/>
    <w:rsid w:val="00431E0A"/>
    <w:rsid w:val="00432945"/>
    <w:rsid w:val="00434F1E"/>
    <w:rsid w:val="004362E6"/>
    <w:rsid w:val="004379BA"/>
    <w:rsid w:val="004379E6"/>
    <w:rsid w:val="00442F3C"/>
    <w:rsid w:val="004446C4"/>
    <w:rsid w:val="0045299A"/>
    <w:rsid w:val="0045306F"/>
    <w:rsid w:val="0045415A"/>
    <w:rsid w:val="0045697A"/>
    <w:rsid w:val="00456CDA"/>
    <w:rsid w:val="00456ED3"/>
    <w:rsid w:val="004572A6"/>
    <w:rsid w:val="00461243"/>
    <w:rsid w:val="00462D84"/>
    <w:rsid w:val="0046336D"/>
    <w:rsid w:val="00463743"/>
    <w:rsid w:val="00463FAF"/>
    <w:rsid w:val="004646F7"/>
    <w:rsid w:val="00464987"/>
    <w:rsid w:val="00465AB2"/>
    <w:rsid w:val="00465B24"/>
    <w:rsid w:val="00466FB5"/>
    <w:rsid w:val="00470036"/>
    <w:rsid w:val="004707BC"/>
    <w:rsid w:val="004726D4"/>
    <w:rsid w:val="00473F14"/>
    <w:rsid w:val="004742EA"/>
    <w:rsid w:val="004743B6"/>
    <w:rsid w:val="00474877"/>
    <w:rsid w:val="00474B80"/>
    <w:rsid w:val="00476314"/>
    <w:rsid w:val="00481F7B"/>
    <w:rsid w:val="00482184"/>
    <w:rsid w:val="00482C30"/>
    <w:rsid w:val="00483F1F"/>
    <w:rsid w:val="00490396"/>
    <w:rsid w:val="0049040E"/>
    <w:rsid w:val="004909A0"/>
    <w:rsid w:val="00492379"/>
    <w:rsid w:val="004941E5"/>
    <w:rsid w:val="00494D6F"/>
    <w:rsid w:val="004A0370"/>
    <w:rsid w:val="004A0B66"/>
    <w:rsid w:val="004A5CE6"/>
    <w:rsid w:val="004A60E1"/>
    <w:rsid w:val="004B003D"/>
    <w:rsid w:val="004B2903"/>
    <w:rsid w:val="004B39EB"/>
    <w:rsid w:val="004B4B9D"/>
    <w:rsid w:val="004C12DE"/>
    <w:rsid w:val="004C5782"/>
    <w:rsid w:val="004C5891"/>
    <w:rsid w:val="004C5896"/>
    <w:rsid w:val="004C6027"/>
    <w:rsid w:val="004D06FC"/>
    <w:rsid w:val="004D3B44"/>
    <w:rsid w:val="004D6017"/>
    <w:rsid w:val="004E09CA"/>
    <w:rsid w:val="004E391B"/>
    <w:rsid w:val="004E502F"/>
    <w:rsid w:val="004E5F24"/>
    <w:rsid w:val="004E69E8"/>
    <w:rsid w:val="004F103E"/>
    <w:rsid w:val="00500BE6"/>
    <w:rsid w:val="0050534D"/>
    <w:rsid w:val="00507882"/>
    <w:rsid w:val="00514494"/>
    <w:rsid w:val="00516D27"/>
    <w:rsid w:val="00517382"/>
    <w:rsid w:val="005205CA"/>
    <w:rsid w:val="00520F76"/>
    <w:rsid w:val="00522191"/>
    <w:rsid w:val="00524B00"/>
    <w:rsid w:val="00525881"/>
    <w:rsid w:val="0052614B"/>
    <w:rsid w:val="0052675D"/>
    <w:rsid w:val="0052696D"/>
    <w:rsid w:val="005269C2"/>
    <w:rsid w:val="00526B7A"/>
    <w:rsid w:val="00527D87"/>
    <w:rsid w:val="00530165"/>
    <w:rsid w:val="005302CE"/>
    <w:rsid w:val="00532754"/>
    <w:rsid w:val="00533E90"/>
    <w:rsid w:val="00536F37"/>
    <w:rsid w:val="005400EA"/>
    <w:rsid w:val="005407B6"/>
    <w:rsid w:val="00541433"/>
    <w:rsid w:val="005419BC"/>
    <w:rsid w:val="005428F8"/>
    <w:rsid w:val="00542966"/>
    <w:rsid w:val="00545CE3"/>
    <w:rsid w:val="005475C0"/>
    <w:rsid w:val="00547681"/>
    <w:rsid w:val="00550ADB"/>
    <w:rsid w:val="00551CBC"/>
    <w:rsid w:val="00555249"/>
    <w:rsid w:val="005574EB"/>
    <w:rsid w:val="005617C2"/>
    <w:rsid w:val="0056224B"/>
    <w:rsid w:val="005628C3"/>
    <w:rsid w:val="00563D4E"/>
    <w:rsid w:val="00566890"/>
    <w:rsid w:val="005707AB"/>
    <w:rsid w:val="00572867"/>
    <w:rsid w:val="00573A16"/>
    <w:rsid w:val="00573E7C"/>
    <w:rsid w:val="0057616E"/>
    <w:rsid w:val="0058140E"/>
    <w:rsid w:val="005815BF"/>
    <w:rsid w:val="00581D64"/>
    <w:rsid w:val="00582D7B"/>
    <w:rsid w:val="005855C5"/>
    <w:rsid w:val="0058646E"/>
    <w:rsid w:val="00587446"/>
    <w:rsid w:val="00596353"/>
    <w:rsid w:val="00596B7E"/>
    <w:rsid w:val="005A0101"/>
    <w:rsid w:val="005A1176"/>
    <w:rsid w:val="005A3FB8"/>
    <w:rsid w:val="005A6A98"/>
    <w:rsid w:val="005A6EAB"/>
    <w:rsid w:val="005B03D6"/>
    <w:rsid w:val="005B2D01"/>
    <w:rsid w:val="005B3B6D"/>
    <w:rsid w:val="005B419B"/>
    <w:rsid w:val="005B43D5"/>
    <w:rsid w:val="005B4B9A"/>
    <w:rsid w:val="005C0060"/>
    <w:rsid w:val="005C56F3"/>
    <w:rsid w:val="005C5E02"/>
    <w:rsid w:val="005D0992"/>
    <w:rsid w:val="005D1591"/>
    <w:rsid w:val="005D4468"/>
    <w:rsid w:val="005D54FC"/>
    <w:rsid w:val="005D6184"/>
    <w:rsid w:val="005E0BFC"/>
    <w:rsid w:val="005E5A0B"/>
    <w:rsid w:val="005E5E41"/>
    <w:rsid w:val="005F21D9"/>
    <w:rsid w:val="005F2E81"/>
    <w:rsid w:val="005F77D0"/>
    <w:rsid w:val="00601052"/>
    <w:rsid w:val="00601923"/>
    <w:rsid w:val="006023B8"/>
    <w:rsid w:val="00602715"/>
    <w:rsid w:val="0060284F"/>
    <w:rsid w:val="00605813"/>
    <w:rsid w:val="00605CAB"/>
    <w:rsid w:val="006102F8"/>
    <w:rsid w:val="00612FBB"/>
    <w:rsid w:val="0061625F"/>
    <w:rsid w:val="006169C2"/>
    <w:rsid w:val="006226DC"/>
    <w:rsid w:val="00623756"/>
    <w:rsid w:val="006248B1"/>
    <w:rsid w:val="00624CDA"/>
    <w:rsid w:val="00626B28"/>
    <w:rsid w:val="00630FFB"/>
    <w:rsid w:val="00632A1A"/>
    <w:rsid w:val="00633964"/>
    <w:rsid w:val="00634B53"/>
    <w:rsid w:val="00635A2E"/>
    <w:rsid w:val="00635C62"/>
    <w:rsid w:val="00635F78"/>
    <w:rsid w:val="00645230"/>
    <w:rsid w:val="00645F0D"/>
    <w:rsid w:val="006501B7"/>
    <w:rsid w:val="0065068C"/>
    <w:rsid w:val="00654280"/>
    <w:rsid w:val="00654FE1"/>
    <w:rsid w:val="006552F7"/>
    <w:rsid w:val="00655B85"/>
    <w:rsid w:val="006575EA"/>
    <w:rsid w:val="00663A0C"/>
    <w:rsid w:val="0066709F"/>
    <w:rsid w:val="00671205"/>
    <w:rsid w:val="00672E53"/>
    <w:rsid w:val="00680808"/>
    <w:rsid w:val="00681928"/>
    <w:rsid w:val="00682ABF"/>
    <w:rsid w:val="006831AE"/>
    <w:rsid w:val="0069461E"/>
    <w:rsid w:val="00696320"/>
    <w:rsid w:val="006A1D3D"/>
    <w:rsid w:val="006A21A5"/>
    <w:rsid w:val="006A356D"/>
    <w:rsid w:val="006A767F"/>
    <w:rsid w:val="006A7A4D"/>
    <w:rsid w:val="006B002A"/>
    <w:rsid w:val="006B0776"/>
    <w:rsid w:val="006B19DB"/>
    <w:rsid w:val="006B3D13"/>
    <w:rsid w:val="006B455C"/>
    <w:rsid w:val="006B605D"/>
    <w:rsid w:val="006B6FB1"/>
    <w:rsid w:val="006B767A"/>
    <w:rsid w:val="006B7698"/>
    <w:rsid w:val="006C05D0"/>
    <w:rsid w:val="006C1229"/>
    <w:rsid w:val="006C12B1"/>
    <w:rsid w:val="006C338F"/>
    <w:rsid w:val="006C360A"/>
    <w:rsid w:val="006C49CB"/>
    <w:rsid w:val="006C7B8B"/>
    <w:rsid w:val="006D0C05"/>
    <w:rsid w:val="006D18EE"/>
    <w:rsid w:val="006D1FDB"/>
    <w:rsid w:val="006D34E1"/>
    <w:rsid w:val="006D7D4A"/>
    <w:rsid w:val="006E03DB"/>
    <w:rsid w:val="006E0735"/>
    <w:rsid w:val="006E32F6"/>
    <w:rsid w:val="006E3A88"/>
    <w:rsid w:val="006E3BD0"/>
    <w:rsid w:val="006E3FC6"/>
    <w:rsid w:val="006E58B0"/>
    <w:rsid w:val="006E79AA"/>
    <w:rsid w:val="006F1AB6"/>
    <w:rsid w:val="006F56AA"/>
    <w:rsid w:val="006F5C85"/>
    <w:rsid w:val="006F7FCD"/>
    <w:rsid w:val="00700C9F"/>
    <w:rsid w:val="00703666"/>
    <w:rsid w:val="0070555C"/>
    <w:rsid w:val="0070603B"/>
    <w:rsid w:val="00706F00"/>
    <w:rsid w:val="00707ED9"/>
    <w:rsid w:val="00712D04"/>
    <w:rsid w:val="00724967"/>
    <w:rsid w:val="00731530"/>
    <w:rsid w:val="00736DB7"/>
    <w:rsid w:val="00737EDB"/>
    <w:rsid w:val="00743ED9"/>
    <w:rsid w:val="0074419C"/>
    <w:rsid w:val="007445E4"/>
    <w:rsid w:val="00745A7C"/>
    <w:rsid w:val="00745F50"/>
    <w:rsid w:val="007501B1"/>
    <w:rsid w:val="0075176D"/>
    <w:rsid w:val="0075179B"/>
    <w:rsid w:val="00753E2E"/>
    <w:rsid w:val="00754D3C"/>
    <w:rsid w:val="007553B7"/>
    <w:rsid w:val="00755BFC"/>
    <w:rsid w:val="007572CE"/>
    <w:rsid w:val="00757465"/>
    <w:rsid w:val="00761932"/>
    <w:rsid w:val="00761935"/>
    <w:rsid w:val="00762067"/>
    <w:rsid w:val="00762918"/>
    <w:rsid w:val="00762969"/>
    <w:rsid w:val="00767E45"/>
    <w:rsid w:val="00767EC1"/>
    <w:rsid w:val="007719DE"/>
    <w:rsid w:val="007735E7"/>
    <w:rsid w:val="00773B36"/>
    <w:rsid w:val="00774B33"/>
    <w:rsid w:val="00777491"/>
    <w:rsid w:val="00780551"/>
    <w:rsid w:val="00780F8C"/>
    <w:rsid w:val="007813CE"/>
    <w:rsid w:val="007817A1"/>
    <w:rsid w:val="007819CB"/>
    <w:rsid w:val="007829AE"/>
    <w:rsid w:val="00784821"/>
    <w:rsid w:val="00784A94"/>
    <w:rsid w:val="007851E7"/>
    <w:rsid w:val="00787076"/>
    <w:rsid w:val="00791ACA"/>
    <w:rsid w:val="00797A22"/>
    <w:rsid w:val="007A07E8"/>
    <w:rsid w:val="007A180C"/>
    <w:rsid w:val="007A330B"/>
    <w:rsid w:val="007A4F88"/>
    <w:rsid w:val="007A4FB4"/>
    <w:rsid w:val="007A553D"/>
    <w:rsid w:val="007A77DC"/>
    <w:rsid w:val="007B02D7"/>
    <w:rsid w:val="007B1307"/>
    <w:rsid w:val="007B49F8"/>
    <w:rsid w:val="007B51DD"/>
    <w:rsid w:val="007B791E"/>
    <w:rsid w:val="007B7CC0"/>
    <w:rsid w:val="007C0E96"/>
    <w:rsid w:val="007C1D40"/>
    <w:rsid w:val="007C3AAA"/>
    <w:rsid w:val="007C4B87"/>
    <w:rsid w:val="007C62CA"/>
    <w:rsid w:val="007C71F4"/>
    <w:rsid w:val="007D290F"/>
    <w:rsid w:val="007D34CA"/>
    <w:rsid w:val="007D3C81"/>
    <w:rsid w:val="007D40A4"/>
    <w:rsid w:val="007D4B72"/>
    <w:rsid w:val="007D4D03"/>
    <w:rsid w:val="007D7071"/>
    <w:rsid w:val="007E4470"/>
    <w:rsid w:val="007E6321"/>
    <w:rsid w:val="007E66D1"/>
    <w:rsid w:val="007E6726"/>
    <w:rsid w:val="007F0790"/>
    <w:rsid w:val="007F10F3"/>
    <w:rsid w:val="007F23CE"/>
    <w:rsid w:val="007F3D47"/>
    <w:rsid w:val="007F4542"/>
    <w:rsid w:val="007F458D"/>
    <w:rsid w:val="007F5FDB"/>
    <w:rsid w:val="007F658A"/>
    <w:rsid w:val="007F78D8"/>
    <w:rsid w:val="008049A2"/>
    <w:rsid w:val="00807A6B"/>
    <w:rsid w:val="00807DD2"/>
    <w:rsid w:val="0081131C"/>
    <w:rsid w:val="00813FFE"/>
    <w:rsid w:val="0082162A"/>
    <w:rsid w:val="00821BA6"/>
    <w:rsid w:val="00824BAA"/>
    <w:rsid w:val="00824DF7"/>
    <w:rsid w:val="00825ABF"/>
    <w:rsid w:val="00827041"/>
    <w:rsid w:val="00827A50"/>
    <w:rsid w:val="00831D54"/>
    <w:rsid w:val="008323D0"/>
    <w:rsid w:val="00832DC1"/>
    <w:rsid w:val="008336A8"/>
    <w:rsid w:val="0083750A"/>
    <w:rsid w:val="0084462A"/>
    <w:rsid w:val="00850130"/>
    <w:rsid w:val="00851D5B"/>
    <w:rsid w:val="008525BF"/>
    <w:rsid w:val="00854345"/>
    <w:rsid w:val="008552BE"/>
    <w:rsid w:val="00855C7A"/>
    <w:rsid w:val="00855DA8"/>
    <w:rsid w:val="00856301"/>
    <w:rsid w:val="008571F7"/>
    <w:rsid w:val="008618DE"/>
    <w:rsid w:val="00862E28"/>
    <w:rsid w:val="008642D5"/>
    <w:rsid w:val="00865384"/>
    <w:rsid w:val="00865E0D"/>
    <w:rsid w:val="00866773"/>
    <w:rsid w:val="00866915"/>
    <w:rsid w:val="00874692"/>
    <w:rsid w:val="00874C6C"/>
    <w:rsid w:val="00875635"/>
    <w:rsid w:val="0087766B"/>
    <w:rsid w:val="00880CC9"/>
    <w:rsid w:val="0088327C"/>
    <w:rsid w:val="00885B5E"/>
    <w:rsid w:val="0088762D"/>
    <w:rsid w:val="008877ED"/>
    <w:rsid w:val="00890DB6"/>
    <w:rsid w:val="008933D8"/>
    <w:rsid w:val="008A0085"/>
    <w:rsid w:val="008A0833"/>
    <w:rsid w:val="008A0912"/>
    <w:rsid w:val="008A0DC2"/>
    <w:rsid w:val="008A2519"/>
    <w:rsid w:val="008A3E60"/>
    <w:rsid w:val="008A43A5"/>
    <w:rsid w:val="008A48AB"/>
    <w:rsid w:val="008A4CD1"/>
    <w:rsid w:val="008A7265"/>
    <w:rsid w:val="008A7D39"/>
    <w:rsid w:val="008B103D"/>
    <w:rsid w:val="008B23E9"/>
    <w:rsid w:val="008B3039"/>
    <w:rsid w:val="008B3BD4"/>
    <w:rsid w:val="008B5328"/>
    <w:rsid w:val="008C06EA"/>
    <w:rsid w:val="008C1207"/>
    <w:rsid w:val="008C3763"/>
    <w:rsid w:val="008D038F"/>
    <w:rsid w:val="008D0BA9"/>
    <w:rsid w:val="008D5BB0"/>
    <w:rsid w:val="008D602E"/>
    <w:rsid w:val="008D7117"/>
    <w:rsid w:val="008E1DC7"/>
    <w:rsid w:val="008E3701"/>
    <w:rsid w:val="008E5AC0"/>
    <w:rsid w:val="008E6035"/>
    <w:rsid w:val="008F036F"/>
    <w:rsid w:val="008F2A38"/>
    <w:rsid w:val="008F3E64"/>
    <w:rsid w:val="008F4443"/>
    <w:rsid w:val="008F5DAC"/>
    <w:rsid w:val="008F6075"/>
    <w:rsid w:val="008F7654"/>
    <w:rsid w:val="0090131A"/>
    <w:rsid w:val="00901D3A"/>
    <w:rsid w:val="00902884"/>
    <w:rsid w:val="00903557"/>
    <w:rsid w:val="00903EAE"/>
    <w:rsid w:val="009069DD"/>
    <w:rsid w:val="0091589D"/>
    <w:rsid w:val="00922106"/>
    <w:rsid w:val="009312EE"/>
    <w:rsid w:val="00931A46"/>
    <w:rsid w:val="00933E57"/>
    <w:rsid w:val="009342C0"/>
    <w:rsid w:val="00944373"/>
    <w:rsid w:val="00944463"/>
    <w:rsid w:val="0094548B"/>
    <w:rsid w:val="00947358"/>
    <w:rsid w:val="00951504"/>
    <w:rsid w:val="009522DC"/>
    <w:rsid w:val="00955AC5"/>
    <w:rsid w:val="00955E36"/>
    <w:rsid w:val="00956834"/>
    <w:rsid w:val="0096299F"/>
    <w:rsid w:val="00964D30"/>
    <w:rsid w:val="00966B8B"/>
    <w:rsid w:val="009716E7"/>
    <w:rsid w:val="00971B1A"/>
    <w:rsid w:val="00971EEF"/>
    <w:rsid w:val="00972562"/>
    <w:rsid w:val="0097383F"/>
    <w:rsid w:val="00973A6F"/>
    <w:rsid w:val="00981A37"/>
    <w:rsid w:val="00981DD0"/>
    <w:rsid w:val="0098495F"/>
    <w:rsid w:val="00984A61"/>
    <w:rsid w:val="00990CCE"/>
    <w:rsid w:val="009912B8"/>
    <w:rsid w:val="00993121"/>
    <w:rsid w:val="0099370B"/>
    <w:rsid w:val="00997911"/>
    <w:rsid w:val="009A2853"/>
    <w:rsid w:val="009A3A0A"/>
    <w:rsid w:val="009A4C0F"/>
    <w:rsid w:val="009A5957"/>
    <w:rsid w:val="009A5B4C"/>
    <w:rsid w:val="009A635D"/>
    <w:rsid w:val="009A75A0"/>
    <w:rsid w:val="009B08B2"/>
    <w:rsid w:val="009B13A1"/>
    <w:rsid w:val="009B1546"/>
    <w:rsid w:val="009B1644"/>
    <w:rsid w:val="009B397D"/>
    <w:rsid w:val="009C414E"/>
    <w:rsid w:val="009C6AC5"/>
    <w:rsid w:val="009D0425"/>
    <w:rsid w:val="009D1CC1"/>
    <w:rsid w:val="009D385D"/>
    <w:rsid w:val="009D5D56"/>
    <w:rsid w:val="009D5DA2"/>
    <w:rsid w:val="009E0273"/>
    <w:rsid w:val="009E1CE4"/>
    <w:rsid w:val="009E2103"/>
    <w:rsid w:val="009E21DC"/>
    <w:rsid w:val="009E6BC3"/>
    <w:rsid w:val="009E7450"/>
    <w:rsid w:val="009F13A9"/>
    <w:rsid w:val="009F259B"/>
    <w:rsid w:val="009F372D"/>
    <w:rsid w:val="009F3A74"/>
    <w:rsid w:val="009F48CB"/>
    <w:rsid w:val="009F5A99"/>
    <w:rsid w:val="009F6DAD"/>
    <w:rsid w:val="009F759A"/>
    <w:rsid w:val="00A00C96"/>
    <w:rsid w:val="00A00F49"/>
    <w:rsid w:val="00A00FF6"/>
    <w:rsid w:val="00A036F2"/>
    <w:rsid w:val="00A03DF6"/>
    <w:rsid w:val="00A06FB0"/>
    <w:rsid w:val="00A10398"/>
    <w:rsid w:val="00A10DB1"/>
    <w:rsid w:val="00A11DDC"/>
    <w:rsid w:val="00A16927"/>
    <w:rsid w:val="00A2194D"/>
    <w:rsid w:val="00A23E15"/>
    <w:rsid w:val="00A255CB"/>
    <w:rsid w:val="00A27062"/>
    <w:rsid w:val="00A271E9"/>
    <w:rsid w:val="00A30A6C"/>
    <w:rsid w:val="00A31DC6"/>
    <w:rsid w:val="00A341D7"/>
    <w:rsid w:val="00A34CA5"/>
    <w:rsid w:val="00A36699"/>
    <w:rsid w:val="00A401EE"/>
    <w:rsid w:val="00A45774"/>
    <w:rsid w:val="00A47EC0"/>
    <w:rsid w:val="00A537CF"/>
    <w:rsid w:val="00A5494C"/>
    <w:rsid w:val="00A55ECC"/>
    <w:rsid w:val="00A57A39"/>
    <w:rsid w:val="00A60570"/>
    <w:rsid w:val="00A607C8"/>
    <w:rsid w:val="00A608B1"/>
    <w:rsid w:val="00A632D3"/>
    <w:rsid w:val="00A63AB0"/>
    <w:rsid w:val="00A641DF"/>
    <w:rsid w:val="00A64887"/>
    <w:rsid w:val="00A64DD7"/>
    <w:rsid w:val="00A65BF5"/>
    <w:rsid w:val="00A7187B"/>
    <w:rsid w:val="00A728DB"/>
    <w:rsid w:val="00A73741"/>
    <w:rsid w:val="00A73C0C"/>
    <w:rsid w:val="00A749EA"/>
    <w:rsid w:val="00A7568F"/>
    <w:rsid w:val="00A8134F"/>
    <w:rsid w:val="00A81BDC"/>
    <w:rsid w:val="00A843C8"/>
    <w:rsid w:val="00A8454A"/>
    <w:rsid w:val="00A84B88"/>
    <w:rsid w:val="00A85010"/>
    <w:rsid w:val="00A92A33"/>
    <w:rsid w:val="00A94CD2"/>
    <w:rsid w:val="00A9513C"/>
    <w:rsid w:val="00A968CE"/>
    <w:rsid w:val="00A97CCB"/>
    <w:rsid w:val="00AA04C3"/>
    <w:rsid w:val="00AA0714"/>
    <w:rsid w:val="00AA3273"/>
    <w:rsid w:val="00AA548A"/>
    <w:rsid w:val="00AA6273"/>
    <w:rsid w:val="00AA632B"/>
    <w:rsid w:val="00AA7082"/>
    <w:rsid w:val="00AB1281"/>
    <w:rsid w:val="00AB22EA"/>
    <w:rsid w:val="00AB358B"/>
    <w:rsid w:val="00AB3949"/>
    <w:rsid w:val="00AB3EA7"/>
    <w:rsid w:val="00AB4AB1"/>
    <w:rsid w:val="00AB5CE5"/>
    <w:rsid w:val="00AB63B9"/>
    <w:rsid w:val="00AC5873"/>
    <w:rsid w:val="00AC6677"/>
    <w:rsid w:val="00AC74BE"/>
    <w:rsid w:val="00AD0349"/>
    <w:rsid w:val="00AD5EAB"/>
    <w:rsid w:val="00AD5EAF"/>
    <w:rsid w:val="00AE0B75"/>
    <w:rsid w:val="00AE2154"/>
    <w:rsid w:val="00AE5B13"/>
    <w:rsid w:val="00AE78C1"/>
    <w:rsid w:val="00AF0349"/>
    <w:rsid w:val="00AF261A"/>
    <w:rsid w:val="00AF2DB3"/>
    <w:rsid w:val="00AF35EB"/>
    <w:rsid w:val="00AF38C2"/>
    <w:rsid w:val="00AF42F0"/>
    <w:rsid w:val="00AF5B58"/>
    <w:rsid w:val="00AF631E"/>
    <w:rsid w:val="00B0128A"/>
    <w:rsid w:val="00B01BD5"/>
    <w:rsid w:val="00B02AB8"/>
    <w:rsid w:val="00B03943"/>
    <w:rsid w:val="00B11074"/>
    <w:rsid w:val="00B142D1"/>
    <w:rsid w:val="00B14812"/>
    <w:rsid w:val="00B14E33"/>
    <w:rsid w:val="00B16B84"/>
    <w:rsid w:val="00B16BBA"/>
    <w:rsid w:val="00B17675"/>
    <w:rsid w:val="00B17B7E"/>
    <w:rsid w:val="00B21D03"/>
    <w:rsid w:val="00B23100"/>
    <w:rsid w:val="00B35C5C"/>
    <w:rsid w:val="00B407CC"/>
    <w:rsid w:val="00B52133"/>
    <w:rsid w:val="00B5270D"/>
    <w:rsid w:val="00B5485D"/>
    <w:rsid w:val="00B54F76"/>
    <w:rsid w:val="00B555A0"/>
    <w:rsid w:val="00B566AF"/>
    <w:rsid w:val="00B568DD"/>
    <w:rsid w:val="00B60FD0"/>
    <w:rsid w:val="00B621B6"/>
    <w:rsid w:val="00B63555"/>
    <w:rsid w:val="00B709F6"/>
    <w:rsid w:val="00B71D61"/>
    <w:rsid w:val="00B76DEF"/>
    <w:rsid w:val="00B81398"/>
    <w:rsid w:val="00B818B2"/>
    <w:rsid w:val="00B828A5"/>
    <w:rsid w:val="00B82C46"/>
    <w:rsid w:val="00B83FB2"/>
    <w:rsid w:val="00B84235"/>
    <w:rsid w:val="00B85594"/>
    <w:rsid w:val="00B90714"/>
    <w:rsid w:val="00B91811"/>
    <w:rsid w:val="00B921A2"/>
    <w:rsid w:val="00BA013F"/>
    <w:rsid w:val="00BA093E"/>
    <w:rsid w:val="00BA0D70"/>
    <w:rsid w:val="00BA24A6"/>
    <w:rsid w:val="00BA263D"/>
    <w:rsid w:val="00BA2971"/>
    <w:rsid w:val="00BA2DED"/>
    <w:rsid w:val="00BA3777"/>
    <w:rsid w:val="00BA48FA"/>
    <w:rsid w:val="00BA4ABE"/>
    <w:rsid w:val="00BA63DE"/>
    <w:rsid w:val="00BA6E34"/>
    <w:rsid w:val="00BA6FAF"/>
    <w:rsid w:val="00BA7002"/>
    <w:rsid w:val="00BB0A32"/>
    <w:rsid w:val="00BB0B06"/>
    <w:rsid w:val="00BB0C8D"/>
    <w:rsid w:val="00BB0CC6"/>
    <w:rsid w:val="00BB2188"/>
    <w:rsid w:val="00BC0077"/>
    <w:rsid w:val="00BC618D"/>
    <w:rsid w:val="00BC67AD"/>
    <w:rsid w:val="00BD047B"/>
    <w:rsid w:val="00BD2C00"/>
    <w:rsid w:val="00BD75FD"/>
    <w:rsid w:val="00BE0E5C"/>
    <w:rsid w:val="00BE1391"/>
    <w:rsid w:val="00BE3137"/>
    <w:rsid w:val="00BE3E5F"/>
    <w:rsid w:val="00BE71B8"/>
    <w:rsid w:val="00BE7304"/>
    <w:rsid w:val="00BE7723"/>
    <w:rsid w:val="00BE786F"/>
    <w:rsid w:val="00BE7D5F"/>
    <w:rsid w:val="00BF1C72"/>
    <w:rsid w:val="00BF25BF"/>
    <w:rsid w:val="00BF4390"/>
    <w:rsid w:val="00BF59C3"/>
    <w:rsid w:val="00BF618D"/>
    <w:rsid w:val="00BF7595"/>
    <w:rsid w:val="00BF79D3"/>
    <w:rsid w:val="00BF7C7C"/>
    <w:rsid w:val="00C01B10"/>
    <w:rsid w:val="00C02729"/>
    <w:rsid w:val="00C03D88"/>
    <w:rsid w:val="00C03F77"/>
    <w:rsid w:val="00C04FF1"/>
    <w:rsid w:val="00C06B71"/>
    <w:rsid w:val="00C1093F"/>
    <w:rsid w:val="00C12329"/>
    <w:rsid w:val="00C12E35"/>
    <w:rsid w:val="00C20316"/>
    <w:rsid w:val="00C21CAC"/>
    <w:rsid w:val="00C23AEC"/>
    <w:rsid w:val="00C23F02"/>
    <w:rsid w:val="00C24755"/>
    <w:rsid w:val="00C2528A"/>
    <w:rsid w:val="00C254DF"/>
    <w:rsid w:val="00C26AF2"/>
    <w:rsid w:val="00C278F1"/>
    <w:rsid w:val="00C30D67"/>
    <w:rsid w:val="00C319F4"/>
    <w:rsid w:val="00C328F0"/>
    <w:rsid w:val="00C32A50"/>
    <w:rsid w:val="00C32D2A"/>
    <w:rsid w:val="00C335F2"/>
    <w:rsid w:val="00C33F90"/>
    <w:rsid w:val="00C35583"/>
    <w:rsid w:val="00C35B2A"/>
    <w:rsid w:val="00C36805"/>
    <w:rsid w:val="00C368C0"/>
    <w:rsid w:val="00C37204"/>
    <w:rsid w:val="00C37B99"/>
    <w:rsid w:val="00C37DC4"/>
    <w:rsid w:val="00C432A7"/>
    <w:rsid w:val="00C44F7F"/>
    <w:rsid w:val="00C45C9C"/>
    <w:rsid w:val="00C45FB9"/>
    <w:rsid w:val="00C46FE3"/>
    <w:rsid w:val="00C47288"/>
    <w:rsid w:val="00C50C09"/>
    <w:rsid w:val="00C51229"/>
    <w:rsid w:val="00C514EA"/>
    <w:rsid w:val="00C522A5"/>
    <w:rsid w:val="00C55095"/>
    <w:rsid w:val="00C613A4"/>
    <w:rsid w:val="00C62C2D"/>
    <w:rsid w:val="00C63A22"/>
    <w:rsid w:val="00C64CD2"/>
    <w:rsid w:val="00C666F3"/>
    <w:rsid w:val="00C66B0B"/>
    <w:rsid w:val="00C67A86"/>
    <w:rsid w:val="00C7642D"/>
    <w:rsid w:val="00C80B4A"/>
    <w:rsid w:val="00C83BA4"/>
    <w:rsid w:val="00C83DF5"/>
    <w:rsid w:val="00C8698C"/>
    <w:rsid w:val="00C8717C"/>
    <w:rsid w:val="00C90295"/>
    <w:rsid w:val="00C90E10"/>
    <w:rsid w:val="00C914DE"/>
    <w:rsid w:val="00C92230"/>
    <w:rsid w:val="00C93068"/>
    <w:rsid w:val="00C93DBA"/>
    <w:rsid w:val="00CA154B"/>
    <w:rsid w:val="00CA4134"/>
    <w:rsid w:val="00CA44FC"/>
    <w:rsid w:val="00CA4C4C"/>
    <w:rsid w:val="00CA51FC"/>
    <w:rsid w:val="00CA7A00"/>
    <w:rsid w:val="00CB1C14"/>
    <w:rsid w:val="00CB215F"/>
    <w:rsid w:val="00CB556E"/>
    <w:rsid w:val="00CB6136"/>
    <w:rsid w:val="00CB634F"/>
    <w:rsid w:val="00CB7F80"/>
    <w:rsid w:val="00CC0D16"/>
    <w:rsid w:val="00CC1325"/>
    <w:rsid w:val="00CC411A"/>
    <w:rsid w:val="00CC698D"/>
    <w:rsid w:val="00CD1370"/>
    <w:rsid w:val="00CD2212"/>
    <w:rsid w:val="00CD3BEC"/>
    <w:rsid w:val="00CD41B4"/>
    <w:rsid w:val="00CD472A"/>
    <w:rsid w:val="00CD5754"/>
    <w:rsid w:val="00CD6756"/>
    <w:rsid w:val="00CD7D65"/>
    <w:rsid w:val="00CE0218"/>
    <w:rsid w:val="00CE2293"/>
    <w:rsid w:val="00CE2985"/>
    <w:rsid w:val="00CF094D"/>
    <w:rsid w:val="00CF1679"/>
    <w:rsid w:val="00CF26C4"/>
    <w:rsid w:val="00CF3458"/>
    <w:rsid w:val="00CF673A"/>
    <w:rsid w:val="00CF76E8"/>
    <w:rsid w:val="00CF7CE4"/>
    <w:rsid w:val="00D00D00"/>
    <w:rsid w:val="00D01D91"/>
    <w:rsid w:val="00D01EDD"/>
    <w:rsid w:val="00D031C7"/>
    <w:rsid w:val="00D048C7"/>
    <w:rsid w:val="00D054A6"/>
    <w:rsid w:val="00D10561"/>
    <w:rsid w:val="00D1271C"/>
    <w:rsid w:val="00D1311C"/>
    <w:rsid w:val="00D1315C"/>
    <w:rsid w:val="00D1463C"/>
    <w:rsid w:val="00D14B12"/>
    <w:rsid w:val="00D14B39"/>
    <w:rsid w:val="00D14CBA"/>
    <w:rsid w:val="00D15DC7"/>
    <w:rsid w:val="00D25FC0"/>
    <w:rsid w:val="00D2734D"/>
    <w:rsid w:val="00D33F87"/>
    <w:rsid w:val="00D35A2E"/>
    <w:rsid w:val="00D376EE"/>
    <w:rsid w:val="00D40FB2"/>
    <w:rsid w:val="00D426E7"/>
    <w:rsid w:val="00D44B5C"/>
    <w:rsid w:val="00D45648"/>
    <w:rsid w:val="00D4588E"/>
    <w:rsid w:val="00D4597F"/>
    <w:rsid w:val="00D462D2"/>
    <w:rsid w:val="00D46D7A"/>
    <w:rsid w:val="00D47F5D"/>
    <w:rsid w:val="00D54990"/>
    <w:rsid w:val="00D54F29"/>
    <w:rsid w:val="00D552BE"/>
    <w:rsid w:val="00D55AA8"/>
    <w:rsid w:val="00D56764"/>
    <w:rsid w:val="00D61191"/>
    <w:rsid w:val="00D61DEE"/>
    <w:rsid w:val="00D63B95"/>
    <w:rsid w:val="00D63C57"/>
    <w:rsid w:val="00D65C30"/>
    <w:rsid w:val="00D6670A"/>
    <w:rsid w:val="00D71F16"/>
    <w:rsid w:val="00D73CD8"/>
    <w:rsid w:val="00D81604"/>
    <w:rsid w:val="00D8766A"/>
    <w:rsid w:val="00D913F2"/>
    <w:rsid w:val="00D91A6D"/>
    <w:rsid w:val="00D91D80"/>
    <w:rsid w:val="00D94CCC"/>
    <w:rsid w:val="00D95631"/>
    <w:rsid w:val="00D970EC"/>
    <w:rsid w:val="00D9777E"/>
    <w:rsid w:val="00D97E0B"/>
    <w:rsid w:val="00D97F9A"/>
    <w:rsid w:val="00DA0588"/>
    <w:rsid w:val="00DA3638"/>
    <w:rsid w:val="00DA43F2"/>
    <w:rsid w:val="00DA4D80"/>
    <w:rsid w:val="00DA73FE"/>
    <w:rsid w:val="00DB039A"/>
    <w:rsid w:val="00DB0F65"/>
    <w:rsid w:val="00DB3E79"/>
    <w:rsid w:val="00DB70C4"/>
    <w:rsid w:val="00DB7968"/>
    <w:rsid w:val="00DB7D4C"/>
    <w:rsid w:val="00DC0B89"/>
    <w:rsid w:val="00DC332A"/>
    <w:rsid w:val="00DC3F21"/>
    <w:rsid w:val="00DC3F78"/>
    <w:rsid w:val="00DC41DE"/>
    <w:rsid w:val="00DC493C"/>
    <w:rsid w:val="00DD2366"/>
    <w:rsid w:val="00DD2AC4"/>
    <w:rsid w:val="00DD2BA9"/>
    <w:rsid w:val="00DD3F35"/>
    <w:rsid w:val="00DD4D87"/>
    <w:rsid w:val="00DD623E"/>
    <w:rsid w:val="00DE0487"/>
    <w:rsid w:val="00DE1543"/>
    <w:rsid w:val="00DE7F89"/>
    <w:rsid w:val="00DF40ED"/>
    <w:rsid w:val="00DF5711"/>
    <w:rsid w:val="00E01CEC"/>
    <w:rsid w:val="00E0391A"/>
    <w:rsid w:val="00E065FF"/>
    <w:rsid w:val="00E07172"/>
    <w:rsid w:val="00E120D0"/>
    <w:rsid w:val="00E204A1"/>
    <w:rsid w:val="00E229A3"/>
    <w:rsid w:val="00E2377B"/>
    <w:rsid w:val="00E26BA3"/>
    <w:rsid w:val="00E33ABF"/>
    <w:rsid w:val="00E36E6F"/>
    <w:rsid w:val="00E44BDD"/>
    <w:rsid w:val="00E50EEB"/>
    <w:rsid w:val="00E55AAB"/>
    <w:rsid w:val="00E564E8"/>
    <w:rsid w:val="00E56535"/>
    <w:rsid w:val="00E65FE2"/>
    <w:rsid w:val="00E669DB"/>
    <w:rsid w:val="00E71056"/>
    <w:rsid w:val="00E718BD"/>
    <w:rsid w:val="00E76040"/>
    <w:rsid w:val="00E760FD"/>
    <w:rsid w:val="00E80CEE"/>
    <w:rsid w:val="00E82C12"/>
    <w:rsid w:val="00E92CC4"/>
    <w:rsid w:val="00E96783"/>
    <w:rsid w:val="00EA01AC"/>
    <w:rsid w:val="00EA0B33"/>
    <w:rsid w:val="00EA100C"/>
    <w:rsid w:val="00EA3BD2"/>
    <w:rsid w:val="00EA5777"/>
    <w:rsid w:val="00EB4DF2"/>
    <w:rsid w:val="00EB5C29"/>
    <w:rsid w:val="00EC1285"/>
    <w:rsid w:val="00EC14FC"/>
    <w:rsid w:val="00EC4686"/>
    <w:rsid w:val="00ED07DF"/>
    <w:rsid w:val="00ED0B9A"/>
    <w:rsid w:val="00ED0D88"/>
    <w:rsid w:val="00ED3D74"/>
    <w:rsid w:val="00ED4E7C"/>
    <w:rsid w:val="00ED671D"/>
    <w:rsid w:val="00ED7B90"/>
    <w:rsid w:val="00EE0626"/>
    <w:rsid w:val="00EE10B4"/>
    <w:rsid w:val="00EE1282"/>
    <w:rsid w:val="00EE2D47"/>
    <w:rsid w:val="00EE37D3"/>
    <w:rsid w:val="00EE7E25"/>
    <w:rsid w:val="00EF0350"/>
    <w:rsid w:val="00EF0F77"/>
    <w:rsid w:val="00EF18EE"/>
    <w:rsid w:val="00EF31F3"/>
    <w:rsid w:val="00EF4536"/>
    <w:rsid w:val="00F00E4D"/>
    <w:rsid w:val="00F04423"/>
    <w:rsid w:val="00F0729E"/>
    <w:rsid w:val="00F07436"/>
    <w:rsid w:val="00F078AC"/>
    <w:rsid w:val="00F10AF7"/>
    <w:rsid w:val="00F12497"/>
    <w:rsid w:val="00F156F7"/>
    <w:rsid w:val="00F166EE"/>
    <w:rsid w:val="00F213D5"/>
    <w:rsid w:val="00F21E75"/>
    <w:rsid w:val="00F25C2F"/>
    <w:rsid w:val="00F25CBE"/>
    <w:rsid w:val="00F266D3"/>
    <w:rsid w:val="00F26C6C"/>
    <w:rsid w:val="00F26E96"/>
    <w:rsid w:val="00F2739F"/>
    <w:rsid w:val="00F30797"/>
    <w:rsid w:val="00F309DF"/>
    <w:rsid w:val="00F334FA"/>
    <w:rsid w:val="00F34828"/>
    <w:rsid w:val="00F35A52"/>
    <w:rsid w:val="00F36D9F"/>
    <w:rsid w:val="00F41CD5"/>
    <w:rsid w:val="00F42949"/>
    <w:rsid w:val="00F43570"/>
    <w:rsid w:val="00F45A80"/>
    <w:rsid w:val="00F4720B"/>
    <w:rsid w:val="00F53264"/>
    <w:rsid w:val="00F53BD0"/>
    <w:rsid w:val="00F54766"/>
    <w:rsid w:val="00F57F68"/>
    <w:rsid w:val="00F61917"/>
    <w:rsid w:val="00F6548C"/>
    <w:rsid w:val="00F65883"/>
    <w:rsid w:val="00F70927"/>
    <w:rsid w:val="00F73B4E"/>
    <w:rsid w:val="00F775A7"/>
    <w:rsid w:val="00F77C12"/>
    <w:rsid w:val="00F81AB7"/>
    <w:rsid w:val="00F83718"/>
    <w:rsid w:val="00F84042"/>
    <w:rsid w:val="00F9092C"/>
    <w:rsid w:val="00F93BC7"/>
    <w:rsid w:val="00F94421"/>
    <w:rsid w:val="00F946ED"/>
    <w:rsid w:val="00F94905"/>
    <w:rsid w:val="00F94E89"/>
    <w:rsid w:val="00F961D0"/>
    <w:rsid w:val="00F965BC"/>
    <w:rsid w:val="00F965E6"/>
    <w:rsid w:val="00FA2A4F"/>
    <w:rsid w:val="00FA2CCF"/>
    <w:rsid w:val="00FA3740"/>
    <w:rsid w:val="00FA3A1B"/>
    <w:rsid w:val="00FA711A"/>
    <w:rsid w:val="00FB0857"/>
    <w:rsid w:val="00FB13A9"/>
    <w:rsid w:val="00FB265C"/>
    <w:rsid w:val="00FB6528"/>
    <w:rsid w:val="00FC033B"/>
    <w:rsid w:val="00FC05D8"/>
    <w:rsid w:val="00FC0A59"/>
    <w:rsid w:val="00FC0B62"/>
    <w:rsid w:val="00FC2011"/>
    <w:rsid w:val="00FC2B90"/>
    <w:rsid w:val="00FC4A2E"/>
    <w:rsid w:val="00FC50D2"/>
    <w:rsid w:val="00FC6726"/>
    <w:rsid w:val="00FD4385"/>
    <w:rsid w:val="00FE2BFD"/>
    <w:rsid w:val="00FE2CB7"/>
    <w:rsid w:val="00FE4969"/>
    <w:rsid w:val="00FE5B14"/>
    <w:rsid w:val="00FF0316"/>
    <w:rsid w:val="00FF0797"/>
    <w:rsid w:val="00FF07C1"/>
    <w:rsid w:val="00FF2B51"/>
    <w:rsid w:val="00FF45F4"/>
    <w:rsid w:val="00FF5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1766A"/>
  <w15:docId w15:val="{4E16DC74-9480-49ED-BE63-3FBEE7F7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E81"/>
    <w:pPr>
      <w:spacing w:line="280" w:lineRule="atLeast"/>
    </w:pPr>
    <w:rPr>
      <w:rFonts w:ascii="Arial" w:hAnsi="Arial"/>
      <w:sz w:val="22"/>
      <w:szCs w:val="2"/>
    </w:rPr>
  </w:style>
  <w:style w:type="paragraph" w:styleId="Heading1">
    <w:name w:val="heading 1"/>
    <w:basedOn w:val="Normal"/>
    <w:next w:val="Normal"/>
    <w:link w:val="Heading1Char"/>
    <w:qFormat/>
    <w:rsid w:val="007C3AAA"/>
    <w:pPr>
      <w:spacing w:line="240" w:lineRule="auto"/>
      <w:jc w:val="center"/>
      <w:outlineLvl w:val="0"/>
    </w:pPr>
    <w:rPr>
      <w:b/>
      <w:i/>
      <w:sz w:val="30"/>
      <w:szCs w:val="36"/>
    </w:rPr>
  </w:style>
  <w:style w:type="paragraph" w:styleId="Heading2">
    <w:name w:val="heading 2"/>
    <w:basedOn w:val="Normal"/>
    <w:next w:val="Normal"/>
    <w:link w:val="Heading2Char"/>
    <w:qFormat/>
    <w:rsid w:val="007C3AAA"/>
    <w:pPr>
      <w:spacing w:line="240" w:lineRule="auto"/>
      <w:jc w:val="center"/>
      <w:outlineLvl w:val="1"/>
    </w:pPr>
    <w:rPr>
      <w:b/>
      <w:sz w:val="30"/>
      <w:szCs w:val="32"/>
    </w:rPr>
  </w:style>
  <w:style w:type="paragraph" w:styleId="Heading3">
    <w:name w:val="heading 3"/>
    <w:basedOn w:val="Normal"/>
    <w:next w:val="Normal"/>
    <w:qFormat/>
    <w:rsid w:val="005F2E81"/>
    <w:pPr>
      <w:spacing w:before="120" w:after="360" w:line="240" w:lineRule="auto"/>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3AAA"/>
    <w:rPr>
      <w:rFonts w:ascii="Arial" w:hAnsi="Arial"/>
      <w:b/>
      <w:i/>
      <w:sz w:val="30"/>
      <w:szCs w:val="36"/>
      <w:lang w:val="en-AU" w:eastAsia="en-AU" w:bidi="ar-SA"/>
    </w:rPr>
  </w:style>
  <w:style w:type="character" w:customStyle="1" w:styleId="Heading2Char">
    <w:name w:val="Heading 2 Char"/>
    <w:link w:val="Heading2"/>
    <w:rsid w:val="007C3AAA"/>
    <w:rPr>
      <w:rFonts w:ascii="Arial" w:hAnsi="Arial"/>
      <w:b/>
      <w:sz w:val="30"/>
      <w:szCs w:val="32"/>
      <w:lang w:val="en-AU" w:eastAsia="en-AU" w:bidi="ar-SA"/>
    </w:rPr>
  </w:style>
  <w:style w:type="paragraph" w:customStyle="1" w:styleId="RulingNumbering">
    <w:name w:val="Ruling Numbering"/>
    <w:basedOn w:val="Normal"/>
    <w:rsid w:val="002C10C3"/>
    <w:pPr>
      <w:numPr>
        <w:numId w:val="4"/>
      </w:numPr>
      <w:spacing w:before="160"/>
    </w:pPr>
  </w:style>
  <w:style w:type="table" w:styleId="TableGrid">
    <w:name w:val="Table Grid"/>
    <w:basedOn w:val="TableNormal"/>
    <w:rsid w:val="00FF0316"/>
    <w:pPr>
      <w:spacing w:line="22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ingTableTitles">
    <w:name w:val="Ruling Table Titles"/>
    <w:basedOn w:val="Normal"/>
    <w:rsid w:val="00FF0797"/>
    <w:pPr>
      <w:jc w:val="center"/>
    </w:pPr>
    <w:rPr>
      <w:b/>
      <w:bCs/>
      <w:szCs w:val="20"/>
    </w:rPr>
  </w:style>
  <w:style w:type="paragraph" w:styleId="Footer">
    <w:name w:val="footer"/>
    <w:basedOn w:val="Normal"/>
    <w:rsid w:val="005C5E02"/>
    <w:pPr>
      <w:pBdr>
        <w:top w:val="single" w:sz="4" w:space="1" w:color="auto"/>
      </w:pBdr>
      <w:tabs>
        <w:tab w:val="right" w:pos="9638"/>
      </w:tabs>
      <w:spacing w:line="220" w:lineRule="atLeast"/>
    </w:pPr>
    <w:rPr>
      <w:sz w:val="18"/>
      <w:szCs w:val="18"/>
    </w:rPr>
  </w:style>
  <w:style w:type="paragraph" w:customStyle="1" w:styleId="RulingHeading4">
    <w:name w:val="Ruling Heading 4"/>
    <w:basedOn w:val="Normal"/>
    <w:next w:val="Normal"/>
    <w:rsid w:val="00FF0316"/>
    <w:pPr>
      <w:spacing w:before="120"/>
    </w:pPr>
    <w:rPr>
      <w:b/>
    </w:rPr>
  </w:style>
  <w:style w:type="paragraph" w:customStyle="1" w:styleId="RulingBodyText">
    <w:name w:val="Ruling Body Text"/>
    <w:link w:val="RulingBodyTextChar"/>
    <w:rsid w:val="005F2E81"/>
    <w:pPr>
      <w:spacing w:line="280" w:lineRule="atLeast"/>
    </w:pPr>
    <w:rPr>
      <w:rFonts w:ascii="Arial" w:hAnsi="Arial"/>
      <w:sz w:val="22"/>
      <w:szCs w:val="2"/>
    </w:rPr>
  </w:style>
  <w:style w:type="character" w:customStyle="1" w:styleId="RulingBodyTextChar">
    <w:name w:val="Ruling Body Text Char"/>
    <w:link w:val="RulingBodyText"/>
    <w:rsid w:val="005F2E81"/>
    <w:rPr>
      <w:rFonts w:ascii="Arial" w:hAnsi="Arial"/>
      <w:sz w:val="22"/>
      <w:szCs w:val="2"/>
      <w:lang w:val="en-AU" w:eastAsia="en-AU" w:bidi="ar-SA"/>
    </w:rPr>
  </w:style>
  <w:style w:type="paragraph" w:customStyle="1" w:styleId="Bold">
    <w:name w:val="Bold"/>
    <w:basedOn w:val="RulingBodyText"/>
    <w:link w:val="BoldCharChar"/>
    <w:rsid w:val="00FF0316"/>
    <w:rPr>
      <w:b/>
      <w:bCs/>
    </w:rPr>
  </w:style>
  <w:style w:type="character" w:customStyle="1" w:styleId="BoldCharChar">
    <w:name w:val="Bold Char Char"/>
    <w:link w:val="Bold"/>
    <w:rsid w:val="00FF0316"/>
    <w:rPr>
      <w:rFonts w:ascii="Arial" w:hAnsi="Arial"/>
      <w:b/>
      <w:bCs/>
      <w:sz w:val="22"/>
      <w:szCs w:val="2"/>
      <w:lang w:val="en-AU" w:eastAsia="en-AU" w:bidi="ar-SA"/>
    </w:rPr>
  </w:style>
  <w:style w:type="paragraph" w:customStyle="1" w:styleId="RulingHeading5">
    <w:name w:val="Ruling Heading 5"/>
    <w:basedOn w:val="RulingBodyText"/>
    <w:rsid w:val="00CB1C14"/>
    <w:rPr>
      <w:b/>
      <w:bCs/>
      <w:i/>
      <w:iCs/>
    </w:rPr>
  </w:style>
  <w:style w:type="character" w:customStyle="1" w:styleId="Italic">
    <w:name w:val="Italic"/>
    <w:rsid w:val="00BD75FD"/>
    <w:rPr>
      <w:rFonts w:ascii="Arial" w:hAnsi="Arial" w:cs="Arial"/>
      <w:i/>
      <w:sz w:val="22"/>
      <w:szCs w:val="22"/>
      <w:lang w:val="en-AU" w:eastAsia="en-AU" w:bidi="ar-SA"/>
    </w:rPr>
  </w:style>
  <w:style w:type="paragraph" w:customStyle="1" w:styleId="RulingHeading3">
    <w:name w:val="Ruling Heading 3"/>
    <w:basedOn w:val="Heading3"/>
    <w:next w:val="Normal"/>
    <w:rsid w:val="00B52133"/>
    <w:pPr>
      <w:spacing w:before="240" w:after="0"/>
    </w:pPr>
  </w:style>
  <w:style w:type="character" w:styleId="CommentReference">
    <w:name w:val="annotation reference"/>
    <w:semiHidden/>
    <w:rsid w:val="00B52133"/>
    <w:rPr>
      <w:sz w:val="16"/>
      <w:szCs w:val="16"/>
    </w:rPr>
  </w:style>
  <w:style w:type="paragraph" w:styleId="CommentText">
    <w:name w:val="annotation text"/>
    <w:basedOn w:val="Normal"/>
    <w:semiHidden/>
    <w:rsid w:val="00B52133"/>
    <w:pPr>
      <w:spacing w:line="260" w:lineRule="atLeast"/>
    </w:pPr>
    <w:rPr>
      <w:sz w:val="20"/>
      <w:szCs w:val="20"/>
    </w:rPr>
  </w:style>
  <w:style w:type="paragraph" w:styleId="BalloonText">
    <w:name w:val="Balloon Text"/>
    <w:basedOn w:val="Normal"/>
    <w:semiHidden/>
    <w:rsid w:val="00B52133"/>
    <w:rPr>
      <w:rFonts w:ascii="Tahoma" w:hAnsi="Tahoma" w:cs="Tahoma"/>
      <w:sz w:val="16"/>
      <w:szCs w:val="16"/>
    </w:rPr>
  </w:style>
  <w:style w:type="paragraph" w:styleId="Header">
    <w:name w:val="header"/>
    <w:basedOn w:val="Normal"/>
    <w:rsid w:val="00FA711A"/>
    <w:pPr>
      <w:tabs>
        <w:tab w:val="center" w:pos="4153"/>
        <w:tab w:val="right" w:pos="8306"/>
      </w:tabs>
    </w:pPr>
  </w:style>
  <w:style w:type="paragraph" w:styleId="CommentSubject">
    <w:name w:val="annotation subject"/>
    <w:basedOn w:val="CommentText"/>
    <w:next w:val="CommentText"/>
    <w:semiHidden/>
    <w:rsid w:val="00F73B4E"/>
    <w:pPr>
      <w:spacing w:line="280" w:lineRule="atLeast"/>
    </w:pPr>
    <w:rPr>
      <w:b/>
      <w:bCs/>
    </w:rPr>
  </w:style>
  <w:style w:type="character" w:styleId="Hyperlink">
    <w:name w:val="Hyperlink"/>
    <w:rsid w:val="00437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n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trevenue@nt.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Payroll Tax (PRT)</Tax_x0020_Type>
    <Release_x0020_Date xmlns="378e824e-6e02-4c0d-8321-dd86fba681ee">2016-07-03T14:30:00+00:00</Release_x0020_Date>
    <Publication_x0020_Title xmlns="378e824e-6e02-4c0d-8321-dd86fba681ee">Payroll Tax Ruling PTA003 Fringe Benefits</Publication_x0020_Title>
    <Sub_x0020_Sub_x0020_Category xmlns="378e824e-6e02-4c0d-8321-dd86fba681ee" xsi:nil="true"/>
    <Details xmlns="378e824e-6e02-4c0d-8321-dd86fba681ee">Clarifies a number of issues associated with fringe benefits, including determining the value of fringe benefits for payroll tax purposes and outlining methods for declaring fringe benefits.</Details>
    <Main_x0020_Category xmlns="378e824e-6e02-4c0d-8321-dd86fba681ee">6</Main_x0020_Category>
    <Tax_x0020_Type_x0020_Topic xmlns="378e824e-6e02-4c0d-8321-dd86fba681ee">Fringe Benefits</Tax_x0020_Type_x0020_Topic>
    <Sub_x0020_Category xmlns="378e824e-6e02-4c0d-8321-dd86fba681ee">49</Sub_x0020_Category>
    <Identifier xmlns="378e824e-6e02-4c0d-8321-dd86fba681ee">PTA003</Identifier>
    <Notify xmlns="378e824e-6e02-4c0d-8321-dd86fba681ee">false</Notify>
    <Publication_x0020_Type xmlns="378e824e-6e02-4c0d-8321-dd86fba681ee">Payroll Tax Rulings (PTA)</Publication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80BCC-4F30-4F52-9716-A2733D27EE49}">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82767057-303A-4AD4-8D31-2E372AEB6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115A8-BE5D-43B7-90F0-072A62E2A6E7}">
  <ds:schemaRefs>
    <ds:schemaRef ds:uri="http://schemas.microsoft.com/sharepoint/v3/contenttype/forms"/>
  </ds:schemaRefs>
</ds:datastoreItem>
</file>

<file path=customXml/itemProps4.xml><?xml version="1.0" encoding="utf-8"?>
<ds:datastoreItem xmlns:ds="http://schemas.openxmlformats.org/officeDocument/2006/customXml" ds:itemID="{5244CF7C-2B94-41E9-AB85-8F3A2213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1543</Words>
  <Characters>8798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REVENUE RULING</vt:lpstr>
    </vt:vector>
  </TitlesOfParts>
  <Company>Northern Territory Government</Company>
  <LinksUpToDate>false</LinksUpToDate>
  <CharactersWithSpaces>10321</CharactersWithSpaces>
  <SharedDoc>false</SharedDoc>
  <HLinks>
    <vt:vector size="18" baseType="variant">
      <vt:variant>
        <vt:i4>5242895</vt:i4>
      </vt:variant>
      <vt:variant>
        <vt:i4>6</vt:i4>
      </vt:variant>
      <vt:variant>
        <vt:i4>0</vt:i4>
      </vt:variant>
      <vt:variant>
        <vt:i4>5</vt:i4>
      </vt:variant>
      <vt:variant>
        <vt:lpwstr>http://www.revenue.nt.gov.au/</vt:lpwstr>
      </vt:variant>
      <vt:variant>
        <vt:lpwstr/>
      </vt:variant>
      <vt:variant>
        <vt:i4>7798799</vt:i4>
      </vt:variant>
      <vt:variant>
        <vt:i4>3</vt:i4>
      </vt:variant>
      <vt:variant>
        <vt:i4>0</vt:i4>
      </vt:variant>
      <vt:variant>
        <vt:i4>5</vt:i4>
      </vt:variant>
      <vt:variant>
        <vt:lpwstr>mailto:ntrevenue@nt.gov.au</vt:lpwstr>
      </vt:variant>
      <vt:variant>
        <vt:lpwstr/>
      </vt:variant>
      <vt:variant>
        <vt:i4>5242895</vt:i4>
      </vt:variant>
      <vt:variant>
        <vt:i4>0</vt:i4>
      </vt:variant>
      <vt:variant>
        <vt:i4>0</vt:i4>
      </vt:variant>
      <vt:variant>
        <vt:i4>5</vt:i4>
      </vt:variant>
      <vt:variant>
        <vt:lpwstr>http://www.revenue.nt.gov.au/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Tax Ruling PTA003 Fringe Benefits</dc:title>
  <dc:creator>Territory Revenue Office</dc:creator>
  <cp:lastModifiedBy>Jessica Symonds</cp:lastModifiedBy>
  <cp:revision>6</cp:revision>
  <cp:lastPrinted>2016-06-21T01:51:00Z</cp:lastPrinted>
  <dcterms:created xsi:type="dcterms:W3CDTF">2016-07-04T01:26:00Z</dcterms:created>
  <dcterms:modified xsi:type="dcterms:W3CDTF">2021-09-14T01:01:00Z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