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leChar"/>
          <w:sz w:val="56"/>
        </w:rPr>
        <w:alias w:val="Title"/>
        <w:tag w:val="Title"/>
        <w:id w:val="-509755993"/>
        <w:placeholder>
          <w:docPart w:val="A21820E16B7342AFB1F437999879F9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Content>
        <w:p w14:paraId="081425D3" w14:textId="77777777" w:rsidR="00D61FD1" w:rsidRPr="007707CD" w:rsidRDefault="00347C4B" w:rsidP="00D61FD1">
          <w:pPr>
            <w:pStyle w:val="Title"/>
            <w:rPr>
              <w:sz w:val="56"/>
            </w:rPr>
          </w:pPr>
          <w:r w:rsidRPr="007707CD">
            <w:rPr>
              <w:rStyle w:val="TitleChar"/>
              <w:sz w:val="56"/>
            </w:rPr>
            <w:t>Northern Territory mineral royalties – Mineral Royalties Act 2024</w:t>
          </w:r>
        </w:p>
      </w:sdtContent>
    </w:sdt>
    <w:bookmarkStart w:id="0" w:name="_Toc15286907" w:displacedByCustomXml="prev"/>
    <w:bookmarkStart w:id="1" w:name="_Toc15286861" w:displacedByCustomXml="prev"/>
    <w:bookmarkEnd w:id="1"/>
    <w:bookmarkEnd w:id="0"/>
    <w:p w14:paraId="20F3EC8A" w14:textId="6801124E" w:rsidR="003C5739" w:rsidRPr="00AD67A8" w:rsidRDefault="00C652D6" w:rsidP="00225174">
      <w:pPr>
        <w:pStyle w:val="Heading3"/>
        <w:spacing w:after="360"/>
        <w:rPr>
          <w:lang w:eastAsia="en-AU"/>
        </w:rPr>
      </w:pPr>
      <w:r>
        <w:rPr>
          <w:lang w:eastAsia="en-AU"/>
        </w:rPr>
        <w:t>F</w:t>
      </w:r>
      <w:r w:rsidRPr="00AD67A8">
        <w:rPr>
          <w:lang w:eastAsia="en-AU"/>
        </w:rPr>
        <w:t xml:space="preserve">rom 1 July </w:t>
      </w:r>
      <w:r w:rsidR="00C015CE" w:rsidRPr="00AD67A8">
        <w:rPr>
          <w:lang w:eastAsia="en-AU"/>
        </w:rPr>
        <w:t>2024,</w:t>
      </w:r>
      <w:r w:rsidRPr="00AD67A8">
        <w:rPr>
          <w:lang w:eastAsia="en-AU"/>
        </w:rPr>
        <w:t xml:space="preserve"> the </w:t>
      </w:r>
      <w:r w:rsidRPr="00AD67A8">
        <w:rPr>
          <w:i/>
          <w:lang w:eastAsia="en-AU"/>
        </w:rPr>
        <w:t>Mineral Royalties Act 2024</w:t>
      </w:r>
      <w:r w:rsidRPr="00AD67A8">
        <w:rPr>
          <w:lang w:eastAsia="en-AU"/>
        </w:rPr>
        <w:t xml:space="preserve"> (MRA24)</w:t>
      </w:r>
      <w:r>
        <w:rPr>
          <w:lang w:eastAsia="en-AU"/>
        </w:rPr>
        <w:t xml:space="preserve"> applies to new mines</w:t>
      </w:r>
      <w:r w:rsidR="003C5739" w:rsidRPr="00AD67A8">
        <w:rPr>
          <w:lang w:eastAsia="en-AU"/>
        </w:rPr>
        <w:t xml:space="preserve"> in the Territory</w:t>
      </w:r>
      <w:r w:rsidR="00CE7E9A" w:rsidRPr="00AD67A8">
        <w:rPr>
          <w:lang w:eastAsia="en-AU"/>
        </w:rPr>
        <w:t xml:space="preserve">. This </w:t>
      </w:r>
      <w:r w:rsidR="003C5739" w:rsidRPr="00AD67A8">
        <w:rPr>
          <w:lang w:eastAsia="en-AU"/>
        </w:rPr>
        <w:t>ad valorem scheme</w:t>
      </w:r>
      <w:r w:rsidR="00CE7E9A" w:rsidRPr="00AD67A8">
        <w:rPr>
          <w:lang w:eastAsia="en-AU"/>
        </w:rPr>
        <w:t xml:space="preserve"> (percentage of the value of a mineral) </w:t>
      </w:r>
      <w:r>
        <w:rPr>
          <w:lang w:eastAsia="en-AU"/>
        </w:rPr>
        <w:t>applies</w:t>
      </w:r>
      <w:r w:rsidR="00CE7E9A" w:rsidRPr="00AD67A8">
        <w:rPr>
          <w:lang w:eastAsia="en-AU"/>
        </w:rPr>
        <w:t xml:space="preserve"> </w:t>
      </w:r>
      <w:r w:rsidR="008C2C05" w:rsidRPr="00AD67A8">
        <w:rPr>
          <w:lang w:eastAsia="en-AU"/>
        </w:rPr>
        <w:t xml:space="preserve">royalty </w:t>
      </w:r>
      <w:r w:rsidR="008C4922" w:rsidRPr="00AD67A8">
        <w:rPr>
          <w:lang w:eastAsia="en-AU"/>
        </w:rPr>
        <w:t xml:space="preserve">rates </w:t>
      </w:r>
      <w:r>
        <w:rPr>
          <w:lang w:eastAsia="en-AU"/>
        </w:rPr>
        <w:t>of</w:t>
      </w:r>
      <w:r w:rsidRPr="00AD67A8">
        <w:rPr>
          <w:lang w:eastAsia="en-AU"/>
        </w:rPr>
        <w:t xml:space="preserve"> </w:t>
      </w:r>
      <w:r w:rsidR="008C2C05" w:rsidRPr="00AD67A8">
        <w:rPr>
          <w:lang w:eastAsia="en-AU"/>
        </w:rPr>
        <w:t xml:space="preserve">7.5%, 5%, 3.5% </w:t>
      </w:r>
      <w:r w:rsidR="008C4922" w:rsidRPr="00AD67A8">
        <w:rPr>
          <w:lang w:eastAsia="en-AU"/>
        </w:rPr>
        <w:t>or</w:t>
      </w:r>
      <w:r w:rsidR="008C2C05" w:rsidRPr="00AD67A8">
        <w:rPr>
          <w:lang w:eastAsia="en-AU"/>
        </w:rPr>
        <w:t xml:space="preserve"> 2.5%</w:t>
      </w:r>
      <w:r w:rsidR="00E76FEE">
        <w:rPr>
          <w:lang w:eastAsia="en-AU"/>
        </w:rPr>
        <w:t>.</w:t>
      </w:r>
      <w:r>
        <w:rPr>
          <w:lang w:eastAsia="en-AU"/>
        </w:rPr>
        <w:t xml:space="preserve"> </w:t>
      </w:r>
    </w:p>
    <w:p w14:paraId="09C074A0" w14:textId="7712E2D0" w:rsidR="00AD67A8" w:rsidRPr="00225174" w:rsidRDefault="00652600" w:rsidP="00AD67A8">
      <w:pPr>
        <w:pStyle w:val="Heading1"/>
        <w:rPr>
          <w:sz w:val="32"/>
          <w:lang w:eastAsia="en-AU"/>
        </w:rPr>
      </w:pPr>
      <w:r>
        <w:rPr>
          <w:sz w:val="32"/>
          <w:lang w:eastAsia="en-AU"/>
        </w:rPr>
        <w:t>Who pays royalties?</w:t>
      </w:r>
      <w:r w:rsidR="005E4E2A" w:rsidDel="005E4E2A">
        <w:rPr>
          <w:sz w:val="32"/>
          <w:lang w:eastAsia="en-AU"/>
        </w:rPr>
        <w:t xml:space="preserve"> </w:t>
      </w:r>
    </w:p>
    <w:p w14:paraId="133FA07B" w14:textId="371A448F" w:rsidR="00652600" w:rsidRDefault="00652600" w:rsidP="00652600">
      <w:pPr>
        <w:rPr>
          <w:lang w:eastAsia="en-AU"/>
        </w:rPr>
      </w:pPr>
      <w:r>
        <w:rPr>
          <w:lang w:eastAsia="en-AU"/>
        </w:rPr>
        <w:t>Minerals in the Northern Territory are owned by the people of the Territory. Once a mineral is removed from the ground it cannot be replaced. Therefore, c</w:t>
      </w:r>
      <w:r w:rsidRPr="00652600">
        <w:rPr>
          <w:lang w:eastAsia="en-AU"/>
        </w:rPr>
        <w:t>ompanies mining minerals pay to remove non</w:t>
      </w:r>
      <w:r>
        <w:rPr>
          <w:lang w:eastAsia="en-AU"/>
        </w:rPr>
        <w:noBreakHyphen/>
      </w:r>
      <w:r w:rsidRPr="00652600">
        <w:rPr>
          <w:lang w:eastAsia="en-AU"/>
        </w:rPr>
        <w:t>renewable resources. This payment is known as a royalty.</w:t>
      </w:r>
    </w:p>
    <w:p w14:paraId="433F624C" w14:textId="3DB2177C" w:rsidR="00C015CE" w:rsidRDefault="00652600" w:rsidP="00AD67A8">
      <w:pPr>
        <w:rPr>
          <w:lang w:eastAsia="en-AU"/>
        </w:rPr>
      </w:pPr>
      <w:r>
        <w:rPr>
          <w:lang w:eastAsia="en-AU"/>
        </w:rPr>
        <w:t>R</w:t>
      </w:r>
      <w:r w:rsidR="0083133A">
        <w:rPr>
          <w:lang w:eastAsia="en-AU"/>
        </w:rPr>
        <w:t>oyalties are payable on</w:t>
      </w:r>
      <w:r>
        <w:rPr>
          <w:lang w:eastAsia="en-AU"/>
        </w:rPr>
        <w:t xml:space="preserve"> all</w:t>
      </w:r>
      <w:r w:rsidR="0083133A">
        <w:rPr>
          <w:lang w:eastAsia="en-AU"/>
        </w:rPr>
        <w:t xml:space="preserve"> minerals extracted in the Territory</w:t>
      </w:r>
      <w:r>
        <w:rPr>
          <w:lang w:eastAsia="en-AU"/>
        </w:rPr>
        <w:t xml:space="preserve"> except for extractive minerals recovered under an extractive mineral lease, extractive minerals recovered as a by</w:t>
      </w:r>
      <w:r>
        <w:rPr>
          <w:lang w:eastAsia="en-AU"/>
        </w:rPr>
        <w:noBreakHyphen/>
        <w:t>product of a</w:t>
      </w:r>
      <w:r w:rsidR="00794AEB">
        <w:rPr>
          <w:lang w:eastAsia="en-AU"/>
        </w:rPr>
        <w:t xml:space="preserve"> mining operation and minerals that have been fossicked. Royalties on uranium are governed by Commonwealth legislation.</w:t>
      </w:r>
    </w:p>
    <w:p w14:paraId="15799D55" w14:textId="07508B1F" w:rsidR="0083133A" w:rsidRDefault="00794AEB" w:rsidP="00AD67A8">
      <w:pPr>
        <w:rPr>
          <w:lang w:eastAsia="en-AU"/>
        </w:rPr>
      </w:pPr>
      <w:r>
        <w:rPr>
          <w:lang w:eastAsia="en-AU"/>
        </w:rPr>
        <w:t xml:space="preserve">MRA24 applies to all new mining operations from 1 July 2024. </w:t>
      </w:r>
      <w:r w:rsidR="00652600">
        <w:rPr>
          <w:lang w:eastAsia="en-AU"/>
        </w:rPr>
        <w:t xml:space="preserve">Mines that were operating in </w:t>
      </w:r>
      <w:r w:rsidR="00225E56">
        <w:rPr>
          <w:lang w:eastAsia="en-AU"/>
        </w:rPr>
        <w:t xml:space="preserve">2023 </w:t>
      </w:r>
      <w:r w:rsidR="00652600">
        <w:rPr>
          <w:lang w:eastAsia="en-AU"/>
        </w:rPr>
        <w:t>will remain</w:t>
      </w:r>
      <w:r w:rsidR="00225E56">
        <w:rPr>
          <w:lang w:eastAsia="en-AU"/>
        </w:rPr>
        <w:t xml:space="preserve"> under the</w:t>
      </w:r>
      <w:r w:rsidR="00652600" w:rsidRPr="00652600">
        <w:rPr>
          <w:lang w:eastAsia="en-AU"/>
        </w:rPr>
        <w:t xml:space="preserve"> </w:t>
      </w:r>
      <w:r w:rsidR="00652600" w:rsidRPr="00C015CE">
        <w:rPr>
          <w:i/>
          <w:lang w:eastAsia="en-AU"/>
        </w:rPr>
        <w:t xml:space="preserve">Mineral Royalty Act </w:t>
      </w:r>
      <w:r w:rsidR="002768C6" w:rsidRPr="00C015CE">
        <w:rPr>
          <w:i/>
          <w:lang w:eastAsia="en-AU"/>
        </w:rPr>
        <w:t>1982</w:t>
      </w:r>
      <w:r w:rsidR="002768C6" w:rsidRPr="00C015CE">
        <w:rPr>
          <w:lang w:eastAsia="en-AU"/>
        </w:rPr>
        <w:t>, which</w:t>
      </w:r>
      <w:r w:rsidR="00652600">
        <w:rPr>
          <w:lang w:eastAsia="en-AU"/>
        </w:rPr>
        <w:t xml:space="preserve"> is a </w:t>
      </w:r>
      <w:r w:rsidR="00C015CE">
        <w:rPr>
          <w:lang w:eastAsia="en-AU"/>
        </w:rPr>
        <w:t>profit</w:t>
      </w:r>
      <w:r w:rsidR="00652600">
        <w:rPr>
          <w:lang w:eastAsia="en-AU"/>
        </w:rPr>
        <w:noBreakHyphen/>
      </w:r>
      <w:r w:rsidR="00C015CE">
        <w:rPr>
          <w:lang w:eastAsia="en-AU"/>
        </w:rPr>
        <w:t>based</w:t>
      </w:r>
      <w:r w:rsidR="00652600">
        <w:rPr>
          <w:lang w:eastAsia="en-AU"/>
        </w:rPr>
        <w:t xml:space="preserve"> royalty</w:t>
      </w:r>
      <w:r w:rsidR="00C015CE">
        <w:rPr>
          <w:lang w:eastAsia="en-AU"/>
        </w:rPr>
        <w:t xml:space="preserve"> scheme.</w:t>
      </w:r>
    </w:p>
    <w:p w14:paraId="31D36BF6" w14:textId="7AA7482A" w:rsidR="008C4922" w:rsidRPr="00225174" w:rsidRDefault="00AD67A8" w:rsidP="00225174">
      <w:pPr>
        <w:pStyle w:val="Heading1"/>
        <w:rPr>
          <w:sz w:val="32"/>
          <w:lang w:eastAsia="en-AU"/>
        </w:rPr>
      </w:pPr>
      <w:r>
        <w:rPr>
          <w:sz w:val="32"/>
          <w:lang w:eastAsia="en-AU"/>
        </w:rPr>
        <w:t>How to calculate royalties</w:t>
      </w:r>
      <w:r w:rsidR="00A97674">
        <w:rPr>
          <w:sz w:val="32"/>
          <w:lang w:eastAsia="en-AU"/>
        </w:rPr>
        <w:t xml:space="preserve"> under MRA24</w:t>
      </w:r>
      <w:r>
        <w:rPr>
          <w:sz w:val="32"/>
          <w:lang w:eastAsia="en-AU"/>
        </w:rPr>
        <w:t>?</w:t>
      </w:r>
    </w:p>
    <w:p w14:paraId="5D772D34" w14:textId="762CE87A" w:rsidR="008C4922" w:rsidRDefault="008C4922" w:rsidP="008C4922">
      <w:pPr>
        <w:rPr>
          <w:lang w:eastAsia="en-AU"/>
        </w:rPr>
      </w:pPr>
      <w:r>
        <w:rPr>
          <w:lang w:eastAsia="en-AU"/>
        </w:rPr>
        <w:t xml:space="preserve">The MRA24 provides the following calculation of </w:t>
      </w:r>
      <w:r w:rsidR="00225174">
        <w:rPr>
          <w:lang w:eastAsia="en-AU"/>
        </w:rPr>
        <w:t>royalt</w:t>
      </w:r>
      <w:r w:rsidR="009130BA">
        <w:rPr>
          <w:lang w:eastAsia="en-AU"/>
        </w:rPr>
        <w:t>ies:</w:t>
      </w:r>
    </w:p>
    <w:p w14:paraId="400E0E70" w14:textId="77777777" w:rsidR="008C4922" w:rsidRDefault="008C4922" w:rsidP="00225174">
      <w:pPr>
        <w:rPr>
          <w:b/>
          <w:bCs/>
          <w:lang w:eastAsia="en-AU"/>
        </w:rPr>
      </w:pPr>
      <w:r>
        <w:rPr>
          <w:b/>
          <w:bCs/>
          <w:lang w:eastAsia="en-AU"/>
        </w:rPr>
        <w:t>Royalty = RR * (V – SC)</w:t>
      </w:r>
    </w:p>
    <w:p w14:paraId="764CC3C3" w14:textId="77777777" w:rsidR="008C4922" w:rsidRDefault="008C4922" w:rsidP="00225174">
      <w:pPr>
        <w:rPr>
          <w:lang w:eastAsia="en-AU"/>
        </w:rPr>
      </w:pPr>
      <w:r>
        <w:rPr>
          <w:lang w:eastAsia="en-AU"/>
        </w:rPr>
        <w:t>where:</w:t>
      </w:r>
    </w:p>
    <w:p w14:paraId="79FF1150" w14:textId="384111F8" w:rsidR="008C4922" w:rsidRDefault="008C4922" w:rsidP="00225174">
      <w:pPr>
        <w:rPr>
          <w:lang w:eastAsia="en-AU"/>
        </w:rPr>
      </w:pPr>
      <w:r w:rsidRPr="00B43F3E">
        <w:rPr>
          <w:b/>
          <w:bCs/>
          <w:lang w:eastAsia="en-AU"/>
        </w:rPr>
        <w:t>RR</w:t>
      </w:r>
      <w:r w:rsidRPr="00B43F3E">
        <w:rPr>
          <w:b/>
          <w:bCs/>
          <w:lang w:eastAsia="en-AU"/>
        </w:rPr>
        <w:tab/>
      </w:r>
      <w:r>
        <w:rPr>
          <w:lang w:eastAsia="en-AU"/>
        </w:rPr>
        <w:tab/>
        <w:t xml:space="preserve">is the royalty rate </w:t>
      </w:r>
      <w:r w:rsidR="00A97674">
        <w:rPr>
          <w:lang w:eastAsia="en-AU"/>
        </w:rPr>
        <w:t>applicable to the</w:t>
      </w:r>
      <w:r>
        <w:rPr>
          <w:lang w:eastAsia="en-AU"/>
        </w:rPr>
        <w:t xml:space="preserve"> mineral.</w:t>
      </w:r>
    </w:p>
    <w:p w14:paraId="49482578" w14:textId="61618B39" w:rsidR="008C4922" w:rsidRDefault="008C4922" w:rsidP="00225174">
      <w:pPr>
        <w:rPr>
          <w:lang w:eastAsia="en-AU"/>
        </w:rPr>
      </w:pPr>
      <w:r w:rsidRPr="00B43F3E">
        <w:rPr>
          <w:b/>
          <w:bCs/>
          <w:lang w:eastAsia="en-AU"/>
        </w:rPr>
        <w:t>V</w:t>
      </w:r>
      <w:r w:rsidRPr="00B43F3E">
        <w:rPr>
          <w:b/>
          <w:bCs/>
          <w:lang w:eastAsia="en-AU"/>
        </w:rPr>
        <w:tab/>
      </w:r>
      <w:r w:rsidRPr="00B43F3E">
        <w:rPr>
          <w:b/>
          <w:bCs/>
          <w:lang w:eastAsia="en-AU"/>
        </w:rPr>
        <w:tab/>
      </w:r>
      <w:r>
        <w:rPr>
          <w:lang w:eastAsia="en-AU"/>
        </w:rPr>
        <w:t>is the value of the mineral ext</w:t>
      </w:r>
      <w:r w:rsidR="0066686D">
        <w:rPr>
          <w:lang w:eastAsia="en-AU"/>
        </w:rPr>
        <w:t>racted from a mining operation</w:t>
      </w:r>
      <w:r>
        <w:rPr>
          <w:lang w:eastAsia="en-AU"/>
        </w:rPr>
        <w:t>.</w:t>
      </w:r>
    </w:p>
    <w:p w14:paraId="6FD24CB9" w14:textId="61A9D732" w:rsidR="008C4922" w:rsidRDefault="008C4922" w:rsidP="00225174">
      <w:pPr>
        <w:ind w:left="567" w:hanging="567"/>
        <w:rPr>
          <w:lang w:eastAsia="en-AU"/>
        </w:rPr>
      </w:pPr>
      <w:r w:rsidRPr="002349A7">
        <w:rPr>
          <w:b/>
          <w:bCs/>
          <w:lang w:eastAsia="en-AU"/>
        </w:rPr>
        <w:t>SC</w:t>
      </w:r>
      <w:r w:rsidR="00225174">
        <w:rPr>
          <w:lang w:eastAsia="en-AU"/>
        </w:rPr>
        <w:tab/>
      </w:r>
      <w:r>
        <w:rPr>
          <w:lang w:eastAsia="en-AU"/>
        </w:rPr>
        <w:t>is the amount allowed to be deducted for shipping costs within the Territory.</w:t>
      </w:r>
    </w:p>
    <w:p w14:paraId="70ECC935" w14:textId="2E157A3E" w:rsidR="009130BA" w:rsidRPr="009130BA" w:rsidRDefault="00AD67A8" w:rsidP="009130BA">
      <w:pPr>
        <w:pStyle w:val="Heading1"/>
        <w:shd w:val="clear" w:color="auto" w:fill="FFFFFF" w:themeFill="background1"/>
        <w:rPr>
          <w:sz w:val="32"/>
          <w:lang w:eastAsia="en-AU"/>
        </w:rPr>
      </w:pPr>
      <w:r>
        <w:rPr>
          <w:sz w:val="32"/>
          <w:lang w:eastAsia="en-AU"/>
        </w:rPr>
        <w:t>What are the royalty rates?</w:t>
      </w:r>
    </w:p>
    <w:p w14:paraId="01DB6BBB" w14:textId="4BB91333" w:rsidR="009130BA" w:rsidRDefault="00CE7E9A" w:rsidP="009130BA">
      <w:pPr>
        <w:rPr>
          <w:lang w:eastAsia="en-AU"/>
        </w:rPr>
      </w:pPr>
      <w:r>
        <w:rPr>
          <w:lang w:eastAsia="en-AU"/>
        </w:rPr>
        <w:t xml:space="preserve">The royalty rates for most minerals extracted in the Territory are </w:t>
      </w:r>
      <w:r w:rsidR="00A97674">
        <w:rPr>
          <w:lang w:eastAsia="en-AU"/>
        </w:rPr>
        <w:t xml:space="preserve">set out </w:t>
      </w:r>
      <w:r>
        <w:rPr>
          <w:lang w:eastAsia="en-AU"/>
        </w:rPr>
        <w:t xml:space="preserve">in a table </w:t>
      </w:r>
      <w:r w:rsidR="00A97674">
        <w:rPr>
          <w:lang w:eastAsia="en-AU"/>
        </w:rPr>
        <w:t>in</w:t>
      </w:r>
      <w:r>
        <w:rPr>
          <w:lang w:eastAsia="en-AU"/>
        </w:rPr>
        <w:t xml:space="preserve"> Schedule 1 of the MRA24, </w:t>
      </w:r>
      <w:r w:rsidR="00A97674">
        <w:rPr>
          <w:lang w:eastAsia="en-AU"/>
        </w:rPr>
        <w:t xml:space="preserve">also </w:t>
      </w:r>
      <w:r>
        <w:rPr>
          <w:lang w:eastAsia="en-AU"/>
        </w:rPr>
        <w:t xml:space="preserve"> attached to</w:t>
      </w:r>
      <w:r w:rsidR="00DF65AE">
        <w:rPr>
          <w:lang w:eastAsia="en-AU"/>
        </w:rPr>
        <w:t xml:space="preserve"> this Fact Sheet at </w:t>
      </w:r>
      <w:hyperlink w:anchor="_Appendix_A_-" w:history="1">
        <w:r w:rsidR="00DF65AE" w:rsidRPr="00DF65AE">
          <w:rPr>
            <w:rStyle w:val="Hyperlink"/>
            <w:lang w:eastAsia="en-AU"/>
          </w:rPr>
          <w:t>Appendix</w:t>
        </w:r>
        <w:r w:rsidRPr="00DF65AE">
          <w:rPr>
            <w:rStyle w:val="Hyperlink"/>
            <w:lang w:eastAsia="en-AU"/>
          </w:rPr>
          <w:t xml:space="preserve"> A</w:t>
        </w:r>
      </w:hyperlink>
      <w:r>
        <w:rPr>
          <w:lang w:eastAsia="en-AU"/>
        </w:rPr>
        <w:t xml:space="preserve"> and </w:t>
      </w:r>
      <w:hyperlink w:anchor="_Appendix_B_-" w:history="1">
        <w:r w:rsidR="00DF65AE" w:rsidRPr="00DF65AE">
          <w:rPr>
            <w:rStyle w:val="Hyperlink"/>
            <w:lang w:eastAsia="en-AU"/>
          </w:rPr>
          <w:t xml:space="preserve">Appendix </w:t>
        </w:r>
        <w:r w:rsidRPr="00DF65AE">
          <w:rPr>
            <w:rStyle w:val="Hyperlink"/>
            <w:lang w:eastAsia="en-AU"/>
          </w:rPr>
          <w:t>B</w:t>
        </w:r>
      </w:hyperlink>
      <w:r>
        <w:rPr>
          <w:lang w:eastAsia="en-AU"/>
        </w:rPr>
        <w:t xml:space="preserve">. </w:t>
      </w:r>
      <w:r w:rsidR="00AD67A8">
        <w:rPr>
          <w:lang w:eastAsia="en-AU"/>
        </w:rPr>
        <w:t xml:space="preserve">There are four categories of rates, </w:t>
      </w:r>
      <w:r w:rsidR="009130BA" w:rsidRPr="009130BA">
        <w:rPr>
          <w:lang w:eastAsia="en-AU"/>
        </w:rPr>
        <w:t>7.5%, 5%, 3.5% or 2.5%</w:t>
      </w:r>
      <w:r w:rsidR="009130BA">
        <w:rPr>
          <w:lang w:eastAsia="en-AU"/>
        </w:rPr>
        <w:t>.</w:t>
      </w:r>
      <w:r w:rsidR="001B4822">
        <w:rPr>
          <w:lang w:eastAsia="en-AU"/>
        </w:rPr>
        <w:t xml:space="preserve"> If a mineral is not </w:t>
      </w:r>
      <w:r w:rsidR="00AD67A8">
        <w:rPr>
          <w:lang w:eastAsia="en-AU"/>
        </w:rPr>
        <w:t>listed</w:t>
      </w:r>
      <w:r w:rsidR="001B4822">
        <w:rPr>
          <w:lang w:eastAsia="en-AU"/>
        </w:rPr>
        <w:t xml:space="preserve"> in Schedule 1, the royalty rate is determined based on </w:t>
      </w:r>
      <w:r w:rsidR="00C47A3C" w:rsidRPr="00C47A3C">
        <w:rPr>
          <w:lang w:eastAsia="en-AU"/>
        </w:rPr>
        <w:t>the level of treatment and refinement of a mineral</w:t>
      </w:r>
      <w:r w:rsidR="00C47A3C">
        <w:rPr>
          <w:lang w:eastAsia="en-AU"/>
        </w:rPr>
        <w:t xml:space="preserve"> as spec</w:t>
      </w:r>
      <w:r w:rsidR="00AD67A8">
        <w:rPr>
          <w:lang w:eastAsia="en-AU"/>
        </w:rPr>
        <w:t>ified in Schedule 2 of the MRA24</w:t>
      </w:r>
      <w:r w:rsidR="00C47A3C">
        <w:rPr>
          <w:lang w:eastAsia="en-AU"/>
        </w:rPr>
        <w:t xml:space="preserve">. </w:t>
      </w:r>
    </w:p>
    <w:p w14:paraId="7534328B" w14:textId="5C80DD9D" w:rsidR="008C4922" w:rsidRPr="009130BA" w:rsidRDefault="00AD67A8" w:rsidP="008F30DE">
      <w:pPr>
        <w:pStyle w:val="Heading1"/>
        <w:shd w:val="clear" w:color="auto" w:fill="FFFFFF" w:themeFill="background1"/>
        <w:rPr>
          <w:sz w:val="32"/>
          <w:lang w:eastAsia="en-AU"/>
        </w:rPr>
      </w:pPr>
      <w:r>
        <w:rPr>
          <w:sz w:val="32"/>
          <w:lang w:eastAsia="en-AU"/>
        </w:rPr>
        <w:lastRenderedPageBreak/>
        <w:t>How to calculate the v</w:t>
      </w:r>
      <w:r w:rsidR="009130BA" w:rsidRPr="009130BA">
        <w:rPr>
          <w:sz w:val="32"/>
          <w:lang w:eastAsia="en-AU"/>
        </w:rPr>
        <w:t xml:space="preserve">alue of </w:t>
      </w:r>
      <w:r w:rsidR="009130BA">
        <w:rPr>
          <w:sz w:val="32"/>
          <w:lang w:eastAsia="en-AU"/>
        </w:rPr>
        <w:t>a</w:t>
      </w:r>
      <w:r>
        <w:rPr>
          <w:sz w:val="32"/>
          <w:lang w:eastAsia="en-AU"/>
        </w:rPr>
        <w:t xml:space="preserve"> m</w:t>
      </w:r>
      <w:r w:rsidR="009130BA" w:rsidRPr="009130BA">
        <w:rPr>
          <w:sz w:val="32"/>
          <w:lang w:eastAsia="en-AU"/>
        </w:rPr>
        <w:t>ineral</w:t>
      </w:r>
      <w:r>
        <w:rPr>
          <w:sz w:val="32"/>
          <w:lang w:eastAsia="en-AU"/>
        </w:rPr>
        <w:t>?</w:t>
      </w:r>
    </w:p>
    <w:p w14:paraId="792BC5F9" w14:textId="12AED87A" w:rsidR="003B7561" w:rsidRDefault="003B7561" w:rsidP="009130BA">
      <w:pPr>
        <w:rPr>
          <w:lang w:eastAsia="en-AU"/>
        </w:rPr>
      </w:pPr>
      <w:r>
        <w:rPr>
          <w:lang w:eastAsia="en-AU"/>
        </w:rPr>
        <w:t>Under MRA24 a sequential valuation methodology applies to determine the value of a mineral.</w:t>
      </w:r>
      <w:r w:rsidR="002768C6">
        <w:rPr>
          <w:lang w:eastAsia="en-AU"/>
        </w:rPr>
        <w:t xml:space="preserve"> This means </w:t>
      </w:r>
      <w:r w:rsidR="00AF5413">
        <w:rPr>
          <w:lang w:eastAsia="en-AU"/>
        </w:rPr>
        <w:t>holder</w:t>
      </w:r>
      <w:r w:rsidR="002768C6">
        <w:rPr>
          <w:lang w:eastAsia="en-AU"/>
        </w:rPr>
        <w:t>s</w:t>
      </w:r>
      <w:r w:rsidR="00D470BF">
        <w:rPr>
          <w:lang w:eastAsia="en-AU"/>
        </w:rPr>
        <w:t xml:space="preserve"> of a mining tenement</w:t>
      </w:r>
      <w:r w:rsidR="00AF5413">
        <w:rPr>
          <w:lang w:eastAsia="en-AU"/>
        </w:rPr>
        <w:t xml:space="preserve"> must use the first valuation method possible to determine the value of the mineral. </w:t>
      </w:r>
    </w:p>
    <w:p w14:paraId="2CB77FD1" w14:textId="34D173B9" w:rsidR="00283ABC" w:rsidRDefault="00A52B4F" w:rsidP="00EA3089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 xml:space="preserve">Where </w:t>
      </w:r>
      <w:r w:rsidR="003B7561">
        <w:rPr>
          <w:lang w:eastAsia="en-AU"/>
        </w:rPr>
        <w:t xml:space="preserve">there is a </w:t>
      </w:r>
      <w:r>
        <w:rPr>
          <w:lang w:eastAsia="en-AU"/>
        </w:rPr>
        <w:t xml:space="preserve">genuine sale on </w:t>
      </w:r>
      <w:r w:rsidR="00283ABC">
        <w:rPr>
          <w:lang w:eastAsia="en-AU"/>
        </w:rPr>
        <w:t xml:space="preserve">arm’s length terms, the value </w:t>
      </w:r>
      <w:r w:rsidR="003B7561">
        <w:rPr>
          <w:lang w:eastAsia="en-AU"/>
        </w:rPr>
        <w:t xml:space="preserve">of the mineral </w:t>
      </w:r>
      <w:r w:rsidR="00283ABC">
        <w:rPr>
          <w:lang w:eastAsia="en-AU"/>
        </w:rPr>
        <w:t>is the contract price</w:t>
      </w:r>
      <w:r w:rsidR="003B7561">
        <w:rPr>
          <w:lang w:eastAsia="en-AU"/>
        </w:rPr>
        <w:t xml:space="preserve"> for the sale. </w:t>
      </w:r>
    </w:p>
    <w:p w14:paraId="26126D2C" w14:textId="1B260194" w:rsidR="008C4922" w:rsidRDefault="00283ABC" w:rsidP="00EA3089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>Where the mineral is not transferred in a genuine sale on arm’s length terms but is subsequently sold in a genuine sale on arm’s length terms, the value is the contract price of the subsequent sale</w:t>
      </w:r>
      <w:r w:rsidR="009D6C18">
        <w:rPr>
          <w:lang w:eastAsia="en-AU"/>
        </w:rPr>
        <w:t>.</w:t>
      </w:r>
    </w:p>
    <w:p w14:paraId="281415CA" w14:textId="1567E1BE" w:rsidR="00A244F7" w:rsidRDefault="00283ABC" w:rsidP="00EA3089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>Where the mineral is lost before sale, the value is the amount received from insurance</w:t>
      </w:r>
      <w:r w:rsidR="00A244F7">
        <w:rPr>
          <w:lang w:eastAsia="en-AU"/>
        </w:rPr>
        <w:t>, indemnity or guarantee for the loss of the mineral</w:t>
      </w:r>
      <w:r w:rsidR="009D6C18">
        <w:rPr>
          <w:lang w:eastAsia="en-AU"/>
        </w:rPr>
        <w:t>.</w:t>
      </w:r>
      <w:r w:rsidR="00A244F7">
        <w:rPr>
          <w:lang w:eastAsia="en-AU"/>
        </w:rPr>
        <w:t xml:space="preserve"> </w:t>
      </w:r>
    </w:p>
    <w:p w14:paraId="1EFB042E" w14:textId="2FD36B7A" w:rsidR="009D6C18" w:rsidRDefault="009D6C18" w:rsidP="009D6C18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>Where the Commissioner of Territory Revenue (</w:t>
      </w:r>
      <w:proofErr w:type="spellStart"/>
      <w:r>
        <w:rPr>
          <w:lang w:eastAsia="en-AU"/>
        </w:rPr>
        <w:t>CoTR</w:t>
      </w:r>
      <w:proofErr w:type="spellEnd"/>
      <w:r>
        <w:rPr>
          <w:lang w:eastAsia="en-AU"/>
        </w:rPr>
        <w:t>) has recognised a market index for a mineral, the price on the index is the value of the mineral.</w:t>
      </w:r>
    </w:p>
    <w:p w14:paraId="5F1127B8" w14:textId="556CB823" w:rsidR="009D6C18" w:rsidRDefault="009D6C18" w:rsidP="009D6C18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 xml:space="preserve">The market value of the mineral as determined by the </w:t>
      </w:r>
      <w:proofErr w:type="spellStart"/>
      <w:r>
        <w:rPr>
          <w:lang w:eastAsia="en-AU"/>
        </w:rPr>
        <w:t>CoTR</w:t>
      </w:r>
      <w:proofErr w:type="spellEnd"/>
      <w:r>
        <w:rPr>
          <w:lang w:eastAsia="en-AU"/>
        </w:rPr>
        <w:t xml:space="preserve"> with reference to other sales and any benchmark prices</w:t>
      </w:r>
      <w:r w:rsidR="00AF5413">
        <w:rPr>
          <w:lang w:eastAsia="en-AU"/>
        </w:rPr>
        <w:t>.</w:t>
      </w:r>
    </w:p>
    <w:p w14:paraId="0996C53E" w14:textId="52226FF4" w:rsidR="009D6C18" w:rsidRDefault="009D6C18" w:rsidP="009D6C18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 xml:space="preserve">A price or method determined by the </w:t>
      </w:r>
      <w:proofErr w:type="spellStart"/>
      <w:r>
        <w:rPr>
          <w:lang w:eastAsia="en-AU"/>
        </w:rPr>
        <w:t>CoTR</w:t>
      </w:r>
      <w:proofErr w:type="spellEnd"/>
      <w:r w:rsidR="00AF5413">
        <w:rPr>
          <w:lang w:eastAsia="en-AU"/>
        </w:rPr>
        <w:t>.</w:t>
      </w:r>
    </w:p>
    <w:p w14:paraId="10B08015" w14:textId="76A8571F" w:rsidR="00283ABC" w:rsidRDefault="009D6C18" w:rsidP="00EA3089">
      <w:pPr>
        <w:pStyle w:val="ListParagraph"/>
        <w:numPr>
          <w:ilvl w:val="0"/>
          <w:numId w:val="12"/>
        </w:numPr>
        <w:ind w:left="567" w:hanging="567"/>
        <w:rPr>
          <w:lang w:eastAsia="en-AU"/>
        </w:rPr>
      </w:pPr>
      <w:r>
        <w:rPr>
          <w:lang w:eastAsia="en-AU"/>
        </w:rPr>
        <w:t xml:space="preserve">A price or method </w:t>
      </w:r>
      <w:r w:rsidR="00C85377">
        <w:rPr>
          <w:lang w:eastAsia="en-AU"/>
        </w:rPr>
        <w:t xml:space="preserve">determined by the holder of </w:t>
      </w:r>
      <w:r w:rsidR="00D470BF">
        <w:rPr>
          <w:lang w:eastAsia="en-AU"/>
        </w:rPr>
        <w:t>a mining</w:t>
      </w:r>
      <w:r w:rsidR="00C85377">
        <w:rPr>
          <w:lang w:eastAsia="en-AU"/>
        </w:rPr>
        <w:t xml:space="preserve"> tenement</w:t>
      </w:r>
      <w:r w:rsidR="00A97674">
        <w:rPr>
          <w:lang w:eastAsia="en-AU"/>
        </w:rPr>
        <w:t xml:space="preserve"> and approved by </w:t>
      </w:r>
      <w:proofErr w:type="spellStart"/>
      <w:r w:rsidR="00A97674">
        <w:rPr>
          <w:lang w:eastAsia="en-AU"/>
        </w:rPr>
        <w:t>CoTR</w:t>
      </w:r>
      <w:proofErr w:type="spellEnd"/>
      <w:r w:rsidR="00AF5413">
        <w:rPr>
          <w:lang w:eastAsia="en-AU"/>
        </w:rPr>
        <w:t>.</w:t>
      </w:r>
    </w:p>
    <w:p w14:paraId="03685A30" w14:textId="7360F56D" w:rsidR="00442DC1" w:rsidRDefault="0083133A" w:rsidP="00442DC1">
      <w:pPr>
        <w:rPr>
          <w:lang w:eastAsia="en-AU"/>
        </w:rPr>
      </w:pPr>
      <w:r>
        <w:rPr>
          <w:lang w:eastAsia="en-AU"/>
        </w:rPr>
        <w:t xml:space="preserve">In determining whether a sale is genuine, </w:t>
      </w:r>
      <w:r w:rsidR="002768C6">
        <w:rPr>
          <w:lang w:eastAsia="en-AU"/>
        </w:rPr>
        <w:t>holders of a mining tenement</w:t>
      </w:r>
      <w:r w:rsidR="00C85377">
        <w:rPr>
          <w:lang w:eastAsia="en-AU"/>
        </w:rPr>
        <w:t xml:space="preserve"> </w:t>
      </w:r>
      <w:r>
        <w:rPr>
          <w:lang w:eastAsia="en-AU"/>
        </w:rPr>
        <w:t xml:space="preserve">should consider </w:t>
      </w:r>
      <w:r w:rsidR="00442DC1">
        <w:rPr>
          <w:lang w:eastAsia="en-AU"/>
        </w:rPr>
        <w:t>the relationship between parties to a transaction: whether each party to the transaction is knowledgeable, willing, and is acting severally, independently, prudently and without compulsion.</w:t>
      </w:r>
    </w:p>
    <w:p w14:paraId="03926642" w14:textId="4D1381A3" w:rsidR="009130BA" w:rsidRPr="009130BA" w:rsidRDefault="00C85377" w:rsidP="009130BA">
      <w:pPr>
        <w:pStyle w:val="Heading1"/>
        <w:shd w:val="clear" w:color="auto" w:fill="FFFFFF" w:themeFill="background1"/>
        <w:rPr>
          <w:sz w:val="32"/>
          <w:lang w:eastAsia="en-AU"/>
        </w:rPr>
      </w:pPr>
      <w:r>
        <w:rPr>
          <w:sz w:val="32"/>
          <w:lang w:eastAsia="en-AU"/>
        </w:rPr>
        <w:t>What</w:t>
      </w:r>
      <w:r w:rsidR="00AD67A8">
        <w:rPr>
          <w:sz w:val="32"/>
          <w:lang w:eastAsia="en-AU"/>
        </w:rPr>
        <w:t xml:space="preserve"> shipping costs </w:t>
      </w:r>
      <w:r w:rsidR="00AF5413">
        <w:rPr>
          <w:sz w:val="32"/>
          <w:lang w:eastAsia="en-AU"/>
        </w:rPr>
        <w:t xml:space="preserve">are </w:t>
      </w:r>
      <w:r w:rsidR="00AD67A8">
        <w:rPr>
          <w:sz w:val="32"/>
          <w:lang w:eastAsia="en-AU"/>
        </w:rPr>
        <w:t>deductible?</w:t>
      </w:r>
      <w:r w:rsidR="009130BA" w:rsidRPr="009130BA">
        <w:rPr>
          <w:sz w:val="32"/>
          <w:lang w:eastAsia="en-AU"/>
        </w:rPr>
        <w:t xml:space="preserve">  </w:t>
      </w:r>
    </w:p>
    <w:p w14:paraId="2E6A807C" w14:textId="56021345" w:rsidR="009130BA" w:rsidRDefault="00D470BF" w:rsidP="009130BA">
      <w:pPr>
        <w:rPr>
          <w:lang w:eastAsia="en-AU"/>
        </w:rPr>
      </w:pPr>
      <w:r>
        <w:rPr>
          <w:lang w:eastAsia="en-AU"/>
        </w:rPr>
        <w:t>To recognise the cost of transporting minerals in the Territory holder</w:t>
      </w:r>
      <w:r w:rsidR="002768C6">
        <w:rPr>
          <w:lang w:eastAsia="en-AU"/>
        </w:rPr>
        <w:t>s</w:t>
      </w:r>
      <w:r>
        <w:rPr>
          <w:lang w:eastAsia="en-AU"/>
        </w:rPr>
        <w:t xml:space="preserve"> of a mining tenement can deduct expenses for transporting a mineral within the Territory to a purchaser. Expenses that are able to be claimed include freight (whether by road, rail, air, barge or another method) and insurance directly relating to the transport of the mineral.</w:t>
      </w:r>
    </w:p>
    <w:p w14:paraId="06FB4409" w14:textId="252480E0" w:rsidR="00A02A27" w:rsidRPr="00155659" w:rsidRDefault="00EA3089" w:rsidP="00A02A27">
      <w:pPr>
        <w:pStyle w:val="Heading1"/>
        <w:rPr>
          <w:sz w:val="32"/>
          <w:lang w:eastAsia="en-AU"/>
        </w:rPr>
      </w:pPr>
      <w:r>
        <w:rPr>
          <w:sz w:val="32"/>
          <w:lang w:eastAsia="en-AU"/>
        </w:rPr>
        <w:t xml:space="preserve">What are your obligations? </w:t>
      </w:r>
    </w:p>
    <w:p w14:paraId="3ED881EE" w14:textId="72226D94" w:rsidR="0015048B" w:rsidRDefault="00E76FEE" w:rsidP="00347C4B">
      <w:pPr>
        <w:rPr>
          <w:lang w:eastAsia="en-AU"/>
        </w:rPr>
      </w:pPr>
      <w:r>
        <w:rPr>
          <w:lang w:eastAsia="en-AU"/>
        </w:rPr>
        <w:t>Holders of a mining tenement</w:t>
      </w:r>
      <w:r w:rsidR="00CE7E9A">
        <w:rPr>
          <w:lang w:eastAsia="en-AU"/>
        </w:rPr>
        <w:t xml:space="preserve"> must register with the </w:t>
      </w:r>
      <w:proofErr w:type="spellStart"/>
      <w:r w:rsidR="00CE7E9A">
        <w:rPr>
          <w:lang w:eastAsia="en-AU"/>
        </w:rPr>
        <w:t>CoTR</w:t>
      </w:r>
      <w:proofErr w:type="spellEnd"/>
      <w:r w:rsidR="0015048B">
        <w:rPr>
          <w:lang w:eastAsia="en-AU"/>
        </w:rPr>
        <w:t xml:space="preserve"> within 30 days </w:t>
      </w:r>
      <w:r w:rsidR="00CE7E9A">
        <w:rPr>
          <w:lang w:eastAsia="en-AU"/>
        </w:rPr>
        <w:t>of</w:t>
      </w:r>
      <w:r w:rsidR="0015048B">
        <w:rPr>
          <w:lang w:eastAsia="en-AU"/>
        </w:rPr>
        <w:t xml:space="preserve"> extracting a </w:t>
      </w:r>
      <w:r w:rsidR="002768C6">
        <w:rPr>
          <w:lang w:eastAsia="en-AU"/>
        </w:rPr>
        <w:t xml:space="preserve">mineral from a mining operation, </w:t>
      </w:r>
      <w:r>
        <w:rPr>
          <w:lang w:eastAsia="en-AU"/>
        </w:rPr>
        <w:t>by completing a Registration Form.</w:t>
      </w:r>
    </w:p>
    <w:p w14:paraId="62B79FDD" w14:textId="16226299" w:rsidR="0066686D" w:rsidRDefault="00E76FEE" w:rsidP="0066686D">
      <w:r>
        <w:rPr>
          <w:lang w:eastAsia="en-AU"/>
        </w:rPr>
        <w:t>Holders of a mining tenement</w:t>
      </w:r>
      <w:r w:rsidR="0098439B">
        <w:rPr>
          <w:lang w:eastAsia="en-AU"/>
        </w:rPr>
        <w:t xml:space="preserve"> must pay royalty within 30 days after the end of each quarter</w:t>
      </w:r>
      <w:r>
        <w:rPr>
          <w:lang w:eastAsia="en-AU"/>
        </w:rPr>
        <w:t xml:space="preserve"> and an </w:t>
      </w:r>
      <w:r w:rsidR="0098439B">
        <w:rPr>
          <w:lang w:eastAsia="en-AU"/>
        </w:rPr>
        <w:t xml:space="preserve">annual </w:t>
      </w:r>
      <w:r w:rsidR="008C4FC7" w:rsidRPr="008C4FC7">
        <w:rPr>
          <w:lang w:eastAsia="en-AU"/>
        </w:rPr>
        <w:t>roya</w:t>
      </w:r>
      <w:r w:rsidR="008C4FC7">
        <w:rPr>
          <w:lang w:eastAsia="en-AU"/>
        </w:rPr>
        <w:t xml:space="preserve">lty return </w:t>
      </w:r>
      <w:r w:rsidR="0098439B">
        <w:rPr>
          <w:lang w:eastAsia="en-AU"/>
        </w:rPr>
        <w:t>must</w:t>
      </w:r>
      <w:r w:rsidR="008C4FC7">
        <w:rPr>
          <w:lang w:eastAsia="en-AU"/>
        </w:rPr>
        <w:t xml:space="preserve"> be lodged</w:t>
      </w:r>
      <w:r w:rsidR="008C4FC7" w:rsidRPr="008C4FC7">
        <w:rPr>
          <w:lang w:eastAsia="en-AU"/>
        </w:rPr>
        <w:t xml:space="preserve"> within 30 days</w:t>
      </w:r>
      <w:r w:rsidR="008C4FC7">
        <w:rPr>
          <w:lang w:eastAsia="en-AU"/>
        </w:rPr>
        <w:t xml:space="preserve"> of the end of the royalty year</w:t>
      </w:r>
      <w:r w:rsidR="0098439B">
        <w:rPr>
          <w:lang w:eastAsia="en-AU"/>
        </w:rPr>
        <w:t xml:space="preserve">. </w:t>
      </w:r>
      <w:r w:rsidR="002768C6">
        <w:rPr>
          <w:lang w:eastAsia="en-AU"/>
        </w:rPr>
        <w:t>The r</w:t>
      </w:r>
      <w:r>
        <w:rPr>
          <w:lang w:eastAsia="en-AU"/>
        </w:rPr>
        <w:t>egistration, quarterly return and annual return</w:t>
      </w:r>
      <w:r w:rsidR="0098439B">
        <w:rPr>
          <w:lang w:eastAsia="en-AU"/>
        </w:rPr>
        <w:t xml:space="preserve"> forms are</w:t>
      </w:r>
      <w:r w:rsidR="008C4FC7">
        <w:rPr>
          <w:lang w:eastAsia="en-AU"/>
        </w:rPr>
        <w:t xml:space="preserve"> available on Territory Revenue Office</w:t>
      </w:r>
      <w:r w:rsidR="002768C6">
        <w:rPr>
          <w:lang w:eastAsia="en-AU"/>
        </w:rPr>
        <w:t xml:space="preserve"> (TRO)</w:t>
      </w:r>
      <w:r w:rsidR="008C4FC7">
        <w:rPr>
          <w:lang w:eastAsia="en-AU"/>
        </w:rPr>
        <w:t>’s Publication website</w:t>
      </w:r>
      <w:r w:rsidR="0098439B">
        <w:rPr>
          <w:rStyle w:val="FootnoteReference"/>
          <w:lang w:eastAsia="en-AU"/>
        </w:rPr>
        <w:footnoteReference w:id="1"/>
      </w:r>
      <w:r w:rsidR="0098439B">
        <w:rPr>
          <w:lang w:eastAsia="en-AU"/>
        </w:rPr>
        <w:t xml:space="preserve"> and are lodged via email to </w:t>
      </w:r>
      <w:r>
        <w:rPr>
          <w:lang w:eastAsia="en-AU"/>
        </w:rPr>
        <w:t>TRO</w:t>
      </w:r>
      <w:r w:rsidR="0098439B">
        <w:rPr>
          <w:lang w:eastAsia="en-AU"/>
        </w:rPr>
        <w:t xml:space="preserve"> at</w:t>
      </w:r>
      <w:r w:rsidR="008C4FC7">
        <w:rPr>
          <w:lang w:eastAsia="en-AU"/>
        </w:rPr>
        <w:t xml:space="preserve"> </w:t>
      </w:r>
      <w:hyperlink r:id="rId9" w:history="1">
        <w:r w:rsidR="008C4FC7" w:rsidRPr="000278B1">
          <w:rPr>
            <w:rStyle w:val="Hyperlink"/>
            <w:lang w:eastAsia="en-AU"/>
          </w:rPr>
          <w:t>royaltiesandassurance.dtf@nt.gov.au</w:t>
        </w:r>
      </w:hyperlink>
    </w:p>
    <w:p w14:paraId="507C0E75" w14:textId="300D7A64" w:rsidR="00955BB4" w:rsidRPr="00955BB4" w:rsidRDefault="00955BB4" w:rsidP="00955BB4">
      <w:pPr>
        <w:widowControl w:val="0"/>
      </w:pPr>
      <w:r w:rsidRPr="00955BB4">
        <w:t xml:space="preserve">For further information, </w:t>
      </w:r>
      <w:r w:rsidR="0098439B">
        <w:t xml:space="preserve">please refer to the </w:t>
      </w:r>
      <w:r w:rsidR="00E76FEE">
        <w:t>guidance material available online</w:t>
      </w:r>
      <w:r w:rsidR="0098439B">
        <w:rPr>
          <w:lang w:eastAsia="en-AU"/>
        </w:rPr>
        <w:t xml:space="preserve"> or </w:t>
      </w:r>
      <w:r w:rsidRPr="00955BB4">
        <w:t xml:space="preserve">contact </w:t>
      </w:r>
      <w:r w:rsidR="0098439B">
        <w:t>our office as follows:</w:t>
      </w:r>
    </w:p>
    <w:p w14:paraId="352F8E51" w14:textId="77777777" w:rsidR="00955BB4" w:rsidRPr="00955BB4" w:rsidRDefault="00955BB4" w:rsidP="002768C6">
      <w:pPr>
        <w:widowControl w:val="0"/>
        <w:spacing w:after="120"/>
        <w:rPr>
          <w:sz w:val="18"/>
        </w:rPr>
      </w:pPr>
      <w:r w:rsidRPr="00955BB4">
        <w:rPr>
          <w:sz w:val="18"/>
        </w:rPr>
        <w:t>Level 14, Charles Darwin Centre</w:t>
      </w:r>
      <w:r w:rsidRPr="00955BB4">
        <w:rPr>
          <w:sz w:val="18"/>
        </w:rPr>
        <w:tab/>
        <w:t>Phone: 1300 305 353</w:t>
      </w:r>
    </w:p>
    <w:p w14:paraId="7C739356" w14:textId="77777777" w:rsidR="00955BB4" w:rsidRPr="00955BB4" w:rsidRDefault="00955BB4" w:rsidP="002768C6">
      <w:pPr>
        <w:widowControl w:val="0"/>
        <w:spacing w:after="120"/>
        <w:rPr>
          <w:sz w:val="18"/>
        </w:rPr>
      </w:pPr>
      <w:r w:rsidRPr="00955BB4">
        <w:rPr>
          <w:sz w:val="18"/>
        </w:rPr>
        <w:t>19 The Mall, Smith Street</w:t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  <w:t>Fax: (08) 8999 5577</w:t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b/>
          <w:sz w:val="18"/>
        </w:rPr>
        <w:t>Office hours:</w:t>
      </w:r>
    </w:p>
    <w:p w14:paraId="78E8493E" w14:textId="1A1F03C5" w:rsidR="00955BB4" w:rsidRPr="00955BB4" w:rsidRDefault="00955BB4" w:rsidP="002768C6">
      <w:pPr>
        <w:widowControl w:val="0"/>
        <w:spacing w:after="120"/>
        <w:rPr>
          <w:sz w:val="18"/>
        </w:rPr>
      </w:pPr>
      <w:r w:rsidRPr="00955BB4">
        <w:rPr>
          <w:sz w:val="18"/>
        </w:rPr>
        <w:t>GPO Box 1974</w:t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  <w:t xml:space="preserve">Website: </w:t>
      </w:r>
      <w:hyperlink r:id="rId10" w:history="1">
        <w:r w:rsidRPr="00955BB4">
          <w:rPr>
            <w:rStyle w:val="Hyperlink"/>
            <w:sz w:val="18"/>
          </w:rPr>
          <w:t>www.revenue.nt.gov.au</w:t>
        </w:r>
      </w:hyperlink>
      <w:r w:rsidR="00C47A3C">
        <w:rPr>
          <w:sz w:val="18"/>
        </w:rPr>
        <w:tab/>
      </w:r>
      <w:r w:rsidR="00C47A3C">
        <w:rPr>
          <w:sz w:val="18"/>
        </w:rPr>
        <w:tab/>
      </w:r>
      <w:r w:rsidR="00C47A3C">
        <w:rPr>
          <w:sz w:val="18"/>
        </w:rPr>
        <w:tab/>
      </w:r>
      <w:r w:rsidR="00C47A3C">
        <w:rPr>
          <w:sz w:val="18"/>
        </w:rPr>
        <w:tab/>
        <w:t>9.00am to 4.00</w:t>
      </w:r>
      <w:r w:rsidRPr="00955BB4">
        <w:rPr>
          <w:sz w:val="18"/>
        </w:rPr>
        <w:t>pm Monday to Friday</w:t>
      </w:r>
    </w:p>
    <w:p w14:paraId="45C2CD62" w14:textId="11F8A643" w:rsidR="00A02A27" w:rsidRPr="00955BB4" w:rsidRDefault="00955BB4" w:rsidP="002768C6">
      <w:pPr>
        <w:spacing w:after="120"/>
        <w:rPr>
          <w:sz w:val="18"/>
          <w:lang w:eastAsia="en-AU"/>
        </w:rPr>
      </w:pPr>
      <w:r w:rsidRPr="00955BB4">
        <w:rPr>
          <w:sz w:val="18"/>
        </w:rPr>
        <w:t>DARWIN NT 0801</w:t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</w:r>
      <w:r w:rsidRPr="00955BB4">
        <w:rPr>
          <w:sz w:val="18"/>
        </w:rPr>
        <w:tab/>
        <w:t xml:space="preserve">Email: </w:t>
      </w:r>
      <w:hyperlink r:id="rId11" w:history="1">
        <w:r w:rsidRPr="00955BB4">
          <w:rPr>
            <w:rStyle w:val="Hyperlink"/>
            <w:sz w:val="18"/>
          </w:rPr>
          <w:t>royaltiesandassurance.dtf@nt.gov.au</w:t>
        </w:r>
      </w:hyperlink>
      <w:r w:rsidR="00C47A3C">
        <w:rPr>
          <w:sz w:val="18"/>
        </w:rPr>
        <w:tab/>
        <w:t>9.00am to 2.00</w:t>
      </w:r>
      <w:r w:rsidRPr="00955BB4">
        <w:rPr>
          <w:sz w:val="18"/>
        </w:rPr>
        <w:t xml:space="preserve">pm last </w:t>
      </w:r>
      <w:r w:rsidR="00C47A3C">
        <w:rPr>
          <w:sz w:val="18"/>
        </w:rPr>
        <w:t>Wednesday</w:t>
      </w:r>
      <w:r w:rsidRPr="00955BB4">
        <w:rPr>
          <w:sz w:val="18"/>
        </w:rPr>
        <w:t xml:space="preserve"> of each mont</w:t>
      </w:r>
      <w:r>
        <w:rPr>
          <w:sz w:val="18"/>
        </w:rPr>
        <w:t>h</w:t>
      </w:r>
    </w:p>
    <w:p w14:paraId="6E0056ED" w14:textId="22979699" w:rsidR="00C47A3C" w:rsidRPr="008179AC" w:rsidRDefault="00C47A3C" w:rsidP="00D470BF">
      <w:pPr>
        <w:pStyle w:val="Heading1"/>
      </w:pPr>
      <w:bookmarkStart w:id="2" w:name="_Appendix_A_-"/>
      <w:bookmarkStart w:id="3" w:name="_Toc160786771"/>
      <w:bookmarkEnd w:id="2"/>
      <w:r>
        <w:rPr>
          <w:rStyle w:val="charScheduleText"/>
        </w:rPr>
        <w:lastRenderedPageBreak/>
        <w:t xml:space="preserve">Appendix A - </w:t>
      </w:r>
      <w:r w:rsidRPr="008179AC">
        <w:rPr>
          <w:rStyle w:val="charScheduleText"/>
        </w:rPr>
        <w:t>Schedule 1</w:t>
      </w:r>
      <w:r w:rsidRPr="008179AC">
        <w:rPr>
          <w:rStyle w:val="charScheduleText"/>
        </w:rPr>
        <w:tab/>
        <w:t>Royalty rates</w:t>
      </w:r>
      <w:bookmarkEnd w:id="3"/>
    </w:p>
    <w:p w14:paraId="1E13C586" w14:textId="77777777" w:rsidR="00C47A3C" w:rsidRPr="008179AC" w:rsidRDefault="00C47A3C" w:rsidP="00C47A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ind w:right="992"/>
        <w:jc w:val="right"/>
      </w:pPr>
      <w:r w:rsidRPr="008179AC">
        <w:t xml:space="preserve">section </w:t>
      </w:r>
      <w:r w:rsidRPr="008179AC">
        <w:fldChar w:fldCharType="begin"/>
      </w:r>
      <w:r w:rsidRPr="008179AC">
        <w:instrText xml:space="preserve"> REF _Ref120179221 \r \h </w:instrText>
      </w:r>
      <w:r w:rsidRPr="008179AC">
        <w:fldChar w:fldCharType="separate"/>
      </w:r>
      <w:r>
        <w:t>13</w:t>
      </w:r>
      <w:r w:rsidRPr="008179AC">
        <w:fldChar w:fldCharType="end"/>
      </w:r>
      <w:r w:rsidRPr="008179AC">
        <w:t>(1)</w:t>
      </w:r>
    </w:p>
    <w:tbl>
      <w:tblPr>
        <w:tblStyle w:val="NTGtable1"/>
        <w:tblW w:w="9570" w:type="dxa"/>
        <w:tblLook w:val="04A0" w:firstRow="1" w:lastRow="0" w:firstColumn="1" w:lastColumn="0" w:noHBand="0" w:noVBand="1"/>
      </w:tblPr>
      <w:tblGrid>
        <w:gridCol w:w="5353"/>
        <w:gridCol w:w="4217"/>
      </w:tblGrid>
      <w:tr w:rsidR="00C47A3C" w:rsidRPr="008179AC" w14:paraId="08317BC2" w14:textId="77777777" w:rsidTr="008A6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3" w:type="dxa"/>
          </w:tcPr>
          <w:p w14:paraId="778D703B" w14:textId="77777777" w:rsidR="00C47A3C" w:rsidRPr="008179AC" w:rsidRDefault="00C47A3C" w:rsidP="007C3A5D">
            <w:pPr>
              <w:pStyle w:val="OmitSubref"/>
              <w:rPr>
                <w:rFonts w:cs="Arial"/>
                <w:b w:val="0"/>
                <w:bCs/>
              </w:rPr>
            </w:pPr>
            <w:r w:rsidRPr="008179AC">
              <w:rPr>
                <w:rFonts w:cs="Arial"/>
                <w:bCs/>
              </w:rPr>
              <w:t>Mineral</w:t>
            </w:r>
          </w:p>
        </w:tc>
        <w:tc>
          <w:tcPr>
            <w:tcW w:w="4217" w:type="dxa"/>
          </w:tcPr>
          <w:p w14:paraId="08177D60" w14:textId="77777777" w:rsidR="00C47A3C" w:rsidRPr="008179AC" w:rsidRDefault="00C47A3C" w:rsidP="007C3A5D">
            <w:pPr>
              <w:pStyle w:val="OmitSubre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 w:rsidRPr="008179AC">
              <w:rPr>
                <w:rFonts w:cs="Arial"/>
                <w:bCs/>
              </w:rPr>
              <w:t>Royalty rate</w:t>
            </w:r>
          </w:p>
        </w:tc>
      </w:tr>
      <w:tr w:rsidR="00C47A3C" w:rsidRPr="008179AC" w14:paraId="3B81FEB3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D657793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Alumina</w:t>
            </w:r>
          </w:p>
        </w:tc>
        <w:tc>
          <w:tcPr>
            <w:tcW w:w="4217" w:type="dxa"/>
          </w:tcPr>
          <w:p w14:paraId="68A921C9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014BE0D4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514FB56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Aluminium</w:t>
            </w:r>
          </w:p>
        </w:tc>
        <w:tc>
          <w:tcPr>
            <w:tcW w:w="4217" w:type="dxa"/>
          </w:tcPr>
          <w:p w14:paraId="10FAD1B6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5A23686B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6FCD0D9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Bauxite</w:t>
            </w:r>
          </w:p>
        </w:tc>
        <w:tc>
          <w:tcPr>
            <w:tcW w:w="4217" w:type="dxa"/>
          </w:tcPr>
          <w:p w14:paraId="3BE4F8A3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57EE3038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B69BD9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Chromite (concentrate)</w:t>
            </w:r>
          </w:p>
        </w:tc>
        <w:tc>
          <w:tcPr>
            <w:tcW w:w="4217" w:type="dxa"/>
          </w:tcPr>
          <w:p w14:paraId="429B393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9EA83EB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7BCB440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Coal</w:t>
            </w:r>
          </w:p>
        </w:tc>
        <w:tc>
          <w:tcPr>
            <w:tcW w:w="4217" w:type="dxa"/>
          </w:tcPr>
          <w:p w14:paraId="4D5BE845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3240E5F0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4D3BAF2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Cobalt (concentrate)</w:t>
            </w:r>
          </w:p>
        </w:tc>
        <w:tc>
          <w:tcPr>
            <w:tcW w:w="4217" w:type="dxa"/>
          </w:tcPr>
          <w:p w14:paraId="19B790F6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367ADAE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EC2075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Cobalt (metal)</w:t>
            </w:r>
          </w:p>
        </w:tc>
        <w:tc>
          <w:tcPr>
            <w:tcW w:w="4217" w:type="dxa"/>
          </w:tcPr>
          <w:p w14:paraId="74A0AF08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5E2641EF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B7EDC14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Copper (crushed or screened material)</w:t>
            </w:r>
          </w:p>
        </w:tc>
        <w:tc>
          <w:tcPr>
            <w:tcW w:w="4217" w:type="dxa"/>
          </w:tcPr>
          <w:p w14:paraId="5CCDCC5F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6A71B19B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CBC5D77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Copper (concentrate)</w:t>
            </w:r>
          </w:p>
        </w:tc>
        <w:tc>
          <w:tcPr>
            <w:tcW w:w="4217" w:type="dxa"/>
          </w:tcPr>
          <w:p w14:paraId="615A90CB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4B61835D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6B77CCC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Copper (metal)</w:t>
            </w:r>
          </w:p>
        </w:tc>
        <w:tc>
          <w:tcPr>
            <w:tcW w:w="4217" w:type="dxa"/>
          </w:tcPr>
          <w:p w14:paraId="683B70C1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69B33DA9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6F96C29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Diamond</w:t>
            </w:r>
          </w:p>
        </w:tc>
        <w:tc>
          <w:tcPr>
            <w:tcW w:w="4217" w:type="dxa"/>
          </w:tcPr>
          <w:p w14:paraId="59B757E1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7F7428B8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C515DF4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Feldspar</w:t>
            </w:r>
          </w:p>
        </w:tc>
        <w:tc>
          <w:tcPr>
            <w:tcW w:w="4217" w:type="dxa"/>
          </w:tcPr>
          <w:p w14:paraId="788E2025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49ECA5C9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64B0FA9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Ferrovanadium</w:t>
            </w:r>
          </w:p>
        </w:tc>
        <w:tc>
          <w:tcPr>
            <w:tcW w:w="4217" w:type="dxa"/>
          </w:tcPr>
          <w:p w14:paraId="28A480C4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70D1ECB4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6A0EDE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Garnet</w:t>
            </w:r>
          </w:p>
        </w:tc>
        <w:tc>
          <w:tcPr>
            <w:tcW w:w="4217" w:type="dxa"/>
          </w:tcPr>
          <w:p w14:paraId="36D3A79C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1131E25E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07297D9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Gems and precious stones</w:t>
            </w:r>
          </w:p>
        </w:tc>
        <w:tc>
          <w:tcPr>
            <w:tcW w:w="4217" w:type="dxa"/>
          </w:tcPr>
          <w:p w14:paraId="07382D63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10E59F9C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1C5FADA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Gold (nuggets)</w:t>
            </w:r>
          </w:p>
        </w:tc>
        <w:tc>
          <w:tcPr>
            <w:tcW w:w="4217" w:type="dxa"/>
          </w:tcPr>
          <w:p w14:paraId="63355AB4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174E3521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428CC9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Gold (gravity recovery)</w:t>
            </w:r>
          </w:p>
        </w:tc>
        <w:tc>
          <w:tcPr>
            <w:tcW w:w="4217" w:type="dxa"/>
          </w:tcPr>
          <w:p w14:paraId="3C3D50B6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46AC3160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E58F2C1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Gold (doré)</w:t>
            </w:r>
          </w:p>
        </w:tc>
        <w:tc>
          <w:tcPr>
            <w:tcW w:w="4217" w:type="dxa"/>
          </w:tcPr>
          <w:p w14:paraId="25659FB2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4C4D91D4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6EF152D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Graphite (flake concentrate)</w:t>
            </w:r>
          </w:p>
        </w:tc>
        <w:tc>
          <w:tcPr>
            <w:tcW w:w="4217" w:type="dxa"/>
          </w:tcPr>
          <w:p w14:paraId="2D0C4F5E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3A4A541C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6E05332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Graphite (spherical)</w:t>
            </w:r>
          </w:p>
        </w:tc>
        <w:tc>
          <w:tcPr>
            <w:tcW w:w="4217" w:type="dxa"/>
          </w:tcPr>
          <w:p w14:paraId="76E4958E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51FD0979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08982D3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 xml:space="preserve">Ilmenite </w:t>
            </w:r>
          </w:p>
        </w:tc>
        <w:tc>
          <w:tcPr>
            <w:tcW w:w="4217" w:type="dxa"/>
          </w:tcPr>
          <w:p w14:paraId="466CAB86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1347C53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3613FF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Iron ore (crushed or screened material)</w:t>
            </w:r>
          </w:p>
        </w:tc>
        <w:tc>
          <w:tcPr>
            <w:tcW w:w="4217" w:type="dxa"/>
          </w:tcPr>
          <w:p w14:paraId="74E0053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45D09BFD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5924D4C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Iron ore (beneficiated)</w:t>
            </w:r>
          </w:p>
        </w:tc>
        <w:tc>
          <w:tcPr>
            <w:tcW w:w="4217" w:type="dxa"/>
          </w:tcPr>
          <w:p w14:paraId="38AC51F3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7F49C814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EFD020A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lastRenderedPageBreak/>
              <w:t>Iron ore (magnetite)</w:t>
            </w:r>
          </w:p>
        </w:tc>
        <w:tc>
          <w:tcPr>
            <w:tcW w:w="4217" w:type="dxa"/>
          </w:tcPr>
          <w:p w14:paraId="7B441E42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66CA295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C8D9C14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Kaolin</w:t>
            </w:r>
          </w:p>
        </w:tc>
        <w:tc>
          <w:tcPr>
            <w:tcW w:w="4217" w:type="dxa"/>
          </w:tcPr>
          <w:p w14:paraId="6FA98BFF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75821077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0A60C2B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Lead (concentrate)</w:t>
            </w:r>
          </w:p>
        </w:tc>
        <w:tc>
          <w:tcPr>
            <w:tcW w:w="4217" w:type="dxa"/>
          </w:tcPr>
          <w:p w14:paraId="1D2D7F87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3DDA185C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9BEAECD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Lead (metal)</w:t>
            </w:r>
          </w:p>
        </w:tc>
        <w:tc>
          <w:tcPr>
            <w:tcW w:w="4217" w:type="dxa"/>
          </w:tcPr>
          <w:p w14:paraId="4344B4D5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2EB94C13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2E5581C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Leucoxene</w:t>
            </w:r>
          </w:p>
        </w:tc>
        <w:tc>
          <w:tcPr>
            <w:tcW w:w="4217" w:type="dxa"/>
          </w:tcPr>
          <w:p w14:paraId="63723071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479ABF6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5A8336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Limestone</w:t>
            </w:r>
          </w:p>
        </w:tc>
        <w:tc>
          <w:tcPr>
            <w:tcW w:w="4217" w:type="dxa"/>
          </w:tcPr>
          <w:p w14:paraId="70C86FE6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0D56FE0E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AC6DB4D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Lithium (crushed or screened material)</w:t>
            </w:r>
          </w:p>
        </w:tc>
        <w:tc>
          <w:tcPr>
            <w:tcW w:w="4217" w:type="dxa"/>
          </w:tcPr>
          <w:p w14:paraId="19D7F822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34EEF5B6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D5D206C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Lithium (concentrate)</w:t>
            </w:r>
          </w:p>
        </w:tc>
        <w:tc>
          <w:tcPr>
            <w:tcW w:w="4217" w:type="dxa"/>
          </w:tcPr>
          <w:p w14:paraId="58B1B80F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25EE3E03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E550DED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Lithium (hydroxide and carbonate)</w:t>
            </w:r>
          </w:p>
        </w:tc>
        <w:tc>
          <w:tcPr>
            <w:tcW w:w="4217" w:type="dxa"/>
          </w:tcPr>
          <w:p w14:paraId="30040987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2C6F0196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FCDB4E2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Magnesium (crushed or screened material)</w:t>
            </w:r>
          </w:p>
        </w:tc>
        <w:tc>
          <w:tcPr>
            <w:tcW w:w="4217" w:type="dxa"/>
          </w:tcPr>
          <w:p w14:paraId="51A119FE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796435DB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99CA8F1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Magnesium (concentrate)</w:t>
            </w:r>
          </w:p>
        </w:tc>
        <w:tc>
          <w:tcPr>
            <w:tcW w:w="4217" w:type="dxa"/>
          </w:tcPr>
          <w:p w14:paraId="4A09EA09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35AF472D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473038E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Magnesium (calcined magnesia)</w:t>
            </w:r>
          </w:p>
        </w:tc>
        <w:tc>
          <w:tcPr>
            <w:tcW w:w="4217" w:type="dxa"/>
          </w:tcPr>
          <w:p w14:paraId="1B5C0EC4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281E7987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04A5840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Magnesium (metal)</w:t>
            </w:r>
          </w:p>
        </w:tc>
        <w:tc>
          <w:tcPr>
            <w:tcW w:w="4217" w:type="dxa"/>
          </w:tcPr>
          <w:p w14:paraId="5F284CFD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335EE01A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428EDEF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Manganese (crushed or screened material)</w:t>
            </w:r>
          </w:p>
        </w:tc>
        <w:tc>
          <w:tcPr>
            <w:tcW w:w="4217" w:type="dxa"/>
          </w:tcPr>
          <w:p w14:paraId="213CC504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67389720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9C82162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Manganese (beneficiated)</w:t>
            </w:r>
          </w:p>
        </w:tc>
        <w:tc>
          <w:tcPr>
            <w:tcW w:w="4217" w:type="dxa"/>
          </w:tcPr>
          <w:p w14:paraId="6DB58191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18AE42DD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10AA5C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Molybdenum (concentrate)</w:t>
            </w:r>
          </w:p>
        </w:tc>
        <w:tc>
          <w:tcPr>
            <w:tcW w:w="4217" w:type="dxa"/>
          </w:tcPr>
          <w:p w14:paraId="1086A680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0874ECEA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047C667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Molybdenum (metal)</w:t>
            </w:r>
          </w:p>
        </w:tc>
        <w:tc>
          <w:tcPr>
            <w:tcW w:w="4217" w:type="dxa"/>
          </w:tcPr>
          <w:p w14:paraId="0C9342C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17639507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8B177B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Nickel (crushed or screened material)</w:t>
            </w:r>
          </w:p>
        </w:tc>
        <w:tc>
          <w:tcPr>
            <w:tcW w:w="4217" w:type="dxa"/>
          </w:tcPr>
          <w:p w14:paraId="1B4A95DA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7D9663BF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258F64C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Nickel (concentrate)</w:t>
            </w:r>
          </w:p>
        </w:tc>
        <w:tc>
          <w:tcPr>
            <w:tcW w:w="4217" w:type="dxa"/>
          </w:tcPr>
          <w:p w14:paraId="09EDA9C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36BC2C10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D7D8249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Nickel (metal)</w:t>
            </w:r>
          </w:p>
        </w:tc>
        <w:tc>
          <w:tcPr>
            <w:tcW w:w="4217" w:type="dxa"/>
          </w:tcPr>
          <w:p w14:paraId="22FBF394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22986F27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BF33D99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Ochre</w:t>
            </w:r>
          </w:p>
        </w:tc>
        <w:tc>
          <w:tcPr>
            <w:tcW w:w="4217" w:type="dxa"/>
          </w:tcPr>
          <w:p w14:paraId="6D8F03FA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28840812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4CED033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Platinoids (metal)</w:t>
            </w:r>
          </w:p>
        </w:tc>
        <w:tc>
          <w:tcPr>
            <w:tcW w:w="4217" w:type="dxa"/>
          </w:tcPr>
          <w:p w14:paraId="3BA0F281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443CCA2D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C365FC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Phosphate (crushed or screened material)</w:t>
            </w:r>
          </w:p>
        </w:tc>
        <w:tc>
          <w:tcPr>
            <w:tcW w:w="4217" w:type="dxa"/>
          </w:tcPr>
          <w:p w14:paraId="7D050279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6FE3C9C6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B2501AD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Phosphate (concentrate)</w:t>
            </w:r>
          </w:p>
        </w:tc>
        <w:tc>
          <w:tcPr>
            <w:tcW w:w="4217" w:type="dxa"/>
          </w:tcPr>
          <w:p w14:paraId="05BE482E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4183563C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0C0B28F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Phosphoric acid</w:t>
            </w:r>
          </w:p>
        </w:tc>
        <w:tc>
          <w:tcPr>
            <w:tcW w:w="4217" w:type="dxa"/>
          </w:tcPr>
          <w:p w14:paraId="4B8ED4B7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55C98F71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69008E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Quicklime</w:t>
            </w:r>
          </w:p>
        </w:tc>
        <w:tc>
          <w:tcPr>
            <w:tcW w:w="4217" w:type="dxa"/>
          </w:tcPr>
          <w:p w14:paraId="3EB235DF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248542D0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090BD51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lastRenderedPageBreak/>
              <w:t>Rare earths (concentrate)</w:t>
            </w:r>
          </w:p>
        </w:tc>
        <w:tc>
          <w:tcPr>
            <w:tcW w:w="4217" w:type="dxa"/>
          </w:tcPr>
          <w:p w14:paraId="3BBB890B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15E44E4F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760FAE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Rare earths (oxide)</w:t>
            </w:r>
          </w:p>
        </w:tc>
        <w:tc>
          <w:tcPr>
            <w:tcW w:w="4217" w:type="dxa"/>
          </w:tcPr>
          <w:p w14:paraId="4E866BD9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54C25D0C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29CE471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Rare earths (metal)</w:t>
            </w:r>
          </w:p>
        </w:tc>
        <w:tc>
          <w:tcPr>
            <w:tcW w:w="4217" w:type="dxa"/>
          </w:tcPr>
          <w:p w14:paraId="07F4C8A7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1ADFC08A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F787FE8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Rutile</w:t>
            </w:r>
          </w:p>
        </w:tc>
        <w:tc>
          <w:tcPr>
            <w:tcW w:w="4217" w:type="dxa"/>
          </w:tcPr>
          <w:p w14:paraId="0CCFCC5D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2A42A35B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4EA1CD1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Salt</w:t>
            </w:r>
          </w:p>
        </w:tc>
        <w:tc>
          <w:tcPr>
            <w:tcW w:w="4217" w:type="dxa"/>
          </w:tcPr>
          <w:p w14:paraId="7460379E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7389524D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5981B6BE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Semi</w:t>
            </w:r>
            <w:r w:rsidRPr="008179AC">
              <w:noBreakHyphen/>
              <w:t>precious stones (including specimen stones)</w:t>
            </w:r>
          </w:p>
        </w:tc>
        <w:tc>
          <w:tcPr>
            <w:tcW w:w="4217" w:type="dxa"/>
          </w:tcPr>
          <w:p w14:paraId="604C8B4F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7.5%</w:t>
            </w:r>
          </w:p>
        </w:tc>
      </w:tr>
      <w:tr w:rsidR="00C47A3C" w:rsidRPr="008179AC" w14:paraId="66141731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62756CB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Silicon (metal)</w:t>
            </w:r>
          </w:p>
        </w:tc>
        <w:tc>
          <w:tcPr>
            <w:tcW w:w="4217" w:type="dxa"/>
          </w:tcPr>
          <w:p w14:paraId="5E39AFA4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3BB51355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BCAB33B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Silver (concentrate)</w:t>
            </w:r>
          </w:p>
        </w:tc>
        <w:tc>
          <w:tcPr>
            <w:tcW w:w="4217" w:type="dxa"/>
          </w:tcPr>
          <w:p w14:paraId="1A4A9EA6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085931A7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CB3733B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Silver (doré)</w:t>
            </w:r>
          </w:p>
        </w:tc>
        <w:tc>
          <w:tcPr>
            <w:tcW w:w="4217" w:type="dxa"/>
          </w:tcPr>
          <w:p w14:paraId="7B585F9E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11444B57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0D293E1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Silver (metal)</w:t>
            </w:r>
          </w:p>
        </w:tc>
        <w:tc>
          <w:tcPr>
            <w:tcW w:w="4217" w:type="dxa"/>
          </w:tcPr>
          <w:p w14:paraId="09801222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6F90AC5A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40B09CC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proofErr w:type="spellStart"/>
            <w:r w:rsidRPr="008179AC">
              <w:t>Spongolite</w:t>
            </w:r>
            <w:proofErr w:type="spellEnd"/>
          </w:p>
        </w:tc>
        <w:tc>
          <w:tcPr>
            <w:tcW w:w="4217" w:type="dxa"/>
          </w:tcPr>
          <w:p w14:paraId="36838BA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19097433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C30E51E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Tantalum (concentrate)</w:t>
            </w:r>
          </w:p>
        </w:tc>
        <w:tc>
          <w:tcPr>
            <w:tcW w:w="4217" w:type="dxa"/>
          </w:tcPr>
          <w:p w14:paraId="1AD28372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CFB2200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ABB7C7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Titanium (slag or dioxide)</w:t>
            </w:r>
          </w:p>
        </w:tc>
        <w:tc>
          <w:tcPr>
            <w:tcW w:w="4217" w:type="dxa"/>
          </w:tcPr>
          <w:p w14:paraId="25A2434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08120F5F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95450D7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Titanium (metal)</w:t>
            </w:r>
          </w:p>
        </w:tc>
        <w:tc>
          <w:tcPr>
            <w:tcW w:w="4217" w:type="dxa"/>
          </w:tcPr>
          <w:p w14:paraId="22ADFEBB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3C1AFBD7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7E4754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Tungsten (concentrate)</w:t>
            </w:r>
          </w:p>
        </w:tc>
        <w:tc>
          <w:tcPr>
            <w:tcW w:w="4217" w:type="dxa"/>
          </w:tcPr>
          <w:p w14:paraId="5273B607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5AEB2A79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23C4404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Tungsten (metal)</w:t>
            </w:r>
          </w:p>
        </w:tc>
        <w:tc>
          <w:tcPr>
            <w:tcW w:w="4217" w:type="dxa"/>
          </w:tcPr>
          <w:p w14:paraId="0D0A3049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10FED46A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AC94884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Tin (concentrate)</w:t>
            </w:r>
          </w:p>
        </w:tc>
        <w:tc>
          <w:tcPr>
            <w:tcW w:w="4217" w:type="dxa"/>
          </w:tcPr>
          <w:p w14:paraId="66EF9A49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60D35A7C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B279D9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Tin (metal)</w:t>
            </w:r>
          </w:p>
        </w:tc>
        <w:tc>
          <w:tcPr>
            <w:tcW w:w="4217" w:type="dxa"/>
          </w:tcPr>
          <w:p w14:paraId="59D52403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2.5%</w:t>
            </w:r>
          </w:p>
        </w:tc>
      </w:tr>
      <w:tr w:rsidR="00C47A3C" w:rsidRPr="008179AC" w14:paraId="4E8F1ECF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7432742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Vanadium (concentrate)</w:t>
            </w:r>
          </w:p>
        </w:tc>
        <w:tc>
          <w:tcPr>
            <w:tcW w:w="4217" w:type="dxa"/>
          </w:tcPr>
          <w:p w14:paraId="5645CB25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t>5.0%</w:t>
            </w:r>
          </w:p>
        </w:tc>
      </w:tr>
      <w:tr w:rsidR="00C47A3C" w:rsidRPr="008179AC" w14:paraId="09E65235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39DD944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t>Vanadium (pentoxide)</w:t>
            </w:r>
          </w:p>
        </w:tc>
        <w:tc>
          <w:tcPr>
            <w:tcW w:w="4217" w:type="dxa"/>
          </w:tcPr>
          <w:p w14:paraId="39A4FF63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t>3.5%</w:t>
            </w:r>
          </w:p>
        </w:tc>
      </w:tr>
      <w:tr w:rsidR="00C47A3C" w:rsidRPr="008179AC" w14:paraId="45C54800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3EC7B8A" w14:textId="77777777" w:rsidR="00C47A3C" w:rsidRPr="008179AC" w:rsidRDefault="00C47A3C" w:rsidP="007C3A5D">
            <w:pPr>
              <w:pStyle w:val="OmitSubref"/>
            </w:pPr>
            <w:r w:rsidRPr="008179AC">
              <w:t>Zinc (concentrate)</w:t>
            </w:r>
          </w:p>
        </w:tc>
        <w:tc>
          <w:tcPr>
            <w:tcW w:w="4217" w:type="dxa"/>
          </w:tcPr>
          <w:p w14:paraId="024C577F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79AC">
              <w:t>5.0%</w:t>
            </w:r>
          </w:p>
        </w:tc>
      </w:tr>
      <w:tr w:rsidR="00C47A3C" w:rsidRPr="008179AC" w14:paraId="1E6AF56D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C680FEE" w14:textId="77777777" w:rsidR="00C47A3C" w:rsidRPr="008179AC" w:rsidRDefault="00C47A3C" w:rsidP="007C3A5D">
            <w:pPr>
              <w:pStyle w:val="OmitSubref"/>
            </w:pPr>
            <w:r w:rsidRPr="008179AC">
              <w:t>Zinc (metal)</w:t>
            </w:r>
          </w:p>
        </w:tc>
        <w:tc>
          <w:tcPr>
            <w:tcW w:w="4217" w:type="dxa"/>
          </w:tcPr>
          <w:p w14:paraId="7F37E577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9AC">
              <w:t>2.5%</w:t>
            </w:r>
          </w:p>
        </w:tc>
      </w:tr>
      <w:tr w:rsidR="00C47A3C" w:rsidRPr="008179AC" w14:paraId="201CF5BE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8561F5B" w14:textId="77777777" w:rsidR="00C47A3C" w:rsidRPr="008179AC" w:rsidRDefault="00C47A3C" w:rsidP="007C3A5D">
            <w:pPr>
              <w:pStyle w:val="OmitSubref"/>
            </w:pPr>
            <w:r w:rsidRPr="008179AC">
              <w:t>Zircon</w:t>
            </w:r>
          </w:p>
        </w:tc>
        <w:tc>
          <w:tcPr>
            <w:tcW w:w="4217" w:type="dxa"/>
          </w:tcPr>
          <w:p w14:paraId="6AFDA7D8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79AC">
              <w:t>5.0%</w:t>
            </w:r>
          </w:p>
        </w:tc>
      </w:tr>
    </w:tbl>
    <w:p w14:paraId="120C3FA3" w14:textId="77777777" w:rsidR="00C47A3C" w:rsidRPr="008179AC" w:rsidRDefault="00C47A3C" w:rsidP="00C47A3C">
      <w:pPr>
        <w:pStyle w:val="Sectiontext"/>
        <w:ind w:left="0"/>
      </w:pPr>
    </w:p>
    <w:p w14:paraId="0A8D1262" w14:textId="77777777" w:rsidR="00E76FEE" w:rsidRDefault="00E76FEE">
      <w:pPr>
        <w:rPr>
          <w:rStyle w:val="charScheduleText"/>
          <w:rFonts w:ascii="Lato Semibold" w:eastAsia="Times New Roman" w:hAnsi="Lato Semibold"/>
          <w:color w:val="1F1F5F"/>
          <w:kern w:val="32"/>
          <w:sz w:val="36"/>
          <w:szCs w:val="32"/>
        </w:rPr>
      </w:pPr>
      <w:bookmarkStart w:id="4" w:name="_Toc160786772"/>
      <w:r>
        <w:rPr>
          <w:rStyle w:val="charScheduleText"/>
        </w:rPr>
        <w:br w:type="page"/>
      </w:r>
    </w:p>
    <w:p w14:paraId="7AF1F9DF" w14:textId="60ED4C18" w:rsidR="00C47A3C" w:rsidRPr="008179AC" w:rsidRDefault="00C47A3C" w:rsidP="00EA3089">
      <w:pPr>
        <w:pStyle w:val="Heading1"/>
      </w:pPr>
      <w:bookmarkStart w:id="5" w:name="_Appendix_B_-"/>
      <w:bookmarkEnd w:id="5"/>
      <w:r>
        <w:rPr>
          <w:rStyle w:val="charScheduleText"/>
        </w:rPr>
        <w:lastRenderedPageBreak/>
        <w:t xml:space="preserve">Appendix B - </w:t>
      </w:r>
      <w:r w:rsidRPr="008179AC">
        <w:rPr>
          <w:rStyle w:val="charScheduleText"/>
        </w:rPr>
        <w:t>Schedule 2</w:t>
      </w:r>
      <w:r w:rsidRPr="008179AC">
        <w:rPr>
          <w:rStyle w:val="charScheduleText"/>
        </w:rPr>
        <w:tab/>
        <w:t>Royalty rates for categories of minerals</w:t>
      </w:r>
      <w:bookmarkEnd w:id="4"/>
    </w:p>
    <w:p w14:paraId="300BDFEA" w14:textId="77777777" w:rsidR="00C47A3C" w:rsidRPr="008179AC" w:rsidRDefault="00C47A3C" w:rsidP="00225E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ind w:right="851"/>
        <w:jc w:val="right"/>
      </w:pPr>
      <w:r w:rsidRPr="008179AC">
        <w:t xml:space="preserve">section </w:t>
      </w:r>
      <w:r w:rsidRPr="008179AC">
        <w:fldChar w:fldCharType="begin"/>
      </w:r>
      <w:r w:rsidRPr="008179AC">
        <w:instrText xml:space="preserve"> REF _Ref120179221 \r \h </w:instrText>
      </w:r>
      <w:r w:rsidRPr="008179AC">
        <w:fldChar w:fldCharType="separate"/>
      </w:r>
      <w:r>
        <w:t>13</w:t>
      </w:r>
      <w:r w:rsidRPr="008179AC">
        <w:fldChar w:fldCharType="end"/>
      </w:r>
      <w:r w:rsidRPr="008179AC">
        <w:t>(2)</w:t>
      </w:r>
    </w:p>
    <w:tbl>
      <w:tblPr>
        <w:tblStyle w:val="NTGtable1"/>
        <w:tblW w:w="9712" w:type="dxa"/>
        <w:tblLook w:val="04A0" w:firstRow="1" w:lastRow="0" w:firstColumn="1" w:lastColumn="0" w:noHBand="0" w:noVBand="1"/>
      </w:tblPr>
      <w:tblGrid>
        <w:gridCol w:w="5495"/>
        <w:gridCol w:w="4217"/>
      </w:tblGrid>
      <w:tr w:rsidR="00C47A3C" w:rsidRPr="008179AC" w14:paraId="4FFDBDC1" w14:textId="77777777" w:rsidTr="008A6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95" w:type="dxa"/>
          </w:tcPr>
          <w:p w14:paraId="5299F03E" w14:textId="77777777" w:rsidR="00C47A3C" w:rsidRPr="008179AC" w:rsidRDefault="00C47A3C" w:rsidP="007C3A5D">
            <w:pPr>
              <w:pStyle w:val="OmitSubref"/>
              <w:rPr>
                <w:rFonts w:cs="Arial"/>
                <w:b w:val="0"/>
                <w:bCs/>
              </w:rPr>
            </w:pPr>
            <w:r w:rsidRPr="008179AC">
              <w:rPr>
                <w:rFonts w:cs="Arial"/>
                <w:bCs/>
              </w:rPr>
              <w:t>Category of mineral</w:t>
            </w:r>
          </w:p>
        </w:tc>
        <w:tc>
          <w:tcPr>
            <w:tcW w:w="4217" w:type="dxa"/>
          </w:tcPr>
          <w:p w14:paraId="76A26B5D" w14:textId="77777777" w:rsidR="00C47A3C" w:rsidRPr="008179AC" w:rsidRDefault="00C47A3C" w:rsidP="007C3A5D">
            <w:pPr>
              <w:pStyle w:val="OmitSubre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 w:rsidRPr="008179AC">
              <w:rPr>
                <w:rFonts w:cs="Arial"/>
                <w:bCs/>
              </w:rPr>
              <w:t>Royalty rate</w:t>
            </w:r>
          </w:p>
        </w:tc>
      </w:tr>
      <w:tr w:rsidR="00C47A3C" w:rsidRPr="008179AC" w14:paraId="1E1549CC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54656F67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rPr>
                <w:rFonts w:cs="Arial"/>
              </w:rPr>
              <w:t>Category 1</w:t>
            </w:r>
          </w:p>
        </w:tc>
        <w:tc>
          <w:tcPr>
            <w:tcW w:w="4217" w:type="dxa"/>
          </w:tcPr>
          <w:p w14:paraId="526F9789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rPr>
                <w:rFonts w:cs="Arial"/>
              </w:rPr>
              <w:t>7.5%</w:t>
            </w:r>
          </w:p>
        </w:tc>
      </w:tr>
      <w:tr w:rsidR="00C47A3C" w:rsidRPr="008179AC" w14:paraId="0CFC6E56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31BCE795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rPr>
                <w:rFonts w:cs="Arial"/>
              </w:rPr>
              <w:t>Category 2</w:t>
            </w:r>
          </w:p>
        </w:tc>
        <w:tc>
          <w:tcPr>
            <w:tcW w:w="4217" w:type="dxa"/>
          </w:tcPr>
          <w:p w14:paraId="370D1C1E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rPr>
                <w:rFonts w:cs="Arial"/>
              </w:rPr>
              <w:t>5.0%</w:t>
            </w:r>
          </w:p>
        </w:tc>
      </w:tr>
      <w:tr w:rsidR="00C47A3C" w:rsidRPr="008179AC" w14:paraId="4874CEAA" w14:textId="77777777" w:rsidTr="008A6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4B219F00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rPr>
                <w:rFonts w:cs="Arial"/>
              </w:rPr>
              <w:t>Category 3</w:t>
            </w:r>
          </w:p>
        </w:tc>
        <w:tc>
          <w:tcPr>
            <w:tcW w:w="4217" w:type="dxa"/>
          </w:tcPr>
          <w:p w14:paraId="63DDA0F5" w14:textId="77777777" w:rsidR="00C47A3C" w:rsidRPr="008179AC" w:rsidRDefault="00C47A3C" w:rsidP="007C3A5D">
            <w:pPr>
              <w:pStyle w:val="OmitSubre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8179AC">
              <w:rPr>
                <w:rFonts w:cs="Arial"/>
              </w:rPr>
              <w:t>3.5%</w:t>
            </w:r>
          </w:p>
        </w:tc>
      </w:tr>
      <w:tr w:rsidR="00C47A3C" w:rsidRPr="008179AC" w14:paraId="6D4A2084" w14:textId="77777777" w:rsidTr="008A68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44292CAB" w14:textId="77777777" w:rsidR="00C47A3C" w:rsidRPr="008179AC" w:rsidRDefault="00C47A3C" w:rsidP="007C3A5D">
            <w:pPr>
              <w:pStyle w:val="OmitSubref"/>
              <w:rPr>
                <w:rFonts w:cs="Arial"/>
              </w:rPr>
            </w:pPr>
            <w:r w:rsidRPr="008179AC">
              <w:rPr>
                <w:rFonts w:cs="Arial"/>
              </w:rPr>
              <w:t>Category 4</w:t>
            </w:r>
          </w:p>
        </w:tc>
        <w:tc>
          <w:tcPr>
            <w:tcW w:w="4217" w:type="dxa"/>
          </w:tcPr>
          <w:p w14:paraId="7AA37EF3" w14:textId="77777777" w:rsidR="00C47A3C" w:rsidRPr="008179AC" w:rsidRDefault="00C47A3C" w:rsidP="007C3A5D">
            <w:pPr>
              <w:pStyle w:val="OmitSubref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8179AC">
              <w:rPr>
                <w:rFonts w:cs="Arial"/>
              </w:rPr>
              <w:t>2.5%</w:t>
            </w:r>
          </w:p>
        </w:tc>
      </w:tr>
    </w:tbl>
    <w:p w14:paraId="4FCE6C0D" w14:textId="77777777" w:rsidR="00C47A3C" w:rsidRPr="008179AC" w:rsidRDefault="00C47A3C" w:rsidP="00C47A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right"/>
      </w:pPr>
    </w:p>
    <w:p w14:paraId="1225479C" w14:textId="77777777" w:rsidR="00C47A3C" w:rsidRDefault="00C47A3C" w:rsidP="00996655">
      <w:pPr>
        <w:rPr>
          <w:lang w:bidi="en-US"/>
        </w:rPr>
      </w:pPr>
    </w:p>
    <w:sectPr w:rsidR="00C47A3C" w:rsidSect="00225E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07" w:bottom="568" w:left="709" w:header="79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5164" w14:textId="77777777" w:rsidR="0059788A" w:rsidRDefault="0059788A" w:rsidP="007332FF">
      <w:r>
        <w:separator/>
      </w:r>
    </w:p>
  </w:endnote>
  <w:endnote w:type="continuationSeparator" w:id="0">
    <w:p w14:paraId="640288B4" w14:textId="77777777" w:rsidR="0059788A" w:rsidRDefault="0059788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F4BB" w14:textId="77777777"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14:paraId="6FC6EB69" w14:textId="77777777" w:rsidTr="001D258A">
      <w:trPr>
        <w:cantSplit/>
        <w:trHeight w:hRule="exact" w:val="567"/>
      </w:trPr>
      <w:tc>
        <w:tcPr>
          <w:tcW w:w="10318" w:type="dxa"/>
          <w:vAlign w:val="bottom"/>
        </w:tcPr>
        <w:p w14:paraId="06F2A33F" w14:textId="421E4623" w:rsidR="00996655" w:rsidRPr="00750D2F" w:rsidRDefault="00996655" w:rsidP="00996655">
          <w:pPr>
            <w:spacing w:after="0"/>
            <w:rPr>
              <w:rStyle w:val="PageNumber"/>
            </w:rPr>
          </w:pPr>
          <w:r w:rsidRPr="00750D2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placeholder>
                <w:docPart w:val="A21820E16B7342AFB1F437999879F96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Content>
              <w:r w:rsidR="00C47A3C">
                <w:rPr>
                  <w:rStyle w:val="PageNumber"/>
                  <w:b/>
                </w:rPr>
                <w:t>Treasury and Finance</w:t>
              </w:r>
            </w:sdtContent>
          </w:sdt>
          <w:r w:rsidR="00592E78" w:rsidRPr="00750D2F">
            <w:rPr>
              <w:rStyle w:val="PageNumber"/>
            </w:rPr>
            <w:t xml:space="preserve"> </w:t>
          </w:r>
        </w:p>
        <w:p w14:paraId="256D5E49" w14:textId="0AFBC395"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F65AE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F65AE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D4213A1" w14:textId="77777777"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CA5C" w14:textId="77777777" w:rsidR="00D15D88" w:rsidRDefault="00D15D88" w:rsidP="00C0326E">
    <w:pPr>
      <w:spacing w:after="0"/>
    </w:pPr>
  </w:p>
  <w:p w14:paraId="2DFDCE0A" w14:textId="77777777"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14:paraId="7CE2769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CD62C53" w14:textId="103A020E" w:rsidR="00901430" w:rsidRPr="00901430" w:rsidRDefault="00901430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Content>
              <w:r w:rsidR="00C47A3C">
                <w:rPr>
                  <w:b/>
                  <w:sz w:val="19"/>
                  <w:szCs w:val="19"/>
                </w:rPr>
                <w:t>Treasury and Finance</w:t>
              </w:r>
            </w:sdtContent>
          </w:sdt>
          <w:r w:rsidR="00592E78">
            <w:rPr>
              <w:rStyle w:val="PageNumber"/>
            </w:rPr>
            <w:t xml:space="preserve"> </w:t>
          </w:r>
        </w:p>
        <w:p w14:paraId="3F6F5790" w14:textId="055D2F0C" w:rsidR="00C0326E" w:rsidRPr="00CE30CF" w:rsidRDefault="00C0326E" w:rsidP="00C0326E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DF65A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DF65AE">
            <w:rPr>
              <w:rStyle w:val="PageNumber"/>
              <w:noProof/>
            </w:rPr>
            <w:t>6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2D7F04A8" w14:textId="77777777"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C80CD9D" wp14:editId="545CE3FD">
                <wp:extent cx="1572479" cy="561600"/>
                <wp:effectExtent l="0" t="0" r="8890" b="0"/>
                <wp:docPr id="8" name="Picture 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6ECB60F" w14:textId="77777777"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1949" w14:textId="77777777" w:rsidR="0059788A" w:rsidRDefault="0059788A" w:rsidP="007332FF">
      <w:r>
        <w:separator/>
      </w:r>
    </w:p>
  </w:footnote>
  <w:footnote w:type="continuationSeparator" w:id="0">
    <w:p w14:paraId="65F65FCA" w14:textId="77777777" w:rsidR="0059788A" w:rsidRDefault="0059788A" w:rsidP="007332FF">
      <w:r>
        <w:continuationSeparator/>
      </w:r>
    </w:p>
  </w:footnote>
  <w:footnote w:id="1">
    <w:p w14:paraId="1DAC67C3" w14:textId="2A6D2B65" w:rsidR="0098439B" w:rsidRPr="0015048B" w:rsidRDefault="0098439B" w:rsidP="0098439B">
      <w:pPr>
        <w:pStyle w:val="FootnoteText"/>
        <w:rPr>
          <w:sz w:val="22"/>
          <w:szCs w:val="22"/>
        </w:rPr>
      </w:pPr>
      <w:r w:rsidRPr="0015048B">
        <w:rPr>
          <w:rStyle w:val="FootnoteReference"/>
          <w:sz w:val="22"/>
          <w:szCs w:val="22"/>
        </w:rPr>
        <w:footnoteRef/>
      </w:r>
      <w:r w:rsidRPr="0015048B">
        <w:rPr>
          <w:sz w:val="22"/>
          <w:szCs w:val="22"/>
        </w:rPr>
        <w:t xml:space="preserve"> </w:t>
      </w:r>
      <w:hyperlink r:id="rId1" w:history="1">
        <w:r w:rsidR="00205D8D" w:rsidRPr="00FE54A9">
          <w:rPr>
            <w:rStyle w:val="Hyperlink"/>
          </w:rPr>
          <w:t>https://treasury.nt.gov.au/dtf/territory-revenue-office/publications</w:t>
        </w:r>
      </w:hyperlink>
      <w:r w:rsidR="00205D8D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CC61" w14:textId="77777777" w:rsidR="00983000" w:rsidRPr="00162207" w:rsidRDefault="00000000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47C4B">
          <w:t>Northern Territory mineral royalties – Mineral Royalties Act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2005" w14:textId="77777777" w:rsidR="00E908F1" w:rsidRPr="000E3ED2" w:rsidRDefault="00D61FD1" w:rsidP="00EB164C">
    <w:pPr>
      <w:pStyle w:val="Subtitle0"/>
    </w:pPr>
    <w:r>
      <w:t>Fact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423"/>
    <w:multiLevelType w:val="hybridMultilevel"/>
    <w:tmpl w:val="BA1EB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DCC2B7C"/>
    <w:multiLevelType w:val="multilevel"/>
    <w:tmpl w:val="800E076A"/>
    <w:styleLink w:val="OPCNumbering"/>
    <w:lvl w:ilvl="0">
      <w:start w:val="1"/>
      <w:numFmt w:val="decimal"/>
      <w:pStyle w:val="SectionHeading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6631769"/>
    <w:multiLevelType w:val="hybridMultilevel"/>
    <w:tmpl w:val="A1FCF1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D7B61D8"/>
    <w:multiLevelType w:val="hybridMultilevel"/>
    <w:tmpl w:val="A808EC2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364592079">
    <w:abstractNumId w:val="21"/>
  </w:num>
  <w:num w:numId="2" w16cid:durableId="1271622375">
    <w:abstractNumId w:val="12"/>
  </w:num>
  <w:num w:numId="3" w16cid:durableId="1884705740">
    <w:abstractNumId w:val="37"/>
  </w:num>
  <w:num w:numId="4" w16cid:durableId="1167019906">
    <w:abstractNumId w:val="25"/>
  </w:num>
  <w:num w:numId="5" w16cid:durableId="1096635191">
    <w:abstractNumId w:val="16"/>
  </w:num>
  <w:num w:numId="6" w16cid:durableId="561645052">
    <w:abstractNumId w:val="8"/>
  </w:num>
  <w:num w:numId="7" w16cid:durableId="1683387441">
    <w:abstractNumId w:val="27"/>
  </w:num>
  <w:num w:numId="8" w16cid:durableId="661392396">
    <w:abstractNumId w:val="15"/>
  </w:num>
  <w:num w:numId="9" w16cid:durableId="1806197286">
    <w:abstractNumId w:val="17"/>
  </w:num>
  <w:num w:numId="10" w16cid:durableId="877544902">
    <w:abstractNumId w:val="0"/>
  </w:num>
  <w:num w:numId="11" w16cid:durableId="1714040425">
    <w:abstractNumId w:val="34"/>
  </w:num>
  <w:num w:numId="12" w16cid:durableId="561909219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0F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5DE3"/>
    <w:rsid w:val="00111F0F"/>
    <w:rsid w:val="001137EC"/>
    <w:rsid w:val="00114404"/>
    <w:rsid w:val="001152F5"/>
    <w:rsid w:val="00117743"/>
    <w:rsid w:val="00117F5B"/>
    <w:rsid w:val="00127715"/>
    <w:rsid w:val="00132658"/>
    <w:rsid w:val="0015048B"/>
    <w:rsid w:val="00150DC0"/>
    <w:rsid w:val="00155659"/>
    <w:rsid w:val="00156CD4"/>
    <w:rsid w:val="0015766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122F"/>
    <w:rsid w:val="001B28DA"/>
    <w:rsid w:val="001B2B6C"/>
    <w:rsid w:val="001B4822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5D8D"/>
    <w:rsid w:val="00206936"/>
    <w:rsid w:val="00206C6F"/>
    <w:rsid w:val="00206FBD"/>
    <w:rsid w:val="00207746"/>
    <w:rsid w:val="00214EFD"/>
    <w:rsid w:val="00225174"/>
    <w:rsid w:val="00225E56"/>
    <w:rsid w:val="00230031"/>
    <w:rsid w:val="00235C01"/>
    <w:rsid w:val="00243ED7"/>
    <w:rsid w:val="00247343"/>
    <w:rsid w:val="00265C56"/>
    <w:rsid w:val="00266726"/>
    <w:rsid w:val="002716CD"/>
    <w:rsid w:val="00274D4B"/>
    <w:rsid w:val="002768C6"/>
    <w:rsid w:val="002806F5"/>
    <w:rsid w:val="00281577"/>
    <w:rsid w:val="00283ABC"/>
    <w:rsid w:val="002926BC"/>
    <w:rsid w:val="00293A72"/>
    <w:rsid w:val="002A0160"/>
    <w:rsid w:val="002A30C3"/>
    <w:rsid w:val="002A5970"/>
    <w:rsid w:val="002A6F6A"/>
    <w:rsid w:val="002A7712"/>
    <w:rsid w:val="002B38F7"/>
    <w:rsid w:val="002B4F50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30739"/>
    <w:rsid w:val="00342283"/>
    <w:rsid w:val="00343A87"/>
    <w:rsid w:val="00344A36"/>
    <w:rsid w:val="003456F4"/>
    <w:rsid w:val="00347C4B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B7561"/>
    <w:rsid w:val="003C5739"/>
    <w:rsid w:val="003D0F63"/>
    <w:rsid w:val="003D42C0"/>
    <w:rsid w:val="003D5B29"/>
    <w:rsid w:val="003D7818"/>
    <w:rsid w:val="003E2445"/>
    <w:rsid w:val="003E3BB2"/>
    <w:rsid w:val="003F5B58"/>
    <w:rsid w:val="003F76FA"/>
    <w:rsid w:val="0040222A"/>
    <w:rsid w:val="004047BC"/>
    <w:rsid w:val="004100F7"/>
    <w:rsid w:val="00414CB3"/>
    <w:rsid w:val="0041563D"/>
    <w:rsid w:val="00423621"/>
    <w:rsid w:val="00426E25"/>
    <w:rsid w:val="00427D9C"/>
    <w:rsid w:val="00427E7E"/>
    <w:rsid w:val="0043465D"/>
    <w:rsid w:val="00442DC1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ACC"/>
    <w:rsid w:val="004C437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04AE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9788A"/>
    <w:rsid w:val="005A4AC0"/>
    <w:rsid w:val="005A5FDF"/>
    <w:rsid w:val="005B0FB7"/>
    <w:rsid w:val="005B122A"/>
    <w:rsid w:val="005B1FCB"/>
    <w:rsid w:val="005B5AC2"/>
    <w:rsid w:val="005C2833"/>
    <w:rsid w:val="005C4AE0"/>
    <w:rsid w:val="005E144D"/>
    <w:rsid w:val="005E1500"/>
    <w:rsid w:val="005E3A43"/>
    <w:rsid w:val="005E3FC4"/>
    <w:rsid w:val="005E4E2A"/>
    <w:rsid w:val="005F0B17"/>
    <w:rsid w:val="005F77C7"/>
    <w:rsid w:val="00607C0A"/>
    <w:rsid w:val="00620675"/>
    <w:rsid w:val="00622910"/>
    <w:rsid w:val="006254B6"/>
    <w:rsid w:val="00627FC8"/>
    <w:rsid w:val="006433C3"/>
    <w:rsid w:val="00647FC5"/>
    <w:rsid w:val="00650F5B"/>
    <w:rsid w:val="00652600"/>
    <w:rsid w:val="0066686D"/>
    <w:rsid w:val="006670D7"/>
    <w:rsid w:val="006719EA"/>
    <w:rsid w:val="00671F13"/>
    <w:rsid w:val="0067400A"/>
    <w:rsid w:val="006847AD"/>
    <w:rsid w:val="0069114B"/>
    <w:rsid w:val="00692F51"/>
    <w:rsid w:val="006944C1"/>
    <w:rsid w:val="006A2F2D"/>
    <w:rsid w:val="006A756A"/>
    <w:rsid w:val="006D1363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D2F"/>
    <w:rsid w:val="00755248"/>
    <w:rsid w:val="0076190B"/>
    <w:rsid w:val="00763448"/>
    <w:rsid w:val="0076355D"/>
    <w:rsid w:val="00763A2D"/>
    <w:rsid w:val="007670BC"/>
    <w:rsid w:val="007676A4"/>
    <w:rsid w:val="007707CD"/>
    <w:rsid w:val="00777795"/>
    <w:rsid w:val="00783A57"/>
    <w:rsid w:val="00784C92"/>
    <w:rsid w:val="007859CD"/>
    <w:rsid w:val="00785C24"/>
    <w:rsid w:val="007907E4"/>
    <w:rsid w:val="00794AEB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5CCD"/>
    <w:rsid w:val="0082634E"/>
    <w:rsid w:val="0083133A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6841"/>
    <w:rsid w:val="008A7C12"/>
    <w:rsid w:val="008B03CE"/>
    <w:rsid w:val="008B529E"/>
    <w:rsid w:val="008C0D34"/>
    <w:rsid w:val="008C17FB"/>
    <w:rsid w:val="008C2C05"/>
    <w:rsid w:val="008C4922"/>
    <w:rsid w:val="008C4FC7"/>
    <w:rsid w:val="008C70BB"/>
    <w:rsid w:val="008D1B00"/>
    <w:rsid w:val="008D278B"/>
    <w:rsid w:val="008D57B8"/>
    <w:rsid w:val="008E03FC"/>
    <w:rsid w:val="008E510B"/>
    <w:rsid w:val="008F30DE"/>
    <w:rsid w:val="008F422B"/>
    <w:rsid w:val="00901430"/>
    <w:rsid w:val="00902B13"/>
    <w:rsid w:val="00911941"/>
    <w:rsid w:val="009130BA"/>
    <w:rsid w:val="0092024D"/>
    <w:rsid w:val="00925146"/>
    <w:rsid w:val="00925F0F"/>
    <w:rsid w:val="00932F6B"/>
    <w:rsid w:val="009468BC"/>
    <w:rsid w:val="00947FAE"/>
    <w:rsid w:val="00950837"/>
    <w:rsid w:val="00953762"/>
    <w:rsid w:val="00955BB4"/>
    <w:rsid w:val="009616DF"/>
    <w:rsid w:val="00963E4F"/>
    <w:rsid w:val="0096542F"/>
    <w:rsid w:val="00967FA7"/>
    <w:rsid w:val="00971645"/>
    <w:rsid w:val="00977919"/>
    <w:rsid w:val="00983000"/>
    <w:rsid w:val="0098439B"/>
    <w:rsid w:val="009870FA"/>
    <w:rsid w:val="009921C3"/>
    <w:rsid w:val="0099551D"/>
    <w:rsid w:val="00996655"/>
    <w:rsid w:val="009A5897"/>
    <w:rsid w:val="009A5F24"/>
    <w:rsid w:val="009B0B3E"/>
    <w:rsid w:val="009B1037"/>
    <w:rsid w:val="009B1913"/>
    <w:rsid w:val="009B6657"/>
    <w:rsid w:val="009B6966"/>
    <w:rsid w:val="009D0EB5"/>
    <w:rsid w:val="009D14F9"/>
    <w:rsid w:val="009D2B74"/>
    <w:rsid w:val="009D63FF"/>
    <w:rsid w:val="009D6C18"/>
    <w:rsid w:val="009E175D"/>
    <w:rsid w:val="009E3CC2"/>
    <w:rsid w:val="009F06BD"/>
    <w:rsid w:val="009F2A4D"/>
    <w:rsid w:val="00A00828"/>
    <w:rsid w:val="00A02A27"/>
    <w:rsid w:val="00A03290"/>
    <w:rsid w:val="00A0387E"/>
    <w:rsid w:val="00A05BFD"/>
    <w:rsid w:val="00A07490"/>
    <w:rsid w:val="00A10655"/>
    <w:rsid w:val="00A12B64"/>
    <w:rsid w:val="00A22C38"/>
    <w:rsid w:val="00A244F7"/>
    <w:rsid w:val="00A25193"/>
    <w:rsid w:val="00A26E80"/>
    <w:rsid w:val="00A3047B"/>
    <w:rsid w:val="00A31AE8"/>
    <w:rsid w:val="00A3739D"/>
    <w:rsid w:val="00A37DDA"/>
    <w:rsid w:val="00A40D76"/>
    <w:rsid w:val="00A45005"/>
    <w:rsid w:val="00A52B4F"/>
    <w:rsid w:val="00A55A62"/>
    <w:rsid w:val="00A66857"/>
    <w:rsid w:val="00A76790"/>
    <w:rsid w:val="00A90718"/>
    <w:rsid w:val="00A925EC"/>
    <w:rsid w:val="00A929AA"/>
    <w:rsid w:val="00A92B6B"/>
    <w:rsid w:val="00A97674"/>
    <w:rsid w:val="00AA541E"/>
    <w:rsid w:val="00AB5413"/>
    <w:rsid w:val="00AD0DA4"/>
    <w:rsid w:val="00AD4169"/>
    <w:rsid w:val="00AD67A8"/>
    <w:rsid w:val="00AE1015"/>
    <w:rsid w:val="00AE25C6"/>
    <w:rsid w:val="00AE306C"/>
    <w:rsid w:val="00AF28C1"/>
    <w:rsid w:val="00AF5413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55954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87BBA"/>
    <w:rsid w:val="00B92F9B"/>
    <w:rsid w:val="00B93DB1"/>
    <w:rsid w:val="00B941B3"/>
    <w:rsid w:val="00B96513"/>
    <w:rsid w:val="00BA1D47"/>
    <w:rsid w:val="00BA2100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15CE"/>
    <w:rsid w:val="00C0326E"/>
    <w:rsid w:val="00C10F10"/>
    <w:rsid w:val="00C15D4D"/>
    <w:rsid w:val="00C175DC"/>
    <w:rsid w:val="00C30171"/>
    <w:rsid w:val="00C309D8"/>
    <w:rsid w:val="00C322B4"/>
    <w:rsid w:val="00C357F6"/>
    <w:rsid w:val="00C37811"/>
    <w:rsid w:val="00C43519"/>
    <w:rsid w:val="00C45263"/>
    <w:rsid w:val="00C47A3C"/>
    <w:rsid w:val="00C51537"/>
    <w:rsid w:val="00C52047"/>
    <w:rsid w:val="00C52BC3"/>
    <w:rsid w:val="00C55B5A"/>
    <w:rsid w:val="00C61AFA"/>
    <w:rsid w:val="00C61D64"/>
    <w:rsid w:val="00C62099"/>
    <w:rsid w:val="00C64EA3"/>
    <w:rsid w:val="00C652D6"/>
    <w:rsid w:val="00C67973"/>
    <w:rsid w:val="00C72867"/>
    <w:rsid w:val="00C75E81"/>
    <w:rsid w:val="00C85377"/>
    <w:rsid w:val="00C86609"/>
    <w:rsid w:val="00C92B4C"/>
    <w:rsid w:val="00C92C5E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E7E9A"/>
    <w:rsid w:val="00CF540E"/>
    <w:rsid w:val="00D02F07"/>
    <w:rsid w:val="00D15D88"/>
    <w:rsid w:val="00D27EBE"/>
    <w:rsid w:val="00D36A49"/>
    <w:rsid w:val="00D470BF"/>
    <w:rsid w:val="00D517C6"/>
    <w:rsid w:val="00D56EF4"/>
    <w:rsid w:val="00D61FD1"/>
    <w:rsid w:val="00D71D84"/>
    <w:rsid w:val="00D72464"/>
    <w:rsid w:val="00D72A57"/>
    <w:rsid w:val="00D768EB"/>
    <w:rsid w:val="00D81E17"/>
    <w:rsid w:val="00D82D1E"/>
    <w:rsid w:val="00D832D9"/>
    <w:rsid w:val="00D87A0F"/>
    <w:rsid w:val="00D90F00"/>
    <w:rsid w:val="00D975C0"/>
    <w:rsid w:val="00DA5285"/>
    <w:rsid w:val="00DB191D"/>
    <w:rsid w:val="00DB4F91"/>
    <w:rsid w:val="00DB69C8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5EA4"/>
    <w:rsid w:val="00DF65AE"/>
    <w:rsid w:val="00E02681"/>
    <w:rsid w:val="00E02792"/>
    <w:rsid w:val="00E034D8"/>
    <w:rsid w:val="00E04CC0"/>
    <w:rsid w:val="00E152A3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47DAB"/>
    <w:rsid w:val="00E52375"/>
    <w:rsid w:val="00E61BA2"/>
    <w:rsid w:val="00E63864"/>
    <w:rsid w:val="00E6403F"/>
    <w:rsid w:val="00E75451"/>
    <w:rsid w:val="00E76FEE"/>
    <w:rsid w:val="00E770C4"/>
    <w:rsid w:val="00E77FD9"/>
    <w:rsid w:val="00E84C5A"/>
    <w:rsid w:val="00E861DB"/>
    <w:rsid w:val="00E908F1"/>
    <w:rsid w:val="00E93406"/>
    <w:rsid w:val="00E9402C"/>
    <w:rsid w:val="00E956C5"/>
    <w:rsid w:val="00E95C39"/>
    <w:rsid w:val="00EA2C39"/>
    <w:rsid w:val="00EA3089"/>
    <w:rsid w:val="00EB0A3C"/>
    <w:rsid w:val="00EB0A96"/>
    <w:rsid w:val="00EB164C"/>
    <w:rsid w:val="00EB1D82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33E16"/>
    <w:rsid w:val="00F5696E"/>
    <w:rsid w:val="00F60EFF"/>
    <w:rsid w:val="00F67D2D"/>
    <w:rsid w:val="00F858F2"/>
    <w:rsid w:val="00F860CC"/>
    <w:rsid w:val="00F90483"/>
    <w:rsid w:val="00F94398"/>
    <w:rsid w:val="00FA2D6B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50C1D"/>
  <w15:docId w15:val="{F1069608-6718-4FC7-95FB-A1D1EAF6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2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A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A27"/>
    <w:rPr>
      <w:rFonts w:ascii="Lato" w:hAnsi="Lato"/>
      <w:b/>
      <w:bCs/>
      <w:sz w:val="20"/>
      <w:szCs w:val="20"/>
    </w:rPr>
  </w:style>
  <w:style w:type="table" w:customStyle="1" w:styleId="NTGtable1">
    <w:name w:val="NTG table 1"/>
    <w:basedOn w:val="TableNormal"/>
    <w:uiPriority w:val="99"/>
    <w:rsid w:val="00FA2D6B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 Semibold" w:hAnsi="Lato Semibold"/>
        <w:sz w:val="22"/>
      </w:rPr>
    </w:tblStylePr>
    <w:tblStylePr w:type="band2Vert">
      <w:rPr>
        <w:rFonts w:ascii="Lato Semibold" w:hAnsi="Lato Semibold"/>
        <w:sz w:val="22"/>
      </w:rPr>
    </w:tblStylePr>
    <w:tblStylePr w:type="band1Horz">
      <w:rPr>
        <w:rFonts w:ascii="Lato Semibold" w:hAnsi="Lato Semibold"/>
        <w:sz w:val="22"/>
      </w:rPr>
    </w:tblStylePr>
    <w:tblStylePr w:type="band2Horz">
      <w:rPr>
        <w:rFonts w:ascii="Lato Semibold" w:hAnsi="Lato Semibold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customStyle="1" w:styleId="Default">
    <w:name w:val="Default"/>
    <w:rsid w:val="00A90718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numbering" w:customStyle="1" w:styleId="OPCNumbering">
    <w:name w:val="OPC Numbering"/>
    <w:rsid w:val="00C47A3C"/>
    <w:pPr>
      <w:numPr>
        <w:numId w:val="9"/>
      </w:numPr>
    </w:pPr>
  </w:style>
  <w:style w:type="paragraph" w:customStyle="1" w:styleId="Sectiontext">
    <w:name w:val="Section text"/>
    <w:basedOn w:val="Normal"/>
    <w:link w:val="SectiontextChar"/>
    <w:rsid w:val="00C47A3C"/>
    <w:pPr>
      <w:widowControl w:val="0"/>
      <w:spacing w:after="240"/>
      <w:ind w:left="1100"/>
      <w:jc w:val="both"/>
    </w:pPr>
    <w:rPr>
      <w:rFonts w:ascii="Helvetica" w:eastAsia="Times New Roman" w:hAnsi="Helvetica"/>
      <w:sz w:val="24"/>
      <w:szCs w:val="24"/>
      <w:lang w:eastAsia="en-AU"/>
    </w:rPr>
  </w:style>
  <w:style w:type="paragraph" w:customStyle="1" w:styleId="OmitSubref">
    <w:name w:val="OmitSub(ref)"/>
    <w:basedOn w:val="Normal"/>
    <w:next w:val="Normal"/>
    <w:rsid w:val="00C47A3C"/>
    <w:pPr>
      <w:widowControl w:val="0"/>
      <w:spacing w:before="120" w:after="120"/>
    </w:pPr>
    <w:rPr>
      <w:rFonts w:ascii="Helvetica" w:eastAsia="Times New Roman" w:hAnsi="Helvetica"/>
      <w:sz w:val="24"/>
      <w:szCs w:val="24"/>
      <w:lang w:eastAsia="en-AU"/>
    </w:rPr>
  </w:style>
  <w:style w:type="paragraph" w:customStyle="1" w:styleId="ScheduleHeading">
    <w:name w:val="Schedule Heading"/>
    <w:basedOn w:val="Normal"/>
    <w:next w:val="SectionHeading"/>
    <w:rsid w:val="00C47A3C"/>
    <w:pPr>
      <w:keepNext/>
      <w:keepLines/>
      <w:pageBreakBefore/>
      <w:widowControl w:val="0"/>
      <w:spacing w:before="240" w:after="240"/>
      <w:ind w:left="1985" w:hanging="1985"/>
      <w:outlineLvl w:val="5"/>
    </w:pPr>
    <w:rPr>
      <w:rFonts w:ascii="Helvetica" w:eastAsia="Times New Roman" w:hAnsi="Helvetica"/>
      <w:b/>
      <w:sz w:val="28"/>
      <w:szCs w:val="28"/>
      <w:lang w:eastAsia="en-AU"/>
    </w:rPr>
  </w:style>
  <w:style w:type="character" w:customStyle="1" w:styleId="SectiontextChar">
    <w:name w:val="Section text Char"/>
    <w:link w:val="Sectiontext"/>
    <w:rsid w:val="00C47A3C"/>
    <w:rPr>
      <w:rFonts w:ascii="Helvetica" w:eastAsia="Times New Roman" w:hAnsi="Helvetica"/>
      <w:sz w:val="24"/>
      <w:szCs w:val="24"/>
      <w:lang w:eastAsia="en-AU"/>
    </w:rPr>
  </w:style>
  <w:style w:type="paragraph" w:customStyle="1" w:styleId="SectionHeading">
    <w:name w:val="Section Heading"/>
    <w:basedOn w:val="Normal"/>
    <w:next w:val="Sectiontext"/>
    <w:rsid w:val="00C47A3C"/>
    <w:pPr>
      <w:keepNext/>
      <w:keepLines/>
      <w:widowControl w:val="0"/>
      <w:numPr>
        <w:numId w:val="9"/>
      </w:numPr>
      <w:tabs>
        <w:tab w:val="left" w:pos="1100"/>
      </w:tabs>
      <w:spacing w:after="240"/>
      <w:outlineLvl w:val="4"/>
    </w:pPr>
    <w:rPr>
      <w:rFonts w:ascii="Helvetica" w:eastAsia="Times New Roman" w:hAnsi="Helvetica"/>
      <w:b/>
      <w:sz w:val="24"/>
      <w:szCs w:val="24"/>
      <w:lang w:eastAsia="en-AU"/>
    </w:rPr>
  </w:style>
  <w:style w:type="character" w:customStyle="1" w:styleId="charScheduleText">
    <w:name w:val="charScheduleText"/>
    <w:rsid w:val="00C47A3C"/>
  </w:style>
  <w:style w:type="paragraph" w:styleId="Revision">
    <w:name w:val="Revision"/>
    <w:hidden/>
    <w:uiPriority w:val="99"/>
    <w:semiHidden/>
    <w:rsid w:val="008A6841"/>
    <w:pPr>
      <w:spacing w:after="0"/>
    </w:pPr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DF65AE"/>
    <w:rPr>
      <w:color w:val="8C47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yaltiesandassurance.dtf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revenue.n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royaltiesandassurance.dtf@nt.gov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asury.nt.gov.au/dtf/territory-revenue-office/publica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1820E16B7342AFB1F437999879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A2DE-7202-41A0-8D3A-AEFDADD9501F}"/>
      </w:docPartPr>
      <w:docPartBody>
        <w:p w:rsidR="00F80046" w:rsidRDefault="00D72E3E">
          <w:pPr>
            <w:pStyle w:val="A21820E16B7342AFB1F437999879F96A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3E"/>
    <w:rsid w:val="00026487"/>
    <w:rsid w:val="000A05A7"/>
    <w:rsid w:val="000B05E9"/>
    <w:rsid w:val="000D6494"/>
    <w:rsid w:val="003710E6"/>
    <w:rsid w:val="00606A20"/>
    <w:rsid w:val="007166B9"/>
    <w:rsid w:val="0078338D"/>
    <w:rsid w:val="00843564"/>
    <w:rsid w:val="00847171"/>
    <w:rsid w:val="00945FFC"/>
    <w:rsid w:val="00B222E8"/>
    <w:rsid w:val="00D404EA"/>
    <w:rsid w:val="00D72E3E"/>
    <w:rsid w:val="00D802AD"/>
    <w:rsid w:val="00F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21820E16B7342AFB1F437999879F96A">
    <w:name w:val="A21820E16B7342AFB1F437999879F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BB874C-A3F3-4290-9347-0BB74EC8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fact sheet.dotx</Template>
  <TotalTime>766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mineral royalties – Mineral Royalties Act 2024</vt:lpstr>
    </vt:vector>
  </TitlesOfParts>
  <Company>Treasury and Finance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mineral royalties – Mineral Royalties Act 2024</dc:title>
  <dc:creator>Northern Territory Government</dc:creator>
  <cp:lastModifiedBy>Jacob Port</cp:lastModifiedBy>
  <cp:revision>27</cp:revision>
  <cp:lastPrinted>2019-08-28T22:41:00Z</cp:lastPrinted>
  <dcterms:created xsi:type="dcterms:W3CDTF">2024-05-16T03:29:00Z</dcterms:created>
  <dcterms:modified xsi:type="dcterms:W3CDTF">2024-06-18T22:43:00Z</dcterms:modified>
</cp:coreProperties>
</file>