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0" w:type="auto"/>
        <w:tblLook w:val="06A0" w:firstRow="1" w:lastRow="0" w:firstColumn="1" w:lastColumn="0" w:noHBand="1" w:noVBand="1"/>
        <w:tblDescription w:val="Document details showing row labels: purpose, last reviewed, operative date and references."/>
      </w:tblPr>
      <w:tblGrid>
        <w:gridCol w:w="1558"/>
        <w:gridCol w:w="3233"/>
        <w:gridCol w:w="1965"/>
        <w:gridCol w:w="1965"/>
      </w:tblGrid>
      <w:tr w:rsidR="004301EA" w:rsidRPr="00506364" w14:paraId="2CB6AE7B" w14:textId="77777777" w:rsidTr="00066706">
        <w:trPr>
          <w:tblHeader/>
        </w:trPr>
        <w:tc>
          <w:tcPr>
            <w:tcW w:w="1558" w:type="dxa"/>
            <w:shd w:val="clear" w:color="auto" w:fill="BFBFBF" w:themeFill="background1" w:themeFillShade="BF"/>
          </w:tcPr>
          <w:p w14:paraId="47B0DCA2" w14:textId="77777777" w:rsidR="004301EA" w:rsidRPr="008837D6" w:rsidRDefault="004301EA" w:rsidP="008837D6">
            <w:bookmarkStart w:id="0" w:name="_Toc465175897"/>
            <w:r w:rsidRPr="008837D6">
              <w:t>Version</w:t>
            </w:r>
          </w:p>
        </w:tc>
        <w:tc>
          <w:tcPr>
            <w:tcW w:w="3233" w:type="dxa"/>
            <w:shd w:val="clear" w:color="auto" w:fill="BFBFBF" w:themeFill="background1" w:themeFillShade="BF"/>
          </w:tcPr>
          <w:p w14:paraId="670D1947" w14:textId="77777777" w:rsidR="004301EA" w:rsidRPr="008837D6" w:rsidRDefault="004301EA" w:rsidP="008837D6">
            <w:r w:rsidRPr="008837D6">
              <w:t>Issued</w:t>
            </w:r>
          </w:p>
        </w:tc>
        <w:tc>
          <w:tcPr>
            <w:tcW w:w="3930" w:type="dxa"/>
            <w:gridSpan w:val="2"/>
            <w:shd w:val="clear" w:color="auto" w:fill="BFBFBF" w:themeFill="background1" w:themeFillShade="BF"/>
          </w:tcPr>
          <w:p w14:paraId="7C8F9E3E" w14:textId="77777777" w:rsidR="004301EA" w:rsidRPr="008837D6" w:rsidRDefault="004301EA" w:rsidP="008837D6">
            <w:r w:rsidRPr="008837D6">
              <w:t>Dates of Effect</w:t>
            </w:r>
          </w:p>
        </w:tc>
      </w:tr>
      <w:tr w:rsidR="004301EA" w:rsidRPr="00506364" w14:paraId="4F572960" w14:textId="77777777" w:rsidTr="004301EA">
        <w:tc>
          <w:tcPr>
            <w:tcW w:w="1558" w:type="dxa"/>
            <w:shd w:val="clear" w:color="auto" w:fill="BFBFBF" w:themeFill="background1" w:themeFillShade="BF"/>
          </w:tcPr>
          <w:p w14:paraId="77506532" w14:textId="77777777" w:rsidR="004301EA" w:rsidRPr="008837D6" w:rsidRDefault="004301EA" w:rsidP="008837D6"/>
        </w:tc>
        <w:tc>
          <w:tcPr>
            <w:tcW w:w="3233" w:type="dxa"/>
            <w:shd w:val="clear" w:color="auto" w:fill="BFBFBF" w:themeFill="background1" w:themeFillShade="BF"/>
          </w:tcPr>
          <w:p w14:paraId="62471810" w14:textId="77777777" w:rsidR="004301EA" w:rsidRPr="008837D6" w:rsidRDefault="004301EA" w:rsidP="008837D6"/>
        </w:tc>
        <w:tc>
          <w:tcPr>
            <w:tcW w:w="1965" w:type="dxa"/>
            <w:shd w:val="clear" w:color="auto" w:fill="BFBFBF" w:themeFill="background1" w:themeFillShade="BF"/>
          </w:tcPr>
          <w:p w14:paraId="5C73030A" w14:textId="77777777" w:rsidR="004301EA" w:rsidRPr="008837D6" w:rsidRDefault="004301EA" w:rsidP="008837D6">
            <w:r w:rsidRPr="008837D6">
              <w:t>From:</w:t>
            </w:r>
          </w:p>
        </w:tc>
        <w:tc>
          <w:tcPr>
            <w:tcW w:w="1965" w:type="dxa"/>
            <w:shd w:val="clear" w:color="auto" w:fill="BFBFBF" w:themeFill="background1" w:themeFillShade="BF"/>
          </w:tcPr>
          <w:p w14:paraId="43487FAF" w14:textId="77777777" w:rsidR="004301EA" w:rsidRPr="008837D6" w:rsidRDefault="004301EA" w:rsidP="008837D6">
            <w:r w:rsidRPr="008837D6">
              <w:t>To:</w:t>
            </w:r>
          </w:p>
        </w:tc>
      </w:tr>
      <w:tr w:rsidR="004301EA" w:rsidRPr="00506364" w14:paraId="0D99B36C" w14:textId="77777777" w:rsidTr="004301EA">
        <w:tc>
          <w:tcPr>
            <w:tcW w:w="1558" w:type="dxa"/>
          </w:tcPr>
          <w:p w14:paraId="5DDB28AE" w14:textId="77777777" w:rsidR="004301EA" w:rsidRPr="00360D87" w:rsidRDefault="00C07FA5" w:rsidP="008837D6">
            <w:pPr>
              <w:rPr>
                <w:rStyle w:val="Strong"/>
              </w:rPr>
            </w:pPr>
            <w:r w:rsidRPr="00360D87">
              <w:rPr>
                <w:rStyle w:val="Strong"/>
              </w:rPr>
              <w:t>1</w:t>
            </w:r>
          </w:p>
        </w:tc>
        <w:tc>
          <w:tcPr>
            <w:tcW w:w="3233" w:type="dxa"/>
          </w:tcPr>
          <w:p w14:paraId="3BB48F20" w14:textId="77777777" w:rsidR="004301EA" w:rsidRPr="008837D6" w:rsidRDefault="00C07FA5" w:rsidP="008837D6">
            <w:r w:rsidRPr="008837D6">
              <w:t>29 August 2011</w:t>
            </w:r>
          </w:p>
        </w:tc>
        <w:tc>
          <w:tcPr>
            <w:tcW w:w="1965" w:type="dxa"/>
          </w:tcPr>
          <w:p w14:paraId="18E39864" w14:textId="77777777" w:rsidR="004301EA" w:rsidRPr="008837D6" w:rsidRDefault="00C07FA5" w:rsidP="008837D6">
            <w:r w:rsidRPr="008837D6">
              <w:t>29 August 2011</w:t>
            </w:r>
          </w:p>
        </w:tc>
        <w:tc>
          <w:tcPr>
            <w:tcW w:w="1965" w:type="dxa"/>
          </w:tcPr>
          <w:p w14:paraId="6E59FF07" w14:textId="55F07D03" w:rsidR="004301EA" w:rsidRPr="008837D6" w:rsidRDefault="00C07FA5" w:rsidP="008837D6">
            <w:r w:rsidRPr="008837D6">
              <w:t>30 June 201</w:t>
            </w:r>
            <w:r w:rsidR="006536A9" w:rsidRPr="008837D6">
              <w:t>3</w:t>
            </w:r>
          </w:p>
        </w:tc>
      </w:tr>
      <w:tr w:rsidR="004301EA" w:rsidRPr="00506364" w14:paraId="201B9B1E" w14:textId="77777777" w:rsidTr="004301EA">
        <w:tc>
          <w:tcPr>
            <w:tcW w:w="1558" w:type="dxa"/>
          </w:tcPr>
          <w:p w14:paraId="5C84DDB8" w14:textId="77777777" w:rsidR="004301EA" w:rsidRPr="00360D87" w:rsidRDefault="00C07FA5" w:rsidP="008837D6">
            <w:pPr>
              <w:rPr>
                <w:rStyle w:val="Strong"/>
              </w:rPr>
            </w:pPr>
            <w:r w:rsidRPr="00360D87">
              <w:rPr>
                <w:rStyle w:val="Strong"/>
              </w:rPr>
              <w:t>2</w:t>
            </w:r>
          </w:p>
        </w:tc>
        <w:tc>
          <w:tcPr>
            <w:tcW w:w="3233" w:type="dxa"/>
          </w:tcPr>
          <w:p w14:paraId="703AD17B" w14:textId="77777777" w:rsidR="004301EA" w:rsidRPr="008837D6" w:rsidRDefault="00FA76F0" w:rsidP="008837D6">
            <w:r w:rsidRPr="008837D6">
              <w:t>5 July 2013</w:t>
            </w:r>
          </w:p>
        </w:tc>
        <w:tc>
          <w:tcPr>
            <w:tcW w:w="1965" w:type="dxa"/>
          </w:tcPr>
          <w:p w14:paraId="1B833C45" w14:textId="77777777" w:rsidR="004301EA" w:rsidRPr="008837D6" w:rsidRDefault="00FA76F0" w:rsidP="008837D6">
            <w:r w:rsidRPr="008837D6">
              <w:t>1 July 2013</w:t>
            </w:r>
          </w:p>
        </w:tc>
        <w:tc>
          <w:tcPr>
            <w:tcW w:w="1965" w:type="dxa"/>
          </w:tcPr>
          <w:p w14:paraId="14ABDBCA" w14:textId="77777777" w:rsidR="004301EA" w:rsidRPr="008837D6" w:rsidRDefault="00FA76F0" w:rsidP="008837D6">
            <w:r w:rsidRPr="008837D6">
              <w:t>30 June 2018</w:t>
            </w:r>
          </w:p>
        </w:tc>
      </w:tr>
      <w:tr w:rsidR="00FA76F0" w:rsidRPr="00506364" w14:paraId="30CF76A2" w14:textId="77777777" w:rsidTr="004301EA">
        <w:tc>
          <w:tcPr>
            <w:tcW w:w="1558" w:type="dxa"/>
          </w:tcPr>
          <w:p w14:paraId="5E1A935B" w14:textId="77777777" w:rsidR="00FA76F0" w:rsidRPr="00360D87" w:rsidRDefault="00FA76F0" w:rsidP="008837D6">
            <w:pPr>
              <w:rPr>
                <w:rStyle w:val="Strong"/>
              </w:rPr>
            </w:pPr>
            <w:r w:rsidRPr="00360D87">
              <w:rPr>
                <w:rStyle w:val="Strong"/>
              </w:rPr>
              <w:t>3</w:t>
            </w:r>
          </w:p>
        </w:tc>
        <w:tc>
          <w:tcPr>
            <w:tcW w:w="3233" w:type="dxa"/>
          </w:tcPr>
          <w:p w14:paraId="3C93F282" w14:textId="2EA084C4" w:rsidR="00FA76F0" w:rsidRPr="008837D6" w:rsidRDefault="00CF5A59" w:rsidP="008837D6">
            <w:r w:rsidRPr="008837D6">
              <w:t>29 June 2018</w:t>
            </w:r>
          </w:p>
        </w:tc>
        <w:tc>
          <w:tcPr>
            <w:tcW w:w="1965" w:type="dxa"/>
          </w:tcPr>
          <w:p w14:paraId="12CB4703" w14:textId="77777777" w:rsidR="00FA76F0" w:rsidRPr="008837D6" w:rsidRDefault="00FA76F0" w:rsidP="008837D6">
            <w:r w:rsidRPr="008837D6">
              <w:t>1 July 2018</w:t>
            </w:r>
          </w:p>
        </w:tc>
        <w:tc>
          <w:tcPr>
            <w:tcW w:w="1965" w:type="dxa"/>
          </w:tcPr>
          <w:p w14:paraId="1B6FF324" w14:textId="05F8C5D1" w:rsidR="00FA76F0" w:rsidRPr="008837D6" w:rsidRDefault="00DD02DD" w:rsidP="008837D6">
            <w:r w:rsidRPr="008837D6">
              <w:t>30 June 2019</w:t>
            </w:r>
          </w:p>
        </w:tc>
      </w:tr>
      <w:tr w:rsidR="00DD02DD" w:rsidRPr="00506364" w14:paraId="4CCDC93D" w14:textId="77777777" w:rsidTr="004301EA">
        <w:tc>
          <w:tcPr>
            <w:tcW w:w="1558" w:type="dxa"/>
          </w:tcPr>
          <w:p w14:paraId="723EDF64" w14:textId="7C7B593C" w:rsidR="00DD02DD" w:rsidRPr="00360D87" w:rsidRDefault="00DD02DD" w:rsidP="008837D6">
            <w:pPr>
              <w:rPr>
                <w:rStyle w:val="Strong"/>
              </w:rPr>
            </w:pPr>
            <w:r w:rsidRPr="00360D87">
              <w:rPr>
                <w:rStyle w:val="Strong"/>
              </w:rPr>
              <w:t>4</w:t>
            </w:r>
          </w:p>
        </w:tc>
        <w:tc>
          <w:tcPr>
            <w:tcW w:w="3233" w:type="dxa"/>
          </w:tcPr>
          <w:p w14:paraId="710CF842" w14:textId="0A7F329D" w:rsidR="00DD02DD" w:rsidRPr="008837D6" w:rsidRDefault="00DD02DD" w:rsidP="008837D6">
            <w:r w:rsidRPr="008837D6">
              <w:t>1 July 2019</w:t>
            </w:r>
          </w:p>
        </w:tc>
        <w:tc>
          <w:tcPr>
            <w:tcW w:w="1965" w:type="dxa"/>
          </w:tcPr>
          <w:p w14:paraId="199D02C6" w14:textId="03CF917B" w:rsidR="00DD02DD" w:rsidRPr="008837D6" w:rsidRDefault="00DD02DD" w:rsidP="008837D6">
            <w:r w:rsidRPr="008837D6">
              <w:t>1 July 2019</w:t>
            </w:r>
          </w:p>
        </w:tc>
        <w:tc>
          <w:tcPr>
            <w:tcW w:w="1965" w:type="dxa"/>
          </w:tcPr>
          <w:p w14:paraId="37803714" w14:textId="07FCD797" w:rsidR="00DD02DD" w:rsidRPr="008837D6" w:rsidRDefault="00DD02DD" w:rsidP="008837D6">
            <w:r w:rsidRPr="008837D6">
              <w:t>Current</w:t>
            </w:r>
          </w:p>
        </w:tc>
      </w:tr>
    </w:tbl>
    <w:bookmarkEnd w:id="0"/>
    <w:p w14:paraId="2206F46D" w14:textId="77777777" w:rsidR="00BA09CA" w:rsidRPr="00506364" w:rsidRDefault="004301EA" w:rsidP="008837D6">
      <w:pPr>
        <w:pStyle w:val="Heading1"/>
      </w:pPr>
      <w:r w:rsidRPr="00506364">
        <w:t>Purpose</w:t>
      </w:r>
    </w:p>
    <w:p w14:paraId="7FDBCFB0" w14:textId="77777777" w:rsidR="00FA76F0" w:rsidRPr="002876E7" w:rsidRDefault="00FA76F0" w:rsidP="0052570A">
      <w:pPr>
        <w:pStyle w:val="ListNumber"/>
      </w:pPr>
      <w:r w:rsidRPr="00506364">
        <w:t xml:space="preserve">This Guideline explains the operation of eligible exploration expenditure (EEE) as </w:t>
      </w:r>
      <w:r w:rsidRPr="002876E7">
        <w:t>defined in the Mineral Royalty Act 1982 (NT) (the MRA) and how the Territory Revenue Office (TRO) will administer the deduction in the calculation of net value for royalty purposes.</w:t>
      </w:r>
    </w:p>
    <w:p w14:paraId="2EBB87D4" w14:textId="77777777" w:rsidR="00FA76F0" w:rsidRPr="00506364" w:rsidRDefault="00FA76F0" w:rsidP="0052570A">
      <w:pPr>
        <w:pStyle w:val="ListNumber"/>
      </w:pPr>
      <w:r w:rsidRPr="002876E7">
        <w:t>This Guideline is issued by the</w:t>
      </w:r>
      <w:r w:rsidRPr="00506364">
        <w:t xml:space="preserve"> Secretary under section 4E of the MRA.</w:t>
      </w:r>
    </w:p>
    <w:p w14:paraId="6B569147" w14:textId="77777777" w:rsidR="00FA76F0" w:rsidRPr="00506364" w:rsidRDefault="00FA76F0" w:rsidP="008837D6">
      <w:pPr>
        <w:pStyle w:val="Heading1"/>
      </w:pPr>
      <w:r w:rsidRPr="00506364">
        <w:t xml:space="preserve">Introduction </w:t>
      </w:r>
    </w:p>
    <w:p w14:paraId="731032A6" w14:textId="77777777" w:rsidR="00FA76F0" w:rsidRPr="00506364" w:rsidRDefault="00FA76F0" w:rsidP="0052570A">
      <w:pPr>
        <w:pStyle w:val="ListNumber"/>
      </w:pPr>
      <w:r w:rsidRPr="00506364">
        <w:t>Section 10 of the MRA sets out the formula for calculating the net value of a saleable mineral commodity sold or removed without sale from a production unit. The rate of royalty is applied to the net value to establish liability for the relevant royalty year.</w:t>
      </w:r>
    </w:p>
    <w:p w14:paraId="4F73ECD6" w14:textId="77777777" w:rsidR="00FA76F0" w:rsidRPr="00506364" w:rsidRDefault="00FA76F0" w:rsidP="0052570A">
      <w:pPr>
        <w:pStyle w:val="ListNumber"/>
      </w:pPr>
      <w:r w:rsidRPr="00506364">
        <w:t>Net value is calculated in accordance with the formula:</w:t>
      </w:r>
    </w:p>
    <w:p w14:paraId="2D51A230" w14:textId="77777777" w:rsidR="00FA76F0" w:rsidRPr="00360D87" w:rsidRDefault="00FA76F0" w:rsidP="00360D87">
      <w:pPr>
        <w:pStyle w:val="ListContinue"/>
        <w:rPr>
          <w:rStyle w:val="Strong"/>
        </w:rPr>
      </w:pPr>
      <w:r w:rsidRPr="00360D87">
        <w:rPr>
          <w:rStyle w:val="Strong"/>
        </w:rPr>
        <w:t>NV  = GR - (OC + CRD + EEE + AD)</w:t>
      </w:r>
    </w:p>
    <w:p w14:paraId="2FC7DA1D" w14:textId="77777777" w:rsidR="00FA76F0" w:rsidRPr="002876E7" w:rsidRDefault="00FA76F0" w:rsidP="00360D87">
      <w:pPr>
        <w:pStyle w:val="ListContinue"/>
      </w:pPr>
      <w:r w:rsidRPr="002876E7">
        <w:t>where:</w:t>
      </w:r>
    </w:p>
    <w:p w14:paraId="210759BD" w14:textId="6430D0B2" w:rsidR="00FA76F0" w:rsidRPr="00360D87" w:rsidRDefault="00E67CEE" w:rsidP="00360D87">
      <w:pPr>
        <w:pStyle w:val="ListContinue"/>
      </w:pPr>
      <w:r w:rsidRPr="00360D87">
        <w:t>NV</w:t>
      </w:r>
      <w:r w:rsidRPr="00360D87">
        <w:tab/>
      </w:r>
      <w:r w:rsidR="00FA76F0" w:rsidRPr="00360D87">
        <w:t>is the net value from a production unit in a royalty year.</w:t>
      </w:r>
    </w:p>
    <w:p w14:paraId="320A5AEA" w14:textId="3FC33992" w:rsidR="00FA76F0" w:rsidRPr="00360D87" w:rsidRDefault="00FA76F0" w:rsidP="00360D87">
      <w:pPr>
        <w:pStyle w:val="ListContinue"/>
      </w:pPr>
      <w:r w:rsidRPr="00360D87">
        <w:t>GR</w:t>
      </w:r>
      <w:r w:rsidRPr="00360D87">
        <w:tab/>
        <w:t>is the gross realisation from the production unit in the royalty year.</w:t>
      </w:r>
    </w:p>
    <w:p w14:paraId="524E7FC6" w14:textId="559709FD" w:rsidR="00FA76F0" w:rsidRPr="00360D87" w:rsidRDefault="00E67CEE" w:rsidP="00360D87">
      <w:pPr>
        <w:pStyle w:val="ListContinue"/>
      </w:pPr>
      <w:r w:rsidRPr="00360D87">
        <w:t>OC</w:t>
      </w:r>
      <w:r w:rsidRPr="00360D87">
        <w:tab/>
      </w:r>
      <w:r w:rsidR="00FA76F0" w:rsidRPr="00360D87">
        <w:t>is the operating costs of the production unit for the royalty year.</w:t>
      </w:r>
    </w:p>
    <w:p w14:paraId="2888B4AF" w14:textId="671D5347" w:rsidR="00FA76F0" w:rsidRPr="00360D87" w:rsidRDefault="00E67CEE" w:rsidP="00360D87">
      <w:pPr>
        <w:pStyle w:val="ListContinue"/>
      </w:pPr>
      <w:r w:rsidRPr="00360D87">
        <w:t>CRD</w:t>
      </w:r>
      <w:r w:rsidR="00FA76F0" w:rsidRPr="00360D87">
        <w:tab/>
        <w:t>is the capital recognition deduction.</w:t>
      </w:r>
    </w:p>
    <w:p w14:paraId="1F886AAE" w14:textId="73514DB4" w:rsidR="00FA76F0" w:rsidRPr="00360D87" w:rsidRDefault="00E67CEE" w:rsidP="00360D87">
      <w:pPr>
        <w:pStyle w:val="ListContinue"/>
      </w:pPr>
      <w:r w:rsidRPr="00360D87">
        <w:t>EEE</w:t>
      </w:r>
      <w:r w:rsidR="00FA76F0" w:rsidRPr="00360D87">
        <w:tab/>
        <w:t>is any eligible exploration expenditure.</w:t>
      </w:r>
    </w:p>
    <w:p w14:paraId="4F71452A" w14:textId="7AF2B0B7" w:rsidR="00FA76F0" w:rsidRPr="00360D87" w:rsidRDefault="00E67CEE" w:rsidP="00360D87">
      <w:pPr>
        <w:pStyle w:val="ListContinue"/>
      </w:pPr>
      <w:r w:rsidRPr="00360D87">
        <w:t>AD</w:t>
      </w:r>
      <w:r w:rsidR="00FA76F0" w:rsidRPr="00360D87">
        <w:tab/>
        <w:t>is any additional deduction under section 4CA.</w:t>
      </w:r>
    </w:p>
    <w:p w14:paraId="47773FB0" w14:textId="77777777" w:rsidR="00FA76F0" w:rsidRPr="00506364" w:rsidRDefault="00FA76F0" w:rsidP="0052570A">
      <w:pPr>
        <w:pStyle w:val="ListNumber"/>
      </w:pPr>
      <w:r w:rsidRPr="00506364">
        <w:t>EEE is defined in section 4 of the MRA and is the focus of this Guideline.</w:t>
      </w:r>
    </w:p>
    <w:p w14:paraId="44D31E33" w14:textId="77777777" w:rsidR="00FA76F0" w:rsidRPr="00506364" w:rsidRDefault="00FA76F0" w:rsidP="008837D6">
      <w:pPr>
        <w:pStyle w:val="Heading1"/>
      </w:pPr>
      <w:r w:rsidRPr="00FF1BAB">
        <w:t>What is EEE</w:t>
      </w:r>
    </w:p>
    <w:p w14:paraId="723A6D81" w14:textId="77777777" w:rsidR="00FA76F0" w:rsidRPr="00506364" w:rsidRDefault="00FA76F0" w:rsidP="00E67CEE">
      <w:pPr>
        <w:pStyle w:val="ListNumber"/>
      </w:pPr>
      <w:r w:rsidRPr="00506364">
        <w:t>To qualify as EEE, the expenditure incurred by the royalty payer (which must be reasonable in amount) must be in respect of work carried out:</w:t>
      </w:r>
    </w:p>
    <w:p w14:paraId="4687EC0B" w14:textId="77777777" w:rsidR="00FA76F0" w:rsidRPr="00360D87" w:rsidRDefault="00FA76F0" w:rsidP="00360D87">
      <w:pPr>
        <w:pStyle w:val="ListNumber2"/>
      </w:pPr>
      <w:r w:rsidRPr="00360D87">
        <w:t>in the Northern Territory on or after 1 July 2003</w:t>
      </w:r>
    </w:p>
    <w:p w14:paraId="6392DA2C" w14:textId="3C7F654E" w:rsidR="00FA76F0" w:rsidRPr="00360D87" w:rsidRDefault="0019650C" w:rsidP="00360D87">
      <w:pPr>
        <w:pStyle w:val="ListNumber2"/>
      </w:pPr>
      <w:r w:rsidRPr="00360D87">
        <w:t xml:space="preserve">or </w:t>
      </w:r>
      <w:r w:rsidR="00CF5A59" w:rsidRPr="00360D87">
        <w:t xml:space="preserve">outside the </w:t>
      </w:r>
      <w:r w:rsidR="00FA76F0" w:rsidRPr="00360D87">
        <w:t>Territory</w:t>
      </w:r>
    </w:p>
    <w:p w14:paraId="13C8B476" w14:textId="77777777" w:rsidR="00FA76F0" w:rsidRPr="00360D87" w:rsidRDefault="00FA76F0" w:rsidP="00360D87">
      <w:pPr>
        <w:pStyle w:val="ListNumber2"/>
      </w:pPr>
      <w:r w:rsidRPr="00360D87">
        <w:t>in connection with a mineral occurrence on a mining tenement which forms part of the production unit</w:t>
      </w:r>
    </w:p>
    <w:p w14:paraId="79CCC844" w14:textId="7D819C81" w:rsidR="00FA76F0" w:rsidRPr="00360D87" w:rsidRDefault="0019650C" w:rsidP="00360D87">
      <w:pPr>
        <w:pStyle w:val="ListNumber2"/>
      </w:pPr>
      <w:r w:rsidRPr="00360D87">
        <w:t xml:space="preserve">and </w:t>
      </w:r>
      <w:r w:rsidR="00FA76F0" w:rsidRPr="00360D87">
        <w:t>directly in respect of the exploration for determining the existence, location, extent or quality of a mineral occurrence on the land comprised in the mining tenement, parent exploration retention licence or parent mineral exploration licence in retention (ERL) or mineral authority corresponding to that licence from which the mineral is ultimately derived.</w:t>
      </w:r>
    </w:p>
    <w:p w14:paraId="402BD3BC" w14:textId="47A24C3E" w:rsidR="00FA76F0" w:rsidRPr="00506364" w:rsidRDefault="00286629" w:rsidP="0052570A">
      <w:pPr>
        <w:pStyle w:val="ListNumber"/>
      </w:pPr>
      <w:r w:rsidRPr="00506364">
        <w:lastRenderedPageBreak/>
        <w:t>As paragraph 6(4)</w:t>
      </w:r>
      <w:r w:rsidR="00FA76F0" w:rsidRPr="00506364">
        <w:t xml:space="preserve"> makes clear, the underlying title is critical to determining whether the exploration expenditure is an </w:t>
      </w:r>
      <w:r w:rsidR="00FA76F0" w:rsidRPr="0052570A">
        <w:t>allowable deduction. The definition of ‘mining tenement’ under the MRA specifically excludes, for example, a mineral or extractive mineral exploration licence</w:t>
      </w:r>
      <w:r w:rsidR="00FA76F0" w:rsidRPr="0052570A" w:rsidDel="005B4E98">
        <w:t xml:space="preserve"> </w:t>
      </w:r>
      <w:r w:rsidR="00FA76F0" w:rsidRPr="0052570A">
        <w:t xml:space="preserve">within the meaning of the </w:t>
      </w:r>
      <w:r w:rsidR="00FA76F0" w:rsidRPr="0052570A">
        <w:rPr>
          <w:rStyle w:val="SubtleEmphasis"/>
        </w:rPr>
        <w:t>Min</w:t>
      </w:r>
      <w:r w:rsidR="006536A9" w:rsidRPr="0052570A">
        <w:rPr>
          <w:rStyle w:val="SubtleEmphasis"/>
        </w:rPr>
        <w:t>eral Titles Act 2010</w:t>
      </w:r>
      <w:r w:rsidR="006536A9" w:rsidRPr="0052570A">
        <w:t xml:space="preserve"> (NT)</w:t>
      </w:r>
      <w:r w:rsidR="00FA76F0" w:rsidRPr="0052570A">
        <w:t xml:space="preserve"> (or successor legislation). Therefore, any exploration expenditure incurred on an exploration licence is not recognised as EEE for royalty purposes.</w:t>
      </w:r>
      <w:r w:rsidR="00FA76F0" w:rsidRPr="00506364">
        <w:t xml:space="preserve"> </w:t>
      </w:r>
    </w:p>
    <w:p w14:paraId="6C66B706" w14:textId="6683CD58" w:rsidR="00FA76F0" w:rsidRPr="00506364" w:rsidRDefault="00FA76F0" w:rsidP="0052570A">
      <w:pPr>
        <w:pStyle w:val="ListNumber"/>
      </w:pPr>
      <w:r w:rsidRPr="00506364">
        <w:t xml:space="preserve">In addition, exploration expenditure incurred on a mining tenement that does not form part of the production unit, or on land comprised in an area subject to an ERL that does not later become a mining tenement that forms part of the production unit, is not considered EEE for royalty purposes. Critical to the recognition of EEE is the concept of a production unit. Guideline </w:t>
      </w:r>
      <w:hyperlink r:id="rId8" w:history="1">
        <w:r w:rsidRPr="00506364">
          <w:rPr>
            <w:rStyle w:val="Hyperlink"/>
          </w:rPr>
          <w:t>RG-MRA-002</w:t>
        </w:r>
      </w:hyperlink>
      <w:r w:rsidRPr="00506364">
        <w:t>: Production Unit provides further information on the key concept of a production unit.</w:t>
      </w:r>
    </w:p>
    <w:p w14:paraId="3B885851" w14:textId="77777777" w:rsidR="00FA76F0" w:rsidRPr="0052570A" w:rsidRDefault="00FA76F0" w:rsidP="0052570A">
      <w:pPr>
        <w:pStyle w:val="ListNumber"/>
      </w:pPr>
      <w:r w:rsidRPr="0052570A">
        <w:t>Expenditure (reasonable in amount) incurred by the royalty payer that is directly attributable to exploration work on land that comprises a mining tenement that forms part of the production unit or parent ERL may be claimed as EEE. This can include, but is not limited to, the costs of the following activities:</w:t>
      </w:r>
    </w:p>
    <w:p w14:paraId="78B0EE12" w14:textId="77777777" w:rsidR="00FA76F0" w:rsidRPr="0052570A" w:rsidRDefault="00FA76F0" w:rsidP="0052570A">
      <w:pPr>
        <w:pStyle w:val="ListNumber2"/>
      </w:pPr>
      <w:r w:rsidRPr="0052570A">
        <w:t>digging pits, trenches and holes, and sinking bores and tunnels in, on or under the mining tenement to ascertain the quality, quantity or extent of ore or other material</w:t>
      </w:r>
    </w:p>
    <w:p w14:paraId="36AA0FCB" w14:textId="77777777" w:rsidR="00FA76F0" w:rsidRPr="0052570A" w:rsidRDefault="00FA76F0" w:rsidP="0052570A">
      <w:pPr>
        <w:pStyle w:val="ListNumber2"/>
      </w:pPr>
      <w:r w:rsidRPr="0052570A">
        <w:t>drilling or other methods undertaken to ascertain the quality, quantity or extent of the ore body (provided they do not relate to an ore body subject to an existing mine pit)</w:t>
      </w:r>
    </w:p>
    <w:p w14:paraId="352C9DE9" w14:textId="51B91371" w:rsidR="00FA76F0" w:rsidRPr="00506364" w:rsidRDefault="00CF5A59" w:rsidP="0052570A">
      <w:pPr>
        <w:pStyle w:val="ListNumber2"/>
      </w:pPr>
      <w:r w:rsidRPr="00506364">
        <w:t>extracting and removing</w:t>
      </w:r>
      <w:r w:rsidR="00FA76F0" w:rsidRPr="00506364">
        <w:t xml:space="preserve"> ore, material or other substance for sampling and testing (provided they do not relate to an ore body subject to an existing mine pit)</w:t>
      </w:r>
    </w:p>
    <w:p w14:paraId="0BB2D235" w14:textId="7D0C2D70" w:rsidR="00FA76F0" w:rsidRPr="00506364" w:rsidRDefault="00CF5A59" w:rsidP="0052570A">
      <w:pPr>
        <w:pStyle w:val="ListNumber2"/>
      </w:pPr>
      <w:r w:rsidRPr="00506364">
        <w:t>diverting</w:t>
      </w:r>
      <w:r w:rsidR="00FA76F0" w:rsidRPr="00506364">
        <w:t xml:space="preserve"> water from any natural spring, lake, pool or stream situated on or flowing through the mining tenement</w:t>
      </w:r>
    </w:p>
    <w:p w14:paraId="6636F792" w14:textId="77777777" w:rsidR="00FA76F0" w:rsidRPr="00506364" w:rsidRDefault="00FA76F0" w:rsidP="0052570A">
      <w:pPr>
        <w:pStyle w:val="ListNumber2"/>
      </w:pPr>
      <w:r w:rsidRPr="00506364">
        <w:t>sinking a well or bore on the mining tenement and extracting of water for any purpose in connection with exploring for minerals on the mining tenement</w:t>
      </w:r>
    </w:p>
    <w:p w14:paraId="65C47E58" w14:textId="77777777" w:rsidR="00FA76F0" w:rsidRPr="00506364" w:rsidRDefault="00FA76F0" w:rsidP="0052570A">
      <w:pPr>
        <w:pStyle w:val="ListNumber2"/>
      </w:pPr>
      <w:r w:rsidRPr="00506364">
        <w:t>pegging and surveying</w:t>
      </w:r>
    </w:p>
    <w:p w14:paraId="3E2FDBCC" w14:textId="41C32B7F" w:rsidR="00FA76F0" w:rsidRPr="00506364" w:rsidRDefault="00CF5A59" w:rsidP="0052570A">
      <w:pPr>
        <w:pStyle w:val="ListNumber2"/>
      </w:pPr>
      <w:r w:rsidRPr="00506364">
        <w:t>producing</w:t>
      </w:r>
      <w:r w:rsidR="00FA76F0" w:rsidRPr="00506364">
        <w:t xml:space="preserve"> exploration data, including maps, photos and remote imagery</w:t>
      </w:r>
    </w:p>
    <w:p w14:paraId="4D0FF52E" w14:textId="77777777" w:rsidR="00FA76F0" w:rsidRPr="00506364" w:rsidRDefault="00FA76F0" w:rsidP="0052570A">
      <w:pPr>
        <w:pStyle w:val="ListNumber2"/>
      </w:pPr>
      <w:r w:rsidRPr="00506364">
        <w:t>depreciation in relation to capital items used in exploration activities.</w:t>
      </w:r>
    </w:p>
    <w:p w14:paraId="783DB7E7" w14:textId="3E4F8B80" w:rsidR="00FA76F0" w:rsidRPr="00506364" w:rsidRDefault="00FA76F0" w:rsidP="0052570A">
      <w:pPr>
        <w:pStyle w:val="ListNumber"/>
      </w:pPr>
      <w:r w:rsidRPr="00506364">
        <w:t xml:space="preserve">If the expenditure is only partly attributable to mineral exploration work on either a mining tenement </w:t>
      </w:r>
      <w:r w:rsidR="006C57C3" w:rsidRPr="00506364">
        <w:t xml:space="preserve">that </w:t>
      </w:r>
      <w:r w:rsidRPr="00506364">
        <w:t xml:space="preserve">forms part of the production unit or on land comprised in a parent ERL that subsequently forms part of the production unit, only an appropriate proportion of the expenditure may be claimed as EEE for the production unit. </w:t>
      </w:r>
    </w:p>
    <w:p w14:paraId="72C52315" w14:textId="0FFA9490" w:rsidR="00FA76F0" w:rsidRPr="00506364" w:rsidRDefault="00FA76F0" w:rsidP="0052570A">
      <w:pPr>
        <w:pStyle w:val="ListNumber"/>
      </w:pPr>
      <w:r w:rsidRPr="00506364">
        <w:t xml:space="preserve">Types of expenditure </w:t>
      </w:r>
      <w:r w:rsidR="006C57C3" w:rsidRPr="00506364">
        <w:t xml:space="preserve">that </w:t>
      </w:r>
      <w:r w:rsidRPr="00506364">
        <w:t>are not generally considered to be EEE include, but are not limited to:</w:t>
      </w:r>
    </w:p>
    <w:p w14:paraId="0FDFDABD" w14:textId="77777777" w:rsidR="00FA76F0" w:rsidRPr="00506364" w:rsidRDefault="00FA76F0" w:rsidP="0052570A">
      <w:pPr>
        <w:pStyle w:val="ListNumber2"/>
        <w:numPr>
          <w:ilvl w:val="1"/>
          <w:numId w:val="35"/>
        </w:numPr>
      </w:pPr>
      <w:r w:rsidRPr="00506364">
        <w:t>tenement rentals</w:t>
      </w:r>
    </w:p>
    <w:p w14:paraId="19D72CC0" w14:textId="77777777" w:rsidR="00FA76F0" w:rsidRPr="00506364" w:rsidRDefault="00FA76F0" w:rsidP="0052570A">
      <w:pPr>
        <w:pStyle w:val="ListNumber2"/>
      </w:pPr>
      <w:r w:rsidRPr="00506364">
        <w:t>costs not directly related to mineral exploration such as entertainment expenses, donations, gifts, interest and financing costs</w:t>
      </w:r>
    </w:p>
    <w:p w14:paraId="6EDC7C0B" w14:textId="77777777" w:rsidR="00FA76F0" w:rsidRPr="00506364" w:rsidRDefault="00FA76F0" w:rsidP="0052570A">
      <w:pPr>
        <w:pStyle w:val="ListNumber2"/>
      </w:pPr>
      <w:r w:rsidRPr="00506364">
        <w:t>development and production of the existing mine</w:t>
      </w:r>
    </w:p>
    <w:p w14:paraId="1B8F97FA" w14:textId="77777777" w:rsidR="00FA76F0" w:rsidRPr="00506364" w:rsidRDefault="00FA76F0" w:rsidP="0052570A">
      <w:pPr>
        <w:pStyle w:val="ListNumber2"/>
      </w:pPr>
      <w:r w:rsidRPr="00506364">
        <w:t>acquisition costs of tenements</w:t>
      </w:r>
    </w:p>
    <w:p w14:paraId="6EC60D89" w14:textId="77777777" w:rsidR="00FA76F0" w:rsidRPr="00506364" w:rsidRDefault="00FA76F0" w:rsidP="0052570A">
      <w:pPr>
        <w:pStyle w:val="ListNumber2"/>
      </w:pPr>
      <w:r w:rsidRPr="00506364">
        <w:t>purchase cost of capital items</w:t>
      </w:r>
    </w:p>
    <w:p w14:paraId="3F02380E" w14:textId="77777777" w:rsidR="00FA76F0" w:rsidRPr="00506364" w:rsidRDefault="00FA76F0" w:rsidP="0052570A">
      <w:pPr>
        <w:pStyle w:val="ListNumber2"/>
      </w:pPr>
      <w:r w:rsidRPr="00506364">
        <w:t xml:space="preserve">payments by way of compensation made to traditional Aboriginal owners or representatives of traditional Aboriginal owners under the </w:t>
      </w:r>
      <w:r w:rsidRPr="00360D87">
        <w:rPr>
          <w:rStyle w:val="SubtleEmphasis"/>
        </w:rPr>
        <w:t xml:space="preserve">Aboriginal Land Rights (Northern Territory) Act 1976 </w:t>
      </w:r>
      <w:r w:rsidRPr="00506364">
        <w:t>(Cth).</w:t>
      </w:r>
    </w:p>
    <w:p w14:paraId="532D5185" w14:textId="7393AA36" w:rsidR="00FA76F0" w:rsidRPr="00506364" w:rsidRDefault="00FA76F0" w:rsidP="0052570A">
      <w:pPr>
        <w:pStyle w:val="ListNumber"/>
      </w:pPr>
      <w:r w:rsidRPr="00506364">
        <w:lastRenderedPageBreak/>
        <w:t xml:space="preserve">Any expenditure relating to the setting up and operation of the production unit should be claimed as a capital recognition deduction. </w:t>
      </w:r>
      <w:r w:rsidR="00CF5A59" w:rsidRPr="00506364">
        <w:t xml:space="preserve">For example, shaft sinking and cross cutting to provide access to an ore body is more appropriately to be treated as eligible capital assets expenditure. </w:t>
      </w:r>
      <w:r w:rsidRPr="00506364">
        <w:t xml:space="preserve">Guideline </w:t>
      </w:r>
      <w:hyperlink r:id="rId9" w:history="1">
        <w:r w:rsidRPr="00506364">
          <w:rPr>
            <w:rStyle w:val="Hyperlink"/>
          </w:rPr>
          <w:t>RG-MRA-006</w:t>
        </w:r>
      </w:hyperlink>
      <w:r w:rsidRPr="00506364">
        <w:t>: Capital Recognition Deduction provides further information</w:t>
      </w:r>
      <w:r w:rsidRPr="00360D87">
        <w:t>.</w:t>
      </w:r>
    </w:p>
    <w:p w14:paraId="0C9D2C64" w14:textId="77777777" w:rsidR="00FA76F0" w:rsidRPr="00506364" w:rsidRDefault="00FA76F0" w:rsidP="006755AB">
      <w:pPr>
        <w:pStyle w:val="Heading2"/>
      </w:pPr>
      <w:r w:rsidRPr="006755AB">
        <w:t>Maximum</w:t>
      </w:r>
      <w:r w:rsidRPr="00506364">
        <w:t xml:space="preserve"> EEE deduction cap</w:t>
      </w:r>
    </w:p>
    <w:p w14:paraId="04BCC057" w14:textId="1B220F2A" w:rsidR="00FA76F0" w:rsidRPr="00506364" w:rsidRDefault="00FA76F0" w:rsidP="006755AB">
      <w:pPr>
        <w:pStyle w:val="ListNumber"/>
      </w:pPr>
      <w:r w:rsidRPr="00506364">
        <w:t>For royalty periods commencing on or after 1 July 2004, EEE can only be used as a deduction to reduce the royalty payable on the basis of net value by a maximum of 25</w:t>
      </w:r>
      <w:r w:rsidR="006C57C3" w:rsidRPr="00506364">
        <w:t> </w:t>
      </w:r>
      <w:r w:rsidRPr="00506364">
        <w:t>per cent of the amount of royalty that would otherwise be payable had EEE not been taken into account. This is best illustrated by example</w:t>
      </w:r>
      <w:r w:rsidR="006C57C3" w:rsidRPr="00506364">
        <w:t xml:space="preserve"> 1.</w:t>
      </w:r>
    </w:p>
    <w:p w14:paraId="582B6C12" w14:textId="22F8B99C" w:rsidR="00FA76F0" w:rsidRPr="007A5551" w:rsidRDefault="00FA76F0" w:rsidP="00D80BA3">
      <w:r w:rsidRPr="00D80BA3">
        <w:t>Example</w:t>
      </w:r>
      <w:r w:rsidR="006C57C3" w:rsidRPr="00D80BA3">
        <w:t xml:space="preserve"> 1</w:t>
      </w:r>
      <w:r w:rsidRPr="00C9340D">
        <w:t xml:space="preserve"> </w:t>
      </w:r>
    </w:p>
    <w:p w14:paraId="216A52E0" w14:textId="77777777" w:rsidR="00D80BA3" w:rsidRPr="00D80BA3" w:rsidRDefault="00D80BA3" w:rsidP="00E67CEE">
      <w:pPr>
        <w:pStyle w:val="Example"/>
      </w:pPr>
      <w:r w:rsidRPr="00D80BA3">
        <w:t>In respect of the 2016-17 year, a royalty payer has incurred $400 000 in EEE and has calculated the EEE claimable as follows:</w:t>
      </w:r>
    </w:p>
    <w:p w14:paraId="06FA2B2D" w14:textId="77777777" w:rsidR="00D80BA3" w:rsidRPr="00D80BA3" w:rsidRDefault="00D80BA3" w:rsidP="00E67CEE">
      <w:pPr>
        <w:pStyle w:val="Example"/>
        <w:tabs>
          <w:tab w:val="left" w:pos="4536"/>
          <w:tab w:val="right" w:pos="4961"/>
        </w:tabs>
      </w:pPr>
      <w:r w:rsidRPr="00D80BA3">
        <w:tab/>
        <w:t>$</w:t>
      </w:r>
    </w:p>
    <w:p w14:paraId="465721FB" w14:textId="77777777" w:rsidR="00D80BA3" w:rsidRPr="00D80BA3" w:rsidRDefault="00D80BA3" w:rsidP="007A5551">
      <w:pPr>
        <w:pStyle w:val="Example"/>
        <w:tabs>
          <w:tab w:val="right" w:pos="4961"/>
        </w:tabs>
      </w:pPr>
      <w:r w:rsidRPr="00D80BA3">
        <w:t>Gross realisation</w:t>
      </w:r>
      <w:r w:rsidRPr="00D80BA3">
        <w:tab/>
        <w:t>6 000 000</w:t>
      </w:r>
    </w:p>
    <w:p w14:paraId="17BF82B6" w14:textId="77777777" w:rsidR="00D80BA3" w:rsidRPr="00D80BA3" w:rsidRDefault="00D80BA3" w:rsidP="007A5551">
      <w:pPr>
        <w:pStyle w:val="Example"/>
        <w:tabs>
          <w:tab w:val="right" w:pos="4961"/>
        </w:tabs>
      </w:pPr>
      <w:r w:rsidRPr="00D80BA3">
        <w:t>Less: Operating costs</w:t>
      </w:r>
      <w:r w:rsidRPr="00D80BA3">
        <w:tab/>
        <w:t>(3 500 000)</w:t>
      </w:r>
    </w:p>
    <w:p w14:paraId="29064281" w14:textId="5A150593" w:rsidR="00D80BA3" w:rsidRPr="00D80BA3" w:rsidRDefault="00D80BA3" w:rsidP="007A5551">
      <w:pPr>
        <w:pStyle w:val="Example"/>
        <w:tabs>
          <w:tab w:val="right" w:pos="4961"/>
        </w:tabs>
      </w:pPr>
      <w:r w:rsidRPr="00D80BA3">
        <w:t>Less: Capital recognition deduction</w:t>
      </w:r>
      <w:r w:rsidRPr="00D80BA3">
        <w:tab/>
      </w:r>
      <w:r w:rsidR="00E67CEE">
        <w:t>(1 050 000)</w:t>
      </w:r>
    </w:p>
    <w:p w14:paraId="70322627" w14:textId="77777777" w:rsidR="00D80BA3" w:rsidRPr="00D80BA3" w:rsidRDefault="00D80BA3" w:rsidP="007A5551">
      <w:pPr>
        <w:pStyle w:val="Example"/>
        <w:tabs>
          <w:tab w:val="right" w:pos="4961"/>
        </w:tabs>
      </w:pPr>
      <w:r w:rsidRPr="00D80BA3">
        <w:t>Less: Additional ceduction</w:t>
      </w:r>
      <w:r w:rsidRPr="00D80BA3">
        <w:tab/>
      </w:r>
      <w:r w:rsidRPr="00D80BA3">
        <w:rPr>
          <w:u w:val="single"/>
        </w:rPr>
        <w:t>(0)</w:t>
      </w:r>
    </w:p>
    <w:p w14:paraId="4EEE9775" w14:textId="77777777" w:rsidR="00D80BA3" w:rsidRPr="00D80BA3" w:rsidRDefault="00D80BA3" w:rsidP="007A5551">
      <w:pPr>
        <w:pStyle w:val="Example"/>
        <w:tabs>
          <w:tab w:val="right" w:pos="4961"/>
        </w:tabs>
      </w:pPr>
      <w:r w:rsidRPr="00D80BA3">
        <w:t>Equals: Net value</w:t>
      </w:r>
      <w:r w:rsidRPr="00D80BA3">
        <w:tab/>
        <w:t>1 450 000</w:t>
      </w:r>
    </w:p>
    <w:p w14:paraId="323555EC" w14:textId="77777777" w:rsidR="00D80BA3" w:rsidRPr="00D80BA3" w:rsidRDefault="00D80BA3" w:rsidP="007A5551">
      <w:pPr>
        <w:pStyle w:val="Example"/>
        <w:tabs>
          <w:tab w:val="right" w:pos="4961"/>
        </w:tabs>
      </w:pPr>
      <w:r w:rsidRPr="00D80BA3">
        <w:t>Less: Royalty threshold</w:t>
      </w:r>
      <w:r w:rsidRPr="00D80BA3">
        <w:tab/>
      </w:r>
      <w:r w:rsidRPr="00D80BA3">
        <w:rPr>
          <w:u w:val="single"/>
        </w:rPr>
        <w:t>(50 000)</w:t>
      </w:r>
    </w:p>
    <w:p w14:paraId="432E0039" w14:textId="77777777" w:rsidR="00D80BA3" w:rsidRPr="00D80BA3" w:rsidRDefault="00D80BA3" w:rsidP="007A5551">
      <w:pPr>
        <w:pStyle w:val="Example"/>
        <w:tabs>
          <w:tab w:val="right" w:pos="4961"/>
        </w:tabs>
      </w:pPr>
      <w:r w:rsidRPr="00D80BA3">
        <w:t>Royalty value for EEE calculation</w:t>
      </w:r>
      <w:r w:rsidRPr="00D80BA3">
        <w:tab/>
      </w:r>
      <w:r w:rsidRPr="00D80BA3">
        <w:rPr>
          <w:u w:val="single"/>
        </w:rPr>
        <w:t xml:space="preserve">1 400 000 </w:t>
      </w:r>
    </w:p>
    <w:p w14:paraId="56CB5B1B" w14:textId="77777777" w:rsidR="00D80BA3" w:rsidRPr="00D80BA3" w:rsidRDefault="00D80BA3" w:rsidP="007A5551">
      <w:pPr>
        <w:pStyle w:val="Example"/>
        <w:tabs>
          <w:tab w:val="right" w:pos="4961"/>
        </w:tabs>
      </w:pPr>
      <w:r w:rsidRPr="00D80BA3">
        <w:t>EEE claimable @ 25 per cent</w:t>
      </w:r>
      <w:r w:rsidRPr="00D80BA3">
        <w:tab/>
      </w:r>
      <w:r w:rsidRPr="00D80BA3">
        <w:rPr>
          <w:u w:val="single"/>
        </w:rPr>
        <w:t>350 000</w:t>
      </w:r>
    </w:p>
    <w:p w14:paraId="5272F0D3" w14:textId="77777777" w:rsidR="00D80BA3" w:rsidRPr="00D80BA3" w:rsidRDefault="00D80BA3" w:rsidP="00E67CEE">
      <w:pPr>
        <w:pStyle w:val="Example"/>
      </w:pPr>
    </w:p>
    <w:p w14:paraId="1E8DBC93" w14:textId="77777777" w:rsidR="00D80BA3" w:rsidRPr="00D80BA3" w:rsidRDefault="00D80BA3" w:rsidP="00E67CEE">
      <w:pPr>
        <w:pStyle w:val="Example"/>
      </w:pPr>
      <w:r w:rsidRPr="00D80BA3">
        <w:t>As the production unit has calculated a positive net value, $350 000 is the maximum EEE deductible in the 2016-17 year (25 per cent of the positive net value). This results in a net value for the royalty year of $1 050 000.</w:t>
      </w:r>
    </w:p>
    <w:p w14:paraId="3E8818C9" w14:textId="77777777" w:rsidR="00D80BA3" w:rsidRPr="00D80BA3" w:rsidRDefault="00D80BA3" w:rsidP="00E67CEE">
      <w:pPr>
        <w:pStyle w:val="Example"/>
      </w:pPr>
      <w:r w:rsidRPr="00D80BA3">
        <w:t xml:space="preserve">The remaining unused portion of EEE of $50 000 ($400 000 - $350 000) may be carried forward for use as a deduction in a future royalty period. </w:t>
      </w:r>
    </w:p>
    <w:p w14:paraId="0207FE27" w14:textId="77777777" w:rsidR="00FA76F0" w:rsidRPr="00506364" w:rsidRDefault="00FA76F0" w:rsidP="006755AB">
      <w:pPr>
        <w:pStyle w:val="Heading2"/>
      </w:pPr>
      <w:r w:rsidRPr="00506364">
        <w:t>EEE is not applicable as a deduction when the royalty payer is in a negative net value position for a royalty year</w:t>
      </w:r>
    </w:p>
    <w:p w14:paraId="07ADBF97" w14:textId="77777777" w:rsidR="00FA76F0" w:rsidRPr="00506364" w:rsidRDefault="00FA76F0" w:rsidP="00E67CEE">
      <w:pPr>
        <w:pStyle w:val="ListNumber"/>
      </w:pPr>
      <w:r w:rsidRPr="00506364">
        <w:t xml:space="preserve">EEE can only be used to reduce the net value to nil. Accordingly, if a royalty payer has arrived at a negative net value for royalty purposes after deducting operating costs, capital recognition deduction and any additional deduction from the gross realisation amount, EEE cannot be included to further increase the negative net value of the production unit. </w:t>
      </w:r>
    </w:p>
    <w:p w14:paraId="43A63E01" w14:textId="77777777" w:rsidR="0006268F" w:rsidRDefault="0006268F" w:rsidP="008837D6">
      <w:pPr>
        <w:rPr>
          <w:rFonts w:eastAsia="Times New Roman"/>
          <w:szCs w:val="20"/>
          <w:lang w:eastAsia="en-AU"/>
        </w:rPr>
      </w:pPr>
      <w:r>
        <w:br w:type="page"/>
      </w:r>
    </w:p>
    <w:p w14:paraId="2F9BB7C9" w14:textId="2551869F" w:rsidR="00FA76F0" w:rsidRPr="007A5551" w:rsidRDefault="00FA76F0" w:rsidP="00360D87">
      <w:r w:rsidRPr="00506364">
        <w:lastRenderedPageBreak/>
        <w:t>Example</w:t>
      </w:r>
      <w:r w:rsidR="00286629" w:rsidRPr="00506364">
        <w:t xml:space="preserve"> 1</w:t>
      </w:r>
    </w:p>
    <w:p w14:paraId="03E65FC6" w14:textId="77777777" w:rsidR="00FA76F0" w:rsidRPr="00506364" w:rsidRDefault="00FA76F0" w:rsidP="00360D87">
      <w:pPr>
        <w:pStyle w:val="Example"/>
      </w:pPr>
      <w:r w:rsidRPr="00506364">
        <w:t>In respect of the 2016-17 year, a royalty payer has incurred $500 000 in EEE and has calculated the net value as follows:</w:t>
      </w:r>
    </w:p>
    <w:p w14:paraId="37F4D748" w14:textId="77777777" w:rsidR="00FA76F0" w:rsidRPr="00506364" w:rsidRDefault="00C1702D" w:rsidP="007A5551">
      <w:pPr>
        <w:pStyle w:val="Example"/>
        <w:tabs>
          <w:tab w:val="left" w:pos="4536"/>
          <w:tab w:val="right" w:pos="4961"/>
        </w:tabs>
      </w:pPr>
      <w:r w:rsidRPr="00506364">
        <w:tab/>
      </w:r>
      <w:r w:rsidR="00FA76F0" w:rsidRPr="00506364">
        <w:t>$</w:t>
      </w:r>
    </w:p>
    <w:p w14:paraId="46F3A4A8" w14:textId="270920C3" w:rsidR="00FA76F0" w:rsidRPr="00506364" w:rsidRDefault="00FA76F0" w:rsidP="007A5551">
      <w:pPr>
        <w:pStyle w:val="Example"/>
        <w:tabs>
          <w:tab w:val="right" w:pos="4961"/>
        </w:tabs>
      </w:pPr>
      <w:r w:rsidRPr="00506364">
        <w:t xml:space="preserve">Gross </w:t>
      </w:r>
      <w:r w:rsidR="006C57C3" w:rsidRPr="00506364">
        <w:t>r</w:t>
      </w:r>
      <w:r w:rsidR="007A5551">
        <w:t>ealisation</w:t>
      </w:r>
      <w:r w:rsidR="007A5551">
        <w:tab/>
      </w:r>
      <w:r w:rsidRPr="00506364">
        <w:t>4 500 000</w:t>
      </w:r>
    </w:p>
    <w:p w14:paraId="0C00ABBC" w14:textId="1F625B56" w:rsidR="00FA76F0" w:rsidRPr="00506364" w:rsidRDefault="00C1702D" w:rsidP="007A5551">
      <w:pPr>
        <w:pStyle w:val="Example"/>
        <w:tabs>
          <w:tab w:val="right" w:pos="4961"/>
        </w:tabs>
      </w:pPr>
      <w:r w:rsidRPr="00506364">
        <w:t xml:space="preserve">Less: Operating </w:t>
      </w:r>
      <w:r w:rsidR="006C57C3" w:rsidRPr="00506364">
        <w:t>c</w:t>
      </w:r>
      <w:r w:rsidRPr="00506364">
        <w:t>osts</w:t>
      </w:r>
      <w:r w:rsidRPr="00506364">
        <w:tab/>
      </w:r>
      <w:r w:rsidR="00FA76F0" w:rsidRPr="00506364">
        <w:t>(2 900 000)</w:t>
      </w:r>
    </w:p>
    <w:p w14:paraId="10C8F197" w14:textId="7878AAD0" w:rsidR="00FA76F0" w:rsidRPr="00506364" w:rsidRDefault="00FA76F0" w:rsidP="007A5551">
      <w:pPr>
        <w:pStyle w:val="Example"/>
        <w:tabs>
          <w:tab w:val="right" w:pos="4961"/>
        </w:tabs>
      </w:pPr>
      <w:r w:rsidRPr="00506364">
        <w:t xml:space="preserve">Less: Capital </w:t>
      </w:r>
      <w:r w:rsidR="006C57C3" w:rsidRPr="00506364">
        <w:t>r</w:t>
      </w:r>
      <w:r w:rsidRPr="00506364">
        <w:t xml:space="preserve">ecognition </w:t>
      </w:r>
      <w:r w:rsidR="006C57C3" w:rsidRPr="00506364">
        <w:t>d</w:t>
      </w:r>
      <w:r w:rsidR="007A5551">
        <w:t>eduction</w:t>
      </w:r>
      <w:r w:rsidR="007A5551">
        <w:tab/>
      </w:r>
      <w:r w:rsidRPr="00506364">
        <w:t>(1 900 000)</w:t>
      </w:r>
    </w:p>
    <w:p w14:paraId="07E8DA5E" w14:textId="373158EC" w:rsidR="00FA76F0" w:rsidRPr="00506364" w:rsidRDefault="00FA76F0" w:rsidP="007A5551">
      <w:pPr>
        <w:pStyle w:val="Example"/>
        <w:tabs>
          <w:tab w:val="right" w:pos="4961"/>
        </w:tabs>
      </w:pPr>
      <w:r w:rsidRPr="00506364">
        <w:t xml:space="preserve">Less: Additional </w:t>
      </w:r>
      <w:r w:rsidR="006C57C3" w:rsidRPr="00506364">
        <w:t>d</w:t>
      </w:r>
      <w:r w:rsidR="007A5551">
        <w:t>eduction</w:t>
      </w:r>
      <w:r w:rsidR="007A5551">
        <w:tab/>
      </w:r>
      <w:r w:rsidRPr="00506364">
        <w:rPr>
          <w:u w:val="single"/>
        </w:rPr>
        <w:t>(0)</w:t>
      </w:r>
    </w:p>
    <w:p w14:paraId="0B0DF795" w14:textId="0CEC0A15" w:rsidR="00FA76F0" w:rsidRPr="00506364" w:rsidRDefault="00FA76F0" w:rsidP="007A5551">
      <w:pPr>
        <w:pStyle w:val="Example"/>
        <w:tabs>
          <w:tab w:val="right" w:pos="4961"/>
        </w:tabs>
        <w:rPr>
          <w:u w:val="single"/>
        </w:rPr>
      </w:pPr>
      <w:r w:rsidRPr="00506364">
        <w:t xml:space="preserve">Equals: Negative </w:t>
      </w:r>
      <w:r w:rsidR="006C57C3" w:rsidRPr="00506364">
        <w:t>n</w:t>
      </w:r>
      <w:r w:rsidRPr="00506364">
        <w:t xml:space="preserve">et </w:t>
      </w:r>
      <w:r w:rsidR="006C57C3" w:rsidRPr="00506364">
        <w:t>v</w:t>
      </w:r>
      <w:r w:rsidR="007A5551">
        <w:t>alue</w:t>
      </w:r>
      <w:r w:rsidR="007A5551">
        <w:tab/>
      </w:r>
      <w:r w:rsidRPr="00506364">
        <w:rPr>
          <w:u w:val="single"/>
        </w:rPr>
        <w:t>(300 000)</w:t>
      </w:r>
    </w:p>
    <w:p w14:paraId="31DFC1C8" w14:textId="77777777" w:rsidR="00FA76F0" w:rsidRPr="00506364" w:rsidRDefault="00FA76F0" w:rsidP="00360D87">
      <w:pPr>
        <w:pStyle w:val="Example"/>
      </w:pPr>
    </w:p>
    <w:p w14:paraId="7019E767" w14:textId="77777777" w:rsidR="00FA76F0" w:rsidRPr="00506364" w:rsidRDefault="00FA76F0" w:rsidP="00360D87">
      <w:pPr>
        <w:pStyle w:val="Example"/>
      </w:pPr>
      <w:r w:rsidRPr="00506364">
        <w:t xml:space="preserve">As the production unit has calculated a negative net value, the EEE of $500 000 cannot be applied as a royalty deduction in the 2016-17 year. However, the unused EEE may be carried forward for use as a deduction in a future royalty year for the purpose of calculating net value. </w:t>
      </w:r>
    </w:p>
    <w:p w14:paraId="2CCF3AC7" w14:textId="77777777" w:rsidR="00FA76F0" w:rsidRPr="00506364" w:rsidRDefault="00FA76F0" w:rsidP="006755AB">
      <w:pPr>
        <w:pStyle w:val="Heading2"/>
      </w:pPr>
      <w:r w:rsidRPr="00506364">
        <w:t>Carrying forward unused EEE</w:t>
      </w:r>
    </w:p>
    <w:p w14:paraId="250EAE8D" w14:textId="77777777" w:rsidR="00FA76F0" w:rsidRPr="00506364" w:rsidRDefault="00FA76F0" w:rsidP="00360D87">
      <w:pPr>
        <w:pStyle w:val="ListNumber"/>
      </w:pPr>
      <w:r w:rsidRPr="00506364">
        <w:t>Royalty payers can carry forward any EEE they incur after 1 July 2003 that is not used, either because the production unit is in a negative net value position or the total EEE able to be claimed is in excess of the maximum deduction cap. The Secretary’s approval to carry forward the unclaimed EEE is not required.</w:t>
      </w:r>
    </w:p>
    <w:p w14:paraId="3F4B0AEC" w14:textId="77777777" w:rsidR="00FA76F0" w:rsidRPr="00506364" w:rsidRDefault="00FA76F0" w:rsidP="00360D87">
      <w:pPr>
        <w:pStyle w:val="ListNumber"/>
      </w:pPr>
      <w:r w:rsidRPr="00506364">
        <w:t xml:space="preserve">There is no time limit for the carrying forward of unused EEE. Accordingly, EEE can be carried forward until such time that it is fully utilised as a royalty deduction. </w:t>
      </w:r>
    </w:p>
    <w:p w14:paraId="3CEEE650" w14:textId="77777777" w:rsidR="00FA76F0" w:rsidRPr="00506364" w:rsidRDefault="00FA76F0" w:rsidP="006755AB">
      <w:pPr>
        <w:pStyle w:val="Heading2"/>
      </w:pPr>
      <w:r w:rsidRPr="00506364">
        <w:t>Transferability of EEE</w:t>
      </w:r>
    </w:p>
    <w:p w14:paraId="34065817" w14:textId="77777777" w:rsidR="00FA76F0" w:rsidRPr="00506364" w:rsidRDefault="00FA76F0" w:rsidP="00360D87">
      <w:pPr>
        <w:pStyle w:val="ListNumber"/>
      </w:pPr>
      <w:r w:rsidRPr="00506364">
        <w:t xml:space="preserve">EEE relates to exploration expenditure incurred by a royalty payer. Accordingly, it remains with the royalty payer who actually incurred the expenditure and cannot be transferred to another person. </w:t>
      </w:r>
    </w:p>
    <w:p w14:paraId="726E39B4" w14:textId="77777777" w:rsidR="00FA76F0" w:rsidRPr="00506364" w:rsidRDefault="00FA76F0" w:rsidP="008837D6">
      <w:pPr>
        <w:pStyle w:val="Heading1"/>
      </w:pPr>
      <w:r w:rsidRPr="00506364">
        <w:t xml:space="preserve">GST </w:t>
      </w:r>
    </w:p>
    <w:p w14:paraId="09A895F2" w14:textId="77777777" w:rsidR="00FA76F0" w:rsidRPr="00506364" w:rsidRDefault="00FA76F0" w:rsidP="00360D87">
      <w:pPr>
        <w:pStyle w:val="ListNumber"/>
      </w:pPr>
      <w:r w:rsidRPr="00506364">
        <w:t>An amount of EEE is the amount exclusive of the GST (if any) payable in relation to that expenditure. Where an item of EEE is input taxed, the amount claimable is inclusive of GST.</w:t>
      </w:r>
    </w:p>
    <w:p w14:paraId="238D1997" w14:textId="77777777" w:rsidR="00FA76F0" w:rsidRPr="00506364" w:rsidRDefault="00FA76F0" w:rsidP="008837D6">
      <w:pPr>
        <w:pStyle w:val="Heading1"/>
      </w:pPr>
      <w:r w:rsidRPr="00506364">
        <w:t>Record keeping requirements</w:t>
      </w:r>
    </w:p>
    <w:p w14:paraId="771B83ED" w14:textId="4CF927EC" w:rsidR="00FA76F0" w:rsidRPr="00506364" w:rsidRDefault="00FA76F0" w:rsidP="00360D87">
      <w:pPr>
        <w:pStyle w:val="ListNumber"/>
      </w:pPr>
      <w:r w:rsidRPr="00506364">
        <w:t xml:space="preserve">For general record keeping requirements, refer to </w:t>
      </w:r>
      <w:hyperlink r:id="rId10" w:history="1">
        <w:r w:rsidRPr="00506364">
          <w:rPr>
            <w:rStyle w:val="Hyperlink"/>
          </w:rPr>
          <w:t>MRA Overview</w:t>
        </w:r>
      </w:hyperlink>
      <w:r w:rsidRPr="00506364">
        <w:t xml:space="preserve">. </w:t>
      </w:r>
    </w:p>
    <w:p w14:paraId="75A125A3" w14:textId="656854F3" w:rsidR="00FA76F0" w:rsidRPr="00506364" w:rsidRDefault="00FA76F0" w:rsidP="00360D87">
      <w:pPr>
        <w:pStyle w:val="ListNumber"/>
      </w:pPr>
      <w:r w:rsidRPr="00506364">
        <w:t>Every royalty return lodged with the Secretary</w:t>
      </w:r>
      <w:r w:rsidR="00CF5A59" w:rsidRPr="00506364">
        <w:t xml:space="preserve"> must be assessed under section</w:t>
      </w:r>
      <w:r w:rsidRPr="00506364">
        <w:t xml:space="preserve"> 18 or 19 of the MRA. In order for an assessment to be made, an audit may be conducted by an authorised officer to verify the information contained in the royalty return. This may be carried out at the mine site or the royalty payer may be requested to provide certain information.</w:t>
      </w:r>
    </w:p>
    <w:p w14:paraId="422DD8DF" w14:textId="77777777" w:rsidR="00FA76F0" w:rsidRPr="00506364" w:rsidRDefault="00FA76F0" w:rsidP="00360D87">
      <w:pPr>
        <w:pStyle w:val="ListNumber"/>
      </w:pPr>
      <w:r w:rsidRPr="00506364">
        <w:t>For assessment or audit purposes, proper records must be kept and be made available to substantiate the costs claimed as EEE, including detailed cost schedules supported by source documentation relating to the relevant mining tenements and parent ERLs.</w:t>
      </w:r>
    </w:p>
    <w:p w14:paraId="73E5CA2F" w14:textId="77777777" w:rsidR="00FA76F0" w:rsidRPr="00506364" w:rsidRDefault="00FA76F0" w:rsidP="00360D87">
      <w:pPr>
        <w:pStyle w:val="ListNumber"/>
      </w:pPr>
      <w:r w:rsidRPr="00506364">
        <w:lastRenderedPageBreak/>
        <w:t>The eligibility of EEE incurred may be reviewed by the Secretary in the year that the expenditure is incurred. This will allow any excess EEE to be carried forward into the next return period and alleviate the need to continually verify past excess EEE when it is ultimately claimed. However, as this may be subject to further review or audit, it is important that royalty payers retain their records relating to EEE.</w:t>
      </w:r>
    </w:p>
    <w:p w14:paraId="50F76630" w14:textId="77777777" w:rsidR="00EA11B0" w:rsidRPr="00A627C6" w:rsidRDefault="00EA11B0" w:rsidP="008837D6">
      <w:pPr>
        <w:pStyle w:val="Heading1"/>
      </w:pPr>
      <w:r w:rsidRPr="00A627C6">
        <w:t>MRA publications</w:t>
      </w:r>
    </w:p>
    <w:p w14:paraId="729CF279" w14:textId="77777777" w:rsidR="00653B23" w:rsidRPr="00235988" w:rsidRDefault="00653B23" w:rsidP="00653B23">
      <w:pPr>
        <w:pStyle w:val="ListNumber"/>
        <w:tabs>
          <w:tab w:val="num" w:pos="425"/>
        </w:tabs>
      </w:pPr>
      <w:r w:rsidRPr="00235988">
        <w:t xml:space="preserve">Guideline </w:t>
      </w:r>
      <w:hyperlink r:id="rId11" w:history="1">
        <w:r w:rsidRPr="00BA1AB0">
          <w:rPr>
            <w:rStyle w:val="Hyperlink"/>
          </w:rPr>
          <w:t>RG-MRA-001</w:t>
        </w:r>
      </w:hyperlink>
      <w:r w:rsidRPr="00BA1AB0">
        <w:t>: Guidelines and Advance Opinions</w:t>
      </w:r>
      <w:r w:rsidRPr="00235988">
        <w:t>, which sets out information on the Guideline system, is incorporated into and read as one with this Guideline.</w:t>
      </w:r>
    </w:p>
    <w:p w14:paraId="0A0F0173" w14:textId="77777777" w:rsidR="00653B23" w:rsidRPr="009E05CC" w:rsidRDefault="00653B23" w:rsidP="00653B23">
      <w:pPr>
        <w:rPr>
          <w:rFonts w:cs="Arial"/>
        </w:rPr>
      </w:pPr>
    </w:p>
    <w:p w14:paraId="7CB7450E" w14:textId="77777777" w:rsidR="00653B23" w:rsidRPr="009E05CC" w:rsidRDefault="00653B23" w:rsidP="00653B23">
      <w:pPr>
        <w:rPr>
          <w:rFonts w:cs="Arial"/>
        </w:rPr>
      </w:pPr>
      <w:r>
        <w:rPr>
          <w:noProof/>
          <w:lang w:eastAsia="en-AU"/>
        </w:rPr>
        <w:drawing>
          <wp:inline distT="0" distB="0" distL="0" distR="0" wp14:anchorId="247AD292" wp14:editId="16ECEA82">
            <wp:extent cx="1570355" cy="515620"/>
            <wp:effectExtent l="0" t="0" r="0" b="0"/>
            <wp:docPr id="3" name="Picture 3" descr="Commissioner's signature: Michael Butler"/>
            <wp:cNvGraphicFramePr/>
            <a:graphic xmlns:a="http://schemas.openxmlformats.org/drawingml/2006/main">
              <a:graphicData uri="http://schemas.openxmlformats.org/drawingml/2006/picture">
                <pic:pic xmlns:pic="http://schemas.openxmlformats.org/drawingml/2006/picture">
                  <pic:nvPicPr>
                    <pic:cNvPr id="3" name="Picture 3" descr="Commissioner's signature: Michael Butle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0355" cy="515620"/>
                    </a:xfrm>
                    <a:prstGeom prst="rect">
                      <a:avLst/>
                    </a:prstGeom>
                  </pic:spPr>
                </pic:pic>
              </a:graphicData>
            </a:graphic>
          </wp:inline>
        </w:drawing>
      </w:r>
    </w:p>
    <w:p w14:paraId="1DE137B4" w14:textId="77777777" w:rsidR="00653B23" w:rsidRPr="009E05CC" w:rsidRDefault="00653B23" w:rsidP="00653B23">
      <w:r w:rsidRPr="009E05CC">
        <w:t xml:space="preserve">Michael Butler </w:t>
      </w:r>
      <w:r>
        <w:br/>
      </w:r>
      <w:r w:rsidRPr="009E05CC">
        <w:t>Secretary</w:t>
      </w:r>
      <w:r>
        <w:br/>
      </w:r>
      <w:r w:rsidRPr="009E05CC">
        <w:t>Date of Issue: 1 July 2019</w:t>
      </w:r>
    </w:p>
    <w:p w14:paraId="6422B38E" w14:textId="77777777" w:rsidR="00653B23" w:rsidRPr="009E05CC" w:rsidRDefault="00653B23" w:rsidP="00653B23">
      <w:pPr>
        <w:rPr>
          <w:rFonts w:cs="Arial"/>
        </w:rPr>
      </w:pPr>
    </w:p>
    <w:p w14:paraId="224F2D26" w14:textId="77777777" w:rsidR="00653B23" w:rsidRPr="00B91230" w:rsidRDefault="00653B23" w:rsidP="00653B23">
      <w:r w:rsidRPr="00B91230">
        <w:t>For further information, please contact the Territory Revenue Office:</w:t>
      </w:r>
    </w:p>
    <w:p w14:paraId="5283C71F" w14:textId="32BD970C" w:rsidR="00653B23" w:rsidRPr="00235988" w:rsidRDefault="00653B23" w:rsidP="00653B23">
      <w:r w:rsidRPr="00B91230">
        <w:t xml:space="preserve">GPO Box </w:t>
      </w:r>
      <w:r w:rsidR="00BA736D">
        <w:t>1974</w:t>
      </w:r>
      <w:bookmarkStart w:id="1" w:name="_GoBack"/>
      <w:bookmarkEnd w:id="1"/>
      <w:r>
        <w:br/>
      </w:r>
      <w:r w:rsidRPr="00B91230">
        <w:t>Darwin NT 0801</w:t>
      </w:r>
      <w:r>
        <w:br/>
      </w:r>
      <w:r w:rsidRPr="00B91230">
        <w:t xml:space="preserve">Email: </w:t>
      </w:r>
      <w:hyperlink r:id="rId13" w:history="1">
        <w:r w:rsidRPr="008069D9">
          <w:rPr>
            <w:rStyle w:val="Hyperlink"/>
          </w:rPr>
          <w:t>ntrevenue@nt.gov.au</w:t>
        </w:r>
      </w:hyperlink>
      <w:r w:rsidRPr="00B91230">
        <w:t xml:space="preserve"> </w:t>
      </w:r>
      <w:r>
        <w:br/>
      </w:r>
      <w:r w:rsidRPr="00B91230">
        <w:t>Phone: 1300 305 353</w:t>
      </w:r>
      <w:r>
        <w:br/>
      </w:r>
      <w:r w:rsidRPr="00B91230">
        <w:t xml:space="preserve">Website: </w:t>
      </w:r>
      <w:hyperlink r:id="rId14" w:history="1">
        <w:r w:rsidRPr="00D42500">
          <w:rPr>
            <w:rStyle w:val="Hyperlink"/>
          </w:rPr>
          <w:t>www.revenue.nt.gov.au</w:t>
        </w:r>
      </w:hyperlink>
    </w:p>
    <w:p w14:paraId="490F0646" w14:textId="06DD4B43" w:rsidR="003A2424" w:rsidRPr="00506364" w:rsidRDefault="003A2424" w:rsidP="00653B23"/>
    <w:sectPr w:rsidR="003A2424" w:rsidRPr="00506364" w:rsidSect="0006268F">
      <w:headerReference w:type="default" r:id="rId15"/>
      <w:footerReference w:type="default" r:id="rId16"/>
      <w:headerReference w:type="first" r:id="rId17"/>
      <w:footerReference w:type="first" r:id="rId18"/>
      <w:pgSz w:w="11906" w:h="16838" w:code="9"/>
      <w:pgMar w:top="1134" w:right="1558" w:bottom="1134"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651EB" w14:textId="77777777" w:rsidR="00B20C2F" w:rsidRDefault="00B20C2F" w:rsidP="008837D6">
      <w:r>
        <w:separator/>
      </w:r>
    </w:p>
  </w:endnote>
  <w:endnote w:type="continuationSeparator" w:id="0">
    <w:p w14:paraId="061B7D68" w14:textId="77777777" w:rsidR="00B20C2F" w:rsidRDefault="00B20C2F" w:rsidP="00883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ato Heavy">
    <w:panose1 w:val="020F0502020204030203"/>
    <w:charset w:val="00"/>
    <w:family w:val="swiss"/>
    <w:pitch w:val="variable"/>
    <w:sig w:usb0="E10002FF" w:usb1="5000ECFF" w:usb2="00000021" w:usb3="00000000" w:csb0="0000019F" w:csb1="00000000"/>
  </w:font>
  <w:font w:name="Lato">
    <w:altName w:val="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51BA6" w14:textId="77777777" w:rsidR="005F5072" w:rsidRPr="00AE306C" w:rsidRDefault="00B20C2F" w:rsidP="008837D6">
    <w:r>
      <w:pict w14:anchorId="778E00F2">
        <v:rect id="_x0000_i1025" style="width:481.9pt;height:.5pt" o:hralign="center" o:hrstd="t" o:hrnoshade="t" o:hr="t" fillcolor="black [3213]" stroked="f"/>
      </w:pict>
    </w:r>
  </w:p>
  <w:p w14:paraId="3E42A697" w14:textId="79ECF212" w:rsidR="005F5072" w:rsidRPr="004D1B76" w:rsidRDefault="005F5072" w:rsidP="008837D6">
    <w:pPr>
      <w:pStyle w:val="NTGFooter2deptpagenum"/>
    </w:pPr>
    <w:r w:rsidRPr="007B5DA2">
      <w:rPr>
        <w:rStyle w:val="NTGFooterDepartmentofChar"/>
      </w:rPr>
      <w:fldChar w:fldCharType="begin"/>
    </w:r>
    <w:r w:rsidRPr="007B5DA2">
      <w:rPr>
        <w:rStyle w:val="NTGFooterDepartmentofChar"/>
      </w:rPr>
      <w:instrText xml:space="preserve"> DOCPROPERTY  DepartmentOf  \* MERGEFORMAT </w:instrText>
    </w:r>
    <w:r w:rsidRPr="007B5DA2">
      <w:rPr>
        <w:rStyle w:val="NTGFooterDepartmentofChar"/>
      </w:rPr>
      <w:fldChar w:fldCharType="separate"/>
    </w:r>
    <w:r w:rsidR="003A2424">
      <w:rPr>
        <w:rStyle w:val="NTGFooterDepartmentofChar"/>
      </w:rPr>
      <w:t xml:space="preserve">Department of </w:t>
    </w:r>
    <w:r w:rsidRPr="007B5DA2">
      <w:rPr>
        <w:rStyle w:val="NTGFooterDepartmentofChar"/>
      </w:rPr>
      <w:fldChar w:fldCharType="end"/>
    </w:r>
    <w:r w:rsidRPr="007B5DA2">
      <w:rPr>
        <w:rStyle w:val="NTGFooterDepartmentNameChar"/>
      </w:rPr>
      <w:fldChar w:fldCharType="begin"/>
    </w:r>
    <w:r w:rsidRPr="007B5DA2">
      <w:rPr>
        <w:rStyle w:val="NTGFooterDepartmentNameChar"/>
      </w:rPr>
      <w:instrText xml:space="preserve"> DOCPROPERTY  DepartmentName  \* MERGEFORMAT </w:instrText>
    </w:r>
    <w:r w:rsidRPr="007B5DA2">
      <w:rPr>
        <w:rStyle w:val="NTGFooterDepartmentNameChar"/>
      </w:rPr>
      <w:fldChar w:fldCharType="separate"/>
    </w:r>
    <w:r w:rsidR="003A2424">
      <w:rPr>
        <w:rStyle w:val="NTGFooterDepartmentNameChar"/>
      </w:rPr>
      <w:t>Treasury and Finance</w:t>
    </w:r>
    <w:r w:rsidRPr="007B5DA2">
      <w:rPr>
        <w:rStyle w:val="NTGFooterDepartmentNameChar"/>
      </w:rPr>
      <w:fldChar w:fldCharType="end"/>
    </w:r>
    <w:r w:rsidRPr="004D1B76">
      <w:tab/>
    </w:r>
    <w:r w:rsidRPr="007B5DA2">
      <w:rPr>
        <w:rStyle w:val="NTGFooter2deptpagenumChar"/>
        <w:rFonts w:eastAsia="Calibri"/>
      </w:rPr>
      <w:t xml:space="preserve">Page </w:t>
    </w:r>
    <w:r w:rsidRPr="007B5DA2">
      <w:rPr>
        <w:rStyle w:val="NTGFooter2deptpagenumChar"/>
        <w:rFonts w:eastAsia="Calibri"/>
      </w:rPr>
      <w:fldChar w:fldCharType="begin"/>
    </w:r>
    <w:r w:rsidRPr="007B5DA2">
      <w:rPr>
        <w:rStyle w:val="NTGFooter2deptpagenumChar"/>
        <w:rFonts w:eastAsia="Calibri"/>
      </w:rPr>
      <w:instrText xml:space="preserve"> PAGE  \* Arabic  \* MERGEFORMAT </w:instrText>
    </w:r>
    <w:r w:rsidRPr="007B5DA2">
      <w:rPr>
        <w:rStyle w:val="NTGFooter2deptpagenumChar"/>
        <w:rFonts w:eastAsia="Calibri"/>
      </w:rPr>
      <w:fldChar w:fldCharType="separate"/>
    </w:r>
    <w:r w:rsidR="00841111">
      <w:rPr>
        <w:rStyle w:val="NTGFooter2deptpagenumChar"/>
        <w:rFonts w:eastAsia="Calibri"/>
        <w:noProof/>
      </w:rPr>
      <w:t>5</w:t>
    </w:r>
    <w:r w:rsidRPr="007B5DA2">
      <w:rPr>
        <w:rStyle w:val="NTGFooter2deptpagenumChar"/>
        <w:rFonts w:eastAsia="Calibri"/>
      </w:rPr>
      <w:fldChar w:fldCharType="end"/>
    </w:r>
    <w:r w:rsidRPr="007B5DA2">
      <w:rPr>
        <w:rStyle w:val="NTGFooter2deptpagenumChar"/>
        <w:rFonts w:eastAsia="Calibri"/>
      </w:rPr>
      <w:t xml:space="preserve"> of </w:t>
    </w:r>
    <w:r w:rsidRPr="007B5DA2">
      <w:rPr>
        <w:rStyle w:val="NTGFooter2deptpagenumChar"/>
        <w:rFonts w:eastAsia="Calibri"/>
      </w:rPr>
      <w:fldChar w:fldCharType="begin"/>
    </w:r>
    <w:r w:rsidRPr="007B5DA2">
      <w:rPr>
        <w:rStyle w:val="NTGFooter2deptpagenumChar"/>
        <w:rFonts w:eastAsia="Calibri"/>
      </w:rPr>
      <w:instrText xml:space="preserve"> NUMPAGES  \* Arabic  \* MERGEFORMAT </w:instrText>
    </w:r>
    <w:r w:rsidRPr="007B5DA2">
      <w:rPr>
        <w:rStyle w:val="NTGFooter2deptpagenumChar"/>
        <w:rFonts w:eastAsia="Calibri"/>
      </w:rPr>
      <w:fldChar w:fldCharType="separate"/>
    </w:r>
    <w:r w:rsidR="00841111">
      <w:rPr>
        <w:rStyle w:val="NTGFooter2deptpagenumChar"/>
        <w:rFonts w:eastAsia="Calibri"/>
        <w:noProof/>
      </w:rPr>
      <w:t>5</w:t>
    </w:r>
    <w:r w:rsidRPr="007B5DA2">
      <w:rPr>
        <w:rStyle w:val="NTGFooter2deptpagenumChar"/>
        <w:rFonts w:eastAsia="Calibri"/>
      </w:rPr>
      <w:fldChar w:fldCharType="end"/>
    </w:r>
  </w:p>
  <w:p w14:paraId="1DFDCF4A" w14:textId="021A1977" w:rsidR="005F5072" w:rsidRPr="007B5DA2" w:rsidRDefault="005F5072" w:rsidP="008837D6">
    <w:pPr>
      <w:pStyle w:val="NTGFooter2DateVersion"/>
      <w:rPr>
        <w:rStyle w:val="NTGFooter2deptpagenumChar"/>
        <w:rFonts w:eastAsia="Calibr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2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7655"/>
      <w:gridCol w:w="2268"/>
    </w:tblGrid>
    <w:tr w:rsidR="005F5072" w:rsidRPr="00132658" w14:paraId="1FD00A74" w14:textId="77777777" w:rsidTr="006B36CF">
      <w:trPr>
        <w:cantSplit/>
        <w:trHeight w:hRule="exact" w:val="1400"/>
        <w:tblHeader/>
      </w:trPr>
      <w:tc>
        <w:tcPr>
          <w:tcW w:w="7655" w:type="dxa"/>
          <w:vAlign w:val="center"/>
        </w:tcPr>
        <w:p w14:paraId="7ED4798F" w14:textId="77777777" w:rsidR="005F5072" w:rsidRPr="00705C9D" w:rsidRDefault="005F5072" w:rsidP="008837D6">
          <w:pPr>
            <w:pStyle w:val="NTGFooter1items"/>
            <w:rPr>
              <w:rStyle w:val="NTGFooterDepartmentNameChar"/>
            </w:rPr>
          </w:pPr>
          <w:r w:rsidRPr="00705C9D">
            <w:rPr>
              <w:rStyle w:val="NTGFooterDepartmentofChar"/>
            </w:rPr>
            <w:fldChar w:fldCharType="begin"/>
          </w:r>
          <w:r w:rsidRPr="00705C9D">
            <w:rPr>
              <w:rStyle w:val="NTGFooterDepartmentofChar"/>
            </w:rPr>
            <w:instrText xml:space="preserve"> DOCPROPERTY  DepartmentOf  \* MERGEFORMAT </w:instrText>
          </w:r>
          <w:r w:rsidRPr="00705C9D">
            <w:rPr>
              <w:rStyle w:val="NTGFooterDepartmentofChar"/>
            </w:rPr>
            <w:fldChar w:fldCharType="separate"/>
          </w:r>
          <w:r w:rsidR="003A2424">
            <w:rPr>
              <w:rStyle w:val="NTGFooterDepartmentofChar"/>
            </w:rPr>
            <w:t xml:space="preserve">Department of </w:t>
          </w:r>
          <w:r w:rsidRPr="00705C9D">
            <w:rPr>
              <w:rStyle w:val="NTGFooterDepartmentofChar"/>
            </w:rPr>
            <w:fldChar w:fldCharType="end"/>
          </w:r>
          <w:r w:rsidRPr="00705C9D">
            <w:rPr>
              <w:rStyle w:val="NTGFooterDepartmentNameChar"/>
            </w:rPr>
            <w:fldChar w:fldCharType="begin"/>
          </w:r>
          <w:r w:rsidRPr="00705C9D">
            <w:rPr>
              <w:rStyle w:val="NTGFooterDepartmentNameChar"/>
            </w:rPr>
            <w:instrText xml:space="preserve"> DOCPROPERTY  DepartmentName  \* MERGEFORMAT </w:instrText>
          </w:r>
          <w:r w:rsidRPr="00705C9D">
            <w:rPr>
              <w:rStyle w:val="NTGFooterDepartmentNameChar"/>
            </w:rPr>
            <w:fldChar w:fldCharType="separate"/>
          </w:r>
          <w:r w:rsidR="003A2424">
            <w:rPr>
              <w:rStyle w:val="NTGFooterDepartmentNameChar"/>
            </w:rPr>
            <w:t>Treasury and Finance</w:t>
          </w:r>
          <w:r w:rsidRPr="00705C9D">
            <w:rPr>
              <w:rStyle w:val="NTGFooterDepartmentNameChar"/>
            </w:rPr>
            <w:fldChar w:fldCharType="end"/>
          </w:r>
        </w:p>
        <w:p w14:paraId="38484F39" w14:textId="7EA74F47" w:rsidR="005F5072" w:rsidRPr="007B5DA2" w:rsidRDefault="005F5072" w:rsidP="008837D6">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BA736D">
            <w:rPr>
              <w:noProof/>
            </w:rPr>
            <w:t>1</w:t>
          </w:r>
          <w:r w:rsidRPr="007B5DA2">
            <w:fldChar w:fldCharType="end"/>
          </w:r>
          <w:r w:rsidRPr="007B5DA2">
            <w:t xml:space="preserve"> of </w:t>
          </w:r>
          <w:r w:rsidR="006536A9">
            <w:rPr>
              <w:noProof/>
            </w:rPr>
            <w:fldChar w:fldCharType="begin"/>
          </w:r>
          <w:r w:rsidR="006536A9">
            <w:rPr>
              <w:noProof/>
            </w:rPr>
            <w:instrText xml:space="preserve"> NUMPAGES  \* Arabic  \* MERGEFORMAT </w:instrText>
          </w:r>
          <w:r w:rsidR="006536A9">
            <w:rPr>
              <w:noProof/>
            </w:rPr>
            <w:fldChar w:fldCharType="separate"/>
          </w:r>
          <w:r w:rsidR="00BA736D">
            <w:rPr>
              <w:noProof/>
            </w:rPr>
            <w:t>5</w:t>
          </w:r>
          <w:r w:rsidR="006536A9">
            <w:rPr>
              <w:noProof/>
            </w:rPr>
            <w:fldChar w:fldCharType="end"/>
          </w:r>
          <w:r w:rsidRPr="007B5DA2">
            <w:tab/>
          </w:r>
        </w:p>
      </w:tc>
      <w:tc>
        <w:tcPr>
          <w:tcW w:w="2268" w:type="dxa"/>
          <w:vAlign w:val="center"/>
        </w:tcPr>
        <w:p w14:paraId="49140351" w14:textId="77777777" w:rsidR="005F5072" w:rsidRPr="001E14EB" w:rsidRDefault="005F5072" w:rsidP="008837D6">
          <w:r w:rsidRPr="00132658">
            <w:rPr>
              <w:noProof/>
              <w:lang w:eastAsia="en-AU"/>
            </w:rPr>
            <w:drawing>
              <wp:inline distT="0" distB="0" distL="0" distR="0" wp14:anchorId="1DC74B16" wp14:editId="0198588C">
                <wp:extent cx="1347470" cy="481330"/>
                <wp:effectExtent l="0" t="0" r="5080" b="0"/>
                <wp:docPr id="5" name="Picture 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0B2DB752" w14:textId="77777777" w:rsidR="005F5072" w:rsidRPr="00543BD1" w:rsidRDefault="005F5072" w:rsidP="00543BD1">
    <w:pPr>
      <w:pStyle w:val="NoSpacing"/>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B1EC7" w14:textId="77777777" w:rsidR="00B20C2F" w:rsidRDefault="00B20C2F" w:rsidP="008837D6">
      <w:r>
        <w:separator/>
      </w:r>
    </w:p>
  </w:footnote>
  <w:footnote w:type="continuationSeparator" w:id="0">
    <w:p w14:paraId="30BF29D3" w14:textId="77777777" w:rsidR="00B20C2F" w:rsidRDefault="00B20C2F" w:rsidP="00883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8D4B0" w14:textId="6A1BB7D2" w:rsidR="005F5072" w:rsidRPr="00096797" w:rsidRDefault="0006268F" w:rsidP="008837D6">
    <w:pPr>
      <w:pStyle w:val="Header"/>
    </w:pPr>
    <w:r w:rsidRPr="00096797">
      <w:t>Mineral Royalty Act</w:t>
    </w:r>
    <w:r w:rsidR="00096797" w:rsidRPr="00096797">
      <w:t>:</w:t>
    </w:r>
    <w:r w:rsidRPr="00096797">
      <w:t xml:space="preserve"> Royalty Guideline</w:t>
    </w:r>
    <w:r w:rsidR="00096797" w:rsidRPr="00096797">
      <w:t xml:space="preserve"> –</w:t>
    </w:r>
    <w:r w:rsidRPr="00096797">
      <w:t xml:space="preserve"> RG</w:t>
    </w:r>
    <w:r w:rsidR="001C347B">
      <w:t>-</w:t>
    </w:r>
    <w:r w:rsidRPr="00096797">
      <w:t>MRA-008 Eligible Exploration Expenditure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EC8EC" w14:textId="6A5C03AD" w:rsidR="00C07FA5" w:rsidRPr="0006268F" w:rsidRDefault="007F19F3" w:rsidP="0006268F">
    <w:pPr>
      <w:pStyle w:val="Title"/>
      <w:rPr>
        <w:b w:val="0"/>
      </w:rPr>
    </w:pPr>
    <w:r>
      <w:t>Mineral Royalty Act</w:t>
    </w:r>
    <w:r w:rsidR="00096797">
      <w:t>:</w:t>
    </w:r>
    <w:r>
      <w:t xml:space="preserve"> Royalty Guideline</w:t>
    </w:r>
    <w:r w:rsidR="00096797">
      <w:t xml:space="preserve"> – </w:t>
    </w:r>
    <w:r w:rsidR="001C347B">
      <w:br/>
    </w:r>
    <w:r>
      <w:t>RG</w:t>
    </w:r>
    <w:r w:rsidR="001C347B">
      <w:t>-</w:t>
    </w:r>
    <w:r>
      <w:t>MRA</w:t>
    </w:r>
    <w:r w:rsidR="001C347B">
      <w:t>-</w:t>
    </w:r>
    <w:r>
      <w:t>008 Eligible Exploration Expenditure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B866C26"/>
    <w:lvl w:ilvl="0">
      <w:start w:val="1"/>
      <w:numFmt w:val="decimal"/>
      <w:lvlText w:val="%1."/>
      <w:lvlJc w:val="left"/>
      <w:pPr>
        <w:tabs>
          <w:tab w:val="num" w:pos="643"/>
        </w:tabs>
        <w:ind w:left="643" w:hanging="360"/>
      </w:pPr>
    </w:lvl>
  </w:abstractNum>
  <w:abstractNum w:abstractNumId="1" w15:restartNumberingAfterBreak="0">
    <w:nsid w:val="030F0990"/>
    <w:multiLevelType w:val="multilevel"/>
    <w:tmpl w:val="0C78A7AC"/>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2" w15:restartNumberingAfterBreak="0">
    <w:nsid w:val="05C03AEC"/>
    <w:multiLevelType w:val="multilevel"/>
    <w:tmpl w:val="BD7A8414"/>
    <w:name w:val="NTG Table Bullet List3322222"/>
    <w:numStyleLink w:val="NTGStandardList"/>
  </w:abstractNum>
  <w:abstractNum w:abstractNumId="3" w15:restartNumberingAfterBreak="0">
    <w:nsid w:val="068B22E4"/>
    <w:multiLevelType w:val="multilevel"/>
    <w:tmpl w:val="4E6AC8F6"/>
    <w:name w:val="NTG Table Bullet List33222222"/>
    <w:numStyleLink w:val="NTGStandardNumList"/>
  </w:abstractNum>
  <w:abstractNum w:abstractNumId="4" w15:restartNumberingAfterBreak="0">
    <w:nsid w:val="06DB268B"/>
    <w:multiLevelType w:val="multilevel"/>
    <w:tmpl w:val="BD7A8414"/>
    <w:name w:val="NTG Table Bullet List32223"/>
    <w:numStyleLink w:val="NTGStandardList"/>
  </w:abstractNum>
  <w:abstractNum w:abstractNumId="5" w15:restartNumberingAfterBreak="0">
    <w:nsid w:val="092F72C8"/>
    <w:multiLevelType w:val="multilevel"/>
    <w:tmpl w:val="F60477BE"/>
    <w:lvl w:ilvl="0">
      <w:start w:val="1"/>
      <w:numFmt w:val="decimal"/>
      <w:lvlText w:val="%1."/>
      <w:lvlJc w:val="left"/>
      <w:pPr>
        <w:tabs>
          <w:tab w:val="num" w:pos="360"/>
        </w:tabs>
        <w:ind w:left="360" w:hanging="360"/>
      </w:pPr>
      <w:rPr>
        <w:rFonts w:hint="default"/>
      </w:rPr>
    </w:lvl>
    <w:lvl w:ilvl="1">
      <w:start w:val="1"/>
      <w:numFmt w:val="decimal"/>
      <w:pStyle w:val="ListNumber2"/>
      <w:lvlText w:val="(%2)"/>
      <w:lvlJc w:val="left"/>
      <w:pPr>
        <w:tabs>
          <w:tab w:val="num" w:pos="1080"/>
        </w:tabs>
        <w:ind w:left="851" w:hanging="426"/>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9CD3ABE"/>
    <w:multiLevelType w:val="multilevel"/>
    <w:tmpl w:val="0C78A7AC"/>
    <w:name w:val="NTG Table Bullet List332222"/>
    <w:numStyleLink w:val="NTGTableList"/>
  </w:abstractNum>
  <w:abstractNum w:abstractNumId="7" w15:restartNumberingAfterBreak="0">
    <w:nsid w:val="10111492"/>
    <w:multiLevelType w:val="multilevel"/>
    <w:tmpl w:val="0C78A7AC"/>
    <w:name w:val="NTG Table Bullet List332"/>
    <w:numStyleLink w:val="NTGTableList"/>
  </w:abstractNum>
  <w:abstractNum w:abstractNumId="8" w15:restartNumberingAfterBreak="0">
    <w:nsid w:val="15C55E97"/>
    <w:multiLevelType w:val="multilevel"/>
    <w:tmpl w:val="BD7A8414"/>
    <w:name w:val="NTG Table Bullet List332222222222222222"/>
    <w:numStyleLink w:val="NTGStandardList"/>
  </w:abstractNum>
  <w:abstractNum w:abstractNumId="9" w15:restartNumberingAfterBreak="0">
    <w:nsid w:val="176B0CE3"/>
    <w:multiLevelType w:val="multilevel"/>
    <w:tmpl w:val="39746A98"/>
    <w:name w:val="NTG Table Bullet List332222222222222"/>
    <w:numStyleLink w:val="NTGTableNumList"/>
  </w:abstractNum>
  <w:abstractNum w:abstractNumId="10" w15:restartNumberingAfterBreak="0">
    <w:nsid w:val="18AE0D72"/>
    <w:multiLevelType w:val="multilevel"/>
    <w:tmpl w:val="0C78A7AC"/>
    <w:name w:val="NTG Table Bullet List322"/>
    <w:numStyleLink w:val="NTGTableList"/>
  </w:abstractNum>
  <w:abstractNum w:abstractNumId="11" w15:restartNumberingAfterBreak="0">
    <w:nsid w:val="1BB400DD"/>
    <w:multiLevelType w:val="multilevel"/>
    <w:tmpl w:val="39746A98"/>
    <w:name w:val="NTG Table Bullet List33"/>
    <w:numStyleLink w:val="NTGTableNumList"/>
  </w:abstractNum>
  <w:abstractNum w:abstractNumId="12" w15:restartNumberingAfterBreak="0">
    <w:nsid w:val="1CFF291F"/>
    <w:multiLevelType w:val="multilevel"/>
    <w:tmpl w:val="39746A98"/>
    <w:name w:val="NTG Table Bullet List3222323"/>
    <w:numStyleLink w:val="NTGTableNumList"/>
  </w:abstractNum>
  <w:abstractNum w:abstractNumId="13" w15:restartNumberingAfterBreak="0">
    <w:nsid w:val="1E903CE7"/>
    <w:multiLevelType w:val="multilevel"/>
    <w:tmpl w:val="7832A092"/>
    <w:styleLink w:val="Text"/>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241D1D87"/>
    <w:multiLevelType w:val="multilevel"/>
    <w:tmpl w:val="0C78A7AC"/>
    <w:name w:val="NTG Table Bullet List32"/>
    <w:numStyleLink w:val="NTGTableList"/>
  </w:abstractNum>
  <w:abstractNum w:abstractNumId="15"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6" w15:restartNumberingAfterBreak="0">
    <w:nsid w:val="26345893"/>
    <w:multiLevelType w:val="multilevel"/>
    <w:tmpl w:val="4E6AC8F6"/>
    <w:name w:val="NTG Table Bullet List3322222222"/>
    <w:numStyleLink w:val="NTGStandardNumList"/>
  </w:abstractNum>
  <w:abstractNum w:abstractNumId="17" w15:restartNumberingAfterBreak="0">
    <w:nsid w:val="2EF077BC"/>
    <w:multiLevelType w:val="multilevel"/>
    <w:tmpl w:val="0C78A7AC"/>
    <w:name w:val="NTG Table Bullet List33222222222222222222"/>
    <w:numStyleLink w:val="NTGTableList"/>
  </w:abstractNum>
  <w:abstractNum w:abstractNumId="18"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19" w15:restartNumberingAfterBreak="0">
    <w:nsid w:val="418B29E3"/>
    <w:multiLevelType w:val="multilevel"/>
    <w:tmpl w:val="0C78A7AC"/>
    <w:name w:val="NTG Table Bullet List33222222222222"/>
    <w:numStyleLink w:val="NTGTableList"/>
  </w:abstractNum>
  <w:abstractNum w:abstractNumId="20" w15:restartNumberingAfterBreak="0">
    <w:nsid w:val="426F70CC"/>
    <w:multiLevelType w:val="multilevel"/>
    <w:tmpl w:val="39746A98"/>
    <w:name w:val="NTG Table Bullet List33222222222222222"/>
    <w:numStyleLink w:val="NTGTableNumList"/>
  </w:abstractNum>
  <w:abstractNum w:abstractNumId="21" w15:restartNumberingAfterBreak="0">
    <w:nsid w:val="4B8F005A"/>
    <w:multiLevelType w:val="multilevel"/>
    <w:tmpl w:val="4E6AC8F6"/>
    <w:numStyleLink w:val="NTGStandardNumList"/>
  </w:abstractNum>
  <w:abstractNum w:abstractNumId="22" w15:restartNumberingAfterBreak="0">
    <w:nsid w:val="4B9C702E"/>
    <w:multiLevelType w:val="multilevel"/>
    <w:tmpl w:val="BD7A8414"/>
    <w:name w:val="NTG Table Bullet List3222"/>
    <w:numStyleLink w:val="NTGStandardList"/>
  </w:abstractNum>
  <w:abstractNum w:abstractNumId="23" w15:restartNumberingAfterBreak="0">
    <w:nsid w:val="4D435BB4"/>
    <w:multiLevelType w:val="multilevel"/>
    <w:tmpl w:val="39746A98"/>
    <w:name w:val="NTG Table Bullet List3322"/>
    <w:numStyleLink w:val="NTGTableNumList"/>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4D90555D"/>
    <w:multiLevelType w:val="multilevel"/>
    <w:tmpl w:val="4E6AC8F6"/>
    <w:styleLink w:val="NTGStandardNum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6" w15:restartNumberingAfterBreak="0">
    <w:nsid w:val="4E002A10"/>
    <w:multiLevelType w:val="multilevel"/>
    <w:tmpl w:val="39746A98"/>
    <w:name w:val="NTG Table Bullet List332222222"/>
    <w:numStyleLink w:val="NTGTableNumList"/>
  </w:abstractNum>
  <w:abstractNum w:abstractNumId="27" w15:restartNumberingAfterBreak="0">
    <w:nsid w:val="4E597CFE"/>
    <w:multiLevelType w:val="multilevel"/>
    <w:tmpl w:val="39746A98"/>
    <w:name w:val="NTG Table Bullet List33222222222"/>
    <w:numStyleLink w:val="NTGTableNum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73B315C"/>
    <w:multiLevelType w:val="multilevel"/>
    <w:tmpl w:val="39746A98"/>
    <w:name w:val="NTG Table Bullet List3222322"/>
    <w:numStyleLink w:val="NTGTableNumList"/>
  </w:abstractNum>
  <w:abstractNum w:abstractNumId="30" w15:restartNumberingAfterBreak="0">
    <w:nsid w:val="5B713B90"/>
    <w:multiLevelType w:val="multilevel"/>
    <w:tmpl w:val="4E6AC8F6"/>
    <w:numStyleLink w:val="NTGStandardNumList"/>
  </w:abstractNum>
  <w:abstractNum w:abstractNumId="31" w15:restartNumberingAfterBreak="0">
    <w:nsid w:val="5BCE2A25"/>
    <w:multiLevelType w:val="multilevel"/>
    <w:tmpl w:val="0C78A7AC"/>
    <w:name w:val="NTG Table Bullet List332222222222"/>
    <w:numStyleLink w:val="NTGTableList"/>
  </w:abstractNum>
  <w:abstractNum w:abstractNumId="32" w15:restartNumberingAfterBreak="0">
    <w:nsid w:val="5D042DCE"/>
    <w:multiLevelType w:val="multilevel"/>
    <w:tmpl w:val="4E6AC8F6"/>
    <w:numStyleLink w:val="NTGStandardNumList"/>
  </w:abstractNum>
  <w:abstractNum w:abstractNumId="33" w15:restartNumberingAfterBreak="0">
    <w:nsid w:val="606D0AB2"/>
    <w:multiLevelType w:val="multilevel"/>
    <w:tmpl w:val="4E6AC8F6"/>
    <w:numStyleLink w:val="NTGStandardNumList"/>
  </w:abstractNum>
  <w:abstractNum w:abstractNumId="34" w15:restartNumberingAfterBreak="0">
    <w:nsid w:val="61AD07BD"/>
    <w:multiLevelType w:val="multilevel"/>
    <w:tmpl w:val="4E6AC8F6"/>
    <w:numStyleLink w:val="NTGStandardNumList"/>
  </w:abstractNum>
  <w:abstractNum w:abstractNumId="35" w15:restartNumberingAfterBreak="0">
    <w:nsid w:val="65D566F7"/>
    <w:multiLevelType w:val="multilevel"/>
    <w:tmpl w:val="39746A98"/>
    <w:name w:val="NTG Table Bullet List3322222222222222"/>
    <w:numStyleLink w:val="NTGTableNumList"/>
  </w:abstractNum>
  <w:abstractNum w:abstractNumId="36" w15:restartNumberingAfterBreak="0">
    <w:nsid w:val="6CC62A3C"/>
    <w:multiLevelType w:val="multilevel"/>
    <w:tmpl w:val="39746A98"/>
    <w:name w:val="NTG Table Bullet List33222"/>
    <w:numStyleLink w:val="NTGTableNumList"/>
  </w:abstractNum>
  <w:abstractNum w:abstractNumId="37" w15:restartNumberingAfterBreak="0">
    <w:nsid w:val="70105C45"/>
    <w:multiLevelType w:val="multilevel"/>
    <w:tmpl w:val="39746A98"/>
    <w:name w:val="NTG Table Bullet List3322222222222"/>
    <w:numStyleLink w:val="NTGTableNumList"/>
  </w:abstractNum>
  <w:abstractNum w:abstractNumId="38" w15:restartNumberingAfterBreak="0">
    <w:nsid w:val="70E31561"/>
    <w:multiLevelType w:val="hybridMultilevel"/>
    <w:tmpl w:val="6AE6647E"/>
    <w:lvl w:ilvl="0" w:tplc="FA0E9FDA">
      <w:start w:val="1"/>
      <w:numFmt w:val="decimal"/>
      <w:pStyle w:val="List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453664D"/>
    <w:multiLevelType w:val="multilevel"/>
    <w:tmpl w:val="0C78A7AC"/>
    <w:name w:val="NTG Table Bullet List3322222222222222222"/>
    <w:numStyleLink w:val="NTGTableList"/>
  </w:abstractNum>
  <w:abstractNum w:abstractNumId="4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15"/>
  </w:num>
  <w:num w:numId="2">
    <w:abstractNumId w:val="25"/>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3"/>
  </w:num>
  <w:num w:numId="8">
    <w:abstractNumId w:val="40"/>
  </w:num>
  <w:num w:numId="9">
    <w:abstractNumId w:val="1"/>
  </w:num>
  <w:num w:numId="10">
    <w:abstractNumId w:val="18"/>
  </w:num>
  <w:num w:numId="11">
    <w:abstractNumId w:val="16"/>
  </w:num>
  <w:num w:numId="12">
    <w:abstractNumId w:val="20"/>
  </w:num>
  <w:num w:numId="13">
    <w:abstractNumId w:val="8"/>
  </w:num>
  <w:num w:numId="14">
    <w:abstractNumId w:val="17"/>
  </w:num>
  <w:num w:numId="15">
    <w:abstractNumId w:val="16"/>
  </w:num>
  <w:num w:numId="16">
    <w:abstractNumId w:val="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 w:ilvl="0">
        <w:start w:val="1"/>
        <w:numFmt w:val="decimal"/>
        <w:lvlText w:val="%1."/>
        <w:lvlJc w:val="left"/>
        <w:pPr>
          <w:tabs>
            <w:tab w:val="num" w:pos="425"/>
          </w:tabs>
          <w:ind w:left="425" w:hanging="425"/>
        </w:pPr>
        <w:rPr>
          <w:rFonts w:hint="default"/>
        </w:rPr>
      </w:lvl>
    </w:lvlOverride>
    <w:lvlOverride w:ilvl="1">
      <w:lvl w:ilvl="1">
        <w:start w:val="1"/>
        <w:numFmt w:val="decimal"/>
        <w:lvlRestart w:val="0"/>
        <w:lvlText w:val="(%2)"/>
        <w:lvlJc w:val="left"/>
        <w:pPr>
          <w:tabs>
            <w:tab w:val="num" w:pos="851"/>
          </w:tabs>
          <w:ind w:left="851" w:hanging="426"/>
        </w:pPr>
        <w:rPr>
          <w:rFonts w:hint="default"/>
        </w:rPr>
      </w:lvl>
    </w:lvlOverride>
    <w:lvlOverride w:ilvl="2">
      <w:lvl w:ilvl="2">
        <w:start w:val="1"/>
        <w:numFmt w:val="lowerLetter"/>
        <w:lvlRestart w:val="0"/>
        <w:lvlText w:val="(%3)"/>
        <w:lvlJc w:val="left"/>
        <w:pPr>
          <w:tabs>
            <w:tab w:val="num" w:pos="1276"/>
          </w:tabs>
          <w:ind w:left="1276" w:hanging="425"/>
        </w:pPr>
        <w:rPr>
          <w:rFonts w:hint="default"/>
        </w:rPr>
      </w:lvl>
    </w:lvlOverride>
    <w:lvlOverride w:ilvl="3">
      <w:lvl w:ilvl="3">
        <w:start w:val="1"/>
        <w:numFmt w:val="lowerRoman"/>
        <w:lvlRestart w:val="0"/>
        <w:lvlText w:val="(%4)"/>
        <w:lvlJc w:val="left"/>
        <w:pPr>
          <w:tabs>
            <w:tab w:val="num" w:pos="1701"/>
          </w:tabs>
          <w:ind w:left="1701" w:hanging="425"/>
        </w:pPr>
        <w:rPr>
          <w:rFonts w:hint="default"/>
        </w:rPr>
      </w:lvl>
    </w:lvlOverride>
    <w:lvlOverride w:ilvl="4">
      <w:lvl w:ilvl="4">
        <w:start w:val="1"/>
        <w:numFmt w:val="none"/>
        <w:lvlRestart w:val="0"/>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19">
    <w:abstractNumId w:val="40"/>
  </w:num>
  <w:num w:numId="20">
    <w:abstractNumId w:val="40"/>
  </w:num>
  <w:num w:numId="21">
    <w:abstractNumId w:val="40"/>
  </w:num>
  <w:num w:numId="22">
    <w:abstractNumId w:val="40"/>
  </w:num>
  <w:num w:numId="23">
    <w:abstractNumId w:val="40"/>
  </w:num>
  <w:num w:numId="24">
    <w:abstractNumId w:val="40"/>
  </w:num>
  <w:num w:numId="25">
    <w:abstractNumId w:val="40"/>
  </w:num>
  <w:num w:numId="26">
    <w:abstractNumId w:val="40"/>
  </w:num>
  <w:num w:numId="27">
    <w:abstractNumId w:val="40"/>
  </w:num>
  <w:num w:numId="28">
    <w:abstractNumId w:val="40"/>
  </w:num>
  <w:num w:numId="29">
    <w:abstractNumId w:val="13"/>
  </w:num>
  <w:num w:numId="30">
    <w:abstractNumId w:val="13"/>
    <w:lvlOverride w:ilvl="0">
      <w:lvl w:ilvl="0">
        <w:start w:val="1"/>
        <w:numFmt w:val="decimal"/>
        <w:lvlText w:val="%1."/>
        <w:lvlJc w:val="left"/>
        <w:pPr>
          <w:tabs>
            <w:tab w:val="num" w:pos="425"/>
          </w:tabs>
          <w:ind w:left="425" w:hanging="425"/>
        </w:pPr>
        <w:rPr>
          <w:rFonts w:hint="default"/>
        </w:rPr>
      </w:lvl>
    </w:lvlOverride>
    <w:lvlOverride w:ilvl="1">
      <w:lvl w:ilvl="1">
        <w:start w:val="1"/>
        <w:numFmt w:val="decimal"/>
        <w:lvlRestart w:val="0"/>
        <w:lvlText w:val="(%2)"/>
        <w:lvlJc w:val="left"/>
        <w:pPr>
          <w:tabs>
            <w:tab w:val="num" w:pos="851"/>
          </w:tabs>
          <w:ind w:left="851" w:hanging="426"/>
        </w:pPr>
        <w:rPr>
          <w:rFonts w:ascii="Arial" w:eastAsia="Times New Roman" w:hAnsi="Arial" w:cs="Arial"/>
        </w:rPr>
      </w:lvl>
    </w:lvlOverride>
    <w:lvlOverride w:ilvl="2">
      <w:lvl w:ilvl="2">
        <w:start w:val="1"/>
        <w:numFmt w:val="lowerRoman"/>
        <w:lvlRestart w:val="0"/>
        <w:lvlText w:val="(%3)"/>
        <w:lvlJc w:val="left"/>
        <w:pPr>
          <w:tabs>
            <w:tab w:val="num" w:pos="1276"/>
          </w:tabs>
          <w:ind w:left="1276" w:hanging="425"/>
        </w:pPr>
        <w:rPr>
          <w:rFonts w:hint="default"/>
        </w:rPr>
      </w:lvl>
    </w:lvlOverride>
    <w:lvlOverride w:ilvl="3">
      <w:lvl w:ilvl="3">
        <w:start w:val="1"/>
        <w:numFmt w:val="upperLetter"/>
        <w:lvlRestart w:val="0"/>
        <w:lvlText w:val="(%4)"/>
        <w:lvlJc w:val="left"/>
        <w:pPr>
          <w:tabs>
            <w:tab w:val="num" w:pos="1701"/>
          </w:tabs>
          <w:ind w:left="1701" w:hanging="425"/>
        </w:pPr>
        <w:rPr>
          <w:rFonts w:hint="default"/>
        </w:rPr>
      </w:lvl>
    </w:lvlOverride>
    <w:lvlOverride w:ilvl="4">
      <w:lvl w:ilvl="4">
        <w:start w:val="1"/>
        <w:numFmt w:val="none"/>
        <w:lvlRestart w:val="0"/>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1">
    <w:abstractNumId w:val="13"/>
    <w:lvlOverride w:ilvl="0">
      <w:lvl w:ilvl="0">
        <w:start w:val="1"/>
        <w:numFmt w:val="decimal"/>
        <w:lvlText w:val="%1."/>
        <w:lvlJc w:val="left"/>
        <w:pPr>
          <w:tabs>
            <w:tab w:val="num" w:pos="567"/>
          </w:tabs>
          <w:ind w:left="567" w:hanging="567"/>
        </w:pPr>
        <w:rPr>
          <w:rFonts w:hint="default"/>
          <w:b w:val="0"/>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985"/>
          </w:tabs>
          <w:ind w:left="1985" w:hanging="851"/>
        </w:pPr>
        <w:rPr>
          <w:rFonts w:hint="default"/>
        </w:rPr>
      </w:lvl>
    </w:lvlOverride>
    <w:lvlOverride w:ilvl="3">
      <w:lvl w:ilvl="3">
        <w:start w:val="1"/>
        <w:numFmt w:val="lowerRoman"/>
        <w:lvlText w:val="%1(%2)(%3)(%4)"/>
        <w:lvlJc w:val="left"/>
        <w:pPr>
          <w:tabs>
            <w:tab w:val="num" w:pos="2948"/>
          </w:tabs>
          <w:ind w:left="2948" w:hanging="963"/>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2">
    <w:abstractNumId w:val="13"/>
    <w:lvlOverride w:ilvl="0">
      <w:lvl w:ilvl="0">
        <w:start w:val="1"/>
        <w:numFmt w:val="decimal"/>
        <w:lvlText w:val="%1."/>
        <w:lvlJc w:val="left"/>
        <w:pPr>
          <w:tabs>
            <w:tab w:val="num" w:pos="425"/>
          </w:tabs>
          <w:ind w:left="425" w:hanging="425"/>
        </w:pPr>
        <w:rPr>
          <w:rFonts w:hint="default"/>
        </w:rPr>
      </w:lvl>
    </w:lvlOverride>
    <w:lvlOverride w:ilvl="1">
      <w:lvl w:ilvl="1">
        <w:start w:val="1"/>
        <w:numFmt w:val="lowerLetter"/>
        <w:lvlRestart w:val="0"/>
        <w:lvlText w:val="(%2)"/>
        <w:lvlJc w:val="left"/>
        <w:pPr>
          <w:tabs>
            <w:tab w:val="num" w:pos="567"/>
          </w:tabs>
          <w:ind w:left="567" w:hanging="426"/>
        </w:pPr>
        <w:rPr>
          <w:rFonts w:hint="default"/>
        </w:rPr>
      </w:lvl>
    </w:lvlOverride>
    <w:lvlOverride w:ilvl="2">
      <w:lvl w:ilvl="2">
        <w:start w:val="1"/>
        <w:numFmt w:val="lowerRoman"/>
        <w:lvlRestart w:val="0"/>
        <w:lvlText w:val="(%3)"/>
        <w:lvlJc w:val="left"/>
        <w:pPr>
          <w:tabs>
            <w:tab w:val="num" w:pos="992"/>
          </w:tabs>
          <w:ind w:left="992" w:hanging="425"/>
        </w:pPr>
        <w:rPr>
          <w:rFonts w:hint="default"/>
        </w:rPr>
      </w:lvl>
    </w:lvlOverride>
    <w:lvlOverride w:ilvl="3">
      <w:lvl w:ilvl="3">
        <w:start w:val="1"/>
        <w:numFmt w:val="upperLetter"/>
        <w:lvlRestart w:val="0"/>
        <w:lvlText w:val="(%4)"/>
        <w:lvlJc w:val="left"/>
        <w:pPr>
          <w:tabs>
            <w:tab w:val="num" w:pos="1417"/>
          </w:tabs>
          <w:ind w:left="1417" w:hanging="425"/>
        </w:pPr>
        <w:rPr>
          <w:rFonts w:hint="default"/>
        </w:rPr>
      </w:lvl>
    </w:lvlOverride>
    <w:lvlOverride w:ilvl="4">
      <w:lvl w:ilvl="4">
        <w:start w:val="1"/>
        <w:numFmt w:val="none"/>
        <w:lvlRestart w:val="0"/>
        <w:suff w:val="nothing"/>
        <w:lvlText w:val=""/>
        <w:lvlJc w:val="left"/>
        <w:pPr>
          <w:ind w:left="-284" w:firstLine="0"/>
        </w:pPr>
        <w:rPr>
          <w:rFonts w:hint="default"/>
        </w:rPr>
      </w:lvl>
    </w:lvlOverride>
    <w:lvlOverride w:ilvl="5">
      <w:lvl w:ilvl="5">
        <w:start w:val="1"/>
        <w:numFmt w:val="none"/>
        <w:suff w:val="nothing"/>
        <w:lvlText w:val=""/>
        <w:lvlJc w:val="left"/>
        <w:pPr>
          <w:ind w:left="-284" w:firstLine="0"/>
        </w:pPr>
        <w:rPr>
          <w:rFonts w:hint="default"/>
        </w:rPr>
      </w:lvl>
    </w:lvlOverride>
    <w:lvlOverride w:ilvl="6">
      <w:lvl w:ilvl="6">
        <w:start w:val="1"/>
        <w:numFmt w:val="none"/>
        <w:suff w:val="nothing"/>
        <w:lvlText w:val=""/>
        <w:lvlJc w:val="left"/>
        <w:pPr>
          <w:ind w:left="-284" w:firstLine="0"/>
        </w:pPr>
        <w:rPr>
          <w:rFonts w:hint="default"/>
        </w:rPr>
      </w:lvl>
    </w:lvlOverride>
    <w:lvlOverride w:ilvl="7">
      <w:lvl w:ilvl="7">
        <w:start w:val="1"/>
        <w:numFmt w:val="none"/>
        <w:suff w:val="nothing"/>
        <w:lvlText w:val=""/>
        <w:lvlJc w:val="left"/>
        <w:pPr>
          <w:ind w:left="-284" w:firstLine="0"/>
        </w:pPr>
        <w:rPr>
          <w:rFonts w:hint="default"/>
        </w:rPr>
      </w:lvl>
    </w:lvlOverride>
    <w:lvlOverride w:ilvl="8">
      <w:lvl w:ilvl="8">
        <w:start w:val="1"/>
        <w:numFmt w:val="none"/>
        <w:suff w:val="nothing"/>
        <w:lvlText w:val=""/>
        <w:lvlJc w:val="left"/>
        <w:pPr>
          <w:ind w:left="-284" w:firstLine="0"/>
        </w:pPr>
        <w:rPr>
          <w:rFonts w:hint="default"/>
        </w:rPr>
      </w:lvl>
    </w:lvlOverride>
  </w:num>
  <w:num w:numId="33">
    <w:abstractNumId w:val="38"/>
  </w:num>
  <w:num w:numId="34">
    <w:abstractNumId w:val="5"/>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9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1"/>
  <w:stylePaneSortMethod w:val="0000"/>
  <w:documentProtection w:edit="readOnly" w:enforcement="0"/>
  <w:defaultTabStop w:val="284"/>
  <w:defaultTableStyle w:val="NTGTable"/>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169"/>
    <w:rsid w:val="00001DDF"/>
    <w:rsid w:val="0000322D"/>
    <w:rsid w:val="00010665"/>
    <w:rsid w:val="00020B6E"/>
    <w:rsid w:val="00027DB8"/>
    <w:rsid w:val="00031A96"/>
    <w:rsid w:val="00040BF3"/>
    <w:rsid w:val="00046028"/>
    <w:rsid w:val="00046C59"/>
    <w:rsid w:val="00047693"/>
    <w:rsid w:val="00051362"/>
    <w:rsid w:val="00051F45"/>
    <w:rsid w:val="000555A2"/>
    <w:rsid w:val="00056DEF"/>
    <w:rsid w:val="00061775"/>
    <w:rsid w:val="0006268F"/>
    <w:rsid w:val="00066706"/>
    <w:rsid w:val="000720BE"/>
    <w:rsid w:val="0007259C"/>
    <w:rsid w:val="00080202"/>
    <w:rsid w:val="00080DCD"/>
    <w:rsid w:val="00080E22"/>
    <w:rsid w:val="00083DDA"/>
    <w:rsid w:val="000840A3"/>
    <w:rsid w:val="00086A5F"/>
    <w:rsid w:val="000911EF"/>
    <w:rsid w:val="000962C5"/>
    <w:rsid w:val="00096797"/>
    <w:rsid w:val="000A1759"/>
    <w:rsid w:val="000A25E1"/>
    <w:rsid w:val="000A559C"/>
    <w:rsid w:val="000B29D7"/>
    <w:rsid w:val="000B2CA1"/>
    <w:rsid w:val="000B5F27"/>
    <w:rsid w:val="000C222D"/>
    <w:rsid w:val="000C3387"/>
    <w:rsid w:val="000C4953"/>
    <w:rsid w:val="000D1F29"/>
    <w:rsid w:val="000D3B9F"/>
    <w:rsid w:val="000F2710"/>
    <w:rsid w:val="000F2958"/>
    <w:rsid w:val="000F754E"/>
    <w:rsid w:val="00104E7F"/>
    <w:rsid w:val="001137EC"/>
    <w:rsid w:val="001152F5"/>
    <w:rsid w:val="00117743"/>
    <w:rsid w:val="00117F5B"/>
    <w:rsid w:val="00132658"/>
    <w:rsid w:val="00150DC0"/>
    <w:rsid w:val="00156CD4"/>
    <w:rsid w:val="00164A3E"/>
    <w:rsid w:val="00173DFB"/>
    <w:rsid w:val="001777CE"/>
    <w:rsid w:val="00181620"/>
    <w:rsid w:val="001957AD"/>
    <w:rsid w:val="0019650C"/>
    <w:rsid w:val="001A2B7F"/>
    <w:rsid w:val="001A3AFD"/>
    <w:rsid w:val="001A496C"/>
    <w:rsid w:val="001B188F"/>
    <w:rsid w:val="001B2B6C"/>
    <w:rsid w:val="001C347B"/>
    <w:rsid w:val="001D01C4"/>
    <w:rsid w:val="001D52B0"/>
    <w:rsid w:val="001D7CA4"/>
    <w:rsid w:val="001E057F"/>
    <w:rsid w:val="001E14EB"/>
    <w:rsid w:val="001F3229"/>
    <w:rsid w:val="001F59E6"/>
    <w:rsid w:val="00206936"/>
    <w:rsid w:val="00206C6F"/>
    <w:rsid w:val="00206FBD"/>
    <w:rsid w:val="00207746"/>
    <w:rsid w:val="00230031"/>
    <w:rsid w:val="00235EF0"/>
    <w:rsid w:val="00247343"/>
    <w:rsid w:val="00247646"/>
    <w:rsid w:val="00251643"/>
    <w:rsid w:val="00255CF1"/>
    <w:rsid w:val="002649B2"/>
    <w:rsid w:val="00265C56"/>
    <w:rsid w:val="002716CD"/>
    <w:rsid w:val="00274D4B"/>
    <w:rsid w:val="002806F5"/>
    <w:rsid w:val="00281577"/>
    <w:rsid w:val="00286629"/>
    <w:rsid w:val="002876E7"/>
    <w:rsid w:val="00290309"/>
    <w:rsid w:val="002926BC"/>
    <w:rsid w:val="00293A72"/>
    <w:rsid w:val="002A30C3"/>
    <w:rsid w:val="002A7712"/>
    <w:rsid w:val="002B38F7"/>
    <w:rsid w:val="002B5591"/>
    <w:rsid w:val="002C1FE9"/>
    <w:rsid w:val="002C483D"/>
    <w:rsid w:val="002D3A57"/>
    <w:rsid w:val="002D7D05"/>
    <w:rsid w:val="002E20C8"/>
    <w:rsid w:val="002E4290"/>
    <w:rsid w:val="002E66A6"/>
    <w:rsid w:val="002F0DB1"/>
    <w:rsid w:val="002F2885"/>
    <w:rsid w:val="002F3F02"/>
    <w:rsid w:val="003037F9"/>
    <w:rsid w:val="0030583E"/>
    <w:rsid w:val="00307FE1"/>
    <w:rsid w:val="00324DE5"/>
    <w:rsid w:val="003258E6"/>
    <w:rsid w:val="00332357"/>
    <w:rsid w:val="00342283"/>
    <w:rsid w:val="00343A87"/>
    <w:rsid w:val="00347FB6"/>
    <w:rsid w:val="003504FD"/>
    <w:rsid w:val="00350881"/>
    <w:rsid w:val="00353A36"/>
    <w:rsid w:val="00357D55"/>
    <w:rsid w:val="00360D87"/>
    <w:rsid w:val="00363513"/>
    <w:rsid w:val="003657E5"/>
    <w:rsid w:val="0036589C"/>
    <w:rsid w:val="00365FE9"/>
    <w:rsid w:val="0037058F"/>
    <w:rsid w:val="00371312"/>
    <w:rsid w:val="00371DC7"/>
    <w:rsid w:val="00377B21"/>
    <w:rsid w:val="003811CE"/>
    <w:rsid w:val="00394876"/>
    <w:rsid w:val="00394AAF"/>
    <w:rsid w:val="00394CE5"/>
    <w:rsid w:val="00397E80"/>
    <w:rsid w:val="003A2424"/>
    <w:rsid w:val="003A7EAC"/>
    <w:rsid w:val="003B67FD"/>
    <w:rsid w:val="003B6A61"/>
    <w:rsid w:val="003D42C0"/>
    <w:rsid w:val="003D5B29"/>
    <w:rsid w:val="003D6869"/>
    <w:rsid w:val="003D7818"/>
    <w:rsid w:val="003E2445"/>
    <w:rsid w:val="003E3BB2"/>
    <w:rsid w:val="003F5B58"/>
    <w:rsid w:val="0040222A"/>
    <w:rsid w:val="004047BC"/>
    <w:rsid w:val="004049B8"/>
    <w:rsid w:val="004100F7"/>
    <w:rsid w:val="00414CB3"/>
    <w:rsid w:val="0041563D"/>
    <w:rsid w:val="00426E25"/>
    <w:rsid w:val="00427D9C"/>
    <w:rsid w:val="004301EA"/>
    <w:rsid w:val="004322A6"/>
    <w:rsid w:val="004416E6"/>
    <w:rsid w:val="00443B6E"/>
    <w:rsid w:val="0045420A"/>
    <w:rsid w:val="004554D4"/>
    <w:rsid w:val="00461744"/>
    <w:rsid w:val="00466D96"/>
    <w:rsid w:val="00467747"/>
    <w:rsid w:val="00473C98"/>
    <w:rsid w:val="00482DF8"/>
    <w:rsid w:val="004864DE"/>
    <w:rsid w:val="00494BE5"/>
    <w:rsid w:val="0049513B"/>
    <w:rsid w:val="0049672E"/>
    <w:rsid w:val="004A2538"/>
    <w:rsid w:val="004B0C15"/>
    <w:rsid w:val="004B35EA"/>
    <w:rsid w:val="004B69E4"/>
    <w:rsid w:val="004C6C39"/>
    <w:rsid w:val="004D075F"/>
    <w:rsid w:val="004D1B76"/>
    <w:rsid w:val="004D344E"/>
    <w:rsid w:val="004D4464"/>
    <w:rsid w:val="004E019E"/>
    <w:rsid w:val="004E06EC"/>
    <w:rsid w:val="004E2CB7"/>
    <w:rsid w:val="004E6214"/>
    <w:rsid w:val="004F016A"/>
    <w:rsid w:val="004F2841"/>
    <w:rsid w:val="00500F94"/>
    <w:rsid w:val="00502FB3"/>
    <w:rsid w:val="00503DE9"/>
    <w:rsid w:val="0050530C"/>
    <w:rsid w:val="00505DEA"/>
    <w:rsid w:val="00506364"/>
    <w:rsid w:val="00507782"/>
    <w:rsid w:val="00512A04"/>
    <w:rsid w:val="005152CB"/>
    <w:rsid w:val="005249F5"/>
    <w:rsid w:val="0052570A"/>
    <w:rsid w:val="005260F7"/>
    <w:rsid w:val="00543BD1"/>
    <w:rsid w:val="00552D2E"/>
    <w:rsid w:val="0055511E"/>
    <w:rsid w:val="00556113"/>
    <w:rsid w:val="00561025"/>
    <w:rsid w:val="00564C12"/>
    <w:rsid w:val="005654B8"/>
    <w:rsid w:val="005762CC"/>
    <w:rsid w:val="00576DD6"/>
    <w:rsid w:val="00582D3D"/>
    <w:rsid w:val="0058778F"/>
    <w:rsid w:val="00595386"/>
    <w:rsid w:val="005A4AC0"/>
    <w:rsid w:val="005A5FDF"/>
    <w:rsid w:val="005B0FB7"/>
    <w:rsid w:val="005B122A"/>
    <w:rsid w:val="005B5AC2"/>
    <w:rsid w:val="005B6F16"/>
    <w:rsid w:val="005C134A"/>
    <w:rsid w:val="005C2833"/>
    <w:rsid w:val="005D0997"/>
    <w:rsid w:val="005D3DD0"/>
    <w:rsid w:val="005E144D"/>
    <w:rsid w:val="005E1500"/>
    <w:rsid w:val="005E1C34"/>
    <w:rsid w:val="005E3A43"/>
    <w:rsid w:val="005F5072"/>
    <w:rsid w:val="00620675"/>
    <w:rsid w:val="006433C3"/>
    <w:rsid w:val="00650F5B"/>
    <w:rsid w:val="006536A9"/>
    <w:rsid w:val="00653B23"/>
    <w:rsid w:val="006670D7"/>
    <w:rsid w:val="006719EA"/>
    <w:rsid w:val="00671F13"/>
    <w:rsid w:val="0067400A"/>
    <w:rsid w:val="006755AB"/>
    <w:rsid w:val="006846EE"/>
    <w:rsid w:val="006847AD"/>
    <w:rsid w:val="0069114B"/>
    <w:rsid w:val="006A673C"/>
    <w:rsid w:val="006B05A3"/>
    <w:rsid w:val="006B36CF"/>
    <w:rsid w:val="006C238B"/>
    <w:rsid w:val="006C57C3"/>
    <w:rsid w:val="006D5CBC"/>
    <w:rsid w:val="006D66F7"/>
    <w:rsid w:val="006F3FD0"/>
    <w:rsid w:val="007003A4"/>
    <w:rsid w:val="00705C9D"/>
    <w:rsid w:val="00705F13"/>
    <w:rsid w:val="0070607F"/>
    <w:rsid w:val="00714F1D"/>
    <w:rsid w:val="00720016"/>
    <w:rsid w:val="00722DDB"/>
    <w:rsid w:val="00724728"/>
    <w:rsid w:val="00724A5F"/>
    <w:rsid w:val="00724F98"/>
    <w:rsid w:val="00730B9B"/>
    <w:rsid w:val="007332FF"/>
    <w:rsid w:val="007408F5"/>
    <w:rsid w:val="00741EAE"/>
    <w:rsid w:val="00745B60"/>
    <w:rsid w:val="00756AEE"/>
    <w:rsid w:val="0076190B"/>
    <w:rsid w:val="0076355D"/>
    <w:rsid w:val="00763A2D"/>
    <w:rsid w:val="007728B8"/>
    <w:rsid w:val="007757AF"/>
    <w:rsid w:val="007764A1"/>
    <w:rsid w:val="00777795"/>
    <w:rsid w:val="00783A57"/>
    <w:rsid w:val="00784C92"/>
    <w:rsid w:val="007859CD"/>
    <w:rsid w:val="00786881"/>
    <w:rsid w:val="00787FA6"/>
    <w:rsid w:val="007907E4"/>
    <w:rsid w:val="00796461"/>
    <w:rsid w:val="007A33D9"/>
    <w:rsid w:val="007A5551"/>
    <w:rsid w:val="007A6A4F"/>
    <w:rsid w:val="007B03F5"/>
    <w:rsid w:val="007B5C09"/>
    <w:rsid w:val="007B5DA2"/>
    <w:rsid w:val="007C0966"/>
    <w:rsid w:val="007C19E7"/>
    <w:rsid w:val="007C5CFD"/>
    <w:rsid w:val="007C6D9F"/>
    <w:rsid w:val="007C788A"/>
    <w:rsid w:val="007D4893"/>
    <w:rsid w:val="007E70CF"/>
    <w:rsid w:val="007E74A4"/>
    <w:rsid w:val="007F19F3"/>
    <w:rsid w:val="007F263F"/>
    <w:rsid w:val="007F4177"/>
    <w:rsid w:val="0080766E"/>
    <w:rsid w:val="00811169"/>
    <w:rsid w:val="00815297"/>
    <w:rsid w:val="00815947"/>
    <w:rsid w:val="00817BA1"/>
    <w:rsid w:val="00823022"/>
    <w:rsid w:val="0082634E"/>
    <w:rsid w:val="008313C4"/>
    <w:rsid w:val="00835434"/>
    <w:rsid w:val="008358C0"/>
    <w:rsid w:val="00841111"/>
    <w:rsid w:val="00842838"/>
    <w:rsid w:val="00854EC1"/>
    <w:rsid w:val="00855B96"/>
    <w:rsid w:val="0085797F"/>
    <w:rsid w:val="00861DC3"/>
    <w:rsid w:val="00867019"/>
    <w:rsid w:val="008735A9"/>
    <w:rsid w:val="00877D20"/>
    <w:rsid w:val="00881C48"/>
    <w:rsid w:val="008837D6"/>
    <w:rsid w:val="00885B80"/>
    <w:rsid w:val="00885C30"/>
    <w:rsid w:val="00885E9B"/>
    <w:rsid w:val="00893C96"/>
    <w:rsid w:val="008A317D"/>
    <w:rsid w:val="008A7C12"/>
    <w:rsid w:val="008B3358"/>
    <w:rsid w:val="008B529E"/>
    <w:rsid w:val="008C17FB"/>
    <w:rsid w:val="008D57B8"/>
    <w:rsid w:val="008E03FC"/>
    <w:rsid w:val="008E11F4"/>
    <w:rsid w:val="008E510B"/>
    <w:rsid w:val="00902B13"/>
    <w:rsid w:val="00911941"/>
    <w:rsid w:val="00916708"/>
    <w:rsid w:val="00925F0F"/>
    <w:rsid w:val="00932F6B"/>
    <w:rsid w:val="009468BC"/>
    <w:rsid w:val="009616DF"/>
    <w:rsid w:val="0096542F"/>
    <w:rsid w:val="00967580"/>
    <w:rsid w:val="00967FA7"/>
    <w:rsid w:val="00971645"/>
    <w:rsid w:val="00977919"/>
    <w:rsid w:val="009870FA"/>
    <w:rsid w:val="00995322"/>
    <w:rsid w:val="0099551D"/>
    <w:rsid w:val="009A5897"/>
    <w:rsid w:val="009A5F24"/>
    <w:rsid w:val="009B0B3E"/>
    <w:rsid w:val="009B1913"/>
    <w:rsid w:val="009B6657"/>
    <w:rsid w:val="009D0EB5"/>
    <w:rsid w:val="009D14F9"/>
    <w:rsid w:val="009D2B74"/>
    <w:rsid w:val="009E175D"/>
    <w:rsid w:val="009E3CC2"/>
    <w:rsid w:val="009F06BD"/>
    <w:rsid w:val="009F205A"/>
    <w:rsid w:val="009F2A4D"/>
    <w:rsid w:val="00A00828"/>
    <w:rsid w:val="00A03290"/>
    <w:rsid w:val="00A07490"/>
    <w:rsid w:val="00A10655"/>
    <w:rsid w:val="00A15791"/>
    <w:rsid w:val="00A2096E"/>
    <w:rsid w:val="00A22C38"/>
    <w:rsid w:val="00A25193"/>
    <w:rsid w:val="00A31AE8"/>
    <w:rsid w:val="00A3739D"/>
    <w:rsid w:val="00A37DDA"/>
    <w:rsid w:val="00A407D6"/>
    <w:rsid w:val="00A418D5"/>
    <w:rsid w:val="00A6456C"/>
    <w:rsid w:val="00A84366"/>
    <w:rsid w:val="00A92177"/>
    <w:rsid w:val="00A925EC"/>
    <w:rsid w:val="00A929AA"/>
    <w:rsid w:val="00A92B6B"/>
    <w:rsid w:val="00AA541E"/>
    <w:rsid w:val="00AD0DA4"/>
    <w:rsid w:val="00AD4169"/>
    <w:rsid w:val="00AE25C6"/>
    <w:rsid w:val="00AE306C"/>
    <w:rsid w:val="00AF3019"/>
    <w:rsid w:val="00B02EF1"/>
    <w:rsid w:val="00B07C97"/>
    <w:rsid w:val="00B15754"/>
    <w:rsid w:val="00B2046E"/>
    <w:rsid w:val="00B20C2F"/>
    <w:rsid w:val="00B20E8B"/>
    <w:rsid w:val="00B20EFF"/>
    <w:rsid w:val="00B24CB6"/>
    <w:rsid w:val="00B257E1"/>
    <w:rsid w:val="00B258D9"/>
    <w:rsid w:val="00B26DFC"/>
    <w:rsid w:val="00B32B1B"/>
    <w:rsid w:val="00B343CC"/>
    <w:rsid w:val="00B5084A"/>
    <w:rsid w:val="00B614F7"/>
    <w:rsid w:val="00B61B26"/>
    <w:rsid w:val="00B675B2"/>
    <w:rsid w:val="00B70A37"/>
    <w:rsid w:val="00B81261"/>
    <w:rsid w:val="00B8223E"/>
    <w:rsid w:val="00B832AE"/>
    <w:rsid w:val="00B86678"/>
    <w:rsid w:val="00B90BA4"/>
    <w:rsid w:val="00B92F9B"/>
    <w:rsid w:val="00B941B3"/>
    <w:rsid w:val="00B96513"/>
    <w:rsid w:val="00B97A70"/>
    <w:rsid w:val="00BA09CA"/>
    <w:rsid w:val="00BA1D47"/>
    <w:rsid w:val="00BA66F0"/>
    <w:rsid w:val="00BA736D"/>
    <w:rsid w:val="00BB2239"/>
    <w:rsid w:val="00BB2AE7"/>
    <w:rsid w:val="00BB6464"/>
    <w:rsid w:val="00BC1BB8"/>
    <w:rsid w:val="00BC3B3F"/>
    <w:rsid w:val="00BD7FE1"/>
    <w:rsid w:val="00BE37CA"/>
    <w:rsid w:val="00BE6144"/>
    <w:rsid w:val="00BE635A"/>
    <w:rsid w:val="00BF2ABB"/>
    <w:rsid w:val="00BF5099"/>
    <w:rsid w:val="00C07FA5"/>
    <w:rsid w:val="00C10F10"/>
    <w:rsid w:val="00C15D4D"/>
    <w:rsid w:val="00C1702D"/>
    <w:rsid w:val="00C175DC"/>
    <w:rsid w:val="00C30171"/>
    <w:rsid w:val="00C309D8"/>
    <w:rsid w:val="00C31137"/>
    <w:rsid w:val="00C4692B"/>
    <w:rsid w:val="00C56F27"/>
    <w:rsid w:val="00C60417"/>
    <w:rsid w:val="00C61AFA"/>
    <w:rsid w:val="00C62099"/>
    <w:rsid w:val="00C64EA3"/>
    <w:rsid w:val="00C72867"/>
    <w:rsid w:val="00C75E81"/>
    <w:rsid w:val="00C81AB6"/>
    <w:rsid w:val="00C82F23"/>
    <w:rsid w:val="00C86609"/>
    <w:rsid w:val="00C92B4C"/>
    <w:rsid w:val="00C9340D"/>
    <w:rsid w:val="00C954F6"/>
    <w:rsid w:val="00CA09C9"/>
    <w:rsid w:val="00CA6BC5"/>
    <w:rsid w:val="00CC4B11"/>
    <w:rsid w:val="00CC61CD"/>
    <w:rsid w:val="00CD5011"/>
    <w:rsid w:val="00CE5E00"/>
    <w:rsid w:val="00CE640F"/>
    <w:rsid w:val="00CF338E"/>
    <w:rsid w:val="00CF540E"/>
    <w:rsid w:val="00CF5A59"/>
    <w:rsid w:val="00D00FAA"/>
    <w:rsid w:val="00D02F07"/>
    <w:rsid w:val="00D10D17"/>
    <w:rsid w:val="00D24248"/>
    <w:rsid w:val="00D275E8"/>
    <w:rsid w:val="00D36A49"/>
    <w:rsid w:val="00D517C6"/>
    <w:rsid w:val="00D547E3"/>
    <w:rsid w:val="00D54AA8"/>
    <w:rsid w:val="00D55830"/>
    <w:rsid w:val="00D57D78"/>
    <w:rsid w:val="00D65365"/>
    <w:rsid w:val="00D71D84"/>
    <w:rsid w:val="00D72464"/>
    <w:rsid w:val="00D7316B"/>
    <w:rsid w:val="00D768EB"/>
    <w:rsid w:val="00D80BA3"/>
    <w:rsid w:val="00D82D1E"/>
    <w:rsid w:val="00D832D9"/>
    <w:rsid w:val="00D90F00"/>
    <w:rsid w:val="00D95121"/>
    <w:rsid w:val="00D975C0"/>
    <w:rsid w:val="00DA5285"/>
    <w:rsid w:val="00DB191D"/>
    <w:rsid w:val="00DB4F91"/>
    <w:rsid w:val="00DB63EA"/>
    <w:rsid w:val="00DC3117"/>
    <w:rsid w:val="00DC5DD9"/>
    <w:rsid w:val="00DC6D2D"/>
    <w:rsid w:val="00DD02DD"/>
    <w:rsid w:val="00DD3B4D"/>
    <w:rsid w:val="00DE06AB"/>
    <w:rsid w:val="00DE33B5"/>
    <w:rsid w:val="00DE5E18"/>
    <w:rsid w:val="00DE6277"/>
    <w:rsid w:val="00DF0487"/>
    <w:rsid w:val="00DF5EA4"/>
    <w:rsid w:val="00E02681"/>
    <w:rsid w:val="00E02792"/>
    <w:rsid w:val="00E034D8"/>
    <w:rsid w:val="00E04CC0"/>
    <w:rsid w:val="00E15816"/>
    <w:rsid w:val="00E160D5"/>
    <w:rsid w:val="00E16B3D"/>
    <w:rsid w:val="00E30556"/>
    <w:rsid w:val="00E30981"/>
    <w:rsid w:val="00E33136"/>
    <w:rsid w:val="00E34D7C"/>
    <w:rsid w:val="00E3723D"/>
    <w:rsid w:val="00E44C89"/>
    <w:rsid w:val="00E61BA2"/>
    <w:rsid w:val="00E6403F"/>
    <w:rsid w:val="00E67CEE"/>
    <w:rsid w:val="00E84C5A"/>
    <w:rsid w:val="00E861DB"/>
    <w:rsid w:val="00E93406"/>
    <w:rsid w:val="00E956C5"/>
    <w:rsid w:val="00E95C39"/>
    <w:rsid w:val="00EA11B0"/>
    <w:rsid w:val="00EA1B11"/>
    <w:rsid w:val="00EA2C39"/>
    <w:rsid w:val="00EB0A96"/>
    <w:rsid w:val="00EB60EC"/>
    <w:rsid w:val="00EB77F9"/>
    <w:rsid w:val="00EC5769"/>
    <w:rsid w:val="00EC7D00"/>
    <w:rsid w:val="00ED0304"/>
    <w:rsid w:val="00ED566E"/>
    <w:rsid w:val="00EE18E9"/>
    <w:rsid w:val="00EE38FA"/>
    <w:rsid w:val="00EE3E2C"/>
    <w:rsid w:val="00EE5D23"/>
    <w:rsid w:val="00EF3CA4"/>
    <w:rsid w:val="00EF65D5"/>
    <w:rsid w:val="00F014DA"/>
    <w:rsid w:val="00F24EB2"/>
    <w:rsid w:val="00F60EFF"/>
    <w:rsid w:val="00F725EE"/>
    <w:rsid w:val="00F879B3"/>
    <w:rsid w:val="00F94398"/>
    <w:rsid w:val="00FA76F0"/>
    <w:rsid w:val="00FB2B56"/>
    <w:rsid w:val="00FC12BF"/>
    <w:rsid w:val="00FD3E6F"/>
    <w:rsid w:val="00FD51B9"/>
    <w:rsid w:val="00FE2A39"/>
    <w:rsid w:val="00FE7BF4"/>
    <w:rsid w:val="00FF0818"/>
    <w:rsid w:val="00FF1BAB"/>
    <w:rsid w:val="00FF2023"/>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626CF"/>
  <w15:docId w15:val="{A8252137-6A5C-446E-BFBA-68EB0324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60D87"/>
  </w:style>
  <w:style w:type="paragraph" w:styleId="Heading1">
    <w:name w:val="heading 1"/>
    <w:basedOn w:val="Normal"/>
    <w:next w:val="Normal"/>
    <w:link w:val="Heading1Char"/>
    <w:uiPriority w:val="1"/>
    <w:qFormat/>
    <w:rsid w:val="001F3229"/>
    <w:pPr>
      <w:keepNext/>
      <w:keepLines/>
      <w:spacing w:before="240"/>
      <w:outlineLvl w:val="0"/>
    </w:pPr>
    <w:rPr>
      <w:rFonts w:eastAsiaTheme="majorEastAsia" w:cstheme="majorBidi"/>
      <w:b/>
      <w:bCs/>
      <w:kern w:val="32"/>
      <w:sz w:val="32"/>
      <w:szCs w:val="32"/>
    </w:rPr>
  </w:style>
  <w:style w:type="paragraph" w:styleId="Heading2">
    <w:name w:val="heading 2"/>
    <w:basedOn w:val="Normal"/>
    <w:next w:val="Normal"/>
    <w:link w:val="Heading2Char"/>
    <w:uiPriority w:val="1"/>
    <w:qFormat/>
    <w:rsid w:val="006755AB"/>
    <w:pPr>
      <w:keepNext/>
      <w:keepLines/>
      <w:spacing w:before="240"/>
      <w:outlineLvl w:val="1"/>
    </w:pPr>
    <w:rPr>
      <w:rFonts w:eastAsiaTheme="majorEastAsia" w:cstheme="majorBidi"/>
      <w:b/>
      <w:bCs/>
      <w:iCs/>
      <w:color w:val="606060"/>
      <w:sz w:val="28"/>
      <w:szCs w:val="28"/>
    </w:rPr>
  </w:style>
  <w:style w:type="paragraph" w:styleId="Heading3">
    <w:name w:val="heading 3"/>
    <w:basedOn w:val="Normal"/>
    <w:next w:val="Normal"/>
    <w:link w:val="Heading3Char"/>
    <w:uiPriority w:val="1"/>
    <w:qFormat/>
    <w:rsid w:val="009A5F24"/>
    <w:pPr>
      <w:keepNext/>
      <w:keepLines/>
      <w:numPr>
        <w:ilvl w:val="2"/>
        <w:numId w:val="8"/>
      </w:numPr>
      <w:spacing w:before="240"/>
      <w:outlineLvl w:val="2"/>
    </w:pPr>
    <w:rPr>
      <w:rFonts w:cs="Arial"/>
      <w:b/>
      <w:bCs/>
      <w:sz w:val="24"/>
      <w:szCs w:val="26"/>
    </w:rPr>
  </w:style>
  <w:style w:type="paragraph" w:styleId="Heading4">
    <w:name w:val="heading 4"/>
    <w:basedOn w:val="Normal"/>
    <w:next w:val="Normal"/>
    <w:link w:val="Heading4Char"/>
    <w:uiPriority w:val="1"/>
    <w:qFormat/>
    <w:rsid w:val="009A5F24"/>
    <w:pPr>
      <w:keepNext/>
      <w:keepLines/>
      <w:numPr>
        <w:ilvl w:val="3"/>
        <w:numId w:val="8"/>
      </w:numPr>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9"/>
    <w:rsid w:val="009A5F24"/>
    <w:pPr>
      <w:keepNext/>
      <w:keepLines/>
      <w:numPr>
        <w:ilvl w:val="4"/>
        <w:numId w:val="8"/>
      </w:numPr>
      <w:outlineLvl w:val="4"/>
    </w:pPr>
    <w:rPr>
      <w:b/>
      <w:color w:val="000000" w:themeColor="text1"/>
    </w:rPr>
  </w:style>
  <w:style w:type="paragraph" w:styleId="Heading6">
    <w:name w:val="heading 6"/>
    <w:basedOn w:val="Normal"/>
    <w:next w:val="Normal"/>
    <w:link w:val="Heading6Char"/>
    <w:uiPriority w:val="9"/>
    <w:rsid w:val="009A5F24"/>
    <w:pPr>
      <w:keepNext/>
      <w:keepLines/>
      <w:numPr>
        <w:ilvl w:val="5"/>
        <w:numId w:val="8"/>
      </w:numPr>
      <w:outlineLvl w:val="5"/>
    </w:pPr>
    <w:rPr>
      <w:b/>
      <w:color w:val="606060"/>
    </w:rPr>
  </w:style>
  <w:style w:type="paragraph" w:styleId="Heading7">
    <w:name w:val="heading 7"/>
    <w:basedOn w:val="Normal"/>
    <w:next w:val="Normal"/>
    <w:link w:val="Heading7Char"/>
    <w:uiPriority w:val="9"/>
    <w:rsid w:val="009A5F24"/>
    <w:pPr>
      <w:keepNext/>
      <w:keepLines/>
      <w:numPr>
        <w:ilvl w:val="6"/>
        <w:numId w:val="8"/>
      </w:numPr>
      <w:outlineLvl w:val="6"/>
    </w:pPr>
    <w:rPr>
      <w:b/>
      <w:color w:val="000000" w:themeColor="text1"/>
    </w:rPr>
  </w:style>
  <w:style w:type="paragraph" w:styleId="Heading8">
    <w:name w:val="heading 8"/>
    <w:basedOn w:val="Normal"/>
    <w:next w:val="Normal"/>
    <w:link w:val="Heading8Char"/>
    <w:uiPriority w:val="9"/>
    <w:rsid w:val="009A5F24"/>
    <w:pPr>
      <w:keepNext/>
      <w:keepLines/>
      <w:numPr>
        <w:ilvl w:val="7"/>
        <w:numId w:val="8"/>
      </w:numPr>
      <w:outlineLvl w:val="7"/>
    </w:pPr>
    <w:rPr>
      <w:b/>
      <w:color w:val="606060"/>
    </w:rPr>
  </w:style>
  <w:style w:type="paragraph" w:styleId="Heading9">
    <w:name w:val="heading 9"/>
    <w:basedOn w:val="Normal"/>
    <w:next w:val="Normal"/>
    <w:link w:val="Heading9Char"/>
    <w:uiPriority w:val="9"/>
    <w:rsid w:val="009A5F24"/>
    <w:pPr>
      <w:keepNext/>
      <w:keepLines/>
      <w:numPr>
        <w:ilvl w:val="8"/>
        <w:numId w:val="8"/>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rsid w:val="003504FD"/>
  </w:style>
  <w:style w:type="character" w:customStyle="1" w:styleId="Heading1Char">
    <w:name w:val="Heading 1 Char"/>
    <w:basedOn w:val="DefaultParagraphFont"/>
    <w:link w:val="Heading1"/>
    <w:uiPriority w:val="1"/>
    <w:rsid w:val="001F3229"/>
    <w:rPr>
      <w:rFonts w:eastAsiaTheme="majorEastAsia" w:cstheme="majorBidi"/>
      <w:b/>
      <w:bCs/>
      <w:kern w:val="32"/>
      <w:sz w:val="32"/>
      <w:szCs w:val="32"/>
    </w:rPr>
  </w:style>
  <w:style w:type="character" w:customStyle="1" w:styleId="Heading2Char">
    <w:name w:val="Heading 2 Char"/>
    <w:basedOn w:val="DefaultParagraphFont"/>
    <w:link w:val="Heading2"/>
    <w:uiPriority w:val="1"/>
    <w:rsid w:val="006755AB"/>
    <w:rPr>
      <w:rFonts w:eastAsiaTheme="majorEastAsia" w:cstheme="majorBidi"/>
      <w:b/>
      <w:bCs/>
      <w:iCs/>
      <w:color w:val="606060"/>
      <w:sz w:val="28"/>
      <w:szCs w:val="28"/>
    </w:rPr>
  </w:style>
  <w:style w:type="paragraph" w:styleId="Title">
    <w:name w:val="Title"/>
    <w:next w:val="Normal"/>
    <w:link w:val="TitleChar"/>
    <w:uiPriority w:val="10"/>
    <w:rsid w:val="00BF5099"/>
    <w:pPr>
      <w:spacing w:after="240"/>
    </w:pPr>
    <w:rPr>
      <w:rFonts w:ascii="Arial Black" w:eastAsia="Times New Roman" w:hAnsi="Arial Black" w:cs="Arial"/>
      <w:b/>
      <w:color w:val="CB6015"/>
      <w:sz w:val="36"/>
      <w:szCs w:val="36"/>
      <w:lang w:eastAsia="en-AU"/>
    </w:rPr>
  </w:style>
  <w:style w:type="character" w:customStyle="1" w:styleId="TitleChar">
    <w:name w:val="Title Char"/>
    <w:basedOn w:val="DefaultParagraphFont"/>
    <w:link w:val="Title"/>
    <w:uiPriority w:val="10"/>
    <w:rsid w:val="00BF5099"/>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9A5F24"/>
    <w:rPr>
      <w:rFonts w:cs="Arial"/>
      <w:b/>
      <w:bCs/>
      <w:sz w:val="24"/>
      <w:szCs w:val="26"/>
    </w:rPr>
  </w:style>
  <w:style w:type="paragraph" w:styleId="BlockText">
    <w:name w:val="Block Text"/>
    <w:basedOn w:val="Normal"/>
    <w:link w:val="BlockTextChar"/>
    <w:rsid w:val="00414CB3"/>
    <w:rPr>
      <w:rFonts w:eastAsiaTheme="minorEastAsia"/>
      <w:iCs/>
    </w:rPr>
  </w:style>
  <w:style w:type="paragraph" w:styleId="Header">
    <w:name w:val="header"/>
    <w:aliases w:val="NTG Page Header"/>
    <w:basedOn w:val="Normal"/>
    <w:next w:val="Normal"/>
    <w:link w:val="HeaderChar"/>
    <w:uiPriority w:val="11"/>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rsid w:val="00595386"/>
    <w:rPr>
      <w:rFonts w:ascii="Arial" w:eastAsia="Times New Roman" w:hAnsi="Arial"/>
      <w:b/>
      <w:sz w:val="22"/>
      <w:lang w:eastAsia="en-AU"/>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character" w:customStyle="1" w:styleId="Heading4Char">
    <w:name w:val="Heading 4 Char"/>
    <w:basedOn w:val="DefaultParagraphFont"/>
    <w:link w:val="Heading4"/>
    <w:uiPriority w:val="1"/>
    <w:rsid w:val="009A5F24"/>
    <w:rPr>
      <w:rFonts w:eastAsiaTheme="majorEastAsia" w:cstheme="majorBidi"/>
      <w:b/>
      <w:bCs/>
      <w:iCs/>
      <w:color w:val="606060"/>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7"/>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7"/>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7"/>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7"/>
    <w:rsid w:val="00705C9D"/>
    <w:rPr>
      <w:rFonts w:ascii="Arial" w:hAnsi="Arial" w:cs="Arial"/>
      <w:szCs w:val="16"/>
    </w:rPr>
  </w:style>
  <w:style w:type="character" w:customStyle="1" w:styleId="NTGFooterDepartmentofChar">
    <w:name w:val="NTG Footer Department of Char"/>
    <w:basedOn w:val="DefaultParagraphFont"/>
    <w:link w:val="NTGFooterDepartmentof"/>
    <w:uiPriority w:val="7"/>
    <w:rsid w:val="00705C9D"/>
    <w:rPr>
      <w:rFonts w:ascii="Arial" w:hAnsi="Arial" w:cs="Arial"/>
      <w:caps/>
      <w:szCs w:val="16"/>
    </w:rPr>
  </w:style>
  <w:style w:type="character" w:customStyle="1" w:styleId="NTGFooterDepartmentNameChar">
    <w:name w:val="NTG Footer Department Name Char"/>
    <w:basedOn w:val="NTGFooterDepartmentofChar"/>
    <w:link w:val="NTGFooterDepartmentName"/>
    <w:uiPriority w:val="7"/>
    <w:rsid w:val="00595386"/>
    <w:rPr>
      <w:rFonts w:ascii="Arial Black" w:hAnsi="Arial Black" w:cs="Arial"/>
      <w:caps/>
      <w:szCs w:val="16"/>
    </w:rPr>
  </w:style>
  <w:style w:type="paragraph" w:customStyle="1" w:styleId="Appendix">
    <w:name w:val="Appendix"/>
    <w:basedOn w:val="Heading1"/>
    <w:next w:val="Normal"/>
    <w:uiPriority w:val="11"/>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7"/>
    <w:rsid w:val="002926BC"/>
    <w:pPr>
      <w:spacing w:after="480"/>
    </w:pPr>
  </w:style>
  <w:style w:type="numbering" w:customStyle="1" w:styleId="NTGStandardList">
    <w:name w:val="NTG Standard List"/>
    <w:basedOn w:val="NoList"/>
    <w:rsid w:val="009F2A4D"/>
    <w:pPr>
      <w:numPr>
        <w:numId w:val="1"/>
      </w:numPr>
    </w:p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A5F24"/>
    <w:rPr>
      <w:b/>
      <w:color w:val="000000" w:themeColor="text1"/>
    </w:rPr>
  </w:style>
  <w:style w:type="character" w:customStyle="1" w:styleId="Heading6Char">
    <w:name w:val="Heading 6 Char"/>
    <w:basedOn w:val="DefaultParagraphFont"/>
    <w:link w:val="Heading6"/>
    <w:uiPriority w:val="9"/>
    <w:rsid w:val="009A5F24"/>
    <w:rPr>
      <w:b/>
      <w:color w:val="606060"/>
    </w:rPr>
  </w:style>
  <w:style w:type="character" w:customStyle="1" w:styleId="Heading7Char">
    <w:name w:val="Heading 7 Char"/>
    <w:basedOn w:val="DefaultParagraphFont"/>
    <w:link w:val="Heading7"/>
    <w:uiPriority w:val="9"/>
    <w:rsid w:val="009A5F24"/>
    <w:rPr>
      <w:b/>
      <w:color w:val="000000" w:themeColor="text1"/>
    </w:rPr>
  </w:style>
  <w:style w:type="character" w:customStyle="1" w:styleId="Heading8Char">
    <w:name w:val="Heading 8 Char"/>
    <w:basedOn w:val="DefaultParagraphFont"/>
    <w:link w:val="Heading8"/>
    <w:uiPriority w:val="9"/>
    <w:rsid w:val="009A5F24"/>
    <w:rPr>
      <w:b/>
      <w:color w:val="606060"/>
    </w:rPr>
  </w:style>
  <w:style w:type="character" w:customStyle="1" w:styleId="Heading9Char">
    <w:name w:val="Heading 9 Char"/>
    <w:basedOn w:val="DefaultParagraphFont"/>
    <w:link w:val="Heading9"/>
    <w:uiPriority w:val="9"/>
    <w:rsid w:val="009A5F24"/>
    <w:rPr>
      <w:b/>
      <w:color w:val="000000" w:themeColor="text1"/>
    </w:rPr>
  </w:style>
  <w:style w:type="paragraph" w:customStyle="1" w:styleId="NTGFooter2deptpagenum">
    <w:name w:val="NTG Footer 2 dept &amp; page num"/>
    <w:basedOn w:val="Normal"/>
    <w:link w:val="NTGFooter2deptpagenumChar"/>
    <w:uiPriority w:val="7"/>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2926BC"/>
    <w:rPr>
      <w:rFonts w:ascii="Arial" w:eastAsia="Times New Roman" w:hAnsi="Arial"/>
      <w:lang w:eastAsia="en-AU"/>
    </w:rPr>
  </w:style>
  <w:style w:type="character" w:customStyle="1" w:styleId="NTGFooter2DateVersionChar">
    <w:name w:val="NTG Footer 2 Date &amp; Version Char"/>
    <w:basedOn w:val="NTGFooter2deptpagenumChar"/>
    <w:link w:val="NTGFooter2DateVersion"/>
    <w:uiPriority w:val="7"/>
    <w:rsid w:val="002926BC"/>
    <w:rPr>
      <w:rFonts w:ascii="Arial" w:eastAsia="Times New Roman" w:hAnsi="Arial"/>
      <w:lang w:eastAsia="en-AU"/>
    </w:rPr>
  </w:style>
  <w:style w:type="numbering" w:customStyle="1" w:styleId="NTGStandardNumList">
    <w:name w:val="NTG Standard Num List"/>
    <w:uiPriority w:val="99"/>
    <w:rsid w:val="007C6D9F"/>
    <w:pPr>
      <w:numPr>
        <w:numId w:val="2"/>
      </w:numPr>
    </w:pPr>
  </w:style>
  <w:style w:type="paragraph" w:styleId="ListNumber">
    <w:name w:val="List Number"/>
    <w:basedOn w:val="ListParagraph"/>
    <w:link w:val="ListNumberChar"/>
    <w:uiPriority w:val="99"/>
    <w:qFormat/>
    <w:rsid w:val="0052570A"/>
    <w:pPr>
      <w:numPr>
        <w:numId w:val="33"/>
      </w:numPr>
    </w:pPr>
    <w:rPr>
      <w:rFonts w:eastAsia="Times New Roman" w:cs="Arial"/>
      <w:szCs w:val="20"/>
      <w:lang w:eastAsia="en-AU"/>
    </w:rPr>
  </w:style>
  <w:style w:type="paragraph" w:styleId="ListNumber2">
    <w:name w:val="List Number 2"/>
    <w:basedOn w:val="Normal"/>
    <w:uiPriority w:val="99"/>
    <w:rsid w:val="0052570A"/>
    <w:pPr>
      <w:numPr>
        <w:ilvl w:val="1"/>
        <w:numId w:val="34"/>
      </w:numPr>
      <w:spacing w:after="120"/>
      <w:ind w:left="850" w:hanging="425"/>
    </w:pPr>
    <w:rPr>
      <w:rFonts w:eastAsia="Times New Roman" w:cs="Arial"/>
      <w:szCs w:val="20"/>
      <w:lang w:eastAsia="en-AU"/>
    </w:rPr>
  </w:style>
  <w:style w:type="paragraph" w:styleId="ListNumber3">
    <w:name w:val="List Number 3"/>
    <w:basedOn w:val="Normal"/>
    <w:uiPriority w:val="99"/>
    <w:rsid w:val="00A22C38"/>
    <w:pPr>
      <w:numPr>
        <w:ilvl w:val="2"/>
        <w:numId w:val="11"/>
      </w:numPr>
      <w:spacing w:after="120"/>
    </w:pPr>
  </w:style>
  <w:style w:type="paragraph" w:styleId="ListNumber4">
    <w:name w:val="List Number 4"/>
    <w:basedOn w:val="Normal"/>
    <w:uiPriority w:val="99"/>
    <w:rsid w:val="00A22C38"/>
    <w:pPr>
      <w:numPr>
        <w:ilvl w:val="3"/>
        <w:numId w:val="11"/>
      </w:numPr>
      <w:spacing w:after="120"/>
    </w:pPr>
  </w:style>
  <w:style w:type="paragraph" w:styleId="ListNumber5">
    <w:name w:val="List Number 5"/>
    <w:basedOn w:val="Normal"/>
    <w:uiPriority w:val="99"/>
    <w:rsid w:val="00A22C38"/>
    <w:pPr>
      <w:numPr>
        <w:ilvl w:val="4"/>
        <w:numId w:val="11"/>
      </w:numPr>
      <w:spacing w:after="120"/>
    </w:pPr>
  </w:style>
  <w:style w:type="paragraph" w:styleId="ListBullet">
    <w:name w:val="List Bullet"/>
    <w:basedOn w:val="Normal"/>
    <w:uiPriority w:val="99"/>
    <w:rsid w:val="003B6A61"/>
    <w:pPr>
      <w:numPr>
        <w:numId w:val="13"/>
      </w:numPr>
      <w:spacing w:after="120"/>
    </w:pPr>
  </w:style>
  <w:style w:type="paragraph" w:styleId="ListBullet2">
    <w:name w:val="List Bullet 2"/>
    <w:basedOn w:val="Normal"/>
    <w:uiPriority w:val="99"/>
    <w:rsid w:val="006847AD"/>
    <w:pPr>
      <w:numPr>
        <w:ilvl w:val="1"/>
        <w:numId w:val="13"/>
      </w:numPr>
      <w:spacing w:after="120"/>
    </w:pPr>
  </w:style>
  <w:style w:type="paragraph" w:styleId="ListBullet3">
    <w:name w:val="List Bullet 3"/>
    <w:basedOn w:val="Normal"/>
    <w:uiPriority w:val="99"/>
    <w:rsid w:val="006847AD"/>
    <w:pPr>
      <w:numPr>
        <w:ilvl w:val="2"/>
        <w:numId w:val="13"/>
      </w:numPr>
      <w:spacing w:after="120"/>
    </w:pPr>
  </w:style>
  <w:style w:type="paragraph" w:styleId="ListBullet4">
    <w:name w:val="List Bullet 4"/>
    <w:basedOn w:val="Normal"/>
    <w:uiPriority w:val="99"/>
    <w:rsid w:val="006847AD"/>
    <w:pPr>
      <w:numPr>
        <w:ilvl w:val="3"/>
        <w:numId w:val="13"/>
      </w:numPr>
      <w:spacing w:after="120"/>
    </w:pPr>
  </w:style>
  <w:style w:type="paragraph" w:styleId="ListBullet5">
    <w:name w:val="List Bullet 5"/>
    <w:basedOn w:val="Normal"/>
    <w:uiPriority w:val="99"/>
    <w:rsid w:val="004E2CB7"/>
    <w:pPr>
      <w:numPr>
        <w:ilvl w:val="4"/>
        <w:numId w:val="13"/>
      </w:numPr>
    </w:pPr>
  </w:style>
  <w:style w:type="character" w:styleId="Hyperlink">
    <w:name w:val="Hyperlink"/>
    <w:basedOn w:val="DefaultParagraphFont"/>
    <w:uiPriority w:val="99"/>
    <w:unhideWhenUsed/>
    <w:rsid w:val="002F0DB1"/>
    <w:rPr>
      <w:color w:val="0000FF" w:themeColor="hyperlink"/>
      <w:u w:val="single"/>
    </w:rPr>
  </w:style>
  <w:style w:type="paragraph" w:styleId="TOCHeading">
    <w:name w:val="TOC Heading"/>
    <w:basedOn w:val="Heading1"/>
    <w:next w:val="Normal"/>
    <w:uiPriority w:val="39"/>
    <w:unhideWhenUsed/>
    <w:qFormat/>
    <w:rsid w:val="003B67FD"/>
    <w:pPr>
      <w:spacing w:before="480" w:after="0"/>
      <w:outlineLvl w:val="9"/>
    </w:pPr>
    <w:rPr>
      <w:kern w:val="0"/>
      <w:szCs w:val="28"/>
    </w:rPr>
  </w:style>
  <w:style w:type="paragraph" w:styleId="TOC1">
    <w:name w:val="toc 1"/>
    <w:basedOn w:val="Normal"/>
    <w:next w:val="Normal"/>
    <w:autoRedefine/>
    <w:uiPriority w:val="39"/>
    <w:unhideWhenUsed/>
    <w:rsid w:val="007859CD"/>
    <w:pPr>
      <w:spacing w:after="100"/>
    </w:pPr>
  </w:style>
  <w:style w:type="paragraph" w:styleId="TOC2">
    <w:name w:val="toc 2"/>
    <w:basedOn w:val="Normal"/>
    <w:next w:val="Normal"/>
    <w:autoRedefine/>
    <w:uiPriority w:val="39"/>
    <w:unhideWhenUsed/>
    <w:rsid w:val="007859CD"/>
    <w:pPr>
      <w:spacing w:after="100"/>
      <w:ind w:left="220"/>
    </w:pPr>
  </w:style>
  <w:style w:type="paragraph" w:styleId="TOC3">
    <w:name w:val="toc 3"/>
    <w:basedOn w:val="Normal"/>
    <w:next w:val="Normal"/>
    <w:autoRedefine/>
    <w:uiPriority w:val="39"/>
    <w:unhideWhenUsed/>
    <w:rsid w:val="007859CD"/>
    <w:pPr>
      <w:spacing w:after="100"/>
      <w:ind w:left="440"/>
    </w:pPr>
  </w:style>
  <w:style w:type="paragraph" w:customStyle="1" w:styleId="NTGTableBulletList1">
    <w:name w:val="NTG Table Bullet List 1"/>
    <w:semiHidden/>
    <w:qFormat/>
    <w:rsid w:val="002716CD"/>
    <w:pPr>
      <w:numPr>
        <w:numId w:val="14"/>
      </w:numPr>
      <w:spacing w:after="20"/>
    </w:pPr>
  </w:style>
  <w:style w:type="paragraph" w:customStyle="1" w:styleId="NTGTableBulletList2">
    <w:name w:val="NTG Table Bullet List 2"/>
    <w:basedOn w:val="NTGTableBulletList1"/>
    <w:semiHidden/>
    <w:qFormat/>
    <w:rsid w:val="002716CD"/>
    <w:pPr>
      <w:numPr>
        <w:ilvl w:val="1"/>
      </w:numPr>
    </w:pPr>
  </w:style>
  <w:style w:type="paragraph" w:customStyle="1" w:styleId="NTGTableBulletList3">
    <w:name w:val="NTG Table Bullet List 3"/>
    <w:basedOn w:val="NTGTableBulletList2"/>
    <w:semiHidden/>
    <w:qFormat/>
    <w:rsid w:val="002716CD"/>
    <w:pPr>
      <w:numPr>
        <w:ilvl w:val="2"/>
      </w:numPr>
    </w:pPr>
  </w:style>
  <w:style w:type="paragraph" w:customStyle="1" w:styleId="NTGTableBulletList4">
    <w:name w:val="NTG Table Bullet List 4"/>
    <w:basedOn w:val="NTGTableBulletList3"/>
    <w:semiHidden/>
    <w:qFormat/>
    <w:rsid w:val="002716CD"/>
    <w:pPr>
      <w:numPr>
        <w:ilvl w:val="3"/>
      </w:numPr>
    </w:pPr>
  </w:style>
  <w:style w:type="paragraph" w:customStyle="1" w:styleId="NTGTableBulletList5">
    <w:name w:val="NTG Table Bullet List 5"/>
    <w:basedOn w:val="NTGTableBulletList4"/>
    <w:semiHidden/>
    <w:qFormat/>
    <w:rsid w:val="002716CD"/>
    <w:pPr>
      <w:numPr>
        <w:ilvl w:val="4"/>
      </w:numPr>
    </w:pPr>
  </w:style>
  <w:style w:type="paragraph" w:customStyle="1" w:styleId="NTGTableBulletList6">
    <w:name w:val="NTG Table Bullet List 6"/>
    <w:basedOn w:val="NTGTableBulletList5"/>
    <w:semiHidden/>
    <w:qFormat/>
    <w:rsid w:val="001D7CA4"/>
    <w:pPr>
      <w:numPr>
        <w:ilvl w:val="5"/>
      </w:numPr>
    </w:pPr>
  </w:style>
  <w:style w:type="paragraph" w:customStyle="1" w:styleId="NTGTableBulletList7">
    <w:name w:val="NTG Table Bullet List 7"/>
    <w:basedOn w:val="NTGTableBulletList6"/>
    <w:semiHidden/>
    <w:qFormat/>
    <w:rsid w:val="002716CD"/>
    <w:pPr>
      <w:numPr>
        <w:ilvl w:val="6"/>
      </w:numPr>
    </w:pPr>
  </w:style>
  <w:style w:type="paragraph" w:customStyle="1" w:styleId="NTGTableBulletList8">
    <w:name w:val="NTG Table Bullet List 8"/>
    <w:basedOn w:val="NTGTableBulletList7"/>
    <w:semiHidden/>
    <w:qFormat/>
    <w:rsid w:val="002716CD"/>
    <w:pPr>
      <w:numPr>
        <w:ilvl w:val="7"/>
      </w:numPr>
    </w:pPr>
  </w:style>
  <w:style w:type="paragraph" w:customStyle="1" w:styleId="NTGTableBulletList9">
    <w:name w:val="NTG Table Bullet List 9"/>
    <w:basedOn w:val="NTGTableBulletList8"/>
    <w:semiHidden/>
    <w:qFormat/>
    <w:rsid w:val="002716CD"/>
    <w:pPr>
      <w:numPr>
        <w:ilvl w:val="8"/>
      </w:numPr>
    </w:pPr>
  </w:style>
  <w:style w:type="numbering" w:customStyle="1" w:styleId="NTGTableList">
    <w:name w:val="NTG Table List"/>
    <w:uiPriority w:val="99"/>
    <w:rsid w:val="002716CD"/>
    <w:pPr>
      <w:numPr>
        <w:numId w:val="9"/>
      </w:numPr>
    </w:pPr>
  </w:style>
  <w:style w:type="paragraph" w:customStyle="1" w:styleId="NTGTableNumList1">
    <w:name w:val="NTG Table Num List 1"/>
    <w:semiHidden/>
    <w:qFormat/>
    <w:rsid w:val="002716CD"/>
    <w:pPr>
      <w:numPr>
        <w:numId w:val="12"/>
      </w:numPr>
      <w:spacing w:after="20"/>
    </w:pPr>
  </w:style>
  <w:style w:type="paragraph" w:customStyle="1" w:styleId="NTGTableNumList2">
    <w:name w:val="NTG Table Num List 2"/>
    <w:basedOn w:val="NTGTableNumList1"/>
    <w:semiHidden/>
    <w:qFormat/>
    <w:rsid w:val="002716CD"/>
    <w:pPr>
      <w:numPr>
        <w:ilvl w:val="1"/>
      </w:numPr>
    </w:pPr>
  </w:style>
  <w:style w:type="paragraph" w:customStyle="1" w:styleId="NTGTableNumList3">
    <w:name w:val="NTG Table Num List 3"/>
    <w:basedOn w:val="NTGTableNumList2"/>
    <w:semiHidden/>
    <w:qFormat/>
    <w:rsid w:val="002716CD"/>
    <w:pPr>
      <w:numPr>
        <w:ilvl w:val="2"/>
      </w:numPr>
    </w:pPr>
  </w:style>
  <w:style w:type="paragraph" w:customStyle="1" w:styleId="NTGTableNumList4">
    <w:name w:val="NTG Table Num List 4"/>
    <w:basedOn w:val="NTGTableNumList3"/>
    <w:semiHidden/>
    <w:qFormat/>
    <w:rsid w:val="002716CD"/>
    <w:pPr>
      <w:numPr>
        <w:ilvl w:val="3"/>
      </w:numPr>
    </w:pPr>
  </w:style>
  <w:style w:type="paragraph" w:customStyle="1" w:styleId="NTGTableNumList5">
    <w:name w:val="NTG Table Num List 5"/>
    <w:basedOn w:val="NTGTableNumList4"/>
    <w:semiHidden/>
    <w:qFormat/>
    <w:rsid w:val="002716CD"/>
    <w:pPr>
      <w:numPr>
        <w:ilvl w:val="4"/>
      </w:numPr>
    </w:pPr>
  </w:style>
  <w:style w:type="paragraph" w:customStyle="1" w:styleId="NTGTableNumList6">
    <w:name w:val="NTG Table Num List 6"/>
    <w:basedOn w:val="NTGTableNumList5"/>
    <w:semiHidden/>
    <w:qFormat/>
    <w:rsid w:val="002716CD"/>
    <w:pPr>
      <w:numPr>
        <w:ilvl w:val="5"/>
      </w:numPr>
    </w:pPr>
  </w:style>
  <w:style w:type="paragraph" w:customStyle="1" w:styleId="NTGTableNumList7">
    <w:name w:val="NTG Table Num List 7"/>
    <w:basedOn w:val="NTGTableNumList6"/>
    <w:semiHidden/>
    <w:qFormat/>
    <w:rsid w:val="002716CD"/>
    <w:pPr>
      <w:numPr>
        <w:ilvl w:val="6"/>
      </w:numPr>
    </w:pPr>
  </w:style>
  <w:style w:type="paragraph" w:customStyle="1" w:styleId="NTGTableNumList8">
    <w:name w:val="NTG Table Num List 8"/>
    <w:basedOn w:val="NTGTableNumList7"/>
    <w:semiHidden/>
    <w:qFormat/>
    <w:rsid w:val="002716CD"/>
    <w:pPr>
      <w:numPr>
        <w:ilvl w:val="7"/>
      </w:numPr>
    </w:pPr>
  </w:style>
  <w:style w:type="paragraph" w:customStyle="1" w:styleId="NTGTableNumList9">
    <w:name w:val="NTG Table Num List 9"/>
    <w:basedOn w:val="NTGTableNumList8"/>
    <w:semiHidden/>
    <w:qFormat/>
    <w:rsid w:val="002716CD"/>
    <w:pPr>
      <w:numPr>
        <w:ilvl w:val="8"/>
      </w:numPr>
    </w:pPr>
  </w:style>
  <w:style w:type="numbering" w:customStyle="1" w:styleId="NTGTableNumList">
    <w:name w:val="NTG Table Num List"/>
    <w:uiPriority w:val="99"/>
    <w:rsid w:val="002716CD"/>
    <w:pPr>
      <w:numPr>
        <w:numId w:val="10"/>
      </w:numPr>
    </w:pPr>
  </w:style>
  <w:style w:type="table" w:customStyle="1" w:styleId="NTGTable">
    <w:name w:val="NTG Table"/>
    <w:basedOn w:val="TableGrid"/>
    <w:uiPriority w:val="99"/>
    <w:rsid w:val="005B6F16"/>
    <w:pPr>
      <w:spacing w:after="40"/>
    </w:pPr>
    <w:tblPr>
      <w:tblStyleRowBandSize w:val="1"/>
      <w:tblStyleColBandSize w:val="1"/>
    </w:tblPr>
    <w:trPr>
      <w:cantSplit/>
    </w:trPr>
    <w:tcPr>
      <w:shd w:val="clear" w:color="auto" w:fill="auto"/>
    </w:tcPr>
    <w:tblStylePr w:type="firstRow">
      <w:pPr>
        <w:keepNext w:val="0"/>
        <w:keepLines w:val="0"/>
        <w:pageBreakBefore w:val="0"/>
        <w:widowControl/>
        <w:suppressLineNumbers w:val="0"/>
        <w:suppressAutoHyphens w:val="0"/>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b/>
        <w:sz w:val="22"/>
      </w:rPr>
      <w:tblPr/>
      <w:tcPr>
        <w:shd w:val="clear" w:color="auto" w:fill="BFBFBF" w:themeFill="background1" w:themeFillShade="BF"/>
      </w:tc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Pr/>
      <w:tcPr>
        <w:shd w:val="clear" w:color="auto" w:fill="F2F2F2" w:themeFill="background1" w:themeFillShade="F2"/>
      </w:tcPr>
    </w:tblStylePr>
    <w:tblStylePr w:type="band1Horz">
      <w:rPr>
        <w:rFonts w:ascii="Arial" w:hAnsi="Arial"/>
        <w:sz w:val="22"/>
      </w:rPr>
    </w:tblStylePr>
    <w:tblStylePr w:type="band2Horz">
      <w:rPr>
        <w:rFonts w:ascii="Arial" w:hAnsi="Arial"/>
        <w:sz w:val="22"/>
      </w:rPr>
      <w:tblPr/>
      <w:tcPr>
        <w:shd w:val="clear" w:color="auto" w:fill="F2F2F2" w:themeFill="background1" w:themeFillShade="F2"/>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BalloonText">
    <w:name w:val="Balloon Text"/>
    <w:basedOn w:val="Normal"/>
    <w:link w:val="BalloonTextChar"/>
    <w:uiPriority w:val="99"/>
    <w:semiHidden/>
    <w:unhideWhenUsed/>
    <w:rsid w:val="006846E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6EE"/>
    <w:rPr>
      <w:rFonts w:ascii="Segoe UI" w:hAnsi="Segoe UI" w:cs="Segoe UI"/>
      <w:sz w:val="18"/>
      <w:szCs w:val="18"/>
    </w:rPr>
  </w:style>
  <w:style w:type="table" w:styleId="TableGridLight">
    <w:name w:val="Grid Table Light"/>
    <w:basedOn w:val="TableNormal"/>
    <w:uiPriority w:val="40"/>
    <w:rsid w:val="004301E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tle2">
    <w:name w:val="Title2"/>
    <w:basedOn w:val="Title"/>
    <w:link w:val="Title2Char"/>
    <w:qFormat/>
    <w:rsid w:val="00047693"/>
    <w:rPr>
      <w:rFonts w:ascii="Lato Heavy" w:hAnsi="Lato Heavy"/>
    </w:rPr>
  </w:style>
  <w:style w:type="paragraph" w:customStyle="1" w:styleId="Heading1-Lato">
    <w:name w:val="Heading 1 - Lato"/>
    <w:basedOn w:val="Heading1"/>
    <w:link w:val="Heading1-LatoChar"/>
    <w:qFormat/>
    <w:rsid w:val="00047693"/>
    <w:pPr>
      <w:ind w:left="432" w:hanging="432"/>
    </w:pPr>
    <w:rPr>
      <w:rFonts w:ascii="Lato" w:hAnsi="Lato"/>
    </w:rPr>
  </w:style>
  <w:style w:type="character" w:customStyle="1" w:styleId="Title2Char">
    <w:name w:val="Title2 Char"/>
    <w:basedOn w:val="TitleChar"/>
    <w:link w:val="Title2"/>
    <w:rsid w:val="00047693"/>
    <w:rPr>
      <w:rFonts w:ascii="Lato Heavy" w:eastAsia="Times New Roman" w:hAnsi="Lato Heavy" w:cs="Arial"/>
      <w:b/>
      <w:color w:val="CB6015"/>
      <w:sz w:val="36"/>
      <w:szCs w:val="36"/>
      <w:lang w:eastAsia="en-AU"/>
    </w:rPr>
  </w:style>
  <w:style w:type="paragraph" w:customStyle="1" w:styleId="Heading2-Lato">
    <w:name w:val="Heading 2 - Lato"/>
    <w:basedOn w:val="Heading1"/>
    <w:link w:val="Heading2-LatoChar"/>
    <w:qFormat/>
    <w:rsid w:val="00047693"/>
    <w:pPr>
      <w:ind w:left="432" w:hanging="432"/>
    </w:pPr>
    <w:rPr>
      <w:rFonts w:ascii="Lato" w:hAnsi="Lato"/>
    </w:rPr>
  </w:style>
  <w:style w:type="character" w:customStyle="1" w:styleId="Heading1-LatoChar">
    <w:name w:val="Heading 1 - Lato Char"/>
    <w:basedOn w:val="Heading1Char"/>
    <w:link w:val="Heading1-Lato"/>
    <w:rsid w:val="00047693"/>
    <w:rPr>
      <w:rFonts w:ascii="Lato" w:eastAsiaTheme="majorEastAsia" w:hAnsi="Lato" w:cstheme="majorBidi"/>
      <w:b/>
      <w:bCs/>
      <w:kern w:val="32"/>
      <w:sz w:val="32"/>
      <w:szCs w:val="32"/>
    </w:rPr>
  </w:style>
  <w:style w:type="paragraph" w:customStyle="1" w:styleId="Normal-Lato">
    <w:name w:val="Normal - Lato"/>
    <w:basedOn w:val="ListNumber"/>
    <w:link w:val="Normal-LatoChar"/>
    <w:qFormat/>
    <w:rsid w:val="00047693"/>
    <w:pPr>
      <w:numPr>
        <w:numId w:val="0"/>
      </w:numPr>
      <w:ind w:left="357" w:hanging="357"/>
    </w:pPr>
    <w:rPr>
      <w:rFonts w:ascii="Lato" w:hAnsi="Lato"/>
    </w:rPr>
  </w:style>
  <w:style w:type="character" w:customStyle="1" w:styleId="Heading2-LatoChar">
    <w:name w:val="Heading 2 - Lato Char"/>
    <w:basedOn w:val="Heading1Char"/>
    <w:link w:val="Heading2-Lato"/>
    <w:rsid w:val="00047693"/>
    <w:rPr>
      <w:rFonts w:ascii="Lato" w:eastAsiaTheme="majorEastAsia" w:hAnsi="Lato" w:cstheme="majorBidi"/>
      <w:b/>
      <w:bCs/>
      <w:kern w:val="32"/>
      <w:sz w:val="32"/>
      <w:szCs w:val="32"/>
    </w:rPr>
  </w:style>
  <w:style w:type="character" w:customStyle="1" w:styleId="ListNumberChar">
    <w:name w:val="List Number Char"/>
    <w:basedOn w:val="DefaultParagraphFont"/>
    <w:link w:val="ListNumber"/>
    <w:uiPriority w:val="99"/>
    <w:rsid w:val="0052570A"/>
    <w:rPr>
      <w:rFonts w:eastAsia="Times New Roman" w:cs="Arial"/>
      <w:iCs/>
      <w:szCs w:val="20"/>
      <w:lang w:eastAsia="en-AU"/>
    </w:rPr>
  </w:style>
  <w:style w:type="character" w:customStyle="1" w:styleId="Normal-LatoChar">
    <w:name w:val="Normal - Lato Char"/>
    <w:basedOn w:val="ListNumberChar"/>
    <w:link w:val="Normal-Lato"/>
    <w:rsid w:val="00047693"/>
    <w:rPr>
      <w:rFonts w:ascii="Lato" w:eastAsia="Times New Roman" w:hAnsi="Lato" w:cs="Arial"/>
      <w:iCs/>
      <w:szCs w:val="20"/>
      <w:lang w:eastAsia="en-AU"/>
    </w:rPr>
  </w:style>
  <w:style w:type="numbering" w:customStyle="1" w:styleId="Text">
    <w:name w:val="Text"/>
    <w:rsid w:val="00C07FA5"/>
    <w:pPr>
      <w:numPr>
        <w:numId w:val="29"/>
      </w:numPr>
    </w:pPr>
  </w:style>
  <w:style w:type="character" w:customStyle="1" w:styleId="BlockTextChar">
    <w:name w:val="Block Text Char"/>
    <w:link w:val="BlockText"/>
    <w:rsid w:val="00C07FA5"/>
    <w:rPr>
      <w:rFonts w:eastAsiaTheme="minorEastAsia"/>
      <w:iCs/>
    </w:rPr>
  </w:style>
  <w:style w:type="paragraph" w:customStyle="1" w:styleId="HeadingTwo">
    <w:name w:val="Heading Two"/>
    <w:basedOn w:val="Normal"/>
    <w:link w:val="HeadingTwoChar"/>
    <w:rsid w:val="00C07FA5"/>
    <w:pPr>
      <w:pBdr>
        <w:bottom w:val="single" w:sz="4" w:space="1" w:color="auto"/>
      </w:pBdr>
      <w:spacing w:before="360" w:after="120"/>
    </w:pPr>
    <w:rPr>
      <w:rFonts w:eastAsia="Times New Roman"/>
      <w:b/>
      <w:bCs/>
      <w:szCs w:val="20"/>
      <w:lang w:eastAsia="en-AU"/>
    </w:rPr>
  </w:style>
  <w:style w:type="paragraph" w:customStyle="1" w:styleId="HeadingThree">
    <w:name w:val="Heading Three"/>
    <w:basedOn w:val="HeadingTwo"/>
    <w:rsid w:val="00C07FA5"/>
    <w:pPr>
      <w:pBdr>
        <w:bottom w:val="none" w:sz="0" w:space="0" w:color="auto"/>
      </w:pBdr>
    </w:pPr>
    <w:rPr>
      <w:i/>
      <w:iCs/>
    </w:rPr>
  </w:style>
  <w:style w:type="character" w:customStyle="1" w:styleId="HeadingTwoChar">
    <w:name w:val="Heading Two Char"/>
    <w:link w:val="HeadingTwo"/>
    <w:rsid w:val="00C07FA5"/>
    <w:rPr>
      <w:rFonts w:eastAsia="Times New Roman"/>
      <w:b/>
      <w:bCs/>
      <w:szCs w:val="20"/>
      <w:lang w:eastAsia="en-AU"/>
    </w:rPr>
  </w:style>
  <w:style w:type="paragraph" w:customStyle="1" w:styleId="HeadingFour">
    <w:name w:val="Heading Four"/>
    <w:basedOn w:val="HeadingThree"/>
    <w:rsid w:val="00FA76F0"/>
    <w:rPr>
      <w:b w:val="0"/>
      <w:bCs w:val="0"/>
      <w:u w:val="single"/>
    </w:rPr>
  </w:style>
  <w:style w:type="paragraph" w:customStyle="1" w:styleId="ExampleText">
    <w:name w:val="Example Text"/>
    <w:basedOn w:val="BlockText"/>
    <w:rsid w:val="00FA76F0"/>
    <w:pPr>
      <w:keepLines/>
      <w:pBdr>
        <w:top w:val="single" w:sz="4" w:space="1" w:color="auto"/>
        <w:left w:val="single" w:sz="4" w:space="4" w:color="auto"/>
        <w:bottom w:val="single" w:sz="4" w:space="1" w:color="auto"/>
        <w:right w:val="single" w:sz="4" w:space="4" w:color="auto"/>
      </w:pBdr>
      <w:shd w:val="clear" w:color="auto" w:fill="F3F3F3"/>
      <w:spacing w:after="120"/>
      <w:jc w:val="both"/>
    </w:pPr>
    <w:rPr>
      <w:rFonts w:eastAsia="Times New Roman"/>
      <w:iCs w:val="0"/>
      <w:szCs w:val="20"/>
      <w:lang w:eastAsia="en-AU"/>
    </w:rPr>
  </w:style>
  <w:style w:type="character" w:styleId="FollowedHyperlink">
    <w:name w:val="FollowedHyperlink"/>
    <w:basedOn w:val="DefaultParagraphFont"/>
    <w:uiPriority w:val="99"/>
    <w:semiHidden/>
    <w:unhideWhenUsed/>
    <w:rsid w:val="00A407D6"/>
    <w:rPr>
      <w:color w:val="800080" w:themeColor="followedHyperlink"/>
      <w:u w:val="single"/>
    </w:rPr>
  </w:style>
  <w:style w:type="character" w:styleId="CommentReference">
    <w:name w:val="annotation reference"/>
    <w:basedOn w:val="DefaultParagraphFont"/>
    <w:uiPriority w:val="99"/>
    <w:semiHidden/>
    <w:unhideWhenUsed/>
    <w:rsid w:val="000C3387"/>
    <w:rPr>
      <w:sz w:val="16"/>
      <w:szCs w:val="16"/>
    </w:rPr>
  </w:style>
  <w:style w:type="paragraph" w:styleId="CommentText">
    <w:name w:val="annotation text"/>
    <w:basedOn w:val="Normal"/>
    <w:link w:val="CommentTextChar"/>
    <w:uiPriority w:val="99"/>
    <w:semiHidden/>
    <w:unhideWhenUsed/>
    <w:rsid w:val="000C3387"/>
    <w:rPr>
      <w:sz w:val="20"/>
      <w:szCs w:val="20"/>
    </w:rPr>
  </w:style>
  <w:style w:type="character" w:customStyle="1" w:styleId="CommentTextChar">
    <w:name w:val="Comment Text Char"/>
    <w:basedOn w:val="DefaultParagraphFont"/>
    <w:link w:val="CommentText"/>
    <w:uiPriority w:val="99"/>
    <w:semiHidden/>
    <w:rsid w:val="000C3387"/>
    <w:rPr>
      <w:sz w:val="20"/>
      <w:szCs w:val="20"/>
    </w:rPr>
  </w:style>
  <w:style w:type="paragraph" w:styleId="CommentSubject">
    <w:name w:val="annotation subject"/>
    <w:basedOn w:val="CommentText"/>
    <w:next w:val="CommentText"/>
    <w:link w:val="CommentSubjectChar"/>
    <w:uiPriority w:val="99"/>
    <w:semiHidden/>
    <w:unhideWhenUsed/>
    <w:rsid w:val="000C3387"/>
    <w:rPr>
      <w:b/>
      <w:bCs/>
    </w:rPr>
  </w:style>
  <w:style w:type="character" w:customStyle="1" w:styleId="CommentSubjectChar">
    <w:name w:val="Comment Subject Char"/>
    <w:basedOn w:val="CommentTextChar"/>
    <w:link w:val="CommentSubject"/>
    <w:uiPriority w:val="99"/>
    <w:semiHidden/>
    <w:rsid w:val="000C3387"/>
    <w:rPr>
      <w:b/>
      <w:bCs/>
      <w:sz w:val="20"/>
      <w:szCs w:val="20"/>
    </w:rPr>
  </w:style>
  <w:style w:type="paragraph" w:styleId="ListContinue">
    <w:name w:val="List Continue"/>
    <w:basedOn w:val="Normal"/>
    <w:uiPriority w:val="99"/>
    <w:unhideWhenUsed/>
    <w:rsid w:val="00360D87"/>
    <w:pPr>
      <w:tabs>
        <w:tab w:val="left" w:pos="1134"/>
      </w:tabs>
      <w:spacing w:after="120"/>
      <w:ind w:left="1276" w:hanging="851"/>
    </w:pPr>
    <w:rPr>
      <w:rFonts w:eastAsia="Times New Roman" w:cs="Arial"/>
      <w:szCs w:val="20"/>
      <w:lang w:eastAsia="en-AU"/>
    </w:rPr>
  </w:style>
  <w:style w:type="character" w:styleId="Strong">
    <w:name w:val="Strong"/>
    <w:basedOn w:val="DefaultParagraphFont"/>
    <w:uiPriority w:val="22"/>
    <w:semiHidden/>
    <w:rsid w:val="001F3229"/>
    <w:rPr>
      <w:b/>
      <w:bCs/>
    </w:rPr>
  </w:style>
  <w:style w:type="paragraph" w:styleId="Revision">
    <w:name w:val="Revision"/>
    <w:hidden/>
    <w:uiPriority w:val="99"/>
    <w:semiHidden/>
    <w:rsid w:val="0019650C"/>
    <w:pPr>
      <w:spacing w:after="0"/>
    </w:pPr>
  </w:style>
  <w:style w:type="paragraph" w:customStyle="1" w:styleId="Tablenumbers">
    <w:name w:val="Table numbers"/>
    <w:basedOn w:val="Normal"/>
    <w:rsid w:val="008837D6"/>
    <w:pPr>
      <w:spacing w:after="0"/>
      <w:jc w:val="right"/>
    </w:pPr>
    <w:rPr>
      <w:rFonts w:cs="Arial"/>
    </w:rPr>
  </w:style>
  <w:style w:type="paragraph" w:customStyle="1" w:styleId="Tabletext">
    <w:name w:val="Table text"/>
    <w:basedOn w:val="Normal"/>
    <w:autoRedefine/>
    <w:rsid w:val="008837D6"/>
    <w:pPr>
      <w:spacing w:after="0"/>
    </w:pPr>
    <w:rPr>
      <w:rFonts w:cs="Arial"/>
      <w:bCs/>
    </w:rPr>
  </w:style>
  <w:style w:type="paragraph" w:customStyle="1" w:styleId="Tabletextcentred">
    <w:name w:val="Table text centred"/>
    <w:basedOn w:val="Normal"/>
    <w:rsid w:val="008837D6"/>
    <w:pPr>
      <w:spacing w:after="0"/>
    </w:pPr>
  </w:style>
  <w:style w:type="character" w:styleId="SubtleEmphasis">
    <w:name w:val="Subtle Emphasis"/>
    <w:basedOn w:val="DefaultParagraphFont"/>
    <w:uiPriority w:val="19"/>
    <w:semiHidden/>
    <w:rsid w:val="002876E7"/>
    <w:rPr>
      <w:i/>
      <w:iCs/>
    </w:rPr>
  </w:style>
  <w:style w:type="paragraph" w:styleId="ListContinue2">
    <w:name w:val="List Continue 2"/>
    <w:basedOn w:val="BlockText"/>
    <w:uiPriority w:val="99"/>
    <w:unhideWhenUsed/>
    <w:rsid w:val="0052570A"/>
    <w:pPr>
      <w:tabs>
        <w:tab w:val="left" w:pos="425"/>
        <w:tab w:val="left" w:pos="1276"/>
        <w:tab w:val="left" w:pos="1701"/>
      </w:tabs>
      <w:spacing w:after="120"/>
      <w:ind w:left="851"/>
    </w:pPr>
    <w:rPr>
      <w:rFonts w:eastAsia="Times New Roman" w:cs="Arial"/>
      <w:lang w:eastAsia="en-AU"/>
    </w:rPr>
  </w:style>
  <w:style w:type="paragraph" w:customStyle="1" w:styleId="Example">
    <w:name w:val="Example"/>
    <w:basedOn w:val="ExampleText"/>
    <w:link w:val="ExampleChar"/>
    <w:rsid w:val="00D80BA3"/>
    <w:pPr>
      <w:jc w:val="left"/>
    </w:pPr>
  </w:style>
  <w:style w:type="character" w:customStyle="1" w:styleId="ExampleChar">
    <w:name w:val="Example Char"/>
    <w:link w:val="Example"/>
    <w:rsid w:val="00D80BA3"/>
    <w:rPr>
      <w:rFonts w:eastAsia="Times New Roman"/>
      <w:szCs w:val="20"/>
      <w:shd w:val="clear" w:color="auto" w:fill="F3F3F3"/>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asury.nt.gov.au/__data/assets/word_doc/0019/711316/RG-MRA-002-V3.docx" TargetMode="External"/><Relationship Id="rId13" Type="http://schemas.openxmlformats.org/officeDocument/2006/relationships/hyperlink" Target="mailto:ntrevenue@nt.gov.a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easury.nt.gov.au/__data/assets/word_doc/0015/540303/RG-MRA-001-V2.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reasury.nt.gov.au/__data/assets/word_doc/0014/540302/I-MR-003.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reasury.nt.gov.au/__data/assets/word_doc/0014/711320/RG-MRA-006-V3.docx" TargetMode="External"/><Relationship Id="rId14" Type="http://schemas.openxmlformats.org/officeDocument/2006/relationships/hyperlink" Target="http://www.revenue.nt.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07857-74D8-404B-AA4E-8E41B9E90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Mineral Royalty Act: Royalty Guideline – RG-MRA-008 Eligible Exploration Expenditure</vt:lpstr>
    </vt:vector>
  </TitlesOfParts>
  <Company>Northern Territory Government</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Mineral Royalty Act: Royalty Guideline – RG-MRA-008 Eligible Exploration Expenditure</dc:title>
  <dc:subject/>
  <dc:creator>Northern Territory Government</dc:creator>
  <cp:keywords/>
  <dc:description/>
  <cp:lastModifiedBy>Louis Marquez</cp:lastModifiedBy>
  <cp:revision>2</cp:revision>
  <cp:lastPrinted>2018-01-24T05:22:00Z</cp:lastPrinted>
  <dcterms:created xsi:type="dcterms:W3CDTF">2021-07-07T23:59:00Z</dcterms:created>
  <dcterms:modified xsi:type="dcterms:W3CDTF">2021-07-07T23:59:00Z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Of">
    <vt:lpwstr>Department of </vt:lpwstr>
  </property>
  <property fmtid="{D5CDD505-2E9C-101B-9397-08002B2CF9AE}" pid="3" name="DepartmentName">
    <vt:lpwstr>Treasury and Finance</vt:lpwstr>
  </property>
  <property fmtid="{D5CDD505-2E9C-101B-9397-08002B2CF9AE}" pid="4" name="DocumentAuthor">
    <vt:lpwstr>&lt;Firstname Lastname&gt;</vt:lpwstr>
  </property>
  <property fmtid="{D5CDD505-2E9C-101B-9397-08002B2CF9AE}" pid="5" name="VersionNo">
    <vt:lpwstr>, Version 1.0</vt:lpwstr>
  </property>
  <property fmtid="{D5CDD505-2E9C-101B-9397-08002B2CF9AE}" pid="6" name="DocumentDate">
    <vt:lpwstr>22 February 2018</vt:lpwstr>
  </property>
</Properties>
</file>