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Light"/>
        <w:tblW w:w="0" w:type="auto"/>
        <w:tblLook w:val="06A0" w:firstRow="1" w:lastRow="0" w:firstColumn="1" w:lastColumn="0" w:noHBand="1" w:noVBand="1"/>
        <w:tblDescription w:val="Document details showing row labels: purpose, last reviewed, operative date and references."/>
      </w:tblPr>
      <w:tblGrid>
        <w:gridCol w:w="1558"/>
        <w:gridCol w:w="3233"/>
        <w:gridCol w:w="1965"/>
        <w:gridCol w:w="1965"/>
      </w:tblGrid>
      <w:tr w:rsidR="004301EA" w:rsidRPr="00235988" w14:paraId="5098E6CB" w14:textId="77777777" w:rsidTr="005031EA">
        <w:trPr>
          <w:tblHeader/>
        </w:trPr>
        <w:tc>
          <w:tcPr>
            <w:tcW w:w="1558" w:type="dxa"/>
            <w:shd w:val="clear" w:color="auto" w:fill="BFBFBF" w:themeFill="background1" w:themeFillShade="BF"/>
          </w:tcPr>
          <w:p w14:paraId="5DDCDC7B" w14:textId="77777777" w:rsidR="004301EA" w:rsidRPr="00235988" w:rsidRDefault="004301EA" w:rsidP="00235988">
            <w:pPr>
              <w:rPr>
                <w:rFonts w:cs="Arial"/>
                <w:b/>
                <w:bCs/>
              </w:rPr>
            </w:pPr>
            <w:bookmarkStart w:id="0" w:name="_Toc465175897"/>
            <w:r w:rsidRPr="00235988">
              <w:rPr>
                <w:rFonts w:cs="Arial"/>
                <w:bCs/>
              </w:rPr>
              <w:t>Version</w:t>
            </w:r>
          </w:p>
        </w:tc>
        <w:tc>
          <w:tcPr>
            <w:tcW w:w="3233" w:type="dxa"/>
            <w:shd w:val="clear" w:color="auto" w:fill="BFBFBF" w:themeFill="background1" w:themeFillShade="BF"/>
          </w:tcPr>
          <w:p w14:paraId="7D033006" w14:textId="77777777" w:rsidR="004301EA" w:rsidRPr="00235988" w:rsidRDefault="004301EA" w:rsidP="00235988">
            <w:pPr>
              <w:rPr>
                <w:rFonts w:cs="Arial"/>
                <w:bCs/>
              </w:rPr>
            </w:pPr>
            <w:r w:rsidRPr="00235988">
              <w:rPr>
                <w:rFonts w:cs="Arial"/>
                <w:bCs/>
              </w:rPr>
              <w:t>Issued</w:t>
            </w:r>
          </w:p>
        </w:tc>
        <w:tc>
          <w:tcPr>
            <w:tcW w:w="3930" w:type="dxa"/>
            <w:gridSpan w:val="2"/>
            <w:shd w:val="clear" w:color="auto" w:fill="BFBFBF" w:themeFill="background1" w:themeFillShade="BF"/>
          </w:tcPr>
          <w:p w14:paraId="7E56521C" w14:textId="77777777" w:rsidR="004301EA" w:rsidRPr="00235988" w:rsidRDefault="004301EA" w:rsidP="00235988">
            <w:pPr>
              <w:rPr>
                <w:rFonts w:cs="Arial"/>
                <w:bCs/>
              </w:rPr>
            </w:pPr>
            <w:r w:rsidRPr="00235988">
              <w:rPr>
                <w:rFonts w:cs="Arial"/>
                <w:bCs/>
              </w:rPr>
              <w:t>Dates of Effect</w:t>
            </w:r>
          </w:p>
        </w:tc>
      </w:tr>
      <w:tr w:rsidR="004301EA" w:rsidRPr="00235988" w14:paraId="5129AC31" w14:textId="77777777" w:rsidTr="004301EA">
        <w:tc>
          <w:tcPr>
            <w:tcW w:w="1558" w:type="dxa"/>
            <w:shd w:val="clear" w:color="auto" w:fill="BFBFBF" w:themeFill="background1" w:themeFillShade="BF"/>
          </w:tcPr>
          <w:p w14:paraId="14DAE5DF" w14:textId="77777777" w:rsidR="004301EA" w:rsidRPr="00235988" w:rsidRDefault="004301EA" w:rsidP="00235988">
            <w:pPr>
              <w:rPr>
                <w:rFonts w:cs="Arial"/>
                <w:bCs/>
              </w:rPr>
            </w:pPr>
          </w:p>
        </w:tc>
        <w:tc>
          <w:tcPr>
            <w:tcW w:w="3233" w:type="dxa"/>
            <w:shd w:val="clear" w:color="auto" w:fill="BFBFBF" w:themeFill="background1" w:themeFillShade="BF"/>
          </w:tcPr>
          <w:p w14:paraId="2CB1539C" w14:textId="77777777" w:rsidR="004301EA" w:rsidRPr="00235988" w:rsidRDefault="004301EA" w:rsidP="00235988">
            <w:pPr>
              <w:rPr>
                <w:rFonts w:cs="Arial"/>
                <w:bCs/>
              </w:rPr>
            </w:pPr>
          </w:p>
        </w:tc>
        <w:tc>
          <w:tcPr>
            <w:tcW w:w="1965" w:type="dxa"/>
            <w:shd w:val="clear" w:color="auto" w:fill="BFBFBF" w:themeFill="background1" w:themeFillShade="BF"/>
          </w:tcPr>
          <w:p w14:paraId="29E158F9" w14:textId="77777777" w:rsidR="004301EA" w:rsidRPr="00235988" w:rsidRDefault="004301EA" w:rsidP="00235988">
            <w:pPr>
              <w:rPr>
                <w:rFonts w:cs="Arial"/>
                <w:bCs/>
              </w:rPr>
            </w:pPr>
            <w:r w:rsidRPr="00235988">
              <w:rPr>
                <w:rFonts w:cs="Arial"/>
                <w:bCs/>
              </w:rPr>
              <w:t>From:</w:t>
            </w:r>
          </w:p>
        </w:tc>
        <w:tc>
          <w:tcPr>
            <w:tcW w:w="1965" w:type="dxa"/>
            <w:shd w:val="clear" w:color="auto" w:fill="BFBFBF" w:themeFill="background1" w:themeFillShade="BF"/>
          </w:tcPr>
          <w:p w14:paraId="451EFF01" w14:textId="77777777" w:rsidR="004301EA" w:rsidRPr="00235988" w:rsidRDefault="004301EA" w:rsidP="00235988">
            <w:pPr>
              <w:rPr>
                <w:rFonts w:cs="Arial"/>
                <w:bCs/>
              </w:rPr>
            </w:pPr>
            <w:r w:rsidRPr="00235988">
              <w:rPr>
                <w:rFonts w:cs="Arial"/>
                <w:bCs/>
              </w:rPr>
              <w:t>To:</w:t>
            </w:r>
          </w:p>
        </w:tc>
      </w:tr>
      <w:tr w:rsidR="004301EA" w:rsidRPr="00235988" w14:paraId="260998FF" w14:textId="77777777" w:rsidTr="004301EA">
        <w:tc>
          <w:tcPr>
            <w:tcW w:w="1558" w:type="dxa"/>
          </w:tcPr>
          <w:p w14:paraId="46BFC40B" w14:textId="77777777" w:rsidR="004301EA" w:rsidRPr="001A4242" w:rsidRDefault="00C07FA5" w:rsidP="00235988">
            <w:pPr>
              <w:rPr>
                <w:rStyle w:val="Strong"/>
              </w:rPr>
            </w:pPr>
            <w:r w:rsidRPr="001A4242">
              <w:rPr>
                <w:rStyle w:val="Strong"/>
              </w:rPr>
              <w:t>1</w:t>
            </w:r>
          </w:p>
        </w:tc>
        <w:tc>
          <w:tcPr>
            <w:tcW w:w="3233" w:type="dxa"/>
          </w:tcPr>
          <w:p w14:paraId="45D0B795" w14:textId="77777777" w:rsidR="004301EA" w:rsidRPr="00235988" w:rsidRDefault="00C07FA5" w:rsidP="00235988">
            <w:pPr>
              <w:rPr>
                <w:rFonts w:cs="Arial"/>
                <w:bCs/>
              </w:rPr>
            </w:pPr>
            <w:r w:rsidRPr="00235988">
              <w:rPr>
                <w:rFonts w:cs="Arial"/>
                <w:bCs/>
              </w:rPr>
              <w:t>29 August 2011</w:t>
            </w:r>
          </w:p>
        </w:tc>
        <w:tc>
          <w:tcPr>
            <w:tcW w:w="1965" w:type="dxa"/>
          </w:tcPr>
          <w:p w14:paraId="731FA3F2" w14:textId="77777777" w:rsidR="004301EA" w:rsidRPr="00235988" w:rsidRDefault="00C07FA5" w:rsidP="00235988">
            <w:pPr>
              <w:rPr>
                <w:rFonts w:cs="Arial"/>
                <w:bCs/>
              </w:rPr>
            </w:pPr>
            <w:r w:rsidRPr="00235988">
              <w:rPr>
                <w:rFonts w:cs="Arial"/>
                <w:bCs/>
              </w:rPr>
              <w:t>29 August 2011</w:t>
            </w:r>
          </w:p>
        </w:tc>
        <w:tc>
          <w:tcPr>
            <w:tcW w:w="1965" w:type="dxa"/>
          </w:tcPr>
          <w:p w14:paraId="1FE16C6F" w14:textId="77777777" w:rsidR="004301EA" w:rsidRPr="00235988" w:rsidRDefault="00C07FA5" w:rsidP="00235988">
            <w:pPr>
              <w:rPr>
                <w:rFonts w:cs="Arial"/>
                <w:bCs/>
              </w:rPr>
            </w:pPr>
            <w:r w:rsidRPr="00235988">
              <w:rPr>
                <w:rFonts w:cs="Arial"/>
                <w:bCs/>
              </w:rPr>
              <w:t>30 June 2018</w:t>
            </w:r>
          </w:p>
        </w:tc>
      </w:tr>
      <w:tr w:rsidR="004301EA" w:rsidRPr="00235988" w14:paraId="67F992CE" w14:textId="77777777" w:rsidTr="004301EA">
        <w:tc>
          <w:tcPr>
            <w:tcW w:w="1558" w:type="dxa"/>
          </w:tcPr>
          <w:p w14:paraId="593F2ABA" w14:textId="77777777" w:rsidR="004301EA" w:rsidRPr="001A4242" w:rsidRDefault="00C07FA5" w:rsidP="00235988">
            <w:pPr>
              <w:rPr>
                <w:rStyle w:val="Strong"/>
              </w:rPr>
            </w:pPr>
            <w:r w:rsidRPr="001A4242">
              <w:rPr>
                <w:rStyle w:val="Strong"/>
              </w:rPr>
              <w:t>2</w:t>
            </w:r>
          </w:p>
        </w:tc>
        <w:tc>
          <w:tcPr>
            <w:tcW w:w="3233" w:type="dxa"/>
          </w:tcPr>
          <w:p w14:paraId="67571555" w14:textId="65525FB0" w:rsidR="004301EA" w:rsidRPr="00235988" w:rsidRDefault="00E80D55" w:rsidP="00235988">
            <w:pPr>
              <w:rPr>
                <w:rFonts w:cs="Arial"/>
                <w:bCs/>
              </w:rPr>
            </w:pPr>
            <w:r w:rsidRPr="00235988">
              <w:rPr>
                <w:rFonts w:cs="Arial"/>
                <w:bCs/>
              </w:rPr>
              <w:t>29 June 2018</w:t>
            </w:r>
          </w:p>
        </w:tc>
        <w:tc>
          <w:tcPr>
            <w:tcW w:w="1965" w:type="dxa"/>
          </w:tcPr>
          <w:p w14:paraId="12DA5013" w14:textId="77777777" w:rsidR="004301EA" w:rsidRPr="00235988" w:rsidRDefault="00C07FA5" w:rsidP="00235988">
            <w:pPr>
              <w:rPr>
                <w:rFonts w:cs="Arial"/>
                <w:bCs/>
              </w:rPr>
            </w:pPr>
            <w:r w:rsidRPr="00235988">
              <w:rPr>
                <w:rFonts w:cs="Arial"/>
                <w:bCs/>
              </w:rPr>
              <w:t>1 July 2018</w:t>
            </w:r>
          </w:p>
        </w:tc>
        <w:tc>
          <w:tcPr>
            <w:tcW w:w="1965" w:type="dxa"/>
          </w:tcPr>
          <w:p w14:paraId="5C3E957C" w14:textId="50271128" w:rsidR="004301EA" w:rsidRPr="00235988" w:rsidRDefault="009E7CBF" w:rsidP="00235988">
            <w:pPr>
              <w:rPr>
                <w:rFonts w:cs="Arial"/>
                <w:bCs/>
              </w:rPr>
            </w:pPr>
            <w:r w:rsidRPr="00235988">
              <w:rPr>
                <w:rFonts w:cs="Arial"/>
                <w:bCs/>
              </w:rPr>
              <w:t>30 June 2019</w:t>
            </w:r>
          </w:p>
        </w:tc>
      </w:tr>
      <w:tr w:rsidR="009E7CBF" w:rsidRPr="00235988" w14:paraId="78DEC7CE" w14:textId="77777777" w:rsidTr="004301EA">
        <w:tc>
          <w:tcPr>
            <w:tcW w:w="1558" w:type="dxa"/>
          </w:tcPr>
          <w:p w14:paraId="7C5B4DEB" w14:textId="24C42E00" w:rsidR="009E7CBF" w:rsidRPr="001A4242" w:rsidRDefault="009E7CBF" w:rsidP="00235988">
            <w:pPr>
              <w:rPr>
                <w:rStyle w:val="Strong"/>
              </w:rPr>
            </w:pPr>
            <w:r w:rsidRPr="001A4242">
              <w:rPr>
                <w:rStyle w:val="Strong"/>
              </w:rPr>
              <w:t>3</w:t>
            </w:r>
          </w:p>
        </w:tc>
        <w:tc>
          <w:tcPr>
            <w:tcW w:w="3233" w:type="dxa"/>
          </w:tcPr>
          <w:p w14:paraId="55C92196" w14:textId="33706326" w:rsidR="009E7CBF" w:rsidRPr="00235988" w:rsidRDefault="009E7CBF" w:rsidP="00235988">
            <w:pPr>
              <w:rPr>
                <w:rFonts w:cs="Arial"/>
                <w:bCs/>
              </w:rPr>
            </w:pPr>
            <w:r w:rsidRPr="00235988">
              <w:rPr>
                <w:rFonts w:cs="Arial"/>
                <w:bCs/>
              </w:rPr>
              <w:t>1 July 2019</w:t>
            </w:r>
          </w:p>
        </w:tc>
        <w:tc>
          <w:tcPr>
            <w:tcW w:w="1965" w:type="dxa"/>
          </w:tcPr>
          <w:p w14:paraId="201A6304" w14:textId="23D0E665" w:rsidR="009E7CBF" w:rsidRPr="00235988" w:rsidRDefault="009E7CBF" w:rsidP="00235988">
            <w:pPr>
              <w:rPr>
                <w:rFonts w:cs="Arial"/>
                <w:bCs/>
              </w:rPr>
            </w:pPr>
            <w:r w:rsidRPr="00235988">
              <w:rPr>
                <w:rFonts w:cs="Arial"/>
                <w:bCs/>
              </w:rPr>
              <w:t>1 July 2019</w:t>
            </w:r>
          </w:p>
        </w:tc>
        <w:tc>
          <w:tcPr>
            <w:tcW w:w="1965" w:type="dxa"/>
          </w:tcPr>
          <w:p w14:paraId="2F555D08" w14:textId="3E624129" w:rsidR="009E7CBF" w:rsidRPr="00235988" w:rsidRDefault="009E7CBF" w:rsidP="00235988">
            <w:pPr>
              <w:rPr>
                <w:rFonts w:cs="Arial"/>
                <w:bCs/>
              </w:rPr>
            </w:pPr>
            <w:r w:rsidRPr="00235988">
              <w:rPr>
                <w:rFonts w:cs="Arial"/>
                <w:bCs/>
              </w:rPr>
              <w:t>Current</w:t>
            </w:r>
          </w:p>
        </w:tc>
      </w:tr>
    </w:tbl>
    <w:bookmarkEnd w:id="0"/>
    <w:p w14:paraId="6C81E417" w14:textId="77777777" w:rsidR="00BA09CA" w:rsidRPr="00235988" w:rsidRDefault="004301EA" w:rsidP="00246C69">
      <w:pPr>
        <w:pStyle w:val="Heading1"/>
      </w:pPr>
      <w:r w:rsidRPr="00235988">
        <w:t>Purpose</w:t>
      </w:r>
    </w:p>
    <w:p w14:paraId="4E183ED7" w14:textId="77777777" w:rsidR="001525A1" w:rsidRPr="00235988" w:rsidRDefault="001525A1" w:rsidP="00246C69">
      <w:pPr>
        <w:pStyle w:val="ListNumber"/>
      </w:pPr>
      <w:r w:rsidRPr="00235988">
        <w:t xml:space="preserve">Under the </w:t>
      </w:r>
      <w:r w:rsidRPr="001A4242">
        <w:rPr>
          <w:rStyle w:val="SubtleEmphasis"/>
        </w:rPr>
        <w:t xml:space="preserve">Mineral Royalty Act 1982 </w:t>
      </w:r>
      <w:r w:rsidRPr="00235988">
        <w:t xml:space="preserve">(NT) (the MRA), royalty is payable on minerals obtained from a production unit. This Guideline explains the term ‘production unit’ which is used to establish the boundaries for determining the scope of the project for which royalty is payable. </w:t>
      </w:r>
    </w:p>
    <w:p w14:paraId="132F9AF2" w14:textId="77777777" w:rsidR="001525A1" w:rsidRPr="00235988" w:rsidRDefault="001525A1" w:rsidP="00246C69">
      <w:pPr>
        <w:pStyle w:val="ListNumber"/>
      </w:pPr>
      <w:r w:rsidRPr="00235988">
        <w:t>This Guideline is issued by the Secretary under section 4E of the MRA.</w:t>
      </w:r>
    </w:p>
    <w:p w14:paraId="2457EB6A" w14:textId="77777777" w:rsidR="001525A1" w:rsidRPr="00235988" w:rsidRDefault="001525A1" w:rsidP="00246C69">
      <w:pPr>
        <w:pStyle w:val="Heading1"/>
      </w:pPr>
      <w:r w:rsidRPr="00235988">
        <w:t xml:space="preserve">Introduction </w:t>
      </w:r>
    </w:p>
    <w:p w14:paraId="5BEF0F82" w14:textId="77777777" w:rsidR="001525A1" w:rsidRPr="00246C69" w:rsidRDefault="001525A1" w:rsidP="00246C69">
      <w:pPr>
        <w:pStyle w:val="ListNumber"/>
      </w:pPr>
      <w:r w:rsidRPr="00235988">
        <w:t xml:space="preserve">The Northern Territory’s mineral royalty regime applies on an individual mine or project basis, rather than a company, business or enterprise basis. Under the regime, royalty applies to saleable mineral commodities produced within the boundaries of a </w:t>
      </w:r>
      <w:r w:rsidRPr="00246C69">
        <w:t xml:space="preserve">production unit. </w:t>
      </w:r>
    </w:p>
    <w:p w14:paraId="7D32CB6F" w14:textId="75562F75" w:rsidR="001525A1" w:rsidRPr="00246C69" w:rsidRDefault="001525A1" w:rsidP="00246C69">
      <w:pPr>
        <w:pStyle w:val="ListNumber"/>
      </w:pPr>
      <w:r w:rsidRPr="00246C69">
        <w:t>The concept of a production unit is a key feature of the MRA. A production unit includes a mining tenement or mining tenements that are mutually interdependent in the sense described in paragraphs 9 and 10, and facilities outside the mining tenement(s) that are essential to the production of saleable mineral commodities. The concept fixes the boundary, that is</w:t>
      </w:r>
      <w:r w:rsidR="00B05A70" w:rsidRPr="00246C69">
        <w:t>,</w:t>
      </w:r>
      <w:r w:rsidRPr="00246C69">
        <w:t xml:space="preserve"> the geographical area, where production of an identified saleable mineral commodity for any available market occurs and the precise time at which the gross value of that commodity is to be fixed. The boundary does not extend beyond the production stage to downstream activities. </w:t>
      </w:r>
    </w:p>
    <w:p w14:paraId="20B36008" w14:textId="523174C2" w:rsidR="001525A1" w:rsidRPr="00235988" w:rsidRDefault="001525A1" w:rsidP="00246C69">
      <w:pPr>
        <w:pStyle w:val="ListNumber"/>
      </w:pPr>
      <w:r w:rsidRPr="00246C69">
        <w:t xml:space="preserve">As the MRA does not extend beyond the production stage to downstream activities or processes such as manufacturing, neither expenditure related to downstream processes, </w:t>
      </w:r>
      <w:r w:rsidR="00D56E9C" w:rsidRPr="00246C69">
        <w:t>n</w:t>
      </w:r>
      <w:r w:rsidRPr="00246C69">
        <w:t>or value added to products through those processes</w:t>
      </w:r>
      <w:r w:rsidRPr="00235988">
        <w:t>, are taken into account for the purposes of calculating royalty.</w:t>
      </w:r>
    </w:p>
    <w:p w14:paraId="1C77CC61" w14:textId="72378452" w:rsidR="001525A1" w:rsidRPr="00235988" w:rsidRDefault="001525A1" w:rsidP="00246C69">
      <w:pPr>
        <w:pStyle w:val="ListNumber"/>
      </w:pPr>
      <w:r w:rsidRPr="00235988">
        <w:t xml:space="preserve">Accordingly, identifying </w:t>
      </w:r>
      <w:r w:rsidR="00594576">
        <w:t>which</w:t>
      </w:r>
      <w:r w:rsidRPr="00235988">
        <w:t xml:space="preserve"> mining tenement(s) and facilities constitute a production unit for the purposes of the MRA is important in determining consequent royalty implications.</w:t>
      </w:r>
    </w:p>
    <w:p w14:paraId="3AE864EE" w14:textId="77777777" w:rsidR="001525A1" w:rsidRPr="00235988" w:rsidRDefault="001525A1" w:rsidP="00246C69">
      <w:pPr>
        <w:pStyle w:val="Heading1"/>
      </w:pPr>
      <w:r w:rsidRPr="00235988">
        <w:t>What is a production unit</w:t>
      </w:r>
    </w:p>
    <w:p w14:paraId="0074C114" w14:textId="77777777" w:rsidR="001525A1" w:rsidRPr="00235988" w:rsidRDefault="001525A1" w:rsidP="00246C69">
      <w:pPr>
        <w:pStyle w:val="ListNumber"/>
      </w:pPr>
      <w:r w:rsidRPr="00235988">
        <w:t>Subject to a contrary statutory intention (such as an Agreement Ratification Act), a production unit consists of:</w:t>
      </w:r>
    </w:p>
    <w:p w14:paraId="1A1FBBBD" w14:textId="77777777" w:rsidR="001525A1" w:rsidRPr="00235988" w:rsidRDefault="001525A1" w:rsidP="00246C69">
      <w:pPr>
        <w:pStyle w:val="ListNumber2"/>
      </w:pPr>
      <w:r w:rsidRPr="00235988">
        <w:t xml:space="preserve">one or more mining tenements that are used as part of an </w:t>
      </w:r>
      <w:r w:rsidRPr="001A4242">
        <w:rPr>
          <w:rStyle w:val="Strong"/>
        </w:rPr>
        <w:t>integrated operation</w:t>
      </w:r>
      <w:r w:rsidRPr="00235988">
        <w:t xml:space="preserve"> (described below)</w:t>
      </w:r>
    </w:p>
    <w:p w14:paraId="067F89C0" w14:textId="5E741160" w:rsidR="001525A1" w:rsidRPr="00235988" w:rsidRDefault="001525A1" w:rsidP="00246C69">
      <w:pPr>
        <w:pStyle w:val="ListNumber2"/>
      </w:pPr>
      <w:r w:rsidRPr="00235988">
        <w:t xml:space="preserve">any facilities in the Territory that are essential (described below) for the production of a </w:t>
      </w:r>
      <w:r w:rsidRPr="001A4242">
        <w:rPr>
          <w:rStyle w:val="Strong"/>
        </w:rPr>
        <w:t>saleable mineral commodity</w:t>
      </w:r>
      <w:r w:rsidRPr="00235988">
        <w:t xml:space="preserve"> obtained from the mining tenement(s). Under the MRA all mineral commodities are saleable mineral commodities unless the Minister makes a declaration exempting the mineral commodity.</w:t>
      </w:r>
    </w:p>
    <w:p w14:paraId="65D45048" w14:textId="77777777" w:rsidR="001525A1" w:rsidRPr="00235988" w:rsidRDefault="001525A1" w:rsidP="00246C69">
      <w:pPr>
        <w:pStyle w:val="ListNumber"/>
      </w:pPr>
      <w:r w:rsidRPr="00235988">
        <w:lastRenderedPageBreak/>
        <w:t>A mining tenement is defined as a right to obtain minerals from land but does not include an exploration licence or exploration retention licence.</w:t>
      </w:r>
    </w:p>
    <w:p w14:paraId="1D18C994" w14:textId="77777777" w:rsidR="001525A1" w:rsidRPr="00246C69" w:rsidRDefault="001525A1" w:rsidP="00246C69">
      <w:pPr>
        <w:pStyle w:val="Heading2"/>
      </w:pPr>
      <w:r w:rsidRPr="00246C69">
        <w:t>Integrated operation</w:t>
      </w:r>
    </w:p>
    <w:p w14:paraId="5AF9EA10" w14:textId="77777777" w:rsidR="001525A1" w:rsidRPr="00235988" w:rsidRDefault="001525A1" w:rsidP="00246C69">
      <w:pPr>
        <w:pStyle w:val="ListNumber"/>
      </w:pPr>
      <w:r w:rsidRPr="00235988">
        <w:t>Two or more mining tenements may together form a production unit provided they meet certain criteria.</w:t>
      </w:r>
    </w:p>
    <w:p w14:paraId="4095439A" w14:textId="6D9A987E" w:rsidR="001525A1" w:rsidRPr="00235988" w:rsidRDefault="001525A1" w:rsidP="00246C69">
      <w:pPr>
        <w:pStyle w:val="ListNumber"/>
      </w:pPr>
      <w:r w:rsidRPr="00235988">
        <w:t xml:space="preserve">For two or more tenements to form a production unit, the royalty payer will need to establish that, together, the tenements are being operated as part of an integrated operation. To be an integrated operation, the tenements need to be </w:t>
      </w:r>
      <w:r w:rsidRPr="001A4242">
        <w:rPr>
          <w:rStyle w:val="Strong"/>
        </w:rPr>
        <w:t>functionally</w:t>
      </w:r>
      <w:r w:rsidRPr="00235988">
        <w:t xml:space="preserve"> integrated. This means that the tenements must be interdependent for the production of a saleable mineral commodity. A relevant, but not conclusive, factor for consideration is whether the mining tenements are covered by a single Authorisation granted pursuant to Part 4 of the </w:t>
      </w:r>
      <w:r w:rsidRPr="001A4242">
        <w:rPr>
          <w:rStyle w:val="SubtleEmphasis"/>
        </w:rPr>
        <w:t>Mining Management Act</w:t>
      </w:r>
      <w:r w:rsidR="009E7CBF" w:rsidRPr="001A4242">
        <w:rPr>
          <w:rStyle w:val="SubtleEmphasis"/>
        </w:rPr>
        <w:t xml:space="preserve"> 2001 </w:t>
      </w:r>
      <w:r w:rsidR="009E7CBF" w:rsidRPr="00750BE2">
        <w:t>(NT)</w:t>
      </w:r>
      <w:r w:rsidRPr="00750BE2">
        <w:t>.</w:t>
      </w:r>
      <w:r w:rsidRPr="00235988">
        <w:t xml:space="preserve"> </w:t>
      </w:r>
    </w:p>
    <w:p w14:paraId="394F31FA" w14:textId="4E590513" w:rsidR="001525A1" w:rsidRPr="001A4242" w:rsidRDefault="001525A1" w:rsidP="001A4242">
      <w:r w:rsidRPr="00235988">
        <w:t>Example</w:t>
      </w:r>
      <w:r w:rsidR="00D56E9C" w:rsidRPr="00235988">
        <w:t xml:space="preserve"> 1</w:t>
      </w:r>
    </w:p>
    <w:p w14:paraId="2E3D2527" w14:textId="56DC3825" w:rsidR="001525A1" w:rsidRPr="00235988" w:rsidRDefault="001525A1" w:rsidP="00246C69">
      <w:pPr>
        <w:pStyle w:val="Example"/>
      </w:pPr>
      <w:r w:rsidRPr="00235988">
        <w:t xml:space="preserve">ABC Mining Pty Ltd carries on the extraction of a mineral commodity on a mining tenement located in the Territory. The commodity is transported to a nearby mining tenement where it is further processed (through successive stages of separation and filtration) to produce a saleable mineral commodity. A single Authorisation has been granted in respect of the two mining tenements. As the functions performed at one mining tenement (recovery of a mineral commodity) are integrated and form part of the single complex process continued at another tenement by which the saleable mineral commodity is produced (in the sense described in paragraph 15), the two tenements are considered to be part of an integrated operation and, accordingly, constitute (or will be treated as) one production unit for the purposes of the MRA. </w:t>
      </w:r>
      <w:r w:rsidRPr="00235988">
        <w:rPr>
          <w:szCs w:val="24"/>
        </w:rPr>
        <w:t xml:space="preserve">This conclusion is strengthened or bolstered by the </w:t>
      </w:r>
      <w:r w:rsidRPr="00235988">
        <w:t xml:space="preserve">grant of the single Authorisation in relation to the tenements. </w:t>
      </w:r>
    </w:p>
    <w:p w14:paraId="7AC72121" w14:textId="5962D51B" w:rsidR="001525A1" w:rsidRPr="00235988" w:rsidRDefault="001525A1" w:rsidP="00246C69">
      <w:pPr>
        <w:pStyle w:val="ListNumber"/>
      </w:pPr>
      <w:r w:rsidRPr="00235988">
        <w:t>Tenements integrated from an organisational, administrative or economic perspective will not necessarily be considered to be integrated for the purposes of the MRA.</w:t>
      </w:r>
    </w:p>
    <w:p w14:paraId="444EF8A2" w14:textId="4824987F" w:rsidR="001525A1" w:rsidRPr="001A4242" w:rsidRDefault="001525A1" w:rsidP="001A4242">
      <w:r w:rsidRPr="00235988">
        <w:t>Example</w:t>
      </w:r>
      <w:r w:rsidR="00D56E9C" w:rsidRPr="00235988">
        <w:t xml:space="preserve"> 1</w:t>
      </w:r>
    </w:p>
    <w:p w14:paraId="24A52C41" w14:textId="7EBD2CE8" w:rsidR="001525A1" w:rsidRPr="00235988" w:rsidRDefault="001525A1" w:rsidP="00246C69">
      <w:pPr>
        <w:pStyle w:val="Example"/>
      </w:pPr>
      <w:r w:rsidRPr="00235988">
        <w:t xml:space="preserve">ABC Mining Pty Ltd (ABC) carries on worldwide mining operations, including four mining tenements in the Territory. ABC regards its mining tenements in the Territory as a single operation and they are administered as such. However, each of the four tenements produces a saleable mineral commodity within its own boundary. Also, the four tenements are covered by four separate Authorisations granted pursuant to the </w:t>
      </w:r>
      <w:r w:rsidRPr="00246C69">
        <w:rPr>
          <w:rStyle w:val="SubtleEmphasis"/>
        </w:rPr>
        <w:t>Mining Management Act</w:t>
      </w:r>
      <w:r w:rsidR="009E7CBF" w:rsidRPr="00246C69">
        <w:rPr>
          <w:rStyle w:val="SubtleEmphasis"/>
        </w:rPr>
        <w:t xml:space="preserve"> 2001 (NT)</w:t>
      </w:r>
      <w:r w:rsidRPr="00235988">
        <w:t>. The four tenements would be treated as four separate production units. Although they are integrated from an administrative and organisational perspective, they are not functionally integrated as they each produce a saleable mineral commodity in their own right, without depending on any of the other tenements.</w:t>
      </w:r>
    </w:p>
    <w:p w14:paraId="6F9F8570" w14:textId="77777777" w:rsidR="001525A1" w:rsidRPr="00246C69" w:rsidRDefault="001525A1" w:rsidP="00246C69">
      <w:pPr>
        <w:pStyle w:val="Heading2"/>
      </w:pPr>
      <w:r w:rsidRPr="00246C69">
        <w:t>Facilities essential to the production of a saleable mineral commodity</w:t>
      </w:r>
    </w:p>
    <w:p w14:paraId="55CF12FF" w14:textId="77777777" w:rsidR="001525A1" w:rsidRPr="00235988" w:rsidRDefault="001525A1" w:rsidP="00246C69">
      <w:pPr>
        <w:pStyle w:val="ListNumber"/>
      </w:pPr>
      <w:r w:rsidRPr="00235988">
        <w:t>A facility only forms part of the production unit if two requirements are satisfied:</w:t>
      </w:r>
    </w:p>
    <w:p w14:paraId="04189D7A" w14:textId="1EFCF264" w:rsidR="001525A1" w:rsidRPr="00246C69" w:rsidRDefault="001525A1" w:rsidP="00246C69">
      <w:pPr>
        <w:pStyle w:val="ListNumber2"/>
        <w:ind w:left="851" w:hanging="426"/>
      </w:pPr>
      <w:r w:rsidRPr="00235988">
        <w:t xml:space="preserve">the </w:t>
      </w:r>
      <w:r w:rsidRPr="00246C69">
        <w:t>facility is situated within the Territory</w:t>
      </w:r>
    </w:p>
    <w:p w14:paraId="1538744B" w14:textId="77777777" w:rsidR="001525A1" w:rsidRPr="00235988" w:rsidRDefault="001525A1" w:rsidP="00246C69">
      <w:pPr>
        <w:pStyle w:val="ListNumber2"/>
        <w:ind w:left="851" w:hanging="426"/>
      </w:pPr>
      <w:r w:rsidRPr="00246C69">
        <w:t>the facility is absolutely</w:t>
      </w:r>
      <w:r w:rsidRPr="00235988">
        <w:t xml:space="preserve"> necessary for the production of a saleable mineral commodity from minerals obtained from that production unit.</w:t>
      </w:r>
    </w:p>
    <w:p w14:paraId="31D21818" w14:textId="77777777" w:rsidR="001525A1" w:rsidRPr="001A4242" w:rsidRDefault="001525A1" w:rsidP="00246C69">
      <w:pPr>
        <w:pStyle w:val="ListNumber"/>
      </w:pPr>
      <w:r w:rsidRPr="00235988">
        <w:t xml:space="preserve">In most cases, facilities used for stockpiling, transportation or sale and marketing of a saleable mineral commodity outside the geographical area of the mining tenement(s) are not considered to be absolutely necessary for the production of a saleable </w:t>
      </w:r>
      <w:r w:rsidRPr="00235988">
        <w:lastRenderedPageBreak/>
        <w:t>mineral commodity because they relate to processes or activities subsequent to the production of a saleable mineral commodity. On this basis, these facilities are not considered to be part of the production unit.</w:t>
      </w:r>
    </w:p>
    <w:p w14:paraId="63F3290F" w14:textId="77777777" w:rsidR="001525A1" w:rsidRPr="00235988" w:rsidRDefault="001525A1" w:rsidP="00246C69">
      <w:pPr>
        <w:pStyle w:val="ListNumber"/>
      </w:pPr>
      <w:r w:rsidRPr="00235988">
        <w:t xml:space="preserve">As it is difficult to give an exhaustive and technical definition of mineral commodities likely to be marketed from a production unit, the MRA defines the point at which mineral commodities become saleable or marketable in general terms recognising that the point varies from production unit to production unit and, over time, even within the same production unit. The outer boundaries of the production unit are wherever the mineral commodity is sold from a production unit, or has reached a point in processing where the commodity is first commercially saleable and removed from the production unit. </w:t>
      </w:r>
    </w:p>
    <w:p w14:paraId="027B0436" w14:textId="77777777" w:rsidR="001525A1" w:rsidRPr="00235988" w:rsidRDefault="001525A1" w:rsidP="00246C69">
      <w:pPr>
        <w:pStyle w:val="ListNumber"/>
      </w:pPr>
      <w:r w:rsidRPr="00235988">
        <w:t xml:space="preserve">Generally, a saleable mineral commodity is considered to arise at the first point of production where a mineral commodity is capable of being sold into any available market (whether or not the miner chooses to sell into that market), rather than a market of the royalty payer’s choosing. The existence of a market is generally evidenced by an ongoing demand for the commodity rather than a one-off sale. </w:t>
      </w:r>
    </w:p>
    <w:p w14:paraId="445D4457" w14:textId="42B5D6C4" w:rsidR="001525A1" w:rsidRPr="001A4242" w:rsidRDefault="001525A1" w:rsidP="001A4242">
      <w:r w:rsidRPr="00235988">
        <w:t>Example</w:t>
      </w:r>
      <w:r w:rsidR="00D56E9C" w:rsidRPr="00235988">
        <w:t xml:space="preserve"> 1</w:t>
      </w:r>
    </w:p>
    <w:p w14:paraId="49138457" w14:textId="68EB9814" w:rsidR="001525A1" w:rsidRPr="00246C69" w:rsidRDefault="001525A1" w:rsidP="00246C69">
      <w:pPr>
        <w:pStyle w:val="Example"/>
      </w:pPr>
      <w:r w:rsidRPr="00235988">
        <w:t xml:space="preserve">ABC Mining Pty Ltd recovers hematite (a type of iron ore) from a mining tenement. The hematite is processed in situ to remove impurities prior to being removed from the tenement. Following this process, the hematite contains a sufficient percentage of iron for it to be sold on the open market. The hematite is then transported to a facility owned by the miner outside the tenement but within the Territory, where it is further refined and manufactured into pig iron that is suitable for steel production. The pig iron is then sold to a steel manufacturer.  </w:t>
      </w:r>
    </w:p>
    <w:p w14:paraId="0CC8DA12" w14:textId="77777777" w:rsidR="001525A1" w:rsidRPr="00246C69" w:rsidRDefault="001525A1" w:rsidP="00246C69">
      <w:pPr>
        <w:pStyle w:val="Example"/>
      </w:pPr>
      <w:r w:rsidRPr="00246C69">
        <w:t>In this example, the facility outside the tenement is used solely for manufacturing hematite into pig iron and does not form part of the production unit. This is because the hematite which is removed from the mining tenement is already a saleable mineral commodity, as it is capable of being sold on the open market. Given that a saleable mineral commodity (hematite) has already been produced, the facility outside the tenement is not absolutely necessary in the production of the saleable mineral commodity. The additional value of the pig iron is not taken into account for royalty calculation purposes.</w:t>
      </w:r>
    </w:p>
    <w:p w14:paraId="10629D90" w14:textId="77777777" w:rsidR="001525A1" w:rsidRPr="00235988" w:rsidRDefault="001525A1" w:rsidP="00246C69">
      <w:pPr>
        <w:pStyle w:val="Heading1"/>
      </w:pPr>
      <w:r w:rsidRPr="00235988">
        <w:t xml:space="preserve">Requirement to identify the </w:t>
      </w:r>
      <w:r w:rsidRPr="00246C69">
        <w:t>production</w:t>
      </w:r>
      <w:r w:rsidRPr="00235988">
        <w:t xml:space="preserve"> unit </w:t>
      </w:r>
    </w:p>
    <w:p w14:paraId="3243598E" w14:textId="38BCE1D2" w:rsidR="001525A1" w:rsidRPr="00235988" w:rsidRDefault="001525A1" w:rsidP="00246C69">
      <w:pPr>
        <w:pStyle w:val="ListNumber"/>
      </w:pPr>
      <w:r w:rsidRPr="00235988">
        <w:t xml:space="preserve">The responsible person is required, within 30 days after the decision is made to commence production of a commercial quantity of a saleable mineral commodity, to identify and describe the production unit and the mining activities carried on. For this purpose the responsible person must provide the Secretary with the following information in writing (see </w:t>
      </w:r>
      <w:hyperlink r:id="rId8" w:history="1">
        <w:r w:rsidRPr="00235988">
          <w:rPr>
            <w:rStyle w:val="Hyperlink"/>
          </w:rPr>
          <w:t>RF-MRA-002</w:t>
        </w:r>
      </w:hyperlink>
      <w:r w:rsidRPr="00235988">
        <w:t>):</w:t>
      </w:r>
    </w:p>
    <w:p w14:paraId="5CCF77EC" w14:textId="77777777" w:rsidR="001525A1" w:rsidRPr="00235988" w:rsidRDefault="001525A1" w:rsidP="00246C69">
      <w:pPr>
        <w:pStyle w:val="ListNumber2"/>
      </w:pPr>
      <w:r w:rsidRPr="00235988">
        <w:t>the location of the mining tenements</w:t>
      </w:r>
    </w:p>
    <w:p w14:paraId="1E3882AF" w14:textId="3136287C" w:rsidR="001525A1" w:rsidRPr="00235988" w:rsidRDefault="001525A1" w:rsidP="00246C69">
      <w:pPr>
        <w:pStyle w:val="ListNumber2"/>
      </w:pPr>
      <w:r w:rsidRPr="00235988">
        <w:t>the location of facilities within the Territory that are absolutely necessary for the production of a saleable mineral commodity</w:t>
      </w:r>
    </w:p>
    <w:p w14:paraId="78FA4744" w14:textId="77777777" w:rsidR="001525A1" w:rsidRPr="00235988" w:rsidRDefault="001525A1" w:rsidP="00246C69">
      <w:pPr>
        <w:pStyle w:val="ListNumber2"/>
      </w:pPr>
      <w:r w:rsidRPr="00235988">
        <w:t>a description of the nature of the operations and processes carried on at the production unit</w:t>
      </w:r>
    </w:p>
    <w:p w14:paraId="348CF7C9" w14:textId="77777777" w:rsidR="001525A1" w:rsidRPr="00235988" w:rsidRDefault="001525A1" w:rsidP="00246C69">
      <w:pPr>
        <w:pStyle w:val="ListNumber2"/>
      </w:pPr>
      <w:r w:rsidRPr="00235988">
        <w:t>the minerals being recovered from the production unit</w:t>
      </w:r>
    </w:p>
    <w:p w14:paraId="7777DE0A" w14:textId="77777777" w:rsidR="001525A1" w:rsidRPr="00235988" w:rsidRDefault="001525A1" w:rsidP="00246C69">
      <w:pPr>
        <w:pStyle w:val="ListNumber2"/>
      </w:pPr>
      <w:r w:rsidRPr="00235988">
        <w:t>the work program and mining schedule related to the production unit.</w:t>
      </w:r>
    </w:p>
    <w:p w14:paraId="4C8E2BFB" w14:textId="02822422" w:rsidR="001525A1" w:rsidRPr="00235988" w:rsidRDefault="001525A1" w:rsidP="00D63413">
      <w:pPr>
        <w:pStyle w:val="ListNumber"/>
      </w:pPr>
      <w:r w:rsidRPr="00235988">
        <w:t xml:space="preserve">If the production unit or the mining operations change, the responsible person is required to notify the Secretary in writing within 30 days (see </w:t>
      </w:r>
      <w:hyperlink r:id="rId9" w:history="1">
        <w:r w:rsidRPr="00235988">
          <w:rPr>
            <w:rStyle w:val="Hyperlink"/>
          </w:rPr>
          <w:t>RF-MRA-002</w:t>
        </w:r>
      </w:hyperlink>
      <w:r w:rsidRPr="00235988">
        <w:t xml:space="preserve">). Such changes include the sale of the production unit, the substitution of old mining </w:t>
      </w:r>
      <w:r w:rsidRPr="00235988">
        <w:lastRenderedPageBreak/>
        <w:t xml:space="preserve">tenements or facilities for new mining tenements or facilities, the addition or reduction of mining tenements or facilities. </w:t>
      </w:r>
    </w:p>
    <w:p w14:paraId="053A09E3" w14:textId="319F2AE9" w:rsidR="001525A1" w:rsidRPr="00235988" w:rsidRDefault="001525A1" w:rsidP="00D63413">
      <w:pPr>
        <w:pStyle w:val="ListNumber"/>
      </w:pPr>
      <w:r w:rsidRPr="00235988">
        <w:t xml:space="preserve">Changes to production units may affect the royalty calculations. </w:t>
      </w:r>
      <w:r w:rsidR="00D56E9C" w:rsidRPr="00235988">
        <w:t>Guidelines </w:t>
      </w:r>
      <w:hyperlink r:id="rId10" w:history="1">
        <w:r w:rsidRPr="00235988">
          <w:rPr>
            <w:rStyle w:val="Hyperlink"/>
          </w:rPr>
          <w:t>RG</w:t>
        </w:r>
        <w:r w:rsidR="00D56E9C" w:rsidRPr="00235988">
          <w:rPr>
            <w:rStyle w:val="Hyperlink"/>
          </w:rPr>
          <w:noBreakHyphen/>
        </w:r>
        <w:r w:rsidRPr="00235988">
          <w:rPr>
            <w:rStyle w:val="Hyperlink"/>
          </w:rPr>
          <w:t>MRA</w:t>
        </w:r>
        <w:r w:rsidR="00D56E9C" w:rsidRPr="00235988">
          <w:rPr>
            <w:rStyle w:val="Hyperlink"/>
          </w:rPr>
          <w:noBreakHyphen/>
        </w:r>
        <w:r w:rsidRPr="00235988">
          <w:rPr>
            <w:rStyle w:val="Hyperlink"/>
          </w:rPr>
          <w:t>003</w:t>
        </w:r>
      </w:hyperlink>
      <w:r w:rsidRPr="00235988">
        <w:t xml:space="preserve">: Negative Net Value, </w:t>
      </w:r>
      <w:hyperlink r:id="rId11" w:history="1">
        <w:r w:rsidRPr="00235988">
          <w:rPr>
            <w:rStyle w:val="Hyperlink"/>
          </w:rPr>
          <w:t>RG-MRA-004</w:t>
        </w:r>
      </w:hyperlink>
      <w:r w:rsidRPr="00235988">
        <w:t xml:space="preserve">: Gross Realisation and Gross Production Revenue and </w:t>
      </w:r>
      <w:hyperlink r:id="rId12" w:history="1">
        <w:r w:rsidRPr="00235988">
          <w:rPr>
            <w:rStyle w:val="Hyperlink"/>
          </w:rPr>
          <w:t>RG-MRA-006</w:t>
        </w:r>
      </w:hyperlink>
      <w:r w:rsidRPr="00235988">
        <w:t>: Capital Recognition Deduction provide further information.</w:t>
      </w:r>
    </w:p>
    <w:p w14:paraId="4132F247" w14:textId="77777777" w:rsidR="003E2C01" w:rsidRPr="00235988" w:rsidRDefault="003E2C01" w:rsidP="003E2C01">
      <w:pPr>
        <w:pStyle w:val="Heading1"/>
      </w:pPr>
      <w:r w:rsidRPr="00235988">
        <w:t>MRA publications</w:t>
      </w:r>
    </w:p>
    <w:p w14:paraId="5A8577F7" w14:textId="77777777" w:rsidR="003E2C01" w:rsidRPr="00235988" w:rsidRDefault="003E2C01" w:rsidP="003E2C01">
      <w:pPr>
        <w:pStyle w:val="ListNumber"/>
      </w:pPr>
      <w:r w:rsidRPr="00235988">
        <w:t xml:space="preserve">Guideline </w:t>
      </w:r>
      <w:hyperlink r:id="rId13" w:history="1">
        <w:r w:rsidRPr="00BA1AB0">
          <w:rPr>
            <w:rStyle w:val="Hyperlink"/>
          </w:rPr>
          <w:t>RG-MRA-001</w:t>
        </w:r>
      </w:hyperlink>
      <w:r w:rsidRPr="00BA1AB0">
        <w:t>: Guidelines and Advance Opinions</w:t>
      </w:r>
      <w:r w:rsidRPr="00235988">
        <w:t>, which sets out information on the Guideline system, is incorporated into and read as one with this Guideline.</w:t>
      </w:r>
    </w:p>
    <w:p w14:paraId="4D582754" w14:textId="77777777" w:rsidR="003E2C01" w:rsidRPr="009E05CC" w:rsidRDefault="003E2C01" w:rsidP="003E2C01">
      <w:pPr>
        <w:rPr>
          <w:rFonts w:cs="Arial"/>
        </w:rPr>
      </w:pPr>
    </w:p>
    <w:p w14:paraId="49E9B13C" w14:textId="77777777" w:rsidR="003E2C01" w:rsidRPr="009E05CC" w:rsidRDefault="003E2C01" w:rsidP="003E2C01">
      <w:pPr>
        <w:rPr>
          <w:rFonts w:cs="Arial"/>
        </w:rPr>
      </w:pPr>
      <w:r>
        <w:rPr>
          <w:noProof/>
          <w:lang w:eastAsia="en-AU"/>
        </w:rPr>
        <w:drawing>
          <wp:inline distT="0" distB="0" distL="0" distR="0" wp14:anchorId="2035ECEF" wp14:editId="4FCF513C">
            <wp:extent cx="1570355" cy="515620"/>
            <wp:effectExtent l="0" t="0" r="0" b="0"/>
            <wp:docPr id="3" name="Picture 3" descr="Commissioner's signature: Michael Butler"/>
            <wp:cNvGraphicFramePr/>
            <a:graphic xmlns:a="http://schemas.openxmlformats.org/drawingml/2006/main">
              <a:graphicData uri="http://schemas.openxmlformats.org/drawingml/2006/picture">
                <pic:pic xmlns:pic="http://schemas.openxmlformats.org/drawingml/2006/picture">
                  <pic:nvPicPr>
                    <pic:cNvPr id="3" name="Picture 3" descr="Commissioner's signature: Michael Butle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70355" cy="515620"/>
                    </a:xfrm>
                    <a:prstGeom prst="rect">
                      <a:avLst/>
                    </a:prstGeom>
                  </pic:spPr>
                </pic:pic>
              </a:graphicData>
            </a:graphic>
          </wp:inline>
        </w:drawing>
      </w:r>
    </w:p>
    <w:p w14:paraId="25411DF8" w14:textId="77777777" w:rsidR="003E2C01" w:rsidRPr="009E05CC" w:rsidRDefault="003E2C01" w:rsidP="003E2C01">
      <w:r w:rsidRPr="009E05CC">
        <w:t xml:space="preserve">Michael Butler </w:t>
      </w:r>
      <w:r>
        <w:br/>
      </w:r>
      <w:r w:rsidRPr="009E05CC">
        <w:t>Secretary</w:t>
      </w:r>
      <w:r>
        <w:br/>
      </w:r>
      <w:r w:rsidRPr="009E05CC">
        <w:t>Date of Issue: 1 July 2019</w:t>
      </w:r>
    </w:p>
    <w:p w14:paraId="4E277E65" w14:textId="77777777" w:rsidR="003E2C01" w:rsidRPr="009E05CC" w:rsidRDefault="003E2C01" w:rsidP="003E2C01">
      <w:pPr>
        <w:rPr>
          <w:rFonts w:cs="Arial"/>
        </w:rPr>
      </w:pPr>
    </w:p>
    <w:p w14:paraId="5C28D795" w14:textId="77777777" w:rsidR="003E2C01" w:rsidRPr="00B91230" w:rsidRDefault="003E2C01" w:rsidP="003E2C01">
      <w:r w:rsidRPr="00B91230">
        <w:t>For further information, please contact the Territory Revenue Office:</w:t>
      </w:r>
    </w:p>
    <w:p w14:paraId="283D37B6" w14:textId="07CAFC6E" w:rsidR="003A2424" w:rsidRPr="00235988" w:rsidRDefault="003E2C01" w:rsidP="003E2C01">
      <w:r w:rsidRPr="00B91230">
        <w:t xml:space="preserve">GPO Box </w:t>
      </w:r>
      <w:r w:rsidR="00FA6695">
        <w:t>1974</w:t>
      </w:r>
      <w:bookmarkStart w:id="1" w:name="_GoBack"/>
      <w:bookmarkEnd w:id="1"/>
      <w:r>
        <w:br/>
      </w:r>
      <w:r w:rsidRPr="00B91230">
        <w:t>Darwin NT 0801</w:t>
      </w:r>
      <w:r>
        <w:br/>
      </w:r>
      <w:r w:rsidRPr="00B91230">
        <w:t xml:space="preserve">Email: </w:t>
      </w:r>
      <w:hyperlink r:id="rId15" w:history="1">
        <w:r w:rsidRPr="008069D9">
          <w:rPr>
            <w:rStyle w:val="Hyperlink"/>
          </w:rPr>
          <w:t>ntrevenue@nt.gov.au</w:t>
        </w:r>
      </w:hyperlink>
      <w:r w:rsidRPr="00B91230">
        <w:t xml:space="preserve"> </w:t>
      </w:r>
      <w:r>
        <w:br/>
      </w:r>
      <w:r w:rsidRPr="00B91230">
        <w:t>Phone: 1300 305 353</w:t>
      </w:r>
      <w:r>
        <w:br/>
      </w:r>
      <w:r w:rsidRPr="00B91230">
        <w:t xml:space="preserve">Website: </w:t>
      </w:r>
      <w:hyperlink r:id="rId16" w:history="1">
        <w:r w:rsidRPr="00D42500">
          <w:rPr>
            <w:rStyle w:val="Hyperlink"/>
          </w:rPr>
          <w:t>www.revenue.nt.gov.au</w:t>
        </w:r>
      </w:hyperlink>
    </w:p>
    <w:sectPr w:rsidR="003A2424" w:rsidRPr="00235988" w:rsidSect="006B36CF">
      <w:headerReference w:type="default" r:id="rId17"/>
      <w:footerReference w:type="default" r:id="rId18"/>
      <w:headerReference w:type="first" r:id="rId19"/>
      <w:footerReference w:type="first" r:id="rId20"/>
      <w:pgSz w:w="11906" w:h="16838" w:code="9"/>
      <w:pgMar w:top="1134" w:right="1644" w:bottom="1134" w:left="153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381B1" w14:textId="77777777" w:rsidR="006C5124" w:rsidRDefault="006C5124" w:rsidP="007332FF">
      <w:r>
        <w:separator/>
      </w:r>
    </w:p>
  </w:endnote>
  <w:endnote w:type="continuationSeparator" w:id="0">
    <w:p w14:paraId="509609C4" w14:textId="77777777" w:rsidR="006C5124" w:rsidRDefault="006C5124"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Lato Heavy">
    <w:panose1 w:val="020F0502020204030203"/>
    <w:charset w:val="00"/>
    <w:family w:val="swiss"/>
    <w:pitch w:val="variable"/>
    <w:sig w:usb0="E10002FF" w:usb1="5000ECFF" w:usb2="00000021" w:usb3="00000000" w:csb0="0000019F" w:csb1="00000000"/>
  </w:font>
  <w:font w:name="Lato">
    <w:altName w:val="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FD617" w14:textId="77777777" w:rsidR="005F5072" w:rsidRPr="00AE306C" w:rsidRDefault="006C5124" w:rsidP="002926BC">
    <w:pPr>
      <w:tabs>
        <w:tab w:val="right" w:pos="10206"/>
      </w:tabs>
      <w:spacing w:after="120"/>
      <w:ind w:left="-567" w:right="-568"/>
      <w:rPr>
        <w:sz w:val="16"/>
        <w:szCs w:val="16"/>
      </w:rPr>
    </w:pPr>
    <w:r>
      <w:rPr>
        <w:sz w:val="16"/>
        <w:szCs w:val="16"/>
      </w:rPr>
      <w:pict w14:anchorId="635A7546">
        <v:rect id="_x0000_i1025" style="width:481.9pt;height:.5pt" o:hralign="center" o:hrstd="t" o:hrnoshade="t" o:hr="t" fillcolor="black [3213]" stroked="f"/>
      </w:pict>
    </w:r>
  </w:p>
  <w:p w14:paraId="2524DD8A" w14:textId="672DF8CB" w:rsidR="005F5072" w:rsidRPr="004D1B76" w:rsidRDefault="005F5072" w:rsidP="002926BC">
    <w:pPr>
      <w:pStyle w:val="NTGFooter2deptpagenum"/>
      <w:tabs>
        <w:tab w:val="clear" w:pos="9639"/>
        <w:tab w:val="right" w:pos="10206"/>
      </w:tabs>
      <w:ind w:left="-567" w:right="-568"/>
    </w:pPr>
    <w:r w:rsidRPr="007B5DA2">
      <w:rPr>
        <w:rStyle w:val="NTGFooterDepartmentofChar"/>
      </w:rPr>
      <w:fldChar w:fldCharType="begin"/>
    </w:r>
    <w:r w:rsidRPr="007B5DA2">
      <w:rPr>
        <w:rStyle w:val="NTGFooterDepartmentofChar"/>
      </w:rPr>
      <w:instrText xml:space="preserve"> DOCPROPERTY  DepartmentOf  \* MERGEFORMAT </w:instrText>
    </w:r>
    <w:r w:rsidRPr="007B5DA2">
      <w:rPr>
        <w:rStyle w:val="NTGFooterDepartmentofChar"/>
      </w:rPr>
      <w:fldChar w:fldCharType="separate"/>
    </w:r>
    <w:r w:rsidR="003A2424">
      <w:rPr>
        <w:rStyle w:val="NTGFooterDepartmentofChar"/>
      </w:rPr>
      <w:t xml:space="preserve">Department of </w:t>
    </w:r>
    <w:r w:rsidRPr="007B5DA2">
      <w:rPr>
        <w:rStyle w:val="NTGFooterDepartmentofChar"/>
      </w:rPr>
      <w:fldChar w:fldCharType="end"/>
    </w:r>
    <w:r w:rsidRPr="007B5DA2">
      <w:rPr>
        <w:rStyle w:val="NTGFooterDepartmentNameChar"/>
      </w:rPr>
      <w:fldChar w:fldCharType="begin"/>
    </w:r>
    <w:r w:rsidRPr="007B5DA2">
      <w:rPr>
        <w:rStyle w:val="NTGFooterDepartmentNameChar"/>
      </w:rPr>
      <w:instrText xml:space="preserve"> DOCPROPERTY  DepartmentName  \* MERGEFORMAT </w:instrText>
    </w:r>
    <w:r w:rsidRPr="007B5DA2">
      <w:rPr>
        <w:rStyle w:val="NTGFooterDepartmentNameChar"/>
      </w:rPr>
      <w:fldChar w:fldCharType="separate"/>
    </w:r>
    <w:r w:rsidR="003A2424">
      <w:rPr>
        <w:rStyle w:val="NTGFooterDepartmentNameChar"/>
      </w:rPr>
      <w:t>Treasury and Finance</w:t>
    </w:r>
    <w:r w:rsidRPr="007B5DA2">
      <w:rPr>
        <w:rStyle w:val="NTGFooterDepartmentNameChar"/>
      </w:rPr>
      <w:fldChar w:fldCharType="end"/>
    </w:r>
    <w:r w:rsidRPr="004D1B76">
      <w:tab/>
    </w:r>
    <w:r w:rsidRPr="007B5DA2">
      <w:rPr>
        <w:rStyle w:val="NTGFooter2deptpagenumChar"/>
        <w:rFonts w:eastAsia="Calibri"/>
      </w:rPr>
      <w:t xml:space="preserve">Page </w:t>
    </w:r>
    <w:r w:rsidRPr="007B5DA2">
      <w:rPr>
        <w:rStyle w:val="NTGFooter2deptpagenumChar"/>
        <w:rFonts w:eastAsia="Calibri"/>
      </w:rPr>
      <w:fldChar w:fldCharType="begin"/>
    </w:r>
    <w:r w:rsidRPr="007B5DA2">
      <w:rPr>
        <w:rStyle w:val="NTGFooter2deptpagenumChar"/>
        <w:rFonts w:eastAsia="Calibri"/>
      </w:rPr>
      <w:instrText xml:space="preserve"> PAGE  \* Arabic  \* MERGEFORMAT </w:instrText>
    </w:r>
    <w:r w:rsidRPr="007B5DA2">
      <w:rPr>
        <w:rStyle w:val="NTGFooter2deptpagenumChar"/>
        <w:rFonts w:eastAsia="Calibri"/>
      </w:rPr>
      <w:fldChar w:fldCharType="separate"/>
    </w:r>
    <w:r w:rsidR="00FA6695">
      <w:rPr>
        <w:rStyle w:val="NTGFooter2deptpagenumChar"/>
        <w:rFonts w:eastAsia="Calibri"/>
        <w:noProof/>
      </w:rPr>
      <w:t>4</w:t>
    </w:r>
    <w:r w:rsidRPr="007B5DA2">
      <w:rPr>
        <w:rStyle w:val="NTGFooter2deptpagenumChar"/>
        <w:rFonts w:eastAsia="Calibri"/>
      </w:rPr>
      <w:fldChar w:fldCharType="end"/>
    </w:r>
    <w:r w:rsidRPr="007B5DA2">
      <w:rPr>
        <w:rStyle w:val="NTGFooter2deptpagenumChar"/>
        <w:rFonts w:eastAsia="Calibri"/>
      </w:rPr>
      <w:t xml:space="preserve"> of </w:t>
    </w:r>
    <w:r w:rsidRPr="007B5DA2">
      <w:rPr>
        <w:rStyle w:val="NTGFooter2deptpagenumChar"/>
        <w:rFonts w:eastAsia="Calibri"/>
      </w:rPr>
      <w:fldChar w:fldCharType="begin"/>
    </w:r>
    <w:r w:rsidRPr="007B5DA2">
      <w:rPr>
        <w:rStyle w:val="NTGFooter2deptpagenumChar"/>
        <w:rFonts w:eastAsia="Calibri"/>
      </w:rPr>
      <w:instrText xml:space="preserve"> NUMPAGES  \* Arabic  \* MERGEFORMAT </w:instrText>
    </w:r>
    <w:r w:rsidRPr="007B5DA2">
      <w:rPr>
        <w:rStyle w:val="NTGFooter2deptpagenumChar"/>
        <w:rFonts w:eastAsia="Calibri"/>
      </w:rPr>
      <w:fldChar w:fldCharType="separate"/>
    </w:r>
    <w:r w:rsidR="00FA6695">
      <w:rPr>
        <w:rStyle w:val="NTGFooter2deptpagenumChar"/>
        <w:rFonts w:eastAsia="Calibri"/>
        <w:noProof/>
      </w:rPr>
      <w:t>4</w:t>
    </w:r>
    <w:r w:rsidRPr="007B5DA2">
      <w:rPr>
        <w:rStyle w:val="NTGFooter2deptpagenumChar"/>
        <w:rFonts w:eastAsia="Calibri"/>
      </w:rPr>
      <w:fldChar w:fldCharType="end"/>
    </w:r>
  </w:p>
  <w:p w14:paraId="1253BEEB" w14:textId="0AEB8B6B" w:rsidR="005F5072" w:rsidRPr="007B5DA2" w:rsidRDefault="005F5072" w:rsidP="002926BC">
    <w:pPr>
      <w:pStyle w:val="NTGFooter2DateVersion"/>
      <w:tabs>
        <w:tab w:val="clear" w:pos="9639"/>
        <w:tab w:val="right" w:pos="10206"/>
      </w:tabs>
      <w:ind w:left="-567" w:right="-568"/>
      <w:rPr>
        <w:rStyle w:val="NTGFooter2deptpagenumChar"/>
        <w:rFonts w:eastAsia="Calibr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Ind w:w="-567"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7655"/>
      <w:gridCol w:w="2268"/>
    </w:tblGrid>
    <w:tr w:rsidR="005F5072" w:rsidRPr="00132658" w14:paraId="11CE53E5" w14:textId="77777777" w:rsidTr="006B36CF">
      <w:trPr>
        <w:cantSplit/>
        <w:trHeight w:hRule="exact" w:val="1400"/>
        <w:tblHeader/>
      </w:trPr>
      <w:tc>
        <w:tcPr>
          <w:tcW w:w="7655" w:type="dxa"/>
          <w:vAlign w:val="center"/>
        </w:tcPr>
        <w:p w14:paraId="7C644B38" w14:textId="77777777" w:rsidR="005F5072" w:rsidRPr="00705C9D" w:rsidRDefault="005F5072" w:rsidP="007B5DA2">
          <w:pPr>
            <w:pStyle w:val="NTGFooter1items"/>
            <w:rPr>
              <w:rStyle w:val="NTGFooterDepartmentNameChar"/>
            </w:rPr>
          </w:pPr>
          <w:r w:rsidRPr="00705C9D">
            <w:rPr>
              <w:rStyle w:val="NTGFooterDepartmentofChar"/>
            </w:rPr>
            <w:fldChar w:fldCharType="begin"/>
          </w:r>
          <w:r w:rsidRPr="00705C9D">
            <w:rPr>
              <w:rStyle w:val="NTGFooterDepartmentofChar"/>
            </w:rPr>
            <w:instrText xml:space="preserve"> DOCPROPERTY  DepartmentOf  \* MERGEFORMAT </w:instrText>
          </w:r>
          <w:r w:rsidRPr="00705C9D">
            <w:rPr>
              <w:rStyle w:val="NTGFooterDepartmentofChar"/>
            </w:rPr>
            <w:fldChar w:fldCharType="separate"/>
          </w:r>
          <w:r w:rsidR="003A2424">
            <w:rPr>
              <w:rStyle w:val="NTGFooterDepartmentofChar"/>
            </w:rPr>
            <w:t xml:space="preserve">Department of </w:t>
          </w:r>
          <w:r w:rsidRPr="00705C9D">
            <w:rPr>
              <w:rStyle w:val="NTGFooterDepartmentofChar"/>
            </w:rPr>
            <w:fldChar w:fldCharType="end"/>
          </w:r>
          <w:r w:rsidRPr="00705C9D">
            <w:rPr>
              <w:rStyle w:val="NTGFooterDepartmentNameChar"/>
            </w:rPr>
            <w:fldChar w:fldCharType="begin"/>
          </w:r>
          <w:r w:rsidRPr="00705C9D">
            <w:rPr>
              <w:rStyle w:val="NTGFooterDepartmentNameChar"/>
            </w:rPr>
            <w:instrText xml:space="preserve"> DOCPROPERTY  DepartmentName  \* MERGEFORMAT </w:instrText>
          </w:r>
          <w:r w:rsidRPr="00705C9D">
            <w:rPr>
              <w:rStyle w:val="NTGFooterDepartmentNameChar"/>
            </w:rPr>
            <w:fldChar w:fldCharType="separate"/>
          </w:r>
          <w:r w:rsidR="003A2424">
            <w:rPr>
              <w:rStyle w:val="NTGFooterDepartmentNameChar"/>
            </w:rPr>
            <w:t>Treasury and Finance</w:t>
          </w:r>
          <w:r w:rsidRPr="00705C9D">
            <w:rPr>
              <w:rStyle w:val="NTGFooterDepartmentNameChar"/>
            </w:rPr>
            <w:fldChar w:fldCharType="end"/>
          </w:r>
        </w:p>
        <w:p w14:paraId="2EA69B15" w14:textId="768AAE67" w:rsidR="005F5072" w:rsidRPr="007B5DA2" w:rsidRDefault="005F5072" w:rsidP="004301EA">
          <w:pPr>
            <w:pStyle w:val="NTGFooter1items"/>
          </w:pPr>
          <w:r w:rsidRPr="007B5DA2">
            <w:t xml:space="preserve">Page </w:t>
          </w:r>
          <w:r w:rsidRPr="007B5DA2">
            <w:fldChar w:fldCharType="begin"/>
          </w:r>
          <w:r w:rsidRPr="007B5DA2">
            <w:instrText xml:space="preserve"> PAGE  \* Arabic  \* MERGEFORMAT </w:instrText>
          </w:r>
          <w:r w:rsidRPr="007B5DA2">
            <w:fldChar w:fldCharType="separate"/>
          </w:r>
          <w:r w:rsidR="00FA6695">
            <w:rPr>
              <w:noProof/>
            </w:rPr>
            <w:t>1</w:t>
          </w:r>
          <w:r w:rsidRPr="007B5DA2">
            <w:fldChar w:fldCharType="end"/>
          </w:r>
          <w:r w:rsidRPr="007B5DA2">
            <w:t xml:space="preserve"> of </w:t>
          </w:r>
          <w:r w:rsidR="009E7CBF">
            <w:rPr>
              <w:noProof/>
            </w:rPr>
            <w:fldChar w:fldCharType="begin"/>
          </w:r>
          <w:r w:rsidR="009E7CBF">
            <w:rPr>
              <w:noProof/>
            </w:rPr>
            <w:instrText xml:space="preserve"> NUMPAGES  \* Arabic  \* MERGEFORMAT </w:instrText>
          </w:r>
          <w:r w:rsidR="009E7CBF">
            <w:rPr>
              <w:noProof/>
            </w:rPr>
            <w:fldChar w:fldCharType="separate"/>
          </w:r>
          <w:r w:rsidR="00FA6695">
            <w:rPr>
              <w:noProof/>
            </w:rPr>
            <w:t>4</w:t>
          </w:r>
          <w:r w:rsidR="009E7CBF">
            <w:rPr>
              <w:noProof/>
            </w:rPr>
            <w:fldChar w:fldCharType="end"/>
          </w:r>
          <w:r w:rsidRPr="007B5DA2">
            <w:tab/>
          </w:r>
        </w:p>
      </w:tc>
      <w:tc>
        <w:tcPr>
          <w:tcW w:w="2268" w:type="dxa"/>
          <w:vAlign w:val="center"/>
        </w:tcPr>
        <w:p w14:paraId="4898324B" w14:textId="77777777" w:rsidR="005F5072" w:rsidRPr="001E14EB" w:rsidRDefault="005F5072" w:rsidP="00543BD1">
          <w:pPr>
            <w:spacing w:after="0"/>
            <w:jc w:val="right"/>
          </w:pPr>
          <w:r w:rsidRPr="00132658">
            <w:rPr>
              <w:noProof/>
              <w:lang w:eastAsia="en-AU"/>
            </w:rPr>
            <w:drawing>
              <wp:inline distT="0" distB="0" distL="0" distR="0" wp14:anchorId="2051F7E4" wp14:editId="039FAA2B">
                <wp:extent cx="1347470" cy="481330"/>
                <wp:effectExtent l="0" t="0" r="5080" b="0"/>
                <wp:docPr id="1" name="Picture 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tbl>
  <w:p w14:paraId="33753A34" w14:textId="77777777" w:rsidR="005F5072" w:rsidRPr="00543BD1" w:rsidRDefault="005F5072" w:rsidP="00543BD1">
    <w:pPr>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8ED6A" w14:textId="77777777" w:rsidR="006C5124" w:rsidRDefault="006C5124" w:rsidP="007332FF">
      <w:r>
        <w:separator/>
      </w:r>
    </w:p>
  </w:footnote>
  <w:footnote w:type="continuationSeparator" w:id="0">
    <w:p w14:paraId="5D8EF9E3" w14:textId="77777777" w:rsidR="006C5124" w:rsidRDefault="006C5124"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B9E51" w14:textId="4631E9B3" w:rsidR="005F5072" w:rsidRPr="0081789E" w:rsidRDefault="006C5124" w:rsidP="0081789E">
    <w:pPr>
      <w:pStyle w:val="Header"/>
    </w:pPr>
    <w:sdt>
      <w:sdtPr>
        <w:alias w:val="Title"/>
        <w:tag w:val=""/>
        <w:id w:val="-147284720"/>
        <w:placeholder>
          <w:docPart w:val="BBFB6278DDC04E93B8C17F092F744B16"/>
        </w:placeholder>
        <w:dataBinding w:prefixMappings="xmlns:ns0='http://purl.org/dc/elements/1.1/' xmlns:ns1='http://schemas.openxmlformats.org/package/2006/metadata/core-properties' " w:xpath="/ns1:coreProperties[1]/ns0:title[1]" w:storeItemID="{6C3C8BC8-F283-45AE-878A-BAB7291924A1}"/>
        <w:text/>
      </w:sdtPr>
      <w:sdtEndPr/>
      <w:sdtContent>
        <w:r w:rsidR="00095300">
          <w:t>Mineral Royalty Act: Royalty Guideline – RG-MRA-002 Production Unit</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65798" w14:textId="34F5C4FD" w:rsidR="00C07FA5" w:rsidRPr="0081789E" w:rsidRDefault="006C5124" w:rsidP="0081789E">
    <w:pPr>
      <w:pStyle w:val="Title"/>
      <w:rPr>
        <w:b w:val="0"/>
      </w:rPr>
    </w:pPr>
    <w:sdt>
      <w:sdtPr>
        <w:alias w:val="Title"/>
        <w:tag w:val=""/>
        <w:id w:val="1748683773"/>
        <w:placeholder>
          <w:docPart w:val="C93E848B27CA4F81BE0DCEB960A204D0"/>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9E4E9B">
          <w:t>Mineral Royalty Act: Royalty Guideline –</w:t>
        </w:r>
        <w:r w:rsidR="00095300">
          <w:t xml:space="preserve"> </w:t>
        </w:r>
        <w:r w:rsidR="009E4E9B">
          <w:br/>
          <w:t>RG-MRA-002 Production Unit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CB866C26"/>
    <w:lvl w:ilvl="0">
      <w:start w:val="1"/>
      <w:numFmt w:val="decimal"/>
      <w:lvlText w:val="%1."/>
      <w:lvlJc w:val="left"/>
      <w:pPr>
        <w:tabs>
          <w:tab w:val="num" w:pos="643"/>
        </w:tabs>
        <w:ind w:left="643" w:hanging="360"/>
      </w:pPr>
    </w:lvl>
  </w:abstractNum>
  <w:abstractNum w:abstractNumId="1" w15:restartNumberingAfterBreak="0">
    <w:nsid w:val="030F0990"/>
    <w:multiLevelType w:val="multilevel"/>
    <w:tmpl w:val="0C78A7AC"/>
    <w:name w:val="NTG Table Bullet List33222222222222222"/>
    <w:styleLink w:val="NTGTableList"/>
    <w:lvl w:ilvl="0">
      <w:start w:val="1"/>
      <w:numFmt w:val="bullet"/>
      <w:pStyle w:val="NTGTableBulletList1"/>
      <w:lvlText w:val=""/>
      <w:lvlJc w:val="left"/>
      <w:pPr>
        <w:ind w:left="284" w:hanging="284"/>
      </w:pPr>
      <w:rPr>
        <w:rFonts w:ascii="Symbol" w:hAnsi="Symbol" w:hint="default"/>
        <w:color w:val="auto"/>
      </w:rPr>
    </w:lvl>
    <w:lvl w:ilvl="1">
      <w:start w:val="1"/>
      <w:numFmt w:val="bullet"/>
      <w:pStyle w:val="NTGTableBulletList2"/>
      <w:lvlText w:val="o"/>
      <w:lvlJc w:val="left"/>
      <w:pPr>
        <w:ind w:left="567" w:hanging="283"/>
      </w:pPr>
      <w:rPr>
        <w:rFonts w:ascii="Courier New" w:hAnsi="Courier New" w:hint="default"/>
      </w:rPr>
    </w:lvl>
    <w:lvl w:ilvl="2">
      <w:start w:val="1"/>
      <w:numFmt w:val="bullet"/>
      <w:pStyle w:val="NTGTableBulletList3"/>
      <w:lvlText w:val=""/>
      <w:lvlJc w:val="left"/>
      <w:pPr>
        <w:ind w:left="851" w:hanging="284"/>
      </w:pPr>
      <w:rPr>
        <w:rFonts w:ascii="Wingdings" w:hAnsi="Wingdings" w:hint="default"/>
        <w:color w:val="auto"/>
      </w:rPr>
    </w:lvl>
    <w:lvl w:ilvl="3">
      <w:start w:val="1"/>
      <w:numFmt w:val="bullet"/>
      <w:pStyle w:val="NTGTableBulletList4"/>
      <w:lvlText w:val=""/>
      <w:lvlJc w:val="left"/>
      <w:pPr>
        <w:ind w:left="1134" w:hanging="283"/>
      </w:pPr>
      <w:rPr>
        <w:rFonts w:ascii="Wingdings" w:hAnsi="Wingdings" w:hint="default"/>
        <w:color w:val="auto"/>
      </w:rPr>
    </w:lvl>
    <w:lvl w:ilvl="4">
      <w:start w:val="1"/>
      <w:numFmt w:val="bullet"/>
      <w:pStyle w:val="NTGTableBulletList5"/>
      <w:lvlText w:val=""/>
      <w:lvlJc w:val="left"/>
      <w:pPr>
        <w:ind w:left="1418" w:hanging="284"/>
      </w:pPr>
      <w:rPr>
        <w:rFonts w:ascii="Symbol" w:hAnsi="Symbol" w:hint="default"/>
        <w:color w:val="auto"/>
      </w:rPr>
    </w:lvl>
    <w:lvl w:ilvl="5">
      <w:start w:val="1"/>
      <w:numFmt w:val="bullet"/>
      <w:pStyle w:val="NTGTableBulletList6"/>
      <w:lvlText w:val=""/>
      <w:lvlJc w:val="left"/>
      <w:pPr>
        <w:ind w:left="1701" w:hanging="283"/>
      </w:pPr>
      <w:rPr>
        <w:rFonts w:ascii="Symbol" w:hAnsi="Symbol" w:hint="default"/>
        <w:color w:val="auto"/>
      </w:rPr>
    </w:lvl>
    <w:lvl w:ilvl="6">
      <w:start w:val="1"/>
      <w:numFmt w:val="bullet"/>
      <w:pStyle w:val="NTGTableBulletList7"/>
      <w:lvlText w:val="o"/>
      <w:lvlJc w:val="left"/>
      <w:pPr>
        <w:ind w:left="1985" w:hanging="284"/>
      </w:pPr>
      <w:rPr>
        <w:rFonts w:ascii="Courier New" w:hAnsi="Courier New" w:hint="default"/>
        <w:color w:val="auto"/>
      </w:rPr>
    </w:lvl>
    <w:lvl w:ilvl="7">
      <w:start w:val="1"/>
      <w:numFmt w:val="bullet"/>
      <w:pStyle w:val="NTGTableBulletList8"/>
      <w:lvlText w:val=""/>
      <w:lvlJc w:val="left"/>
      <w:pPr>
        <w:ind w:left="2268" w:hanging="283"/>
      </w:pPr>
      <w:rPr>
        <w:rFonts w:ascii="Wingdings" w:hAnsi="Wingdings" w:hint="default"/>
        <w:color w:val="auto"/>
      </w:rPr>
    </w:lvl>
    <w:lvl w:ilvl="8">
      <w:start w:val="1"/>
      <w:numFmt w:val="bullet"/>
      <w:pStyle w:val="NTGTableBulletList9"/>
      <w:lvlText w:val=""/>
      <w:lvlJc w:val="left"/>
      <w:pPr>
        <w:ind w:left="2552" w:hanging="284"/>
      </w:pPr>
      <w:rPr>
        <w:rFonts w:ascii="Wingdings" w:hAnsi="Wingdings" w:hint="default"/>
        <w:color w:val="auto"/>
      </w:rPr>
    </w:lvl>
  </w:abstractNum>
  <w:abstractNum w:abstractNumId="2" w15:restartNumberingAfterBreak="0">
    <w:nsid w:val="05C03AEC"/>
    <w:multiLevelType w:val="multilevel"/>
    <w:tmpl w:val="BD7A8414"/>
    <w:name w:val="NTG Table Bullet List3322222"/>
    <w:numStyleLink w:val="NTGStandardList"/>
  </w:abstractNum>
  <w:abstractNum w:abstractNumId="3" w15:restartNumberingAfterBreak="0">
    <w:nsid w:val="068B22E4"/>
    <w:multiLevelType w:val="multilevel"/>
    <w:tmpl w:val="4E6AC8F6"/>
    <w:name w:val="NTG Table Bullet List33222222"/>
    <w:numStyleLink w:val="NTGStandardNumList"/>
  </w:abstractNum>
  <w:abstractNum w:abstractNumId="4" w15:restartNumberingAfterBreak="0">
    <w:nsid w:val="06DB268B"/>
    <w:multiLevelType w:val="multilevel"/>
    <w:tmpl w:val="BD7A8414"/>
    <w:name w:val="NTG Table Bullet List32223"/>
    <w:numStyleLink w:val="NTGStandardList"/>
  </w:abstractNum>
  <w:abstractNum w:abstractNumId="5" w15:restartNumberingAfterBreak="0">
    <w:nsid w:val="09CD3ABE"/>
    <w:multiLevelType w:val="multilevel"/>
    <w:tmpl w:val="0C78A7AC"/>
    <w:name w:val="NTG Table Bullet List332222"/>
    <w:numStyleLink w:val="NTGTableList"/>
  </w:abstractNum>
  <w:abstractNum w:abstractNumId="6" w15:restartNumberingAfterBreak="0">
    <w:nsid w:val="10111492"/>
    <w:multiLevelType w:val="multilevel"/>
    <w:tmpl w:val="0C78A7AC"/>
    <w:name w:val="NTG Table Bullet List332"/>
    <w:numStyleLink w:val="NTGTableList"/>
  </w:abstractNum>
  <w:abstractNum w:abstractNumId="7" w15:restartNumberingAfterBreak="0">
    <w:nsid w:val="15C55E97"/>
    <w:multiLevelType w:val="multilevel"/>
    <w:tmpl w:val="BD7A8414"/>
    <w:name w:val="NTG Table Bullet List332222222222222222"/>
    <w:numStyleLink w:val="NTGStandardList"/>
  </w:abstractNum>
  <w:abstractNum w:abstractNumId="8" w15:restartNumberingAfterBreak="0">
    <w:nsid w:val="176B0CE3"/>
    <w:multiLevelType w:val="multilevel"/>
    <w:tmpl w:val="39746A98"/>
    <w:name w:val="NTG Table Bullet List332222222222222"/>
    <w:numStyleLink w:val="NTGTableNumList"/>
  </w:abstractNum>
  <w:abstractNum w:abstractNumId="9" w15:restartNumberingAfterBreak="0">
    <w:nsid w:val="18AE0D72"/>
    <w:multiLevelType w:val="multilevel"/>
    <w:tmpl w:val="0C78A7AC"/>
    <w:name w:val="NTG Table Bullet List322"/>
    <w:numStyleLink w:val="NTGTableList"/>
  </w:abstractNum>
  <w:abstractNum w:abstractNumId="10" w15:restartNumberingAfterBreak="0">
    <w:nsid w:val="1BB400DD"/>
    <w:multiLevelType w:val="multilevel"/>
    <w:tmpl w:val="39746A98"/>
    <w:name w:val="NTG Table Bullet List33"/>
    <w:numStyleLink w:val="NTGTableNumList"/>
  </w:abstractNum>
  <w:abstractNum w:abstractNumId="11" w15:restartNumberingAfterBreak="0">
    <w:nsid w:val="1CFF291F"/>
    <w:multiLevelType w:val="multilevel"/>
    <w:tmpl w:val="39746A98"/>
    <w:name w:val="NTG Table Bullet List3222323"/>
    <w:numStyleLink w:val="NTGTableNumList"/>
  </w:abstractNum>
  <w:abstractNum w:abstractNumId="12" w15:restartNumberingAfterBreak="0">
    <w:nsid w:val="1E903CE7"/>
    <w:multiLevelType w:val="multilevel"/>
    <w:tmpl w:val="060E7F10"/>
    <w:styleLink w:val="Text"/>
    <w:lvl w:ilvl="0">
      <w:start w:val="1"/>
      <w:numFmt w:val="decimal"/>
      <w:pStyle w:val="ListNumber"/>
      <w:lvlText w:val="%1."/>
      <w:lvlJc w:val="left"/>
      <w:pPr>
        <w:tabs>
          <w:tab w:val="num" w:pos="360"/>
        </w:tabs>
        <w:ind w:left="360" w:hanging="360"/>
      </w:pPr>
      <w:rPr>
        <w:rFonts w:hint="default"/>
      </w:rPr>
    </w:lvl>
    <w:lvl w:ilvl="1">
      <w:start w:val="1"/>
      <w:numFmt w:val="upperLetter"/>
      <w:pStyle w:val="ListNumber2"/>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241D1D87"/>
    <w:multiLevelType w:val="multilevel"/>
    <w:tmpl w:val="0C78A7AC"/>
    <w:name w:val="NTG Table Bullet List32"/>
    <w:numStyleLink w:val="NTGTableList"/>
  </w:abstractNum>
  <w:abstractNum w:abstractNumId="14" w15:restartNumberingAfterBreak="0">
    <w:nsid w:val="24E93944"/>
    <w:multiLevelType w:val="multilevel"/>
    <w:tmpl w:val="BD7A8414"/>
    <w:styleLink w:val="NTGStandardList"/>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5" w15:restartNumberingAfterBreak="0">
    <w:nsid w:val="26345893"/>
    <w:multiLevelType w:val="multilevel"/>
    <w:tmpl w:val="4E6AC8F6"/>
    <w:name w:val="NTG Table Bullet List3322222222"/>
    <w:numStyleLink w:val="NTGStandardNumList"/>
  </w:abstractNum>
  <w:abstractNum w:abstractNumId="16" w15:restartNumberingAfterBreak="0">
    <w:nsid w:val="26357D50"/>
    <w:multiLevelType w:val="multilevel"/>
    <w:tmpl w:val="EC8A2C9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2EF077BC"/>
    <w:multiLevelType w:val="multilevel"/>
    <w:tmpl w:val="0C78A7AC"/>
    <w:name w:val="NTG Table Bullet List33222222222222222222"/>
    <w:numStyleLink w:val="NTGTableList"/>
  </w:abstractNum>
  <w:abstractNum w:abstractNumId="18" w15:restartNumberingAfterBreak="0">
    <w:nsid w:val="33AC0BD5"/>
    <w:multiLevelType w:val="multilevel"/>
    <w:tmpl w:val="39746A98"/>
    <w:name w:val="NTG Table Bullet List322232"/>
    <w:styleLink w:val="NTGTableNumList"/>
    <w:lvl w:ilvl="0">
      <w:start w:val="1"/>
      <w:numFmt w:val="decimal"/>
      <w:pStyle w:val="NTGTableNumList1"/>
      <w:lvlText w:val="%1."/>
      <w:lvlJc w:val="left"/>
      <w:pPr>
        <w:ind w:left="284" w:hanging="284"/>
      </w:pPr>
      <w:rPr>
        <w:rFonts w:hint="default"/>
      </w:rPr>
    </w:lvl>
    <w:lvl w:ilvl="1">
      <w:start w:val="1"/>
      <w:numFmt w:val="lowerLetter"/>
      <w:pStyle w:val="NTGTableNumList2"/>
      <w:lvlText w:val="%2."/>
      <w:lvlJc w:val="left"/>
      <w:pPr>
        <w:ind w:left="567" w:hanging="283"/>
      </w:pPr>
      <w:rPr>
        <w:rFonts w:hint="default"/>
      </w:rPr>
    </w:lvl>
    <w:lvl w:ilvl="2">
      <w:start w:val="1"/>
      <w:numFmt w:val="lowerRoman"/>
      <w:pStyle w:val="NTGTableNumList3"/>
      <w:lvlText w:val="%3."/>
      <w:lvlJc w:val="left"/>
      <w:pPr>
        <w:ind w:left="851" w:hanging="284"/>
      </w:pPr>
      <w:rPr>
        <w:rFonts w:hint="default"/>
      </w:rPr>
    </w:lvl>
    <w:lvl w:ilvl="3">
      <w:start w:val="1"/>
      <w:numFmt w:val="decimal"/>
      <w:pStyle w:val="NTGTableNumList4"/>
      <w:lvlText w:val="(%4)"/>
      <w:lvlJc w:val="left"/>
      <w:pPr>
        <w:ind w:left="1134" w:hanging="283"/>
      </w:pPr>
      <w:rPr>
        <w:rFonts w:hint="default"/>
      </w:rPr>
    </w:lvl>
    <w:lvl w:ilvl="4">
      <w:start w:val="1"/>
      <w:numFmt w:val="lowerLetter"/>
      <w:pStyle w:val="NTGTableNumList5"/>
      <w:lvlText w:val="(%5)"/>
      <w:lvlJc w:val="left"/>
      <w:pPr>
        <w:ind w:left="1418" w:hanging="284"/>
      </w:pPr>
      <w:rPr>
        <w:rFonts w:hint="default"/>
      </w:rPr>
    </w:lvl>
    <w:lvl w:ilvl="5">
      <w:start w:val="1"/>
      <w:numFmt w:val="lowerRoman"/>
      <w:pStyle w:val="NTGTableNumList6"/>
      <w:lvlText w:val="(%6)"/>
      <w:lvlJc w:val="left"/>
      <w:pPr>
        <w:ind w:left="1701" w:hanging="283"/>
      </w:pPr>
      <w:rPr>
        <w:rFonts w:hint="default"/>
      </w:rPr>
    </w:lvl>
    <w:lvl w:ilvl="6">
      <w:start w:val="1"/>
      <w:numFmt w:val="decimal"/>
      <w:pStyle w:val="NTGTableNumList7"/>
      <w:lvlText w:val="%7."/>
      <w:lvlJc w:val="left"/>
      <w:pPr>
        <w:ind w:left="1985" w:hanging="284"/>
      </w:pPr>
      <w:rPr>
        <w:rFonts w:hint="default"/>
      </w:rPr>
    </w:lvl>
    <w:lvl w:ilvl="7">
      <w:start w:val="1"/>
      <w:numFmt w:val="lowerLetter"/>
      <w:pStyle w:val="NTGTableNumList8"/>
      <w:lvlText w:val="%8."/>
      <w:lvlJc w:val="left"/>
      <w:pPr>
        <w:ind w:left="2268" w:hanging="283"/>
      </w:pPr>
      <w:rPr>
        <w:rFonts w:hint="default"/>
      </w:rPr>
    </w:lvl>
    <w:lvl w:ilvl="8">
      <w:start w:val="1"/>
      <w:numFmt w:val="lowerRoman"/>
      <w:pStyle w:val="NTGTableNumList9"/>
      <w:lvlText w:val="%9."/>
      <w:lvlJc w:val="left"/>
      <w:pPr>
        <w:ind w:left="2552" w:hanging="284"/>
      </w:pPr>
      <w:rPr>
        <w:rFonts w:hint="default"/>
      </w:rPr>
    </w:lvl>
  </w:abstractNum>
  <w:abstractNum w:abstractNumId="19" w15:restartNumberingAfterBreak="0">
    <w:nsid w:val="418B29E3"/>
    <w:multiLevelType w:val="multilevel"/>
    <w:tmpl w:val="0C78A7AC"/>
    <w:name w:val="NTG Table Bullet List33222222222222"/>
    <w:numStyleLink w:val="NTGTableList"/>
  </w:abstractNum>
  <w:abstractNum w:abstractNumId="20" w15:restartNumberingAfterBreak="0">
    <w:nsid w:val="426F70CC"/>
    <w:multiLevelType w:val="multilevel"/>
    <w:tmpl w:val="39746A98"/>
    <w:name w:val="NTG Table Bullet List33222222222222222"/>
    <w:numStyleLink w:val="NTGTableNumList"/>
  </w:abstractNum>
  <w:abstractNum w:abstractNumId="21" w15:restartNumberingAfterBreak="0">
    <w:nsid w:val="4B8F005A"/>
    <w:multiLevelType w:val="multilevel"/>
    <w:tmpl w:val="4E6AC8F6"/>
    <w:numStyleLink w:val="NTGStandardNumList"/>
  </w:abstractNum>
  <w:abstractNum w:abstractNumId="22" w15:restartNumberingAfterBreak="0">
    <w:nsid w:val="4B9C702E"/>
    <w:multiLevelType w:val="multilevel"/>
    <w:tmpl w:val="BD7A8414"/>
    <w:name w:val="NTG Table Bullet List3222"/>
    <w:numStyleLink w:val="NTGStandardList"/>
  </w:abstractNum>
  <w:abstractNum w:abstractNumId="23" w15:restartNumberingAfterBreak="0">
    <w:nsid w:val="4D435BB4"/>
    <w:multiLevelType w:val="multilevel"/>
    <w:tmpl w:val="39746A98"/>
    <w:name w:val="NTG Table Bullet List3322"/>
    <w:numStyleLink w:val="NTGTableNumList"/>
  </w:abstractNum>
  <w:abstractNum w:abstractNumId="2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5" w15:restartNumberingAfterBreak="0">
    <w:nsid w:val="4D90555D"/>
    <w:multiLevelType w:val="multilevel"/>
    <w:tmpl w:val="4E6AC8F6"/>
    <w:styleLink w:val="NTGStandardNum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pStyle w:val="ListNumber3"/>
      <w:lvlText w:val="%3."/>
      <w:lvlJc w:val="left"/>
      <w:pPr>
        <w:tabs>
          <w:tab w:val="num" w:pos="714"/>
        </w:tabs>
        <w:ind w:left="1071" w:hanging="357"/>
      </w:pPr>
      <w:rPr>
        <w:rFonts w:hint="default"/>
      </w:rPr>
    </w:lvl>
    <w:lvl w:ilvl="3">
      <w:start w:val="1"/>
      <w:numFmt w:val="decimal"/>
      <w:pStyle w:val="ListNumber4"/>
      <w:lvlText w:val="(%4)"/>
      <w:lvlJc w:val="left"/>
      <w:pPr>
        <w:tabs>
          <w:tab w:val="num" w:pos="1072"/>
        </w:tabs>
        <w:ind w:left="1428" w:hanging="357"/>
      </w:pPr>
      <w:rPr>
        <w:rFonts w:hint="default"/>
      </w:rPr>
    </w:lvl>
    <w:lvl w:ilvl="4">
      <w:start w:val="1"/>
      <w:numFmt w:val="lowerLetter"/>
      <w:pStyle w:val="ListNumber5"/>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6" w15:restartNumberingAfterBreak="0">
    <w:nsid w:val="4E002A10"/>
    <w:multiLevelType w:val="multilevel"/>
    <w:tmpl w:val="39746A98"/>
    <w:name w:val="NTG Table Bullet List332222222"/>
    <w:numStyleLink w:val="NTGTableNumList"/>
  </w:abstractNum>
  <w:abstractNum w:abstractNumId="27" w15:restartNumberingAfterBreak="0">
    <w:nsid w:val="4E597CFE"/>
    <w:multiLevelType w:val="multilevel"/>
    <w:tmpl w:val="39746A98"/>
    <w:name w:val="NTG Table Bullet List33222222222"/>
    <w:numStyleLink w:val="NTGTableNumList"/>
  </w:abstractNum>
  <w:abstractNum w:abstractNumId="28"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9" w15:restartNumberingAfterBreak="0">
    <w:nsid w:val="573B315C"/>
    <w:multiLevelType w:val="multilevel"/>
    <w:tmpl w:val="39746A98"/>
    <w:name w:val="NTG Table Bullet List3222322"/>
    <w:numStyleLink w:val="NTGTableNumList"/>
  </w:abstractNum>
  <w:abstractNum w:abstractNumId="30" w15:restartNumberingAfterBreak="0">
    <w:nsid w:val="5B713B90"/>
    <w:multiLevelType w:val="multilevel"/>
    <w:tmpl w:val="4E6AC8F6"/>
    <w:numStyleLink w:val="NTGStandardNumList"/>
  </w:abstractNum>
  <w:abstractNum w:abstractNumId="31" w15:restartNumberingAfterBreak="0">
    <w:nsid w:val="5BCE2A25"/>
    <w:multiLevelType w:val="multilevel"/>
    <w:tmpl w:val="0C78A7AC"/>
    <w:name w:val="NTG Table Bullet List332222222222"/>
    <w:numStyleLink w:val="NTGTableList"/>
  </w:abstractNum>
  <w:abstractNum w:abstractNumId="32" w15:restartNumberingAfterBreak="0">
    <w:nsid w:val="5D042DCE"/>
    <w:multiLevelType w:val="multilevel"/>
    <w:tmpl w:val="4E6AC8F6"/>
    <w:numStyleLink w:val="NTGStandardNumList"/>
  </w:abstractNum>
  <w:abstractNum w:abstractNumId="33" w15:restartNumberingAfterBreak="0">
    <w:nsid w:val="606D0AB2"/>
    <w:multiLevelType w:val="multilevel"/>
    <w:tmpl w:val="4E6AC8F6"/>
    <w:numStyleLink w:val="NTGStandardNumList"/>
  </w:abstractNum>
  <w:abstractNum w:abstractNumId="34" w15:restartNumberingAfterBreak="0">
    <w:nsid w:val="61AD07BD"/>
    <w:multiLevelType w:val="multilevel"/>
    <w:tmpl w:val="4E6AC8F6"/>
    <w:numStyleLink w:val="NTGStandardNumList"/>
  </w:abstractNum>
  <w:abstractNum w:abstractNumId="35" w15:restartNumberingAfterBreak="0">
    <w:nsid w:val="65D566F7"/>
    <w:multiLevelType w:val="multilevel"/>
    <w:tmpl w:val="39746A98"/>
    <w:name w:val="NTG Table Bullet List3322222222222222"/>
    <w:numStyleLink w:val="NTGTableNumList"/>
  </w:abstractNum>
  <w:abstractNum w:abstractNumId="36" w15:restartNumberingAfterBreak="0">
    <w:nsid w:val="6CC62A3C"/>
    <w:multiLevelType w:val="multilevel"/>
    <w:tmpl w:val="39746A98"/>
    <w:name w:val="NTG Table Bullet List33222"/>
    <w:numStyleLink w:val="NTGTableNumList"/>
  </w:abstractNum>
  <w:abstractNum w:abstractNumId="37" w15:restartNumberingAfterBreak="0">
    <w:nsid w:val="70105C45"/>
    <w:multiLevelType w:val="multilevel"/>
    <w:tmpl w:val="39746A98"/>
    <w:name w:val="NTG Table Bullet List3322222222222"/>
    <w:numStyleLink w:val="NTGTableNumList"/>
  </w:abstractNum>
  <w:abstractNum w:abstractNumId="38" w15:restartNumberingAfterBreak="0">
    <w:nsid w:val="7453664D"/>
    <w:multiLevelType w:val="multilevel"/>
    <w:tmpl w:val="0C78A7AC"/>
    <w:name w:val="NTG Table Bullet List3322222222222222222"/>
    <w:numStyleLink w:val="NTGTableList"/>
  </w:abstractNum>
  <w:abstractNum w:abstractNumId="39"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14"/>
  </w:num>
  <w:num w:numId="2">
    <w:abstractNumId w:val="25"/>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33"/>
  </w:num>
  <w:num w:numId="8">
    <w:abstractNumId w:val="39"/>
  </w:num>
  <w:num w:numId="9">
    <w:abstractNumId w:val="1"/>
  </w:num>
  <w:num w:numId="10">
    <w:abstractNumId w:val="18"/>
  </w:num>
  <w:num w:numId="11">
    <w:abstractNumId w:val="15"/>
  </w:num>
  <w:num w:numId="12">
    <w:abstractNumId w:val="20"/>
  </w:num>
  <w:num w:numId="13">
    <w:abstractNumId w:val="7"/>
  </w:num>
  <w:num w:numId="14">
    <w:abstractNumId w:val="17"/>
  </w:num>
  <w:num w:numId="15">
    <w:abstractNumId w:val="15"/>
  </w:num>
  <w:num w:numId="16">
    <w:abstractNumId w:val="0"/>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 w:ilvl="0">
        <w:start w:val="1"/>
        <w:numFmt w:val="decimal"/>
        <w:pStyle w:val="ListNumber"/>
        <w:lvlText w:val="%1."/>
        <w:lvlJc w:val="left"/>
        <w:pPr>
          <w:tabs>
            <w:tab w:val="num" w:pos="425"/>
          </w:tabs>
          <w:ind w:left="425" w:hanging="425"/>
        </w:pPr>
        <w:rPr>
          <w:rFonts w:hint="default"/>
        </w:rPr>
      </w:lvl>
    </w:lvlOverride>
    <w:lvlOverride w:ilvl="1">
      <w:lvl w:ilvl="1">
        <w:start w:val="1"/>
        <w:numFmt w:val="decimal"/>
        <w:lvlRestart w:val="0"/>
        <w:pStyle w:val="ListNumber2"/>
        <w:lvlText w:val="(%2)"/>
        <w:lvlJc w:val="left"/>
        <w:pPr>
          <w:tabs>
            <w:tab w:val="num" w:pos="851"/>
          </w:tabs>
          <w:ind w:left="851" w:hanging="426"/>
        </w:pPr>
        <w:rPr>
          <w:rFonts w:hint="default"/>
        </w:rPr>
      </w:lvl>
    </w:lvlOverride>
    <w:lvlOverride w:ilvl="2">
      <w:lvl w:ilvl="2">
        <w:start w:val="1"/>
        <w:numFmt w:val="lowerLetter"/>
        <w:lvlRestart w:val="0"/>
        <w:lvlText w:val="(%3)"/>
        <w:lvlJc w:val="left"/>
        <w:pPr>
          <w:tabs>
            <w:tab w:val="num" w:pos="1276"/>
          </w:tabs>
          <w:ind w:left="1276" w:hanging="425"/>
        </w:pPr>
        <w:rPr>
          <w:rFonts w:hint="default"/>
        </w:rPr>
      </w:lvl>
    </w:lvlOverride>
    <w:lvlOverride w:ilvl="3">
      <w:lvl w:ilvl="3">
        <w:start w:val="1"/>
        <w:numFmt w:val="lowerRoman"/>
        <w:lvlRestart w:val="0"/>
        <w:lvlText w:val="(%4)"/>
        <w:lvlJc w:val="left"/>
        <w:pPr>
          <w:tabs>
            <w:tab w:val="num" w:pos="1701"/>
          </w:tabs>
          <w:ind w:left="1701" w:hanging="425"/>
        </w:pPr>
        <w:rPr>
          <w:rFonts w:hint="default"/>
        </w:rPr>
      </w:lvl>
    </w:lvlOverride>
    <w:lvlOverride w:ilvl="4">
      <w:lvl w:ilvl="4">
        <w:start w:val="1"/>
        <w:numFmt w:val="none"/>
        <w:lvlRestart w:val="0"/>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19">
    <w:abstractNumId w:val="39"/>
  </w:num>
  <w:num w:numId="20">
    <w:abstractNumId w:val="39"/>
  </w:num>
  <w:num w:numId="21">
    <w:abstractNumId w:val="39"/>
  </w:num>
  <w:num w:numId="22">
    <w:abstractNumId w:val="39"/>
  </w:num>
  <w:num w:numId="23">
    <w:abstractNumId w:val="39"/>
  </w:num>
  <w:num w:numId="24">
    <w:abstractNumId w:val="39"/>
  </w:num>
  <w:num w:numId="25">
    <w:abstractNumId w:val="39"/>
  </w:num>
  <w:num w:numId="26">
    <w:abstractNumId w:val="39"/>
  </w:num>
  <w:num w:numId="27">
    <w:abstractNumId w:val="39"/>
  </w:num>
  <w:num w:numId="28">
    <w:abstractNumId w:val="39"/>
  </w:num>
  <w:num w:numId="29">
    <w:abstractNumId w:val="12"/>
  </w:num>
  <w:num w:numId="30">
    <w:abstractNumId w:val="16"/>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9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F5LM6auJMQnlBaILIYJIJgw3/P1f9VgboEfG4rPHVwHDBlOOOC9qbf4bxG9k0dkQyqZl6XI8J3YYijAD+tB3Hg==" w:salt="+k4UTs5ND/+/vjwXw/PNpA=="/>
  <w:defaultTabStop w:val="284"/>
  <w:defaultTableStyle w:val="NTGTable"/>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169"/>
    <w:rsid w:val="00001DDF"/>
    <w:rsid w:val="0000322D"/>
    <w:rsid w:val="00010665"/>
    <w:rsid w:val="00012159"/>
    <w:rsid w:val="00013A7A"/>
    <w:rsid w:val="00027DB8"/>
    <w:rsid w:val="00031A96"/>
    <w:rsid w:val="000379DD"/>
    <w:rsid w:val="00040BF3"/>
    <w:rsid w:val="00046028"/>
    <w:rsid w:val="00046C59"/>
    <w:rsid w:val="00047693"/>
    <w:rsid w:val="00051362"/>
    <w:rsid w:val="00051F45"/>
    <w:rsid w:val="0005329A"/>
    <w:rsid w:val="000555A2"/>
    <w:rsid w:val="00056DEF"/>
    <w:rsid w:val="00061775"/>
    <w:rsid w:val="00062959"/>
    <w:rsid w:val="000720BE"/>
    <w:rsid w:val="0007259C"/>
    <w:rsid w:val="00080202"/>
    <w:rsid w:val="00080DCD"/>
    <w:rsid w:val="00080E22"/>
    <w:rsid w:val="000840A3"/>
    <w:rsid w:val="00086A5F"/>
    <w:rsid w:val="000911EF"/>
    <w:rsid w:val="00095300"/>
    <w:rsid w:val="000962C5"/>
    <w:rsid w:val="000A1759"/>
    <w:rsid w:val="000A25E1"/>
    <w:rsid w:val="000A559C"/>
    <w:rsid w:val="000B29D7"/>
    <w:rsid w:val="000B2CA1"/>
    <w:rsid w:val="000B5F27"/>
    <w:rsid w:val="000B69C3"/>
    <w:rsid w:val="000C222D"/>
    <w:rsid w:val="000D1F29"/>
    <w:rsid w:val="000D3B9F"/>
    <w:rsid w:val="000F2710"/>
    <w:rsid w:val="000F2958"/>
    <w:rsid w:val="000F754E"/>
    <w:rsid w:val="00104E7F"/>
    <w:rsid w:val="001137EC"/>
    <w:rsid w:val="001152F5"/>
    <w:rsid w:val="00117743"/>
    <w:rsid w:val="00117F5B"/>
    <w:rsid w:val="00132658"/>
    <w:rsid w:val="00150DC0"/>
    <w:rsid w:val="001525A1"/>
    <w:rsid w:val="00156CD4"/>
    <w:rsid w:val="00164A3E"/>
    <w:rsid w:val="00173DFB"/>
    <w:rsid w:val="001777CE"/>
    <w:rsid w:val="00181620"/>
    <w:rsid w:val="00182722"/>
    <w:rsid w:val="00185743"/>
    <w:rsid w:val="001957AD"/>
    <w:rsid w:val="001A26C4"/>
    <w:rsid w:val="001A2B7F"/>
    <w:rsid w:val="001A3AFD"/>
    <w:rsid w:val="001A4242"/>
    <w:rsid w:val="001A496C"/>
    <w:rsid w:val="001B188F"/>
    <w:rsid w:val="001B2B6C"/>
    <w:rsid w:val="001D01C4"/>
    <w:rsid w:val="001D52B0"/>
    <w:rsid w:val="001D7CA4"/>
    <w:rsid w:val="001E057F"/>
    <w:rsid w:val="001E14EB"/>
    <w:rsid w:val="001E6675"/>
    <w:rsid w:val="001F59E6"/>
    <w:rsid w:val="00206936"/>
    <w:rsid w:val="00206C6F"/>
    <w:rsid w:val="00206FBD"/>
    <w:rsid w:val="00207746"/>
    <w:rsid w:val="00230031"/>
    <w:rsid w:val="00235988"/>
    <w:rsid w:val="00235EF0"/>
    <w:rsid w:val="00246C69"/>
    <w:rsid w:val="00247343"/>
    <w:rsid w:val="00247646"/>
    <w:rsid w:val="00251643"/>
    <w:rsid w:val="00255CF1"/>
    <w:rsid w:val="002649B2"/>
    <w:rsid w:val="00265C56"/>
    <w:rsid w:val="002716CD"/>
    <w:rsid w:val="00274D4B"/>
    <w:rsid w:val="002806F5"/>
    <w:rsid w:val="00281577"/>
    <w:rsid w:val="002926BC"/>
    <w:rsid w:val="00293A72"/>
    <w:rsid w:val="002A3087"/>
    <w:rsid w:val="002A30C3"/>
    <w:rsid w:val="002A7712"/>
    <w:rsid w:val="002B38F7"/>
    <w:rsid w:val="002B5591"/>
    <w:rsid w:val="002C1FE9"/>
    <w:rsid w:val="002C483D"/>
    <w:rsid w:val="002D3A57"/>
    <w:rsid w:val="002D7D05"/>
    <w:rsid w:val="002E20C8"/>
    <w:rsid w:val="002E4290"/>
    <w:rsid w:val="002E66A6"/>
    <w:rsid w:val="002F0DB1"/>
    <w:rsid w:val="002F2885"/>
    <w:rsid w:val="003037F9"/>
    <w:rsid w:val="0030583E"/>
    <w:rsid w:val="00307FE1"/>
    <w:rsid w:val="003120CD"/>
    <w:rsid w:val="00314CE8"/>
    <w:rsid w:val="00324DE5"/>
    <w:rsid w:val="003258E6"/>
    <w:rsid w:val="00332357"/>
    <w:rsid w:val="00342283"/>
    <w:rsid w:val="00343A87"/>
    <w:rsid w:val="00347FB6"/>
    <w:rsid w:val="003504FD"/>
    <w:rsid w:val="00350881"/>
    <w:rsid w:val="00353A36"/>
    <w:rsid w:val="00357D55"/>
    <w:rsid w:val="00363513"/>
    <w:rsid w:val="003657E5"/>
    <w:rsid w:val="0036589C"/>
    <w:rsid w:val="00365FE9"/>
    <w:rsid w:val="0037058F"/>
    <w:rsid w:val="00371312"/>
    <w:rsid w:val="00371DC7"/>
    <w:rsid w:val="00377B21"/>
    <w:rsid w:val="003811CE"/>
    <w:rsid w:val="0039480C"/>
    <w:rsid w:val="00394876"/>
    <w:rsid w:val="00394AAF"/>
    <w:rsid w:val="00394CE5"/>
    <w:rsid w:val="00395406"/>
    <w:rsid w:val="00397E80"/>
    <w:rsid w:val="003A2424"/>
    <w:rsid w:val="003A7EAC"/>
    <w:rsid w:val="003B67FD"/>
    <w:rsid w:val="003B6A61"/>
    <w:rsid w:val="003D42C0"/>
    <w:rsid w:val="003D5B29"/>
    <w:rsid w:val="003D6869"/>
    <w:rsid w:val="003D7818"/>
    <w:rsid w:val="003E2445"/>
    <w:rsid w:val="003E2C01"/>
    <w:rsid w:val="003E3BB2"/>
    <w:rsid w:val="003E773F"/>
    <w:rsid w:val="003F5B58"/>
    <w:rsid w:val="0040222A"/>
    <w:rsid w:val="004047BC"/>
    <w:rsid w:val="004049B8"/>
    <w:rsid w:val="004100F7"/>
    <w:rsid w:val="00414CB3"/>
    <w:rsid w:val="0041563D"/>
    <w:rsid w:val="00426E25"/>
    <w:rsid w:val="00427D9C"/>
    <w:rsid w:val="004301EA"/>
    <w:rsid w:val="004416E6"/>
    <w:rsid w:val="00443B6E"/>
    <w:rsid w:val="0045420A"/>
    <w:rsid w:val="004554D4"/>
    <w:rsid w:val="00461744"/>
    <w:rsid w:val="00466D96"/>
    <w:rsid w:val="00467747"/>
    <w:rsid w:val="00473C98"/>
    <w:rsid w:val="00482DF8"/>
    <w:rsid w:val="004864DE"/>
    <w:rsid w:val="00494BE5"/>
    <w:rsid w:val="0049513B"/>
    <w:rsid w:val="004A2538"/>
    <w:rsid w:val="004B0C15"/>
    <w:rsid w:val="004B35EA"/>
    <w:rsid w:val="004B69E4"/>
    <w:rsid w:val="004C6C39"/>
    <w:rsid w:val="004D075F"/>
    <w:rsid w:val="004D1B76"/>
    <w:rsid w:val="004D344E"/>
    <w:rsid w:val="004D4464"/>
    <w:rsid w:val="004E019E"/>
    <w:rsid w:val="004E06EC"/>
    <w:rsid w:val="004E2CB7"/>
    <w:rsid w:val="004E607C"/>
    <w:rsid w:val="004E6214"/>
    <w:rsid w:val="004F016A"/>
    <w:rsid w:val="004F2841"/>
    <w:rsid w:val="00500F94"/>
    <w:rsid w:val="00502FB3"/>
    <w:rsid w:val="005031EA"/>
    <w:rsid w:val="00503DE9"/>
    <w:rsid w:val="0050530C"/>
    <w:rsid w:val="00505DEA"/>
    <w:rsid w:val="00507782"/>
    <w:rsid w:val="00512A04"/>
    <w:rsid w:val="005249F5"/>
    <w:rsid w:val="005260F7"/>
    <w:rsid w:val="00543BD1"/>
    <w:rsid w:val="00552D2E"/>
    <w:rsid w:val="00556113"/>
    <w:rsid w:val="00564C12"/>
    <w:rsid w:val="005654B8"/>
    <w:rsid w:val="005762CC"/>
    <w:rsid w:val="00576DD6"/>
    <w:rsid w:val="00582D3D"/>
    <w:rsid w:val="0058778F"/>
    <w:rsid w:val="00594576"/>
    <w:rsid w:val="00595386"/>
    <w:rsid w:val="005A2BA5"/>
    <w:rsid w:val="005A4AC0"/>
    <w:rsid w:val="005A5FDF"/>
    <w:rsid w:val="005B0FB7"/>
    <w:rsid w:val="005B122A"/>
    <w:rsid w:val="005B5AC2"/>
    <w:rsid w:val="005B6F16"/>
    <w:rsid w:val="005C2833"/>
    <w:rsid w:val="005D0997"/>
    <w:rsid w:val="005E144D"/>
    <w:rsid w:val="005E1500"/>
    <w:rsid w:val="005E3A43"/>
    <w:rsid w:val="005F5072"/>
    <w:rsid w:val="00620675"/>
    <w:rsid w:val="00633A1F"/>
    <w:rsid w:val="006428CA"/>
    <w:rsid w:val="006433C3"/>
    <w:rsid w:val="00650F5B"/>
    <w:rsid w:val="006670D7"/>
    <w:rsid w:val="006719EA"/>
    <w:rsid w:val="00671F13"/>
    <w:rsid w:val="0067400A"/>
    <w:rsid w:val="006846EE"/>
    <w:rsid w:val="006847AD"/>
    <w:rsid w:val="0069114B"/>
    <w:rsid w:val="006A673C"/>
    <w:rsid w:val="006B05A3"/>
    <w:rsid w:val="006B36CF"/>
    <w:rsid w:val="006C238B"/>
    <w:rsid w:val="006C5124"/>
    <w:rsid w:val="006D5CBC"/>
    <w:rsid w:val="006D66F7"/>
    <w:rsid w:val="006F3FD0"/>
    <w:rsid w:val="007003A4"/>
    <w:rsid w:val="00705C9D"/>
    <w:rsid w:val="00705F13"/>
    <w:rsid w:val="00714F1D"/>
    <w:rsid w:val="00720016"/>
    <w:rsid w:val="00722DDB"/>
    <w:rsid w:val="00724728"/>
    <w:rsid w:val="00724A5F"/>
    <w:rsid w:val="00724F98"/>
    <w:rsid w:val="00730B9B"/>
    <w:rsid w:val="007332FF"/>
    <w:rsid w:val="007408F5"/>
    <w:rsid w:val="00741EAE"/>
    <w:rsid w:val="00745B60"/>
    <w:rsid w:val="00750BE2"/>
    <w:rsid w:val="00756AEE"/>
    <w:rsid w:val="0076190B"/>
    <w:rsid w:val="0076355D"/>
    <w:rsid w:val="00763A2D"/>
    <w:rsid w:val="0077289A"/>
    <w:rsid w:val="007728B8"/>
    <w:rsid w:val="007764A1"/>
    <w:rsid w:val="00777795"/>
    <w:rsid w:val="00783A57"/>
    <w:rsid w:val="00784C92"/>
    <w:rsid w:val="007859CD"/>
    <w:rsid w:val="00786881"/>
    <w:rsid w:val="00787FA6"/>
    <w:rsid w:val="007907E4"/>
    <w:rsid w:val="00796461"/>
    <w:rsid w:val="007A6A4F"/>
    <w:rsid w:val="007B03F5"/>
    <w:rsid w:val="007B5C09"/>
    <w:rsid w:val="007B5DA2"/>
    <w:rsid w:val="007C0966"/>
    <w:rsid w:val="007C19E7"/>
    <w:rsid w:val="007C55DF"/>
    <w:rsid w:val="007C5CFD"/>
    <w:rsid w:val="007C6D9F"/>
    <w:rsid w:val="007C788A"/>
    <w:rsid w:val="007D4893"/>
    <w:rsid w:val="007E70CF"/>
    <w:rsid w:val="007E74A4"/>
    <w:rsid w:val="007F236E"/>
    <w:rsid w:val="007F263F"/>
    <w:rsid w:val="007F4177"/>
    <w:rsid w:val="008069D9"/>
    <w:rsid w:val="0080766E"/>
    <w:rsid w:val="00811169"/>
    <w:rsid w:val="00815297"/>
    <w:rsid w:val="0081789E"/>
    <w:rsid w:val="00817BA1"/>
    <w:rsid w:val="00823022"/>
    <w:rsid w:val="0082634E"/>
    <w:rsid w:val="008313C4"/>
    <w:rsid w:val="00835434"/>
    <w:rsid w:val="008358C0"/>
    <w:rsid w:val="00842838"/>
    <w:rsid w:val="00854EC1"/>
    <w:rsid w:val="00855B96"/>
    <w:rsid w:val="0085797F"/>
    <w:rsid w:val="00861DC3"/>
    <w:rsid w:val="00867019"/>
    <w:rsid w:val="008735A9"/>
    <w:rsid w:val="00877D20"/>
    <w:rsid w:val="00881C48"/>
    <w:rsid w:val="00885B80"/>
    <w:rsid w:val="00885C30"/>
    <w:rsid w:val="00885E9B"/>
    <w:rsid w:val="00893C96"/>
    <w:rsid w:val="008A317D"/>
    <w:rsid w:val="008A7C12"/>
    <w:rsid w:val="008B3358"/>
    <w:rsid w:val="008B529E"/>
    <w:rsid w:val="008C17FB"/>
    <w:rsid w:val="008D57B8"/>
    <w:rsid w:val="008E03FC"/>
    <w:rsid w:val="008E11F4"/>
    <w:rsid w:val="008E510B"/>
    <w:rsid w:val="00902B13"/>
    <w:rsid w:val="00911941"/>
    <w:rsid w:val="00916708"/>
    <w:rsid w:val="00925F0F"/>
    <w:rsid w:val="00932F6B"/>
    <w:rsid w:val="00942F61"/>
    <w:rsid w:val="009468BC"/>
    <w:rsid w:val="009616DF"/>
    <w:rsid w:val="0096542F"/>
    <w:rsid w:val="00967FA7"/>
    <w:rsid w:val="00971645"/>
    <w:rsid w:val="00977919"/>
    <w:rsid w:val="009870FA"/>
    <w:rsid w:val="0099551D"/>
    <w:rsid w:val="009A5897"/>
    <w:rsid w:val="009A5F24"/>
    <w:rsid w:val="009B0B3E"/>
    <w:rsid w:val="009B1913"/>
    <w:rsid w:val="009B6657"/>
    <w:rsid w:val="009D0EB5"/>
    <w:rsid w:val="009D14F9"/>
    <w:rsid w:val="009D2B74"/>
    <w:rsid w:val="009E175D"/>
    <w:rsid w:val="009E3CC2"/>
    <w:rsid w:val="009E4E9B"/>
    <w:rsid w:val="009E7CBF"/>
    <w:rsid w:val="009F06BD"/>
    <w:rsid w:val="009F205A"/>
    <w:rsid w:val="009F2A4D"/>
    <w:rsid w:val="00A00828"/>
    <w:rsid w:val="00A01A1E"/>
    <w:rsid w:val="00A03290"/>
    <w:rsid w:val="00A07490"/>
    <w:rsid w:val="00A10655"/>
    <w:rsid w:val="00A15791"/>
    <w:rsid w:val="00A2096E"/>
    <w:rsid w:val="00A22C38"/>
    <w:rsid w:val="00A25193"/>
    <w:rsid w:val="00A31AE8"/>
    <w:rsid w:val="00A3739D"/>
    <w:rsid w:val="00A37DDA"/>
    <w:rsid w:val="00A418D5"/>
    <w:rsid w:val="00A6456C"/>
    <w:rsid w:val="00A84366"/>
    <w:rsid w:val="00A925EC"/>
    <w:rsid w:val="00A929AA"/>
    <w:rsid w:val="00A92B6B"/>
    <w:rsid w:val="00AA541E"/>
    <w:rsid w:val="00AD0DA4"/>
    <w:rsid w:val="00AD40A3"/>
    <w:rsid w:val="00AD4169"/>
    <w:rsid w:val="00AE1E41"/>
    <w:rsid w:val="00AE25C6"/>
    <w:rsid w:val="00AE306C"/>
    <w:rsid w:val="00AF0180"/>
    <w:rsid w:val="00AF3019"/>
    <w:rsid w:val="00B02EF1"/>
    <w:rsid w:val="00B050AF"/>
    <w:rsid w:val="00B05A70"/>
    <w:rsid w:val="00B07C97"/>
    <w:rsid w:val="00B15754"/>
    <w:rsid w:val="00B2046E"/>
    <w:rsid w:val="00B20E8B"/>
    <w:rsid w:val="00B20EFF"/>
    <w:rsid w:val="00B24CB6"/>
    <w:rsid w:val="00B257E1"/>
    <w:rsid w:val="00B258D9"/>
    <w:rsid w:val="00B26DFC"/>
    <w:rsid w:val="00B32B1B"/>
    <w:rsid w:val="00B343CC"/>
    <w:rsid w:val="00B5084A"/>
    <w:rsid w:val="00B614F7"/>
    <w:rsid w:val="00B61B26"/>
    <w:rsid w:val="00B675B2"/>
    <w:rsid w:val="00B70A37"/>
    <w:rsid w:val="00B769EA"/>
    <w:rsid w:val="00B81261"/>
    <w:rsid w:val="00B8223E"/>
    <w:rsid w:val="00B832AE"/>
    <w:rsid w:val="00B86678"/>
    <w:rsid w:val="00B90BA4"/>
    <w:rsid w:val="00B92F9B"/>
    <w:rsid w:val="00B941B3"/>
    <w:rsid w:val="00B96513"/>
    <w:rsid w:val="00B97A70"/>
    <w:rsid w:val="00BA09CA"/>
    <w:rsid w:val="00BA1D47"/>
    <w:rsid w:val="00BA66F0"/>
    <w:rsid w:val="00BB2239"/>
    <w:rsid w:val="00BB2AE7"/>
    <w:rsid w:val="00BB6464"/>
    <w:rsid w:val="00BC1BB8"/>
    <w:rsid w:val="00BC3B3F"/>
    <w:rsid w:val="00BD7FE1"/>
    <w:rsid w:val="00BE37CA"/>
    <w:rsid w:val="00BE6144"/>
    <w:rsid w:val="00BE635A"/>
    <w:rsid w:val="00BF2ABB"/>
    <w:rsid w:val="00BF5099"/>
    <w:rsid w:val="00BF52E6"/>
    <w:rsid w:val="00C07FA5"/>
    <w:rsid w:val="00C10F10"/>
    <w:rsid w:val="00C15D4D"/>
    <w:rsid w:val="00C175DC"/>
    <w:rsid w:val="00C30171"/>
    <w:rsid w:val="00C309D8"/>
    <w:rsid w:val="00C31137"/>
    <w:rsid w:val="00C56F27"/>
    <w:rsid w:val="00C60417"/>
    <w:rsid w:val="00C61AFA"/>
    <w:rsid w:val="00C62099"/>
    <w:rsid w:val="00C64EA3"/>
    <w:rsid w:val="00C72867"/>
    <w:rsid w:val="00C75E81"/>
    <w:rsid w:val="00C81AB6"/>
    <w:rsid w:val="00C82F23"/>
    <w:rsid w:val="00C86609"/>
    <w:rsid w:val="00C92B4C"/>
    <w:rsid w:val="00C954F6"/>
    <w:rsid w:val="00CA09C9"/>
    <w:rsid w:val="00CA6BC5"/>
    <w:rsid w:val="00CC4B11"/>
    <w:rsid w:val="00CC61CD"/>
    <w:rsid w:val="00CD5011"/>
    <w:rsid w:val="00CE46CB"/>
    <w:rsid w:val="00CE5E00"/>
    <w:rsid w:val="00CE640F"/>
    <w:rsid w:val="00CF540E"/>
    <w:rsid w:val="00D00FAA"/>
    <w:rsid w:val="00D02F07"/>
    <w:rsid w:val="00D10D17"/>
    <w:rsid w:val="00D24248"/>
    <w:rsid w:val="00D275E8"/>
    <w:rsid w:val="00D36A49"/>
    <w:rsid w:val="00D517C6"/>
    <w:rsid w:val="00D547E3"/>
    <w:rsid w:val="00D54AA8"/>
    <w:rsid w:val="00D56E9C"/>
    <w:rsid w:val="00D57D78"/>
    <w:rsid w:val="00D63413"/>
    <w:rsid w:val="00D65365"/>
    <w:rsid w:val="00D71D84"/>
    <w:rsid w:val="00D72464"/>
    <w:rsid w:val="00D768EB"/>
    <w:rsid w:val="00D82D1E"/>
    <w:rsid w:val="00D832D9"/>
    <w:rsid w:val="00D90F00"/>
    <w:rsid w:val="00D95121"/>
    <w:rsid w:val="00D975C0"/>
    <w:rsid w:val="00DA5285"/>
    <w:rsid w:val="00DB191D"/>
    <w:rsid w:val="00DB4F91"/>
    <w:rsid w:val="00DB63EA"/>
    <w:rsid w:val="00DC3117"/>
    <w:rsid w:val="00DC5DD9"/>
    <w:rsid w:val="00DC6D2D"/>
    <w:rsid w:val="00DD3B4D"/>
    <w:rsid w:val="00DE33B5"/>
    <w:rsid w:val="00DE5E18"/>
    <w:rsid w:val="00DE6277"/>
    <w:rsid w:val="00DF0487"/>
    <w:rsid w:val="00DF5EA4"/>
    <w:rsid w:val="00E02681"/>
    <w:rsid w:val="00E02792"/>
    <w:rsid w:val="00E034D8"/>
    <w:rsid w:val="00E03933"/>
    <w:rsid w:val="00E04CC0"/>
    <w:rsid w:val="00E15816"/>
    <w:rsid w:val="00E160D5"/>
    <w:rsid w:val="00E16B3D"/>
    <w:rsid w:val="00E26E0C"/>
    <w:rsid w:val="00E30556"/>
    <w:rsid w:val="00E30981"/>
    <w:rsid w:val="00E33136"/>
    <w:rsid w:val="00E34D7C"/>
    <w:rsid w:val="00E3723D"/>
    <w:rsid w:val="00E44C89"/>
    <w:rsid w:val="00E61BA2"/>
    <w:rsid w:val="00E6403F"/>
    <w:rsid w:val="00E80D55"/>
    <w:rsid w:val="00E84C5A"/>
    <w:rsid w:val="00E861DB"/>
    <w:rsid w:val="00E93406"/>
    <w:rsid w:val="00E956C5"/>
    <w:rsid w:val="00E95C39"/>
    <w:rsid w:val="00EA1B11"/>
    <w:rsid w:val="00EA2C39"/>
    <w:rsid w:val="00EB0A96"/>
    <w:rsid w:val="00EB60EC"/>
    <w:rsid w:val="00EB77F9"/>
    <w:rsid w:val="00EC5769"/>
    <w:rsid w:val="00EC7D00"/>
    <w:rsid w:val="00ED0304"/>
    <w:rsid w:val="00ED566E"/>
    <w:rsid w:val="00EE18E9"/>
    <w:rsid w:val="00EE38FA"/>
    <w:rsid w:val="00EE3E2C"/>
    <w:rsid w:val="00EE5D23"/>
    <w:rsid w:val="00EF3CA4"/>
    <w:rsid w:val="00EF65D5"/>
    <w:rsid w:val="00F014DA"/>
    <w:rsid w:val="00F24EB2"/>
    <w:rsid w:val="00F52990"/>
    <w:rsid w:val="00F60EFF"/>
    <w:rsid w:val="00F67407"/>
    <w:rsid w:val="00F725EE"/>
    <w:rsid w:val="00F879B3"/>
    <w:rsid w:val="00F94398"/>
    <w:rsid w:val="00FA4CCE"/>
    <w:rsid w:val="00FA6695"/>
    <w:rsid w:val="00FB2B56"/>
    <w:rsid w:val="00FB4AC3"/>
    <w:rsid w:val="00FC12BF"/>
    <w:rsid w:val="00FD3E6F"/>
    <w:rsid w:val="00FD51B9"/>
    <w:rsid w:val="00FE2A39"/>
    <w:rsid w:val="00FE7BF4"/>
    <w:rsid w:val="00FF0818"/>
    <w:rsid w:val="00FF2023"/>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679284"/>
  <w15:docId w15:val="{A8252137-6A5C-446E-BFBA-68EB03245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01A1E"/>
  </w:style>
  <w:style w:type="paragraph" w:styleId="Heading1">
    <w:name w:val="heading 1"/>
    <w:basedOn w:val="Normal"/>
    <w:next w:val="Normal"/>
    <w:link w:val="Heading1Char"/>
    <w:uiPriority w:val="1"/>
    <w:qFormat/>
    <w:rsid w:val="00246C69"/>
    <w:pPr>
      <w:keepNext/>
      <w:keepLines/>
      <w:spacing w:before="240"/>
      <w:outlineLvl w:val="0"/>
    </w:pPr>
    <w:rPr>
      <w:rFonts w:eastAsiaTheme="majorEastAsia" w:cs="Arial"/>
      <w:b/>
      <w:bCs/>
      <w:kern w:val="32"/>
      <w:sz w:val="32"/>
      <w:szCs w:val="32"/>
    </w:rPr>
  </w:style>
  <w:style w:type="paragraph" w:styleId="Heading2">
    <w:name w:val="heading 2"/>
    <w:basedOn w:val="Normal"/>
    <w:next w:val="Normal"/>
    <w:link w:val="Heading2Char"/>
    <w:uiPriority w:val="1"/>
    <w:qFormat/>
    <w:rsid w:val="00246C69"/>
    <w:pPr>
      <w:keepNext/>
      <w:keepLines/>
      <w:spacing w:before="240"/>
      <w:outlineLvl w:val="1"/>
    </w:pPr>
    <w:rPr>
      <w:rFonts w:eastAsiaTheme="majorEastAsia" w:cstheme="majorBidi"/>
      <w:b/>
      <w:bCs/>
      <w:iCs/>
      <w:color w:val="606060"/>
      <w:sz w:val="28"/>
      <w:szCs w:val="28"/>
    </w:rPr>
  </w:style>
  <w:style w:type="paragraph" w:styleId="Heading3">
    <w:name w:val="heading 3"/>
    <w:basedOn w:val="Normal"/>
    <w:next w:val="Normal"/>
    <w:link w:val="Heading3Char"/>
    <w:uiPriority w:val="1"/>
    <w:qFormat/>
    <w:rsid w:val="009A5F24"/>
    <w:pPr>
      <w:keepNext/>
      <w:keepLines/>
      <w:numPr>
        <w:ilvl w:val="2"/>
        <w:numId w:val="8"/>
      </w:numPr>
      <w:spacing w:before="240"/>
      <w:outlineLvl w:val="2"/>
    </w:pPr>
    <w:rPr>
      <w:rFonts w:cs="Arial"/>
      <w:b/>
      <w:bCs/>
      <w:sz w:val="24"/>
      <w:szCs w:val="26"/>
    </w:rPr>
  </w:style>
  <w:style w:type="paragraph" w:styleId="Heading4">
    <w:name w:val="heading 4"/>
    <w:basedOn w:val="Normal"/>
    <w:next w:val="Normal"/>
    <w:link w:val="Heading4Char"/>
    <w:uiPriority w:val="1"/>
    <w:qFormat/>
    <w:rsid w:val="009A5F24"/>
    <w:pPr>
      <w:keepNext/>
      <w:keepLines/>
      <w:numPr>
        <w:ilvl w:val="3"/>
        <w:numId w:val="8"/>
      </w:numPr>
      <w:spacing w:before="240"/>
      <w:outlineLvl w:val="3"/>
    </w:pPr>
    <w:rPr>
      <w:rFonts w:eastAsiaTheme="majorEastAsia" w:cstheme="majorBidi"/>
      <w:b/>
      <w:bCs/>
      <w:iCs/>
      <w:color w:val="606060"/>
    </w:rPr>
  </w:style>
  <w:style w:type="paragraph" w:styleId="Heading5">
    <w:name w:val="heading 5"/>
    <w:basedOn w:val="Normal"/>
    <w:next w:val="Normal"/>
    <w:link w:val="Heading5Char"/>
    <w:uiPriority w:val="9"/>
    <w:rsid w:val="009A5F24"/>
    <w:pPr>
      <w:keepNext/>
      <w:keepLines/>
      <w:numPr>
        <w:ilvl w:val="4"/>
        <w:numId w:val="8"/>
      </w:numPr>
      <w:outlineLvl w:val="4"/>
    </w:pPr>
    <w:rPr>
      <w:b/>
      <w:color w:val="000000" w:themeColor="text1"/>
    </w:rPr>
  </w:style>
  <w:style w:type="paragraph" w:styleId="Heading6">
    <w:name w:val="heading 6"/>
    <w:basedOn w:val="Normal"/>
    <w:next w:val="Normal"/>
    <w:link w:val="Heading6Char"/>
    <w:uiPriority w:val="9"/>
    <w:rsid w:val="009A5F24"/>
    <w:pPr>
      <w:keepNext/>
      <w:keepLines/>
      <w:numPr>
        <w:ilvl w:val="5"/>
        <w:numId w:val="8"/>
      </w:numPr>
      <w:outlineLvl w:val="5"/>
    </w:pPr>
    <w:rPr>
      <w:b/>
      <w:color w:val="606060"/>
    </w:rPr>
  </w:style>
  <w:style w:type="paragraph" w:styleId="Heading7">
    <w:name w:val="heading 7"/>
    <w:basedOn w:val="Normal"/>
    <w:next w:val="Normal"/>
    <w:link w:val="Heading7Char"/>
    <w:uiPriority w:val="9"/>
    <w:rsid w:val="009A5F24"/>
    <w:pPr>
      <w:keepNext/>
      <w:keepLines/>
      <w:numPr>
        <w:ilvl w:val="6"/>
        <w:numId w:val="8"/>
      </w:numPr>
      <w:outlineLvl w:val="6"/>
    </w:pPr>
    <w:rPr>
      <w:b/>
      <w:color w:val="000000" w:themeColor="text1"/>
    </w:rPr>
  </w:style>
  <w:style w:type="paragraph" w:styleId="Heading8">
    <w:name w:val="heading 8"/>
    <w:basedOn w:val="Normal"/>
    <w:next w:val="Normal"/>
    <w:link w:val="Heading8Char"/>
    <w:uiPriority w:val="9"/>
    <w:rsid w:val="009A5F24"/>
    <w:pPr>
      <w:keepNext/>
      <w:keepLines/>
      <w:numPr>
        <w:ilvl w:val="7"/>
        <w:numId w:val="8"/>
      </w:numPr>
      <w:outlineLvl w:val="7"/>
    </w:pPr>
    <w:rPr>
      <w:b/>
      <w:color w:val="606060"/>
    </w:rPr>
  </w:style>
  <w:style w:type="paragraph" w:styleId="Heading9">
    <w:name w:val="heading 9"/>
    <w:basedOn w:val="Normal"/>
    <w:next w:val="Normal"/>
    <w:link w:val="Heading9Char"/>
    <w:uiPriority w:val="9"/>
    <w:rsid w:val="009A5F24"/>
    <w:pPr>
      <w:keepNext/>
      <w:keepLines/>
      <w:numPr>
        <w:ilvl w:val="8"/>
        <w:numId w:val="8"/>
      </w:numPr>
      <w:outlineLvl w:val="8"/>
    </w:pPr>
    <w:rPr>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46C69"/>
    <w:rPr>
      <w:rFonts w:eastAsiaTheme="majorEastAsia" w:cs="Arial"/>
      <w:b/>
      <w:bCs/>
      <w:kern w:val="32"/>
      <w:sz w:val="32"/>
      <w:szCs w:val="32"/>
    </w:rPr>
  </w:style>
  <w:style w:type="character" w:customStyle="1" w:styleId="Heading2Char">
    <w:name w:val="Heading 2 Char"/>
    <w:basedOn w:val="DefaultParagraphFont"/>
    <w:link w:val="Heading2"/>
    <w:uiPriority w:val="1"/>
    <w:rsid w:val="00246C69"/>
    <w:rPr>
      <w:rFonts w:eastAsiaTheme="majorEastAsia" w:cstheme="majorBidi"/>
      <w:b/>
      <w:bCs/>
      <w:iCs/>
      <w:color w:val="606060"/>
      <w:sz w:val="28"/>
      <w:szCs w:val="28"/>
    </w:rPr>
  </w:style>
  <w:style w:type="paragraph" w:styleId="Title">
    <w:name w:val="Title"/>
    <w:next w:val="Normal"/>
    <w:link w:val="TitleChar"/>
    <w:uiPriority w:val="10"/>
    <w:rsid w:val="00BF5099"/>
    <w:pPr>
      <w:spacing w:after="240"/>
    </w:pPr>
    <w:rPr>
      <w:rFonts w:ascii="Arial Black" w:eastAsia="Times New Roman" w:hAnsi="Arial Black" w:cs="Arial"/>
      <w:b/>
      <w:color w:val="CB6015"/>
      <w:sz w:val="36"/>
      <w:szCs w:val="36"/>
      <w:lang w:eastAsia="en-AU"/>
    </w:rPr>
  </w:style>
  <w:style w:type="character" w:customStyle="1" w:styleId="TitleChar">
    <w:name w:val="Title Char"/>
    <w:basedOn w:val="DefaultParagraphFont"/>
    <w:link w:val="Title"/>
    <w:uiPriority w:val="10"/>
    <w:rsid w:val="00BF5099"/>
    <w:rPr>
      <w:rFonts w:ascii="Arial Black" w:eastAsia="Times New Roman" w:hAnsi="Arial Black" w:cs="Arial"/>
      <w:b/>
      <w:color w:val="CB6015"/>
      <w:sz w:val="36"/>
      <w:szCs w:val="36"/>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1"/>
    <w:rsid w:val="009A5F24"/>
    <w:rPr>
      <w:rFonts w:cs="Arial"/>
      <w:b/>
      <w:bCs/>
      <w:sz w:val="24"/>
      <w:szCs w:val="26"/>
    </w:rPr>
  </w:style>
  <w:style w:type="paragraph" w:styleId="BlockText">
    <w:name w:val="Block Text"/>
    <w:basedOn w:val="Normal"/>
    <w:link w:val="BlockTextChar"/>
    <w:rsid w:val="00414CB3"/>
    <w:rPr>
      <w:rFonts w:eastAsiaTheme="minorEastAsia"/>
      <w:iCs/>
    </w:rPr>
  </w:style>
  <w:style w:type="paragraph" w:styleId="Header">
    <w:name w:val="header"/>
    <w:aliases w:val="NTG Page Header"/>
    <w:basedOn w:val="Normal"/>
    <w:next w:val="Normal"/>
    <w:link w:val="HeaderChar"/>
    <w:uiPriority w:val="11"/>
    <w:rsid w:val="005A4AC0"/>
    <w:pPr>
      <w:tabs>
        <w:tab w:val="center" w:pos="4513"/>
        <w:tab w:val="right" w:pos="9026"/>
      </w:tabs>
      <w:jc w:val="right"/>
    </w:pPr>
    <w:rPr>
      <w:b/>
    </w:rPr>
  </w:style>
  <w:style w:type="character" w:customStyle="1" w:styleId="HeaderChar">
    <w:name w:val="Header Char"/>
    <w:aliases w:val="NTG Page Header Char"/>
    <w:basedOn w:val="DefaultParagraphFont"/>
    <w:link w:val="Header"/>
    <w:uiPriority w:val="11"/>
    <w:rsid w:val="00595386"/>
    <w:rPr>
      <w:rFonts w:ascii="Arial" w:eastAsia="Times New Roman" w:hAnsi="Arial"/>
      <w:b/>
      <w:sz w:val="22"/>
      <w:lang w:eastAsia="en-AU"/>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character" w:customStyle="1" w:styleId="Heading4Char">
    <w:name w:val="Heading 4 Char"/>
    <w:basedOn w:val="DefaultParagraphFont"/>
    <w:link w:val="Heading4"/>
    <w:uiPriority w:val="1"/>
    <w:rsid w:val="009A5F24"/>
    <w:rPr>
      <w:rFonts w:eastAsiaTheme="majorEastAsia" w:cstheme="majorBidi"/>
      <w:b/>
      <w:bCs/>
      <w:iCs/>
      <w:color w:val="606060"/>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GFooter1items">
    <w:name w:val="NTG Footer 1 items"/>
    <w:basedOn w:val="Normal"/>
    <w:link w:val="NTGFooter1itemsChar"/>
    <w:uiPriority w:val="7"/>
    <w:rsid w:val="00705C9D"/>
    <w:pPr>
      <w:widowControl w:val="0"/>
      <w:tabs>
        <w:tab w:val="left" w:pos="1778"/>
        <w:tab w:val="right" w:pos="9026"/>
      </w:tabs>
      <w:spacing w:after="0"/>
    </w:pPr>
    <w:rPr>
      <w:rFonts w:cs="Arial"/>
      <w:sz w:val="20"/>
      <w:szCs w:val="16"/>
    </w:rPr>
  </w:style>
  <w:style w:type="paragraph" w:customStyle="1" w:styleId="NTGFooterDepartmentof">
    <w:name w:val="NTG Footer Department of"/>
    <w:link w:val="NTGFooterDepartmentofChar"/>
    <w:uiPriority w:val="7"/>
    <w:rsid w:val="00705C9D"/>
    <w:pPr>
      <w:widowControl w:val="0"/>
      <w:tabs>
        <w:tab w:val="right" w:pos="9026"/>
      </w:tabs>
    </w:pPr>
    <w:rPr>
      <w:rFonts w:cs="Arial"/>
      <w:caps/>
      <w:szCs w:val="16"/>
    </w:rPr>
  </w:style>
  <w:style w:type="paragraph" w:customStyle="1" w:styleId="NTGFooterDepartmentName">
    <w:name w:val="NTG Footer Department Name"/>
    <w:link w:val="NTGFooterDepartmentNameChar"/>
    <w:uiPriority w:val="7"/>
    <w:rsid w:val="00705C9D"/>
    <w:pPr>
      <w:widowControl w:val="0"/>
      <w:tabs>
        <w:tab w:val="right" w:pos="9026"/>
      </w:tabs>
    </w:pPr>
    <w:rPr>
      <w:rFonts w:ascii="Arial Black" w:hAnsi="Arial Black" w:cs="Arial"/>
      <w:caps/>
      <w:szCs w:val="16"/>
    </w:rPr>
  </w:style>
  <w:style w:type="character" w:customStyle="1" w:styleId="NTGFooter1itemsChar">
    <w:name w:val="NTG Footer 1 items Char"/>
    <w:basedOn w:val="DefaultParagraphFont"/>
    <w:link w:val="NTGFooter1items"/>
    <w:uiPriority w:val="7"/>
    <w:rsid w:val="00705C9D"/>
    <w:rPr>
      <w:rFonts w:ascii="Arial" w:hAnsi="Arial" w:cs="Arial"/>
      <w:szCs w:val="16"/>
    </w:rPr>
  </w:style>
  <w:style w:type="character" w:customStyle="1" w:styleId="NTGFooterDepartmentofChar">
    <w:name w:val="NTG Footer Department of Char"/>
    <w:basedOn w:val="DefaultParagraphFont"/>
    <w:link w:val="NTGFooterDepartmentof"/>
    <w:uiPriority w:val="7"/>
    <w:rsid w:val="00705C9D"/>
    <w:rPr>
      <w:rFonts w:ascii="Arial" w:hAnsi="Arial" w:cs="Arial"/>
      <w:caps/>
      <w:szCs w:val="16"/>
    </w:rPr>
  </w:style>
  <w:style w:type="character" w:customStyle="1" w:styleId="NTGFooterDepartmentNameChar">
    <w:name w:val="NTG Footer Department Name Char"/>
    <w:basedOn w:val="NTGFooterDepartmentofChar"/>
    <w:link w:val="NTGFooterDepartmentName"/>
    <w:uiPriority w:val="7"/>
    <w:rsid w:val="00595386"/>
    <w:rPr>
      <w:rFonts w:ascii="Arial Black" w:hAnsi="Arial Black" w:cs="Arial"/>
      <w:caps/>
      <w:szCs w:val="16"/>
    </w:rPr>
  </w:style>
  <w:style w:type="paragraph" w:customStyle="1" w:styleId="Appendix">
    <w:name w:val="Appendix"/>
    <w:basedOn w:val="Heading1"/>
    <w:next w:val="Normal"/>
    <w:uiPriority w:val="11"/>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paragraph" w:customStyle="1" w:styleId="NTGFooter2DateVersion">
    <w:name w:val="NTG Footer 2 Date &amp; Version"/>
    <w:basedOn w:val="NTGFooter2deptpagenum"/>
    <w:link w:val="NTGFooter2DateVersionChar"/>
    <w:uiPriority w:val="7"/>
    <w:rsid w:val="002926BC"/>
    <w:pPr>
      <w:spacing w:after="480"/>
    </w:pPr>
  </w:style>
  <w:style w:type="numbering" w:customStyle="1" w:styleId="NTGStandardList">
    <w:name w:val="NTG Standard List"/>
    <w:basedOn w:val="NoList"/>
    <w:rsid w:val="009F2A4D"/>
    <w:pPr>
      <w:numPr>
        <w:numId w:val="1"/>
      </w:numPr>
    </w:p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9A5F24"/>
    <w:rPr>
      <w:b/>
      <w:color w:val="000000" w:themeColor="text1"/>
    </w:rPr>
  </w:style>
  <w:style w:type="character" w:customStyle="1" w:styleId="Heading6Char">
    <w:name w:val="Heading 6 Char"/>
    <w:basedOn w:val="DefaultParagraphFont"/>
    <w:link w:val="Heading6"/>
    <w:uiPriority w:val="9"/>
    <w:rsid w:val="009A5F24"/>
    <w:rPr>
      <w:b/>
      <w:color w:val="606060"/>
    </w:rPr>
  </w:style>
  <w:style w:type="character" w:customStyle="1" w:styleId="Heading7Char">
    <w:name w:val="Heading 7 Char"/>
    <w:basedOn w:val="DefaultParagraphFont"/>
    <w:link w:val="Heading7"/>
    <w:uiPriority w:val="9"/>
    <w:rsid w:val="009A5F24"/>
    <w:rPr>
      <w:b/>
      <w:color w:val="000000" w:themeColor="text1"/>
    </w:rPr>
  </w:style>
  <w:style w:type="character" w:customStyle="1" w:styleId="Heading8Char">
    <w:name w:val="Heading 8 Char"/>
    <w:basedOn w:val="DefaultParagraphFont"/>
    <w:link w:val="Heading8"/>
    <w:uiPriority w:val="9"/>
    <w:rsid w:val="009A5F24"/>
    <w:rPr>
      <w:b/>
      <w:color w:val="606060"/>
    </w:rPr>
  </w:style>
  <w:style w:type="character" w:customStyle="1" w:styleId="Heading9Char">
    <w:name w:val="Heading 9 Char"/>
    <w:basedOn w:val="DefaultParagraphFont"/>
    <w:link w:val="Heading9"/>
    <w:uiPriority w:val="9"/>
    <w:rsid w:val="009A5F24"/>
    <w:rPr>
      <w:b/>
      <w:color w:val="000000" w:themeColor="text1"/>
    </w:rPr>
  </w:style>
  <w:style w:type="paragraph" w:customStyle="1" w:styleId="NTGFooter2deptpagenum">
    <w:name w:val="NTG Footer 2 dept &amp; page num"/>
    <w:basedOn w:val="Normal"/>
    <w:link w:val="NTGFooter2deptpagenumChar"/>
    <w:uiPriority w:val="7"/>
    <w:rsid w:val="002926BC"/>
    <w:pPr>
      <w:tabs>
        <w:tab w:val="right" w:pos="9639"/>
      </w:tabs>
      <w:spacing w:after="0"/>
    </w:pPr>
    <w:rPr>
      <w:sz w:val="20"/>
    </w:rPr>
  </w:style>
  <w:style w:type="character" w:customStyle="1" w:styleId="NTGFooter2deptpagenumChar">
    <w:name w:val="NTG Footer 2 dept &amp; page num Char"/>
    <w:basedOn w:val="DefaultParagraphFont"/>
    <w:link w:val="NTGFooter2deptpagenum"/>
    <w:uiPriority w:val="7"/>
    <w:rsid w:val="002926BC"/>
    <w:rPr>
      <w:rFonts w:ascii="Arial" w:eastAsia="Times New Roman" w:hAnsi="Arial"/>
      <w:lang w:eastAsia="en-AU"/>
    </w:rPr>
  </w:style>
  <w:style w:type="character" w:customStyle="1" w:styleId="NTGFooter2DateVersionChar">
    <w:name w:val="NTG Footer 2 Date &amp; Version Char"/>
    <w:basedOn w:val="NTGFooter2deptpagenumChar"/>
    <w:link w:val="NTGFooter2DateVersion"/>
    <w:uiPriority w:val="7"/>
    <w:rsid w:val="002926BC"/>
    <w:rPr>
      <w:rFonts w:ascii="Arial" w:eastAsia="Times New Roman" w:hAnsi="Arial"/>
      <w:lang w:eastAsia="en-AU"/>
    </w:rPr>
  </w:style>
  <w:style w:type="numbering" w:customStyle="1" w:styleId="NTGStandardNumList">
    <w:name w:val="NTG Standard Num List"/>
    <w:uiPriority w:val="99"/>
    <w:rsid w:val="007C6D9F"/>
    <w:pPr>
      <w:numPr>
        <w:numId w:val="2"/>
      </w:numPr>
    </w:pPr>
  </w:style>
  <w:style w:type="paragraph" w:styleId="ListNumber">
    <w:name w:val="List Number"/>
    <w:basedOn w:val="BlockText"/>
    <w:link w:val="ListNumberChar"/>
    <w:uiPriority w:val="99"/>
    <w:qFormat/>
    <w:rsid w:val="00246C69"/>
    <w:pPr>
      <w:numPr>
        <w:numId w:val="18"/>
      </w:numPr>
      <w:spacing w:after="120"/>
    </w:pPr>
    <w:rPr>
      <w:rFonts w:cs="Arial"/>
    </w:rPr>
  </w:style>
  <w:style w:type="paragraph" w:styleId="ListNumber2">
    <w:name w:val="List Number 2"/>
    <w:basedOn w:val="BlockText"/>
    <w:uiPriority w:val="99"/>
    <w:rsid w:val="00246C69"/>
    <w:pPr>
      <w:numPr>
        <w:ilvl w:val="1"/>
        <w:numId w:val="18"/>
      </w:numPr>
      <w:tabs>
        <w:tab w:val="num" w:pos="900"/>
      </w:tabs>
      <w:spacing w:after="120"/>
      <w:ind w:left="850" w:hanging="425"/>
    </w:pPr>
    <w:rPr>
      <w:rFonts w:cs="Arial"/>
    </w:rPr>
  </w:style>
  <w:style w:type="paragraph" w:styleId="ListNumber3">
    <w:name w:val="List Number 3"/>
    <w:basedOn w:val="Normal"/>
    <w:uiPriority w:val="99"/>
    <w:rsid w:val="00A22C38"/>
    <w:pPr>
      <w:numPr>
        <w:ilvl w:val="2"/>
        <w:numId w:val="11"/>
      </w:numPr>
      <w:spacing w:after="120"/>
    </w:pPr>
  </w:style>
  <w:style w:type="paragraph" w:styleId="ListNumber4">
    <w:name w:val="List Number 4"/>
    <w:basedOn w:val="Normal"/>
    <w:uiPriority w:val="99"/>
    <w:rsid w:val="00A22C38"/>
    <w:pPr>
      <w:numPr>
        <w:ilvl w:val="3"/>
        <w:numId w:val="11"/>
      </w:numPr>
      <w:spacing w:after="120"/>
    </w:pPr>
  </w:style>
  <w:style w:type="paragraph" w:styleId="ListNumber5">
    <w:name w:val="List Number 5"/>
    <w:basedOn w:val="Normal"/>
    <w:uiPriority w:val="99"/>
    <w:rsid w:val="00A22C38"/>
    <w:pPr>
      <w:numPr>
        <w:ilvl w:val="4"/>
        <w:numId w:val="11"/>
      </w:numPr>
      <w:spacing w:after="120"/>
    </w:pPr>
  </w:style>
  <w:style w:type="paragraph" w:styleId="ListBullet">
    <w:name w:val="List Bullet"/>
    <w:basedOn w:val="Normal"/>
    <w:uiPriority w:val="99"/>
    <w:rsid w:val="003B6A61"/>
    <w:pPr>
      <w:numPr>
        <w:numId w:val="13"/>
      </w:numPr>
      <w:spacing w:after="120"/>
    </w:pPr>
  </w:style>
  <w:style w:type="paragraph" w:styleId="ListBullet2">
    <w:name w:val="List Bullet 2"/>
    <w:basedOn w:val="Normal"/>
    <w:uiPriority w:val="99"/>
    <w:rsid w:val="006847AD"/>
    <w:pPr>
      <w:numPr>
        <w:ilvl w:val="1"/>
        <w:numId w:val="13"/>
      </w:numPr>
      <w:spacing w:after="120"/>
    </w:pPr>
  </w:style>
  <w:style w:type="paragraph" w:styleId="ListBullet3">
    <w:name w:val="List Bullet 3"/>
    <w:basedOn w:val="Normal"/>
    <w:uiPriority w:val="99"/>
    <w:rsid w:val="006847AD"/>
    <w:pPr>
      <w:numPr>
        <w:ilvl w:val="2"/>
        <w:numId w:val="13"/>
      </w:numPr>
      <w:spacing w:after="120"/>
    </w:pPr>
  </w:style>
  <w:style w:type="paragraph" w:styleId="ListBullet4">
    <w:name w:val="List Bullet 4"/>
    <w:basedOn w:val="Normal"/>
    <w:uiPriority w:val="99"/>
    <w:rsid w:val="006847AD"/>
    <w:pPr>
      <w:numPr>
        <w:ilvl w:val="3"/>
        <w:numId w:val="13"/>
      </w:numPr>
      <w:spacing w:after="120"/>
    </w:pPr>
  </w:style>
  <w:style w:type="paragraph" w:styleId="ListBullet5">
    <w:name w:val="List Bullet 5"/>
    <w:basedOn w:val="Normal"/>
    <w:uiPriority w:val="99"/>
    <w:rsid w:val="004E2CB7"/>
    <w:pPr>
      <w:numPr>
        <w:ilvl w:val="4"/>
        <w:numId w:val="13"/>
      </w:numPr>
    </w:pPr>
  </w:style>
  <w:style w:type="character" w:styleId="Hyperlink">
    <w:name w:val="Hyperlink"/>
    <w:basedOn w:val="DefaultParagraphFont"/>
    <w:uiPriority w:val="99"/>
    <w:rsid w:val="002F0DB1"/>
    <w:rPr>
      <w:color w:val="0000FF" w:themeColor="hyperlink"/>
      <w:u w:val="single"/>
    </w:rPr>
  </w:style>
  <w:style w:type="paragraph" w:styleId="TOCHeading">
    <w:name w:val="TOC Heading"/>
    <w:basedOn w:val="Heading1"/>
    <w:next w:val="Normal"/>
    <w:uiPriority w:val="39"/>
    <w:unhideWhenUsed/>
    <w:qFormat/>
    <w:rsid w:val="003B67FD"/>
    <w:pPr>
      <w:spacing w:before="480" w:after="0"/>
      <w:outlineLvl w:val="9"/>
    </w:pPr>
    <w:rPr>
      <w:kern w:val="0"/>
      <w:szCs w:val="28"/>
    </w:rPr>
  </w:style>
  <w:style w:type="paragraph" w:styleId="TOC1">
    <w:name w:val="toc 1"/>
    <w:basedOn w:val="Normal"/>
    <w:next w:val="Normal"/>
    <w:autoRedefine/>
    <w:uiPriority w:val="39"/>
    <w:unhideWhenUsed/>
    <w:rsid w:val="007859CD"/>
    <w:pPr>
      <w:spacing w:after="100"/>
    </w:pPr>
  </w:style>
  <w:style w:type="paragraph" w:styleId="TOC2">
    <w:name w:val="toc 2"/>
    <w:basedOn w:val="Normal"/>
    <w:next w:val="Normal"/>
    <w:autoRedefine/>
    <w:uiPriority w:val="39"/>
    <w:unhideWhenUsed/>
    <w:rsid w:val="007859CD"/>
    <w:pPr>
      <w:spacing w:after="100"/>
      <w:ind w:left="220"/>
    </w:pPr>
  </w:style>
  <w:style w:type="paragraph" w:styleId="TOC3">
    <w:name w:val="toc 3"/>
    <w:basedOn w:val="Normal"/>
    <w:next w:val="Normal"/>
    <w:autoRedefine/>
    <w:uiPriority w:val="39"/>
    <w:unhideWhenUsed/>
    <w:rsid w:val="007859CD"/>
    <w:pPr>
      <w:spacing w:after="100"/>
      <w:ind w:left="440"/>
    </w:pPr>
  </w:style>
  <w:style w:type="paragraph" w:customStyle="1" w:styleId="NTGTableBulletList1">
    <w:name w:val="NTG Table Bullet List 1"/>
    <w:semiHidden/>
    <w:qFormat/>
    <w:rsid w:val="002716CD"/>
    <w:pPr>
      <w:numPr>
        <w:numId w:val="14"/>
      </w:numPr>
      <w:spacing w:after="20"/>
    </w:pPr>
  </w:style>
  <w:style w:type="paragraph" w:customStyle="1" w:styleId="NTGTableBulletList2">
    <w:name w:val="NTG Table Bullet List 2"/>
    <w:basedOn w:val="NTGTableBulletList1"/>
    <w:semiHidden/>
    <w:qFormat/>
    <w:rsid w:val="002716CD"/>
    <w:pPr>
      <w:numPr>
        <w:ilvl w:val="1"/>
      </w:numPr>
    </w:pPr>
  </w:style>
  <w:style w:type="paragraph" w:customStyle="1" w:styleId="NTGTableBulletList3">
    <w:name w:val="NTG Table Bullet List 3"/>
    <w:basedOn w:val="NTGTableBulletList2"/>
    <w:semiHidden/>
    <w:qFormat/>
    <w:rsid w:val="002716CD"/>
    <w:pPr>
      <w:numPr>
        <w:ilvl w:val="2"/>
      </w:numPr>
    </w:pPr>
  </w:style>
  <w:style w:type="paragraph" w:customStyle="1" w:styleId="NTGTableBulletList4">
    <w:name w:val="NTG Table Bullet List 4"/>
    <w:basedOn w:val="NTGTableBulletList3"/>
    <w:semiHidden/>
    <w:qFormat/>
    <w:rsid w:val="002716CD"/>
    <w:pPr>
      <w:numPr>
        <w:ilvl w:val="3"/>
      </w:numPr>
    </w:pPr>
  </w:style>
  <w:style w:type="paragraph" w:customStyle="1" w:styleId="NTGTableBulletList5">
    <w:name w:val="NTG Table Bullet List 5"/>
    <w:basedOn w:val="NTGTableBulletList4"/>
    <w:semiHidden/>
    <w:qFormat/>
    <w:rsid w:val="002716CD"/>
    <w:pPr>
      <w:numPr>
        <w:ilvl w:val="4"/>
      </w:numPr>
    </w:pPr>
  </w:style>
  <w:style w:type="paragraph" w:customStyle="1" w:styleId="NTGTableBulletList6">
    <w:name w:val="NTG Table Bullet List 6"/>
    <w:basedOn w:val="NTGTableBulletList5"/>
    <w:semiHidden/>
    <w:qFormat/>
    <w:rsid w:val="001D7CA4"/>
    <w:pPr>
      <w:numPr>
        <w:ilvl w:val="5"/>
      </w:numPr>
    </w:pPr>
  </w:style>
  <w:style w:type="paragraph" w:customStyle="1" w:styleId="NTGTableBulletList7">
    <w:name w:val="NTG Table Bullet List 7"/>
    <w:basedOn w:val="NTGTableBulletList6"/>
    <w:semiHidden/>
    <w:qFormat/>
    <w:rsid w:val="002716CD"/>
    <w:pPr>
      <w:numPr>
        <w:ilvl w:val="6"/>
      </w:numPr>
    </w:pPr>
  </w:style>
  <w:style w:type="paragraph" w:customStyle="1" w:styleId="NTGTableBulletList8">
    <w:name w:val="NTG Table Bullet List 8"/>
    <w:basedOn w:val="NTGTableBulletList7"/>
    <w:semiHidden/>
    <w:qFormat/>
    <w:rsid w:val="002716CD"/>
    <w:pPr>
      <w:numPr>
        <w:ilvl w:val="7"/>
      </w:numPr>
    </w:pPr>
  </w:style>
  <w:style w:type="paragraph" w:customStyle="1" w:styleId="NTGTableBulletList9">
    <w:name w:val="NTG Table Bullet List 9"/>
    <w:basedOn w:val="NTGTableBulletList8"/>
    <w:semiHidden/>
    <w:qFormat/>
    <w:rsid w:val="002716CD"/>
    <w:pPr>
      <w:numPr>
        <w:ilvl w:val="8"/>
      </w:numPr>
    </w:pPr>
  </w:style>
  <w:style w:type="numbering" w:customStyle="1" w:styleId="NTGTableList">
    <w:name w:val="NTG Table List"/>
    <w:uiPriority w:val="99"/>
    <w:rsid w:val="002716CD"/>
    <w:pPr>
      <w:numPr>
        <w:numId w:val="9"/>
      </w:numPr>
    </w:pPr>
  </w:style>
  <w:style w:type="paragraph" w:customStyle="1" w:styleId="NTGTableNumList1">
    <w:name w:val="NTG Table Num List 1"/>
    <w:semiHidden/>
    <w:qFormat/>
    <w:rsid w:val="002716CD"/>
    <w:pPr>
      <w:numPr>
        <w:numId w:val="12"/>
      </w:numPr>
      <w:spacing w:after="20"/>
    </w:pPr>
  </w:style>
  <w:style w:type="paragraph" w:customStyle="1" w:styleId="NTGTableNumList2">
    <w:name w:val="NTG Table Num List 2"/>
    <w:basedOn w:val="NTGTableNumList1"/>
    <w:semiHidden/>
    <w:qFormat/>
    <w:rsid w:val="002716CD"/>
    <w:pPr>
      <w:numPr>
        <w:ilvl w:val="1"/>
      </w:numPr>
    </w:pPr>
  </w:style>
  <w:style w:type="paragraph" w:customStyle="1" w:styleId="NTGTableNumList3">
    <w:name w:val="NTG Table Num List 3"/>
    <w:basedOn w:val="NTGTableNumList2"/>
    <w:semiHidden/>
    <w:qFormat/>
    <w:rsid w:val="002716CD"/>
    <w:pPr>
      <w:numPr>
        <w:ilvl w:val="2"/>
      </w:numPr>
    </w:pPr>
  </w:style>
  <w:style w:type="paragraph" w:customStyle="1" w:styleId="NTGTableNumList4">
    <w:name w:val="NTG Table Num List 4"/>
    <w:basedOn w:val="NTGTableNumList3"/>
    <w:semiHidden/>
    <w:qFormat/>
    <w:rsid w:val="002716CD"/>
    <w:pPr>
      <w:numPr>
        <w:ilvl w:val="3"/>
      </w:numPr>
    </w:pPr>
  </w:style>
  <w:style w:type="paragraph" w:customStyle="1" w:styleId="NTGTableNumList5">
    <w:name w:val="NTG Table Num List 5"/>
    <w:basedOn w:val="NTGTableNumList4"/>
    <w:semiHidden/>
    <w:qFormat/>
    <w:rsid w:val="002716CD"/>
    <w:pPr>
      <w:numPr>
        <w:ilvl w:val="4"/>
      </w:numPr>
    </w:pPr>
  </w:style>
  <w:style w:type="paragraph" w:customStyle="1" w:styleId="NTGTableNumList6">
    <w:name w:val="NTG Table Num List 6"/>
    <w:basedOn w:val="NTGTableNumList5"/>
    <w:semiHidden/>
    <w:qFormat/>
    <w:rsid w:val="002716CD"/>
    <w:pPr>
      <w:numPr>
        <w:ilvl w:val="5"/>
      </w:numPr>
    </w:pPr>
  </w:style>
  <w:style w:type="paragraph" w:customStyle="1" w:styleId="NTGTableNumList7">
    <w:name w:val="NTG Table Num List 7"/>
    <w:basedOn w:val="NTGTableNumList6"/>
    <w:semiHidden/>
    <w:qFormat/>
    <w:rsid w:val="002716CD"/>
    <w:pPr>
      <w:numPr>
        <w:ilvl w:val="6"/>
      </w:numPr>
    </w:pPr>
  </w:style>
  <w:style w:type="paragraph" w:customStyle="1" w:styleId="NTGTableNumList8">
    <w:name w:val="NTG Table Num List 8"/>
    <w:basedOn w:val="NTGTableNumList7"/>
    <w:semiHidden/>
    <w:qFormat/>
    <w:rsid w:val="002716CD"/>
    <w:pPr>
      <w:numPr>
        <w:ilvl w:val="7"/>
      </w:numPr>
    </w:pPr>
  </w:style>
  <w:style w:type="paragraph" w:customStyle="1" w:styleId="NTGTableNumList9">
    <w:name w:val="NTG Table Num List 9"/>
    <w:basedOn w:val="NTGTableNumList8"/>
    <w:semiHidden/>
    <w:qFormat/>
    <w:rsid w:val="002716CD"/>
    <w:pPr>
      <w:numPr>
        <w:ilvl w:val="8"/>
      </w:numPr>
    </w:pPr>
  </w:style>
  <w:style w:type="numbering" w:customStyle="1" w:styleId="NTGTableNumList">
    <w:name w:val="NTG Table Num List"/>
    <w:uiPriority w:val="99"/>
    <w:rsid w:val="002716CD"/>
    <w:pPr>
      <w:numPr>
        <w:numId w:val="10"/>
      </w:numPr>
    </w:pPr>
  </w:style>
  <w:style w:type="table" w:customStyle="1" w:styleId="NTGTable">
    <w:name w:val="NTG Table"/>
    <w:basedOn w:val="TableGrid"/>
    <w:uiPriority w:val="99"/>
    <w:rsid w:val="005B6F16"/>
    <w:pPr>
      <w:spacing w:after="40"/>
    </w:pPr>
    <w:tblPr>
      <w:tblStyleRowBandSize w:val="1"/>
      <w:tblStyleColBandSize w:val="1"/>
    </w:tblPr>
    <w:trPr>
      <w:cantSplit/>
    </w:trPr>
    <w:tcPr>
      <w:shd w:val="clear" w:color="auto" w:fill="auto"/>
    </w:tcPr>
    <w:tblStylePr w:type="firstRow">
      <w:pPr>
        <w:keepNext w:val="0"/>
        <w:keepLines w:val="0"/>
        <w:pageBreakBefore w:val="0"/>
        <w:widowControl/>
        <w:suppressLineNumbers w:val="0"/>
        <w:suppressAutoHyphens w:val="0"/>
        <w:wordWrap/>
        <w:spacing w:beforeLines="0" w:before="60" w:beforeAutospacing="0" w:afterLines="0" w:after="60" w:afterAutospacing="0" w:line="240" w:lineRule="auto"/>
        <w:ind w:leftChars="0" w:left="0" w:rightChars="0" w:right="0" w:firstLineChars="0" w:firstLine="0"/>
        <w:contextualSpacing w:val="0"/>
        <w:jc w:val="left"/>
        <w:outlineLvl w:val="9"/>
      </w:pPr>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hemeFill="background1" w:themeFillShade="BF"/>
        <w:vAlign w:val="center"/>
      </w:tcPr>
    </w:tblStylePr>
    <w:tblStylePr w:type="lastRow">
      <w:rPr>
        <w:rFonts w:ascii="Arial" w:hAnsi="Arial"/>
        <w:sz w:val="22"/>
      </w:rPr>
    </w:tblStylePr>
    <w:tblStylePr w:type="firstCol">
      <w:rPr>
        <w:rFonts w:ascii="Arial" w:hAnsi="Arial"/>
        <w:b/>
        <w:sz w:val="22"/>
      </w:rPr>
      <w:tblPr/>
      <w:tcPr>
        <w:shd w:val="clear" w:color="auto" w:fill="BFBFBF" w:themeFill="background1" w:themeFillShade="BF"/>
      </w:tc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Pr/>
      <w:tcPr>
        <w:shd w:val="clear" w:color="auto" w:fill="F2F2F2" w:themeFill="background1" w:themeFillShade="F2"/>
      </w:tcPr>
    </w:tblStylePr>
    <w:tblStylePr w:type="band1Horz">
      <w:rPr>
        <w:rFonts w:ascii="Arial" w:hAnsi="Arial"/>
        <w:sz w:val="22"/>
      </w:rPr>
    </w:tblStylePr>
    <w:tblStylePr w:type="band2Horz">
      <w:rPr>
        <w:rFonts w:ascii="Arial" w:hAnsi="Arial"/>
        <w:sz w:val="22"/>
      </w:rPr>
      <w:tblPr/>
      <w:tcPr>
        <w:shd w:val="clear" w:color="auto" w:fill="F2F2F2" w:themeFill="background1" w:themeFillShade="F2"/>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BalloonText">
    <w:name w:val="Balloon Text"/>
    <w:basedOn w:val="Normal"/>
    <w:link w:val="BalloonTextChar"/>
    <w:uiPriority w:val="99"/>
    <w:semiHidden/>
    <w:unhideWhenUsed/>
    <w:rsid w:val="006846E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6EE"/>
    <w:rPr>
      <w:rFonts w:ascii="Segoe UI" w:hAnsi="Segoe UI" w:cs="Segoe UI"/>
      <w:sz w:val="18"/>
      <w:szCs w:val="18"/>
    </w:rPr>
  </w:style>
  <w:style w:type="table" w:styleId="TableGridLight">
    <w:name w:val="Grid Table Light"/>
    <w:basedOn w:val="TableNormal"/>
    <w:uiPriority w:val="40"/>
    <w:rsid w:val="004301E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itle2">
    <w:name w:val="Title2"/>
    <w:basedOn w:val="Title"/>
    <w:link w:val="Title2Char"/>
    <w:qFormat/>
    <w:rsid w:val="00047693"/>
    <w:rPr>
      <w:rFonts w:ascii="Lato Heavy" w:hAnsi="Lato Heavy"/>
    </w:rPr>
  </w:style>
  <w:style w:type="paragraph" w:customStyle="1" w:styleId="Heading1-Lato">
    <w:name w:val="Heading 1 - Lato"/>
    <w:basedOn w:val="Heading1"/>
    <w:link w:val="Heading1-LatoChar"/>
    <w:qFormat/>
    <w:rsid w:val="00047693"/>
    <w:pPr>
      <w:ind w:left="432" w:hanging="432"/>
    </w:pPr>
    <w:rPr>
      <w:rFonts w:ascii="Lato" w:hAnsi="Lato"/>
    </w:rPr>
  </w:style>
  <w:style w:type="character" w:customStyle="1" w:styleId="Title2Char">
    <w:name w:val="Title2 Char"/>
    <w:basedOn w:val="TitleChar"/>
    <w:link w:val="Title2"/>
    <w:rsid w:val="00047693"/>
    <w:rPr>
      <w:rFonts w:ascii="Lato Heavy" w:eastAsia="Times New Roman" w:hAnsi="Lato Heavy" w:cs="Arial"/>
      <w:b/>
      <w:color w:val="CB6015"/>
      <w:sz w:val="36"/>
      <w:szCs w:val="36"/>
      <w:lang w:eastAsia="en-AU"/>
    </w:rPr>
  </w:style>
  <w:style w:type="paragraph" w:customStyle="1" w:styleId="Heading2-Lato">
    <w:name w:val="Heading 2 - Lato"/>
    <w:basedOn w:val="Heading1"/>
    <w:link w:val="Heading2-LatoChar"/>
    <w:qFormat/>
    <w:rsid w:val="00047693"/>
    <w:pPr>
      <w:ind w:left="432" w:hanging="432"/>
    </w:pPr>
    <w:rPr>
      <w:rFonts w:ascii="Lato" w:hAnsi="Lato"/>
    </w:rPr>
  </w:style>
  <w:style w:type="character" w:customStyle="1" w:styleId="Heading1-LatoChar">
    <w:name w:val="Heading 1 - Lato Char"/>
    <w:basedOn w:val="Heading1Char"/>
    <w:link w:val="Heading1-Lato"/>
    <w:rsid w:val="00047693"/>
    <w:rPr>
      <w:rFonts w:ascii="Lato" w:eastAsiaTheme="majorEastAsia" w:hAnsi="Lato" w:cstheme="majorBidi"/>
      <w:b/>
      <w:bCs/>
      <w:kern w:val="32"/>
      <w:sz w:val="32"/>
      <w:szCs w:val="32"/>
    </w:rPr>
  </w:style>
  <w:style w:type="paragraph" w:customStyle="1" w:styleId="Normal-Lato">
    <w:name w:val="Normal - Lato"/>
    <w:basedOn w:val="ListNumber"/>
    <w:link w:val="Normal-LatoChar"/>
    <w:qFormat/>
    <w:rsid w:val="00047693"/>
    <w:pPr>
      <w:numPr>
        <w:numId w:val="0"/>
      </w:numPr>
      <w:ind w:left="357" w:hanging="357"/>
    </w:pPr>
    <w:rPr>
      <w:rFonts w:ascii="Lato" w:hAnsi="Lato"/>
    </w:rPr>
  </w:style>
  <w:style w:type="character" w:customStyle="1" w:styleId="Heading2-LatoChar">
    <w:name w:val="Heading 2 - Lato Char"/>
    <w:basedOn w:val="Heading1Char"/>
    <w:link w:val="Heading2-Lato"/>
    <w:rsid w:val="00047693"/>
    <w:rPr>
      <w:rFonts w:ascii="Lato" w:eastAsiaTheme="majorEastAsia" w:hAnsi="Lato" w:cstheme="majorBidi"/>
      <w:b/>
      <w:bCs/>
      <w:kern w:val="32"/>
      <w:sz w:val="32"/>
      <w:szCs w:val="32"/>
    </w:rPr>
  </w:style>
  <w:style w:type="character" w:customStyle="1" w:styleId="ListNumberChar">
    <w:name w:val="List Number Char"/>
    <w:basedOn w:val="DefaultParagraphFont"/>
    <w:link w:val="ListNumber"/>
    <w:uiPriority w:val="99"/>
    <w:rsid w:val="00246C69"/>
    <w:rPr>
      <w:rFonts w:eastAsiaTheme="minorEastAsia" w:cs="Arial"/>
      <w:iCs/>
    </w:rPr>
  </w:style>
  <w:style w:type="character" w:customStyle="1" w:styleId="Normal-LatoChar">
    <w:name w:val="Normal - Lato Char"/>
    <w:basedOn w:val="ListNumberChar"/>
    <w:link w:val="Normal-Lato"/>
    <w:rsid w:val="00047693"/>
    <w:rPr>
      <w:rFonts w:ascii="Lato" w:eastAsiaTheme="minorEastAsia" w:hAnsi="Lato" w:cs="Arial"/>
      <w:iCs/>
    </w:rPr>
  </w:style>
  <w:style w:type="numbering" w:customStyle="1" w:styleId="Text">
    <w:name w:val="Text"/>
    <w:rsid w:val="00C07FA5"/>
    <w:pPr>
      <w:numPr>
        <w:numId w:val="29"/>
      </w:numPr>
    </w:pPr>
  </w:style>
  <w:style w:type="character" w:customStyle="1" w:styleId="BlockTextChar">
    <w:name w:val="Block Text Char"/>
    <w:link w:val="BlockText"/>
    <w:rsid w:val="00C07FA5"/>
    <w:rPr>
      <w:rFonts w:eastAsiaTheme="minorEastAsia"/>
      <w:iCs/>
    </w:rPr>
  </w:style>
  <w:style w:type="paragraph" w:customStyle="1" w:styleId="HeadingTwo">
    <w:name w:val="Heading Two"/>
    <w:basedOn w:val="Normal"/>
    <w:link w:val="HeadingTwoChar"/>
    <w:rsid w:val="00C07FA5"/>
    <w:pPr>
      <w:pBdr>
        <w:bottom w:val="single" w:sz="4" w:space="1" w:color="auto"/>
      </w:pBdr>
      <w:spacing w:before="360" w:after="120"/>
    </w:pPr>
    <w:rPr>
      <w:rFonts w:eastAsia="Times New Roman"/>
      <w:b/>
      <w:bCs/>
      <w:szCs w:val="20"/>
      <w:lang w:eastAsia="en-AU"/>
    </w:rPr>
  </w:style>
  <w:style w:type="paragraph" w:customStyle="1" w:styleId="HeadingThree">
    <w:name w:val="Heading Three"/>
    <w:basedOn w:val="HeadingTwo"/>
    <w:rsid w:val="00C07FA5"/>
    <w:pPr>
      <w:pBdr>
        <w:bottom w:val="none" w:sz="0" w:space="0" w:color="auto"/>
      </w:pBdr>
    </w:pPr>
    <w:rPr>
      <w:i/>
      <w:iCs/>
    </w:rPr>
  </w:style>
  <w:style w:type="character" w:customStyle="1" w:styleId="HeadingTwoChar">
    <w:name w:val="Heading Two Char"/>
    <w:link w:val="HeadingTwo"/>
    <w:rsid w:val="00C07FA5"/>
    <w:rPr>
      <w:rFonts w:eastAsia="Times New Roman"/>
      <w:b/>
      <w:bCs/>
      <w:szCs w:val="20"/>
      <w:lang w:eastAsia="en-AU"/>
    </w:rPr>
  </w:style>
  <w:style w:type="paragraph" w:customStyle="1" w:styleId="HeadingFour">
    <w:name w:val="Heading Four"/>
    <w:basedOn w:val="HeadingThree"/>
    <w:rsid w:val="001525A1"/>
    <w:pPr>
      <w:keepNext/>
      <w:spacing w:before="240"/>
    </w:pPr>
    <w:rPr>
      <w:b w:val="0"/>
      <w:bCs w:val="0"/>
      <w:u w:val="single"/>
    </w:rPr>
  </w:style>
  <w:style w:type="paragraph" w:customStyle="1" w:styleId="Example">
    <w:name w:val="Example"/>
    <w:basedOn w:val="BlockText"/>
    <w:link w:val="ExampleChar"/>
    <w:rsid w:val="00246C69"/>
    <w:pPr>
      <w:pBdr>
        <w:top w:val="single" w:sz="4" w:space="1" w:color="auto"/>
        <w:left w:val="single" w:sz="4" w:space="4" w:color="auto"/>
        <w:bottom w:val="single" w:sz="4" w:space="1" w:color="auto"/>
        <w:right w:val="single" w:sz="4" w:space="4" w:color="auto"/>
      </w:pBdr>
      <w:shd w:val="clear" w:color="auto" w:fill="F3F3F3"/>
      <w:spacing w:after="240"/>
    </w:pPr>
    <w:rPr>
      <w:rFonts w:eastAsia="Times New Roman" w:cs="Arial"/>
      <w:iCs w:val="0"/>
      <w:szCs w:val="20"/>
      <w:lang w:eastAsia="en-AU"/>
    </w:rPr>
  </w:style>
  <w:style w:type="character" w:customStyle="1" w:styleId="ExampleChar">
    <w:name w:val="Example Char"/>
    <w:link w:val="Example"/>
    <w:rsid w:val="00246C69"/>
    <w:rPr>
      <w:rFonts w:eastAsia="Times New Roman" w:cs="Arial"/>
      <w:szCs w:val="20"/>
      <w:shd w:val="clear" w:color="auto" w:fill="F3F3F3"/>
      <w:lang w:eastAsia="en-AU"/>
    </w:rPr>
  </w:style>
  <w:style w:type="character" w:styleId="CommentReference">
    <w:name w:val="annotation reference"/>
    <w:basedOn w:val="DefaultParagraphFont"/>
    <w:uiPriority w:val="99"/>
    <w:semiHidden/>
    <w:unhideWhenUsed/>
    <w:rsid w:val="00AF0180"/>
    <w:rPr>
      <w:sz w:val="16"/>
      <w:szCs w:val="16"/>
    </w:rPr>
  </w:style>
  <w:style w:type="paragraph" w:styleId="CommentText">
    <w:name w:val="annotation text"/>
    <w:basedOn w:val="Normal"/>
    <w:link w:val="CommentTextChar"/>
    <w:uiPriority w:val="99"/>
    <w:semiHidden/>
    <w:unhideWhenUsed/>
    <w:rsid w:val="00AF0180"/>
    <w:rPr>
      <w:sz w:val="20"/>
      <w:szCs w:val="20"/>
    </w:rPr>
  </w:style>
  <w:style w:type="character" w:customStyle="1" w:styleId="CommentTextChar">
    <w:name w:val="Comment Text Char"/>
    <w:basedOn w:val="DefaultParagraphFont"/>
    <w:link w:val="CommentText"/>
    <w:uiPriority w:val="99"/>
    <w:semiHidden/>
    <w:rsid w:val="00AF0180"/>
    <w:rPr>
      <w:sz w:val="20"/>
      <w:szCs w:val="20"/>
    </w:rPr>
  </w:style>
  <w:style w:type="paragraph" w:styleId="CommentSubject">
    <w:name w:val="annotation subject"/>
    <w:basedOn w:val="CommentText"/>
    <w:next w:val="CommentText"/>
    <w:link w:val="CommentSubjectChar"/>
    <w:uiPriority w:val="99"/>
    <w:semiHidden/>
    <w:unhideWhenUsed/>
    <w:rsid w:val="00AF0180"/>
    <w:rPr>
      <w:b/>
      <w:bCs/>
    </w:rPr>
  </w:style>
  <w:style w:type="character" w:customStyle="1" w:styleId="CommentSubjectChar">
    <w:name w:val="Comment Subject Char"/>
    <w:basedOn w:val="CommentTextChar"/>
    <w:link w:val="CommentSubject"/>
    <w:uiPriority w:val="99"/>
    <w:semiHidden/>
    <w:rsid w:val="00AF0180"/>
    <w:rPr>
      <w:b/>
      <w:bCs/>
      <w:sz w:val="20"/>
      <w:szCs w:val="20"/>
    </w:rPr>
  </w:style>
  <w:style w:type="paragraph" w:styleId="Revision">
    <w:name w:val="Revision"/>
    <w:hidden/>
    <w:uiPriority w:val="99"/>
    <w:semiHidden/>
    <w:rsid w:val="007C55DF"/>
    <w:pPr>
      <w:spacing w:after="0"/>
    </w:pPr>
  </w:style>
  <w:style w:type="character" w:styleId="SubtleEmphasis">
    <w:name w:val="Subtle Emphasis"/>
    <w:basedOn w:val="DefaultParagraphFont"/>
    <w:uiPriority w:val="19"/>
    <w:semiHidden/>
    <w:rsid w:val="00246C69"/>
    <w:rPr>
      <w:i/>
      <w:iCs/>
      <w:color w:val="404040" w:themeColor="text1" w:themeTint="BF"/>
    </w:rPr>
  </w:style>
  <w:style w:type="character" w:styleId="Strong">
    <w:name w:val="Strong"/>
    <w:basedOn w:val="DefaultParagraphFont"/>
    <w:uiPriority w:val="22"/>
    <w:semiHidden/>
    <w:rsid w:val="001A4242"/>
    <w:rPr>
      <w:b/>
      <w:bCs/>
    </w:rPr>
  </w:style>
  <w:style w:type="character" w:styleId="FollowedHyperlink">
    <w:name w:val="FollowedHyperlink"/>
    <w:basedOn w:val="DefaultParagraphFont"/>
    <w:uiPriority w:val="99"/>
    <w:semiHidden/>
    <w:unhideWhenUsed/>
    <w:rsid w:val="001A26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easury.nt.gov.au/__data/assets/pdf_file/0018/490032/RF-MRA-002.pdf" TargetMode="External"/><Relationship Id="rId13" Type="http://schemas.openxmlformats.org/officeDocument/2006/relationships/hyperlink" Target="https://treasury.nt.gov.au/__data/assets/word_doc/0015/540303/RG-MRA-001-V2.doc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reasury.nt.gov.au/__data/assets/word_doc/0014/711320/RG-MRA-006-V3.doc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revenue.nt.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easury.nt.gov.au/__data/assets/word_doc/0003/711318/RG-MRA-004-V4.docx" TargetMode="External"/><Relationship Id="rId5" Type="http://schemas.openxmlformats.org/officeDocument/2006/relationships/webSettings" Target="webSettings.xml"/><Relationship Id="rId15" Type="http://schemas.openxmlformats.org/officeDocument/2006/relationships/hyperlink" Target="mailto:ntrevenue@nt.gov.au" TargetMode="External"/><Relationship Id="rId23" Type="http://schemas.openxmlformats.org/officeDocument/2006/relationships/theme" Target="theme/theme1.xml"/><Relationship Id="rId10" Type="http://schemas.openxmlformats.org/officeDocument/2006/relationships/hyperlink" Target="https://treasury.nt.gov.au/__data/assets/word_doc/0019/711316/RG-MRA-002-V3.docx"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treasury.nt.gov.au/__data/assets/pdf_file/0018/490032/RF-MRA-002.pdf" TargetMode="External"/><Relationship Id="rId14" Type="http://schemas.openxmlformats.org/officeDocument/2006/relationships/image" Target="media/image1.png"/><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93E848B27CA4F81BE0DCEB960A204D0"/>
        <w:category>
          <w:name w:val="General"/>
          <w:gallery w:val="placeholder"/>
        </w:category>
        <w:types>
          <w:type w:val="bbPlcHdr"/>
        </w:types>
        <w:behaviors>
          <w:behavior w:val="content"/>
        </w:behaviors>
        <w:guid w:val="{3A39528D-B092-4D1E-A05A-6B0777C56EB1}"/>
      </w:docPartPr>
      <w:docPartBody>
        <w:p w:rsidR="006E034F" w:rsidRDefault="006E034F" w:rsidP="006E034F">
          <w:pPr>
            <w:pStyle w:val="C93E848B27CA4F81BE0DCEB960A204D0"/>
          </w:pPr>
          <w:r w:rsidRPr="00245948">
            <w:rPr>
              <w:rStyle w:val="PlaceholderText"/>
            </w:rPr>
            <w:t>[Title]</w:t>
          </w:r>
        </w:p>
      </w:docPartBody>
    </w:docPart>
    <w:docPart>
      <w:docPartPr>
        <w:name w:val="BBFB6278DDC04E93B8C17F092F744B16"/>
        <w:category>
          <w:name w:val="General"/>
          <w:gallery w:val="placeholder"/>
        </w:category>
        <w:types>
          <w:type w:val="bbPlcHdr"/>
        </w:types>
        <w:behaviors>
          <w:behavior w:val="content"/>
        </w:behaviors>
        <w:guid w:val="{5E20612B-04ED-4A15-9F7D-995EE812C347}"/>
      </w:docPartPr>
      <w:docPartBody>
        <w:p w:rsidR="00906D91" w:rsidRDefault="00724A1F" w:rsidP="00724A1F">
          <w:pPr>
            <w:pStyle w:val="BBFB6278DDC04E93B8C17F092F744B16"/>
          </w:pPr>
          <w:r w:rsidRPr="0024594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Lato Heavy">
    <w:panose1 w:val="020F0502020204030203"/>
    <w:charset w:val="00"/>
    <w:family w:val="swiss"/>
    <w:pitch w:val="variable"/>
    <w:sig w:usb0="E10002FF" w:usb1="5000ECFF" w:usb2="00000021" w:usb3="00000000" w:csb0="0000019F" w:csb1="00000000"/>
  </w:font>
  <w:font w:name="Lato">
    <w:altName w:val="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71F"/>
    <w:rsid w:val="00017DB9"/>
    <w:rsid w:val="00036EB1"/>
    <w:rsid w:val="000403BA"/>
    <w:rsid w:val="0004548D"/>
    <w:rsid w:val="001404CA"/>
    <w:rsid w:val="001746B8"/>
    <w:rsid w:val="001E17DD"/>
    <w:rsid w:val="0021620F"/>
    <w:rsid w:val="002837F9"/>
    <w:rsid w:val="002E492C"/>
    <w:rsid w:val="00322B5E"/>
    <w:rsid w:val="003232E4"/>
    <w:rsid w:val="00325354"/>
    <w:rsid w:val="00372309"/>
    <w:rsid w:val="003841C4"/>
    <w:rsid w:val="0039119F"/>
    <w:rsid w:val="003A631F"/>
    <w:rsid w:val="003B5063"/>
    <w:rsid w:val="003C5109"/>
    <w:rsid w:val="003E2DF4"/>
    <w:rsid w:val="00482D69"/>
    <w:rsid w:val="00483238"/>
    <w:rsid w:val="00571138"/>
    <w:rsid w:val="005720E6"/>
    <w:rsid w:val="00576EC5"/>
    <w:rsid w:val="005E00CF"/>
    <w:rsid w:val="006046E0"/>
    <w:rsid w:val="00617D00"/>
    <w:rsid w:val="00623877"/>
    <w:rsid w:val="00642FDC"/>
    <w:rsid w:val="00651D07"/>
    <w:rsid w:val="00664FA8"/>
    <w:rsid w:val="0069676C"/>
    <w:rsid w:val="006E034F"/>
    <w:rsid w:val="0070471F"/>
    <w:rsid w:val="0071644D"/>
    <w:rsid w:val="00724A1F"/>
    <w:rsid w:val="00732B4E"/>
    <w:rsid w:val="00735EF5"/>
    <w:rsid w:val="007C748A"/>
    <w:rsid w:val="008164D1"/>
    <w:rsid w:val="00894EE6"/>
    <w:rsid w:val="008A2170"/>
    <w:rsid w:val="008A3D4B"/>
    <w:rsid w:val="008B2BA8"/>
    <w:rsid w:val="00906D91"/>
    <w:rsid w:val="009560E1"/>
    <w:rsid w:val="00984B8E"/>
    <w:rsid w:val="00AB0842"/>
    <w:rsid w:val="00AF0090"/>
    <w:rsid w:val="00B7389D"/>
    <w:rsid w:val="00B85F5F"/>
    <w:rsid w:val="00C26072"/>
    <w:rsid w:val="00C83456"/>
    <w:rsid w:val="00C9077B"/>
    <w:rsid w:val="00D2594F"/>
    <w:rsid w:val="00D61BEF"/>
    <w:rsid w:val="00DA3B5F"/>
    <w:rsid w:val="00DA7050"/>
    <w:rsid w:val="00E019F7"/>
    <w:rsid w:val="00E756F2"/>
    <w:rsid w:val="00EE2218"/>
    <w:rsid w:val="00F310A9"/>
    <w:rsid w:val="00FA16B0"/>
    <w:rsid w:val="00FA3F7D"/>
    <w:rsid w:val="00FA6F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71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4A1F"/>
    <w:rPr>
      <w:color w:val="808080"/>
    </w:rPr>
  </w:style>
  <w:style w:type="paragraph" w:customStyle="1" w:styleId="C93E848B27CA4F81BE0DCEB960A204D0">
    <w:name w:val="C93E848B27CA4F81BE0DCEB960A204D0"/>
    <w:rsid w:val="006E034F"/>
  </w:style>
  <w:style w:type="paragraph" w:customStyle="1" w:styleId="0AAC75AC5CE940F8B6BB9036145A8EF5">
    <w:name w:val="0AAC75AC5CE940F8B6BB9036145A8EF5"/>
    <w:rsid w:val="00AB0842"/>
    <w:pPr>
      <w:spacing w:after="160" w:line="259" w:lineRule="auto"/>
    </w:pPr>
  </w:style>
  <w:style w:type="paragraph" w:customStyle="1" w:styleId="BBFB6278DDC04E93B8C17F092F744B16">
    <w:name w:val="BBFB6278DDC04E93B8C17F092F744B16"/>
    <w:rsid w:val="00724A1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83352-4CCF-40FD-AA30-72908D3C4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1588</Words>
  <Characters>9058</Characters>
  <Application>Microsoft Office Word</Application>
  <DocSecurity>8</DocSecurity>
  <Lines>75</Lines>
  <Paragraphs>21</Paragraphs>
  <ScaleCrop>false</ScaleCrop>
  <HeadingPairs>
    <vt:vector size="2" baseType="variant">
      <vt:variant>
        <vt:lpstr>Title</vt:lpstr>
      </vt:variant>
      <vt:variant>
        <vt:i4>1</vt:i4>
      </vt:variant>
    </vt:vector>
  </HeadingPairs>
  <TitlesOfParts>
    <vt:vector size="1" baseType="lpstr">
      <vt:lpstr>Mineral Royalty Act: Royalty Guideline – 
RG-MRA-002 Production Unit</vt:lpstr>
    </vt:vector>
  </TitlesOfParts>
  <Company>Northern Territory Government</Company>
  <LinksUpToDate>false</LinksUpToDate>
  <CharactersWithSpaces>10625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Mineral Royalty Act: Royalty Guideline – 
RG-MRA-002 Production Unit</dc:title>
  <dc:subject/>
  <dc:creator>Financial Management Group</dc:creator>
  <cp:keywords/>
  <dc:description/>
  <cp:lastModifiedBy>Louis Marquez</cp:lastModifiedBy>
  <cp:revision>2</cp:revision>
  <cp:lastPrinted>2018-01-24T05:22:00Z</cp:lastPrinted>
  <dcterms:created xsi:type="dcterms:W3CDTF">2021-07-07T06:21:00Z</dcterms:created>
  <dcterms:modified xsi:type="dcterms:W3CDTF">2021-07-07T06:21:00Z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Of">
    <vt:lpwstr>Department of </vt:lpwstr>
  </property>
  <property fmtid="{D5CDD505-2E9C-101B-9397-08002B2CF9AE}" pid="3" name="DepartmentName">
    <vt:lpwstr>Treasury and Finance</vt:lpwstr>
  </property>
  <property fmtid="{D5CDD505-2E9C-101B-9397-08002B2CF9AE}" pid="4" name="DocumentAuthor">
    <vt:lpwstr>&lt;Firstname Lastname&gt;</vt:lpwstr>
  </property>
  <property fmtid="{D5CDD505-2E9C-101B-9397-08002B2CF9AE}" pid="5" name="VersionNo">
    <vt:lpwstr>, Version 1.0</vt:lpwstr>
  </property>
  <property fmtid="{D5CDD505-2E9C-101B-9397-08002B2CF9AE}" pid="6" name="DocumentDate">
    <vt:lpwstr>22 February 2018</vt:lpwstr>
  </property>
</Properties>
</file>