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559"/>
        <w:gridCol w:w="3231"/>
        <w:gridCol w:w="1967"/>
        <w:gridCol w:w="22"/>
        <w:gridCol w:w="1945"/>
        <w:gridCol w:w="22"/>
      </w:tblGrid>
      <w:tr w:rsidR="00127B39" w:rsidRPr="00A47864" w:rsidTr="00FE71F3">
        <w:trPr>
          <w:jc w:val="center"/>
        </w:trPr>
        <w:tc>
          <w:tcPr>
            <w:tcW w:w="1559" w:type="dxa"/>
            <w:tcBorders>
              <w:righ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Version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Issued</w:t>
            </w:r>
          </w:p>
        </w:tc>
        <w:tc>
          <w:tcPr>
            <w:tcW w:w="1989" w:type="dxa"/>
            <w:gridSpan w:val="2"/>
            <w:tcBorders>
              <w:lef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Dates of Effect</w:t>
            </w:r>
          </w:p>
          <w:p w:rsidR="00127B39" w:rsidRPr="00A47864" w:rsidRDefault="00127B39" w:rsidP="00066C81">
            <w:r w:rsidRPr="00A47864">
              <w:t>From: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BFBFBF"/>
          </w:tcPr>
          <w:p w:rsidR="00127B39" w:rsidRPr="00A47864" w:rsidRDefault="00127B39" w:rsidP="00066C81"/>
          <w:p w:rsidR="00127B39" w:rsidRPr="00A47864" w:rsidRDefault="00127B39" w:rsidP="00066C81">
            <w:r w:rsidRPr="00A47864">
              <w:t>To:</w:t>
            </w:r>
          </w:p>
        </w:tc>
      </w:tr>
      <w:tr w:rsidR="00127B3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</w:t>
            </w:r>
          </w:p>
        </w:tc>
        <w:tc>
          <w:tcPr>
            <w:tcW w:w="3231" w:type="dxa"/>
            <w:tcBorders>
              <w:top w:val="single" w:sz="4" w:space="0" w:color="BFBFBF"/>
            </w:tcBorders>
          </w:tcPr>
          <w:p w:rsidR="00684AD4" w:rsidRPr="00A47864" w:rsidRDefault="00684AD4" w:rsidP="00066C81">
            <w:r w:rsidRPr="00A47864">
              <w:t>29 August 2011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 xml:space="preserve">29 </w:t>
            </w:r>
            <w:r w:rsidRPr="00A47864">
              <w:rPr>
                <w:bCs/>
              </w:rPr>
              <w:t>August</w:t>
            </w:r>
            <w:r w:rsidRPr="00A47864">
              <w:t xml:space="preserve"> 2011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5 January 2012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2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6 January 2012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6 January 2012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July 2012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3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July 2012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July 2012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January 2013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4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January 2013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January 2013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4 July 2013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5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5 July 2013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5 July 2013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January 2014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6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January 2014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January 2014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 July 2014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7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 July 2014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 July 2014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5 January 2015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8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6 January 2015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6 January 2015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 July 2015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9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 July 2015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 July 2015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4 January 2016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10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5 January 2016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5 January 2016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10 July 2016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11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11 July 2016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11 July 2016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9 January 2017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12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10 January 2017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10 January 2017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23 July 2017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13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24 July 2017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24 July 2017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8 January 2018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14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9 January 2018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9 January 2018</w:t>
            </w:r>
          </w:p>
        </w:tc>
        <w:tc>
          <w:tcPr>
            <w:tcW w:w="1967" w:type="dxa"/>
            <w:gridSpan w:val="2"/>
          </w:tcPr>
          <w:p w:rsidR="00684AD4" w:rsidRPr="00A47864" w:rsidRDefault="00B938D7" w:rsidP="00066C81">
            <w:r w:rsidRPr="00A47864">
              <w:t>3</w:t>
            </w:r>
            <w:r w:rsidR="00684AD4" w:rsidRPr="00A47864">
              <w:t xml:space="preserve"> Ju</w:t>
            </w:r>
            <w:r w:rsidR="00E24906" w:rsidRPr="00A47864">
              <w:t>ly</w:t>
            </w:r>
            <w:r w:rsidR="00684AD4" w:rsidRPr="00A47864">
              <w:t xml:space="preserve"> 2018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15</w:t>
            </w:r>
          </w:p>
        </w:tc>
        <w:tc>
          <w:tcPr>
            <w:tcW w:w="3231" w:type="dxa"/>
          </w:tcPr>
          <w:p w:rsidR="00684AD4" w:rsidRPr="00A47864" w:rsidRDefault="00B938D7" w:rsidP="00066C81">
            <w:r w:rsidRPr="00A47864">
              <w:t>4</w:t>
            </w:r>
            <w:r w:rsidR="00684AD4" w:rsidRPr="00A47864">
              <w:t xml:space="preserve"> July 2018</w:t>
            </w:r>
          </w:p>
        </w:tc>
        <w:tc>
          <w:tcPr>
            <w:tcW w:w="1967" w:type="dxa"/>
          </w:tcPr>
          <w:p w:rsidR="00684AD4" w:rsidRPr="00A47864" w:rsidRDefault="00B938D7" w:rsidP="00066C81">
            <w:r w:rsidRPr="00A47864">
              <w:t>4</w:t>
            </w:r>
            <w:r w:rsidR="00684AD4" w:rsidRPr="00A47864">
              <w:t xml:space="preserve"> July 2018</w:t>
            </w:r>
          </w:p>
        </w:tc>
        <w:tc>
          <w:tcPr>
            <w:tcW w:w="1967" w:type="dxa"/>
            <w:gridSpan w:val="2"/>
          </w:tcPr>
          <w:p w:rsidR="00684AD4" w:rsidRPr="00A47864" w:rsidRDefault="00EB6ED1" w:rsidP="00066C81">
            <w:r w:rsidRPr="00A47864">
              <w:t>7 January 2019</w:t>
            </w:r>
          </w:p>
        </w:tc>
      </w:tr>
      <w:tr w:rsidR="00742BE6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742BE6" w:rsidRPr="00066C81" w:rsidRDefault="00742BE6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16</w:t>
            </w:r>
          </w:p>
        </w:tc>
        <w:tc>
          <w:tcPr>
            <w:tcW w:w="3231" w:type="dxa"/>
          </w:tcPr>
          <w:p w:rsidR="00742BE6" w:rsidRPr="00A47864" w:rsidRDefault="00EB6ED1" w:rsidP="00066C81">
            <w:r w:rsidRPr="00A47864">
              <w:t>8  January 2019</w:t>
            </w:r>
          </w:p>
        </w:tc>
        <w:tc>
          <w:tcPr>
            <w:tcW w:w="1967" w:type="dxa"/>
          </w:tcPr>
          <w:p w:rsidR="00742BE6" w:rsidRPr="00A47864" w:rsidRDefault="00EB6ED1" w:rsidP="00066C81">
            <w:r w:rsidRPr="00A47864">
              <w:t>8  January 2019</w:t>
            </w:r>
          </w:p>
        </w:tc>
        <w:tc>
          <w:tcPr>
            <w:tcW w:w="1967" w:type="dxa"/>
            <w:gridSpan w:val="2"/>
          </w:tcPr>
          <w:p w:rsidR="004D6A0C" w:rsidRPr="00A47864" w:rsidRDefault="00103FC2" w:rsidP="00066C81">
            <w:r w:rsidRPr="00A47864">
              <w:t>30 June</w:t>
            </w:r>
            <w:r w:rsidR="00FB4153" w:rsidRPr="00A47864">
              <w:t xml:space="preserve"> 2019</w:t>
            </w:r>
          </w:p>
        </w:tc>
      </w:tr>
      <w:tr w:rsidR="007E4AF8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7E4AF8" w:rsidRPr="00066C81" w:rsidRDefault="007E4AF8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17</w:t>
            </w:r>
          </w:p>
        </w:tc>
        <w:tc>
          <w:tcPr>
            <w:tcW w:w="3231" w:type="dxa"/>
          </w:tcPr>
          <w:p w:rsidR="007E4AF8" w:rsidRPr="00A47864" w:rsidRDefault="00187538" w:rsidP="00066C81">
            <w:r w:rsidRPr="00A47864">
              <w:t>1</w:t>
            </w:r>
            <w:r w:rsidR="00D37A3E" w:rsidRPr="00A47864">
              <w:t xml:space="preserve"> July 2019</w:t>
            </w:r>
          </w:p>
        </w:tc>
        <w:tc>
          <w:tcPr>
            <w:tcW w:w="1967" w:type="dxa"/>
          </w:tcPr>
          <w:p w:rsidR="007E4AF8" w:rsidRPr="00A47864" w:rsidRDefault="00103FC2" w:rsidP="00066C81">
            <w:r w:rsidRPr="00A47864">
              <w:t>1</w:t>
            </w:r>
            <w:r w:rsidR="00FB4153" w:rsidRPr="00A47864">
              <w:t xml:space="preserve"> July</w:t>
            </w:r>
            <w:r w:rsidR="00BC6720" w:rsidRPr="00A47864">
              <w:t xml:space="preserve"> 2019</w:t>
            </w:r>
          </w:p>
        </w:tc>
        <w:tc>
          <w:tcPr>
            <w:tcW w:w="1967" w:type="dxa"/>
            <w:gridSpan w:val="2"/>
          </w:tcPr>
          <w:p w:rsidR="007E4AF8" w:rsidRPr="00A47864" w:rsidRDefault="00D37A3E" w:rsidP="00066C81">
            <w:pPr>
              <w:rPr>
                <w:highlight w:val="yellow"/>
              </w:rPr>
            </w:pPr>
            <w:r w:rsidRPr="00A47864">
              <w:t>Current</w:t>
            </w:r>
          </w:p>
        </w:tc>
      </w:tr>
    </w:tbl>
    <w:p w:rsidR="00C27A0A" w:rsidRPr="00A47864" w:rsidRDefault="00BC590E" w:rsidP="00066C81">
      <w:pPr>
        <w:pStyle w:val="Heading1"/>
      </w:pPr>
      <w:r w:rsidRPr="00066C81">
        <w:t>Purpose</w:t>
      </w:r>
      <w:r w:rsidRPr="00A47864">
        <w:t xml:space="preserve"> </w:t>
      </w:r>
    </w:p>
    <w:p w:rsidR="007D5BD9" w:rsidRPr="00A47864" w:rsidRDefault="006C5BEE" w:rsidP="00FE6B7F">
      <w:pPr>
        <w:pStyle w:val="ListNumber"/>
      </w:pPr>
      <w:r w:rsidRPr="00A47864">
        <w:t xml:space="preserve">This </w:t>
      </w:r>
      <w:r w:rsidR="00382187" w:rsidRPr="00A47864">
        <w:t>G</w:t>
      </w:r>
      <w:r w:rsidRPr="00A47864">
        <w:t xml:space="preserve">uideline </w:t>
      </w:r>
      <w:r w:rsidR="00382187" w:rsidRPr="00A47864">
        <w:t xml:space="preserve">announces the </w:t>
      </w:r>
      <w:r w:rsidR="00722FF2" w:rsidRPr="00A47864">
        <w:t xml:space="preserve">capital recognition deduction </w:t>
      </w:r>
      <w:r w:rsidR="00F53266" w:rsidRPr="00A47864">
        <w:t>(</w:t>
      </w:r>
      <w:r w:rsidR="00382187" w:rsidRPr="00A47864">
        <w:t>CRD</w:t>
      </w:r>
      <w:r w:rsidR="00F53266" w:rsidRPr="00A47864">
        <w:t>)</w:t>
      </w:r>
      <w:r w:rsidR="00382187" w:rsidRPr="00A47864">
        <w:t xml:space="preserve"> factors and the period </w:t>
      </w:r>
      <w:r w:rsidR="00382187" w:rsidRPr="00FE6B7F">
        <w:t xml:space="preserve">during which they apply for the purpose of sections 4C(2) and (6) of the </w:t>
      </w:r>
      <w:r w:rsidR="00046686" w:rsidRPr="00FE6B7F">
        <w:t>Mineral Royalty Act 1982 (NT) (the MRA)</w:t>
      </w:r>
      <w:r w:rsidR="00382187" w:rsidRPr="00FE6B7F">
        <w:t xml:space="preserve">, and in conjunction with </w:t>
      </w:r>
      <w:r w:rsidR="00F53266" w:rsidRPr="00FE6B7F">
        <w:t>Guideline</w:t>
      </w:r>
      <w:r w:rsidR="007918A7" w:rsidRPr="00FE6B7F">
        <w:t xml:space="preserve"> </w:t>
      </w:r>
      <w:hyperlink r:id="rId8" w:history="1">
        <w:r w:rsidR="00382187" w:rsidRPr="00FE6B7F">
          <w:t>RG</w:t>
        </w:r>
        <w:r w:rsidR="00AC0CA2" w:rsidRPr="00FE6B7F">
          <w:noBreakHyphen/>
        </w:r>
        <w:r w:rsidR="00382187" w:rsidRPr="00FE6B7F">
          <w:t>MRA</w:t>
        </w:r>
        <w:r w:rsidR="007918A7" w:rsidRPr="00FE6B7F">
          <w:noBreakHyphen/>
        </w:r>
        <w:r w:rsidR="00382187" w:rsidRPr="00FE6B7F">
          <w:t>006</w:t>
        </w:r>
      </w:hyperlink>
      <w:r w:rsidR="00382187" w:rsidRPr="00FE6B7F">
        <w:t>:</w:t>
      </w:r>
      <w:r w:rsidR="00F53266" w:rsidRPr="00FE6B7F">
        <w:t xml:space="preserve"> Capital Recognition Deduction, </w:t>
      </w:r>
      <w:r w:rsidR="007D5BD9" w:rsidRPr="00FE6B7F">
        <w:t xml:space="preserve">explains how CRD is to be determined for the purposes of the </w:t>
      </w:r>
      <w:r w:rsidR="00046686" w:rsidRPr="00FE6B7F">
        <w:t xml:space="preserve"> MRA.</w:t>
      </w:r>
    </w:p>
    <w:p w:rsidR="00EB202A" w:rsidRPr="00066C81" w:rsidRDefault="00EB202A" w:rsidP="00FE6B7F">
      <w:pPr>
        <w:pStyle w:val="ListNumber"/>
      </w:pPr>
      <w:r w:rsidRPr="00066C81">
        <w:t>This Guideline is issued by the Secretary under section 4E of the MRA.</w:t>
      </w:r>
    </w:p>
    <w:p w:rsidR="000A28EE" w:rsidRPr="00A47864" w:rsidRDefault="00BC590E" w:rsidP="00066C81">
      <w:pPr>
        <w:pStyle w:val="Heading1"/>
      </w:pPr>
      <w:r w:rsidRPr="00A47864">
        <w:t xml:space="preserve">Introduction </w:t>
      </w:r>
    </w:p>
    <w:p w:rsidR="007D5BD9" w:rsidRPr="00A47864" w:rsidRDefault="00573713" w:rsidP="00FE6B7F">
      <w:pPr>
        <w:pStyle w:val="ListNumber"/>
      </w:pPr>
      <w:r w:rsidRPr="00A47864">
        <w:t>As</w:t>
      </w:r>
      <w:r w:rsidR="00F53266" w:rsidRPr="00A47864">
        <w:t xml:space="preserve"> detailed in</w:t>
      </w:r>
      <w:r w:rsidRPr="00A47864">
        <w:rPr>
          <w:i/>
        </w:rPr>
        <w:t xml:space="preserve"> </w:t>
      </w:r>
      <w:hyperlink r:id="rId9" w:history="1">
        <w:r w:rsidRPr="00AC0CA2">
          <w:rPr>
            <w:rStyle w:val="Hyperlink"/>
          </w:rPr>
          <w:t>RG-MRA-006</w:t>
        </w:r>
      </w:hyperlink>
      <w:r w:rsidRPr="00AC0CA2">
        <w:t>:</w:t>
      </w:r>
      <w:r w:rsidRPr="00A47864">
        <w:rPr>
          <w:i/>
        </w:rPr>
        <w:t xml:space="preserve"> </w:t>
      </w:r>
      <w:r w:rsidRPr="00A47864">
        <w:t xml:space="preserve">Capital Recognition Deduction, </w:t>
      </w:r>
      <w:r w:rsidR="007D5BD9" w:rsidRPr="00A47864">
        <w:t>CRD must be determined as follows:</w:t>
      </w:r>
    </w:p>
    <w:p w:rsidR="007D5BD9" w:rsidRPr="00FE6B7F" w:rsidRDefault="007D5BD9" w:rsidP="00FE6B7F">
      <w:pPr>
        <w:pStyle w:val="ListNumber2"/>
      </w:pPr>
      <w:r w:rsidRPr="00FE6B7F">
        <w:lastRenderedPageBreak/>
        <w:t xml:space="preserve">CRD </w:t>
      </w:r>
      <w:r w:rsidR="00135331" w:rsidRPr="00FE6B7F">
        <w:t>is</w:t>
      </w:r>
      <w:r w:rsidRPr="00FE6B7F">
        <w:t xml:space="preserve"> a fraction of each item of ‘</w:t>
      </w:r>
      <w:r w:rsidR="007918A7" w:rsidRPr="00FE6B7F">
        <w:t>e</w:t>
      </w:r>
      <w:r w:rsidRPr="00FE6B7F">
        <w:t xml:space="preserve">ligible </w:t>
      </w:r>
      <w:r w:rsidR="007918A7" w:rsidRPr="00FE6B7F">
        <w:t>c</w:t>
      </w:r>
      <w:r w:rsidRPr="00FE6B7F">
        <w:t xml:space="preserve">apital </w:t>
      </w:r>
      <w:r w:rsidR="007918A7" w:rsidRPr="00FE6B7F">
        <w:t>a</w:t>
      </w:r>
      <w:r w:rsidRPr="00FE6B7F">
        <w:t xml:space="preserve">ssets </w:t>
      </w:r>
      <w:r w:rsidR="007918A7" w:rsidRPr="00FE6B7F">
        <w:t>e</w:t>
      </w:r>
      <w:r w:rsidRPr="00FE6B7F">
        <w:t xml:space="preserve">xpenditure’ </w:t>
      </w:r>
      <w:r w:rsidR="00EC5738" w:rsidRPr="00FE6B7F">
        <w:t xml:space="preserve">(ECAE) </w:t>
      </w:r>
      <w:r w:rsidR="00790679" w:rsidRPr="00FE6B7F">
        <w:t xml:space="preserve">  </w:t>
      </w:r>
      <w:r w:rsidRPr="00FE6B7F">
        <w:t xml:space="preserve">actually used on </w:t>
      </w:r>
      <w:r w:rsidR="007918A7" w:rsidRPr="00FE6B7F">
        <w:t xml:space="preserve">a </w:t>
      </w:r>
      <w:r w:rsidRPr="00FE6B7F">
        <w:t>production unit</w:t>
      </w:r>
      <w:r w:rsidR="006C46D6" w:rsidRPr="00FE6B7F">
        <w:t>, for the purposes of the operations of the production unit,</w:t>
      </w:r>
      <w:r w:rsidRPr="00FE6B7F">
        <w:t xml:space="preserve"> during the whole or part of </w:t>
      </w:r>
      <w:r w:rsidR="006C46D6" w:rsidRPr="00FE6B7F">
        <w:t>a six month period of a royalty year</w:t>
      </w:r>
      <w:r w:rsidRPr="00FE6B7F">
        <w:t>.</w:t>
      </w:r>
    </w:p>
    <w:p w:rsidR="00EC5738" w:rsidRPr="00FE6B7F" w:rsidRDefault="00573FFC" w:rsidP="00FE6B7F">
      <w:pPr>
        <w:pStyle w:val="ListNumber2"/>
      </w:pPr>
      <w:r w:rsidRPr="00FE6B7F">
        <w:t>T</w:t>
      </w:r>
      <w:r w:rsidR="00EC5738" w:rsidRPr="00FE6B7F">
        <w:t>he fraction</w:t>
      </w:r>
      <w:r w:rsidR="006E1B71" w:rsidRPr="00FE6B7F">
        <w:t>, known as the CRD factor,</w:t>
      </w:r>
      <w:r w:rsidR="00EC5738" w:rsidRPr="00FE6B7F">
        <w:t xml:space="preserve"> </w:t>
      </w:r>
      <w:r w:rsidR="00135331" w:rsidRPr="00FE6B7F">
        <w:t>is</w:t>
      </w:r>
      <w:r w:rsidR="00EC5738" w:rsidRPr="00FE6B7F">
        <w:t xml:space="preserve"> p</w:t>
      </w:r>
      <w:r w:rsidR="00790679" w:rsidRPr="00FE6B7F">
        <w:t xml:space="preserve">ublished or announced from time </w:t>
      </w:r>
      <w:r w:rsidR="00EC5738" w:rsidRPr="00FE6B7F">
        <w:t xml:space="preserve">to time by the </w:t>
      </w:r>
      <w:r w:rsidR="006C46D6" w:rsidRPr="00FE6B7F">
        <w:t>Secretary</w:t>
      </w:r>
      <w:r w:rsidR="00EC5738" w:rsidRPr="00FE6B7F">
        <w:t xml:space="preserve">, and </w:t>
      </w:r>
      <w:r w:rsidR="00135331" w:rsidRPr="00FE6B7F">
        <w:t>applies</w:t>
      </w:r>
      <w:r w:rsidR="00EC5738" w:rsidRPr="00FE6B7F">
        <w:t xml:space="preserve"> retrospectively for the period specified in the announcement (being </w:t>
      </w:r>
      <w:r w:rsidR="006C46D6" w:rsidRPr="00FE6B7F">
        <w:t>six</w:t>
      </w:r>
      <w:r w:rsidR="00EC5738" w:rsidRPr="00FE6B7F">
        <w:t xml:space="preserve"> months before the announcement).</w:t>
      </w:r>
    </w:p>
    <w:p w:rsidR="00EC5738" w:rsidRPr="00FE6B7F" w:rsidRDefault="00573FFC" w:rsidP="00FE6B7F">
      <w:pPr>
        <w:pStyle w:val="ListNumber2"/>
      </w:pPr>
      <w:r w:rsidRPr="00FE6B7F">
        <w:t>T</w:t>
      </w:r>
      <w:r w:rsidR="00EC5738" w:rsidRPr="00FE6B7F">
        <w:t xml:space="preserve">he </w:t>
      </w:r>
      <w:r w:rsidR="006C46D6" w:rsidRPr="00FE6B7F">
        <w:t>Secretary determine</w:t>
      </w:r>
      <w:r w:rsidR="00135331" w:rsidRPr="00FE6B7F">
        <w:t>s</w:t>
      </w:r>
      <w:r w:rsidR="006C46D6" w:rsidRPr="00FE6B7F">
        <w:t xml:space="preserve"> the </w:t>
      </w:r>
      <w:r w:rsidR="006E1B71" w:rsidRPr="00FE6B7F">
        <w:t xml:space="preserve">CRD factor </w:t>
      </w:r>
      <w:r w:rsidR="00EC5738" w:rsidRPr="00FE6B7F">
        <w:t xml:space="preserve">by converting a given </w:t>
      </w:r>
      <w:r w:rsidR="004D0985" w:rsidRPr="00FE6B7F">
        <w:t xml:space="preserve">present value </w:t>
      </w:r>
      <w:r w:rsidR="00EC5738" w:rsidRPr="00FE6B7F">
        <w:t xml:space="preserve">capital sum into a series of semi-annual annuities at </w:t>
      </w:r>
      <w:r w:rsidR="006E1B71" w:rsidRPr="00FE6B7F">
        <w:t>a prescribed</w:t>
      </w:r>
      <w:r w:rsidR="00EC5738" w:rsidRPr="00FE6B7F">
        <w:t xml:space="preserve"> rate of interest.</w:t>
      </w:r>
    </w:p>
    <w:p w:rsidR="00EC5738" w:rsidRPr="00A47864" w:rsidRDefault="00573FFC" w:rsidP="00FE6B7F">
      <w:pPr>
        <w:pStyle w:val="ListNumber2"/>
      </w:pPr>
      <w:r w:rsidRPr="00FE6B7F">
        <w:t>T</w:t>
      </w:r>
      <w:r w:rsidR="00EC5738" w:rsidRPr="00FE6B7F">
        <w:t xml:space="preserve">he </w:t>
      </w:r>
      <w:r w:rsidR="006E1B71" w:rsidRPr="00FE6B7F">
        <w:t>implicit</w:t>
      </w:r>
      <w:r w:rsidR="006C46D6" w:rsidRPr="00FE6B7F">
        <w:t xml:space="preserve"> interest</w:t>
      </w:r>
      <w:r w:rsidR="00EC5738" w:rsidRPr="00FE6B7F">
        <w:t xml:space="preserve"> rate </w:t>
      </w:r>
      <w:r w:rsidR="006E1B71" w:rsidRPr="00FE6B7F">
        <w:t>is</w:t>
      </w:r>
      <w:r w:rsidR="00EC5738" w:rsidRPr="00FE6B7F">
        <w:t xml:space="preserve"> the 10</w:t>
      </w:r>
      <w:r w:rsidRPr="00FE6B7F">
        <w:t xml:space="preserve"> </w:t>
      </w:r>
      <w:r w:rsidR="00EC5738" w:rsidRPr="00FE6B7F">
        <w:t>year bond</w:t>
      </w:r>
      <w:r w:rsidR="00EC5738" w:rsidRPr="00A47864">
        <w:t xml:space="preserve"> rate for Australian Federal Government securities</w:t>
      </w:r>
      <w:r w:rsidR="006E1B71" w:rsidRPr="00A47864">
        <w:t>, uplifted by 2 per cent</w:t>
      </w:r>
      <w:r w:rsidR="00EC5738" w:rsidRPr="00A47864">
        <w:t>.</w:t>
      </w:r>
    </w:p>
    <w:p w:rsidR="00941EEA" w:rsidRPr="00A47864" w:rsidRDefault="00573FFC" w:rsidP="00FE6B7F">
      <w:pPr>
        <w:pStyle w:val="ListNumber2"/>
      </w:pPr>
      <w:r w:rsidRPr="00A47864">
        <w:t>E</w:t>
      </w:r>
      <w:r w:rsidR="00EC5738" w:rsidRPr="00A47864">
        <w:t xml:space="preserve">ach item of ECAE </w:t>
      </w:r>
      <w:r w:rsidR="006E1B71" w:rsidRPr="00A47864">
        <w:t>is</w:t>
      </w:r>
      <w:r w:rsidR="00EC5738" w:rsidRPr="00A47864">
        <w:t xml:space="preserve"> allocated a period of years over which </w:t>
      </w:r>
      <w:r w:rsidR="006E1B71" w:rsidRPr="00A47864">
        <w:t>a</w:t>
      </w:r>
      <w:r w:rsidR="00EC5738" w:rsidRPr="00A47864">
        <w:t xml:space="preserve"> CRD will be allow</w:t>
      </w:r>
      <w:r w:rsidR="006E1B71" w:rsidRPr="00A47864">
        <w:t>ed. T</w:t>
      </w:r>
      <w:r w:rsidR="00EC5738" w:rsidRPr="00A47864">
        <w:t xml:space="preserve">his </w:t>
      </w:r>
      <w:r w:rsidR="006E1B71" w:rsidRPr="00A47864">
        <w:t xml:space="preserve">period </w:t>
      </w:r>
      <w:r w:rsidR="00EC5738" w:rsidRPr="00A47864">
        <w:t xml:space="preserve">will generally be </w:t>
      </w:r>
      <w:r w:rsidR="006E1B71" w:rsidRPr="00A47864">
        <w:t xml:space="preserve">aligned </w:t>
      </w:r>
      <w:r w:rsidR="00EC5738" w:rsidRPr="00A47864">
        <w:t xml:space="preserve">to </w:t>
      </w:r>
      <w:r w:rsidR="00EC5738" w:rsidRPr="00066C81">
        <w:t>the</w:t>
      </w:r>
      <w:r w:rsidR="00EC5738" w:rsidRPr="00A47864">
        <w:rPr>
          <w:i/>
        </w:rPr>
        <w:t xml:space="preserve"> </w:t>
      </w:r>
      <w:r w:rsidR="00EC5738" w:rsidRPr="00066C81">
        <w:rPr>
          <w:rStyle w:val="SubtleEmphasis"/>
        </w:rPr>
        <w:t xml:space="preserve">Income Tax Assessment Act 1936 </w:t>
      </w:r>
      <w:r w:rsidR="00EC5738" w:rsidRPr="00A47864">
        <w:t>(Cth) periods for depreciation. The CRD on ECAE is claimed over a period of 3, 5 or 10 years (</w:t>
      </w:r>
      <w:r w:rsidRPr="00A47864">
        <w:t>in accordance with the</w:t>
      </w:r>
      <w:r w:rsidR="00EC5738" w:rsidRPr="00A47864">
        <w:t xml:space="preserve"> </w:t>
      </w:r>
      <w:r w:rsidR="007918A7" w:rsidRPr="00A47864">
        <w:t>c</w:t>
      </w:r>
      <w:r w:rsidR="00EC5738" w:rsidRPr="00A47864">
        <w:t xml:space="preserve">apital </w:t>
      </w:r>
      <w:r w:rsidR="007918A7" w:rsidRPr="00A47864">
        <w:t>d</w:t>
      </w:r>
      <w:r w:rsidR="00EC5738" w:rsidRPr="00A47864">
        <w:t xml:space="preserve">eduction </w:t>
      </w:r>
      <w:r w:rsidR="007918A7" w:rsidRPr="00A47864">
        <w:t>l</w:t>
      </w:r>
      <w:r w:rsidR="00EC5738" w:rsidRPr="00A47864">
        <w:t xml:space="preserve">ife </w:t>
      </w:r>
      <w:r w:rsidR="007918A7" w:rsidRPr="00A47864">
        <w:t>s</w:t>
      </w:r>
      <w:r w:rsidR="00EC5738" w:rsidRPr="00A47864">
        <w:t xml:space="preserve">chedule set out </w:t>
      </w:r>
      <w:r w:rsidR="00573713" w:rsidRPr="00A47864">
        <w:t xml:space="preserve">in </w:t>
      </w:r>
      <w:r w:rsidR="00EC5738" w:rsidRPr="00A47864">
        <w:t xml:space="preserve">paragraphs </w:t>
      </w:r>
      <w:r w:rsidR="00EB202A" w:rsidRPr="00A47864">
        <w:t>3</w:t>
      </w:r>
      <w:r w:rsidR="00B938D7" w:rsidRPr="00A47864">
        <w:t>7</w:t>
      </w:r>
      <w:r w:rsidR="00EB202A" w:rsidRPr="00A47864">
        <w:t xml:space="preserve"> </w:t>
      </w:r>
      <w:r w:rsidRPr="00A47864">
        <w:t xml:space="preserve">to </w:t>
      </w:r>
      <w:r w:rsidR="00EB202A" w:rsidRPr="00A47864">
        <w:t>3</w:t>
      </w:r>
      <w:r w:rsidR="00B938D7" w:rsidRPr="00A47864">
        <w:t>8</w:t>
      </w:r>
      <w:r w:rsidR="00EB202A" w:rsidRPr="00A47864">
        <w:t xml:space="preserve"> </w:t>
      </w:r>
      <w:r w:rsidR="00573713" w:rsidRPr="00A47864">
        <w:t xml:space="preserve">of </w:t>
      </w:r>
      <w:bookmarkStart w:id="0" w:name="_GoBack"/>
      <w:bookmarkEnd w:id="0"/>
      <w:r w:rsidR="00941EEA" w:rsidRPr="00757471">
        <w:t>RG-MRA-006</w:t>
      </w:r>
      <w:r w:rsidR="00941EEA" w:rsidRPr="00AC0CA2">
        <w:t>:</w:t>
      </w:r>
      <w:r w:rsidR="00941EEA" w:rsidRPr="00A47864">
        <w:rPr>
          <w:i/>
        </w:rPr>
        <w:t xml:space="preserve"> </w:t>
      </w:r>
      <w:r w:rsidR="00941EEA" w:rsidRPr="00A47864">
        <w:t>Capital Recognition Deduction</w:t>
      </w:r>
      <w:r w:rsidRPr="00A47864">
        <w:t>)</w:t>
      </w:r>
      <w:r w:rsidR="00941EEA" w:rsidRPr="00A47864">
        <w:t xml:space="preserve">. </w:t>
      </w:r>
    </w:p>
    <w:p w:rsidR="00573713" w:rsidRPr="00A47864" w:rsidRDefault="00573713" w:rsidP="00FE6B7F">
      <w:pPr>
        <w:pStyle w:val="ListNumber2"/>
      </w:pPr>
      <w:r w:rsidRPr="00A47864">
        <w:t xml:space="preserve">CRD in respect of each item of ECAE </w:t>
      </w:r>
      <w:r w:rsidR="002013F0" w:rsidRPr="00A47864">
        <w:t>is</w:t>
      </w:r>
      <w:r w:rsidRPr="00A47864">
        <w:t xml:space="preserve"> an allowable deduction for a period not exceeding the period allowed for it</w:t>
      </w:r>
      <w:r w:rsidR="006E1B71" w:rsidRPr="00A47864">
        <w:t xml:space="preserve"> (as outlined in paragraph 3(5) above)</w:t>
      </w:r>
      <w:r w:rsidRPr="00A47864">
        <w:t>, whether that period is a period of uninterrupted use or the sum of fractional periods of use.</w:t>
      </w:r>
    </w:p>
    <w:p w:rsidR="00573713" w:rsidRPr="00A47864" w:rsidRDefault="00573FFC" w:rsidP="00FE6B7F">
      <w:pPr>
        <w:pStyle w:val="ListNumber2"/>
      </w:pPr>
      <w:r w:rsidRPr="00A47864">
        <w:t>W</w:t>
      </w:r>
      <w:r w:rsidR="00573713" w:rsidRPr="00A47864">
        <w:t xml:space="preserve">here an item of ECAE is sold </w:t>
      </w:r>
      <w:r w:rsidRPr="00A47864">
        <w:t xml:space="preserve">independently from </w:t>
      </w:r>
      <w:r w:rsidR="007918A7" w:rsidRPr="00A47864">
        <w:t xml:space="preserve">a </w:t>
      </w:r>
      <w:r w:rsidRPr="00A47864">
        <w:t xml:space="preserve">production unit, </w:t>
      </w:r>
      <w:r w:rsidR="00573713" w:rsidRPr="00A47864">
        <w:t xml:space="preserve">for a value different from </w:t>
      </w:r>
      <w:r w:rsidRPr="00A47864">
        <w:t>its written down value</w:t>
      </w:r>
      <w:r w:rsidR="00573713" w:rsidRPr="00A47864">
        <w:t xml:space="preserve">, and such sale is at arm’s length, the difference </w:t>
      </w:r>
      <w:r w:rsidR="006E1B71" w:rsidRPr="00A47864">
        <w:t>is recognised in determining</w:t>
      </w:r>
      <w:r w:rsidR="00573713" w:rsidRPr="00A47864">
        <w:t xml:space="preserve"> gross reali</w:t>
      </w:r>
      <w:r w:rsidR="002013F0" w:rsidRPr="00A47864">
        <w:t>z</w:t>
      </w:r>
      <w:r w:rsidR="00573713" w:rsidRPr="00A47864">
        <w:t>ation</w:t>
      </w:r>
      <w:r w:rsidR="006E1B71" w:rsidRPr="00A47864">
        <w:t>, for the purpose of calculating royalty liability</w:t>
      </w:r>
      <w:r w:rsidR="00EC2ED4" w:rsidRPr="00A47864">
        <w:t>.</w:t>
      </w:r>
    </w:p>
    <w:p w:rsidR="00EC2ED4" w:rsidRPr="00A47864" w:rsidRDefault="00941EEA" w:rsidP="00FE6B7F">
      <w:pPr>
        <w:pStyle w:val="ListNumber"/>
      </w:pPr>
      <w:r w:rsidRPr="00A47864">
        <w:t xml:space="preserve">The announcement </w:t>
      </w:r>
      <w:r w:rsidR="00EC2ED4" w:rsidRPr="00A47864">
        <w:t xml:space="preserve">of the factors to be used in calculating CRD and the period during which the factors will apply </w:t>
      </w:r>
      <w:r w:rsidRPr="00A47864">
        <w:t xml:space="preserve">is generally made </w:t>
      </w:r>
      <w:r w:rsidR="00FC4A57" w:rsidRPr="00A47864">
        <w:t xml:space="preserve">within a week </w:t>
      </w:r>
      <w:r w:rsidRPr="00A47864">
        <w:t xml:space="preserve">after the end of each </w:t>
      </w:r>
      <w:r w:rsidR="00F53266" w:rsidRPr="00A47864">
        <w:t xml:space="preserve">six </w:t>
      </w:r>
      <w:r w:rsidRPr="00A47864">
        <w:t>month period to allow royalty payers sufficient time to determine their royalty liabilities.</w:t>
      </w:r>
      <w:r w:rsidR="00EC2ED4" w:rsidRPr="00A47864">
        <w:t xml:space="preserve"> In default of</w:t>
      </w:r>
      <w:r w:rsidRPr="00A47864">
        <w:t xml:space="preserve"> the Secretary </w:t>
      </w:r>
      <w:r w:rsidR="00EC2ED4" w:rsidRPr="00A47864">
        <w:t>making</w:t>
      </w:r>
      <w:r w:rsidRPr="00A47864">
        <w:t xml:space="preserve"> an announcement </w:t>
      </w:r>
      <w:r w:rsidR="00EC2ED4" w:rsidRPr="00A47864">
        <w:t xml:space="preserve">within </w:t>
      </w:r>
      <w:r w:rsidRPr="00A47864">
        <w:t>12 months</w:t>
      </w:r>
      <w:r w:rsidR="00EC2ED4" w:rsidRPr="00A47864">
        <w:t xml:space="preserve"> of the </w:t>
      </w:r>
      <w:r w:rsidR="002013F0" w:rsidRPr="00A47864">
        <w:t>most recent</w:t>
      </w:r>
      <w:r w:rsidR="00EC2ED4" w:rsidRPr="00A47864">
        <w:t xml:space="preserve"> announcement</w:t>
      </w:r>
      <w:r w:rsidRPr="00A47864">
        <w:t>, the factors</w:t>
      </w:r>
      <w:r w:rsidR="00EC2ED4" w:rsidRPr="00A47864">
        <w:t xml:space="preserve"> announced in the </w:t>
      </w:r>
      <w:r w:rsidR="002013F0" w:rsidRPr="00A47864">
        <w:t>most recent</w:t>
      </w:r>
      <w:r w:rsidR="00EC2ED4" w:rsidRPr="00A47864">
        <w:t xml:space="preserve"> announcement</w:t>
      </w:r>
      <w:r w:rsidRPr="00A47864">
        <w:t xml:space="preserve"> shall continue to apply in the next consecutive </w:t>
      </w:r>
      <w:r w:rsidR="002013F0" w:rsidRPr="00A47864">
        <w:t xml:space="preserve">six </w:t>
      </w:r>
      <w:r w:rsidR="009F19B3" w:rsidRPr="00A47864">
        <w:t xml:space="preserve">month </w:t>
      </w:r>
      <w:r w:rsidRPr="00A47864">
        <w:t>periods until the Secretary</w:t>
      </w:r>
      <w:r w:rsidR="009F19B3" w:rsidRPr="00A47864">
        <w:t xml:space="preserve"> </w:t>
      </w:r>
      <w:r w:rsidR="00EC2ED4" w:rsidRPr="00A47864">
        <w:t xml:space="preserve">makes a new </w:t>
      </w:r>
      <w:r w:rsidR="009F19B3" w:rsidRPr="00A47864">
        <w:t>announce</w:t>
      </w:r>
      <w:r w:rsidR="002013F0" w:rsidRPr="00A47864">
        <w:t>ment of</w:t>
      </w:r>
      <w:r w:rsidR="00EC2ED4" w:rsidRPr="00A47864">
        <w:t xml:space="preserve"> </w:t>
      </w:r>
      <w:r w:rsidR="002013F0" w:rsidRPr="00A47864">
        <w:t>the</w:t>
      </w:r>
      <w:r w:rsidR="009F19B3" w:rsidRPr="00A47864">
        <w:t xml:space="preserve"> </w:t>
      </w:r>
      <w:r w:rsidR="00EC2ED4" w:rsidRPr="00A47864">
        <w:t>factors</w:t>
      </w:r>
      <w:r w:rsidR="002013F0" w:rsidRPr="00A47864">
        <w:t xml:space="preserve"> and periods</w:t>
      </w:r>
      <w:r w:rsidRPr="00A47864">
        <w:t xml:space="preserve">. </w:t>
      </w:r>
    </w:p>
    <w:p w:rsidR="00941EEA" w:rsidRPr="00A47864" w:rsidRDefault="00EC2ED4" w:rsidP="00FE6B7F">
      <w:pPr>
        <w:pStyle w:val="ListNumber"/>
      </w:pPr>
      <w:r w:rsidRPr="00A47864">
        <w:t>A</w:t>
      </w:r>
      <w:r w:rsidR="00941EEA" w:rsidRPr="00A47864">
        <w:t>nnouncement</w:t>
      </w:r>
      <w:r w:rsidRPr="00A47864">
        <w:t>s of the factors to be used in calculating CRD and the period during which the</w:t>
      </w:r>
      <w:r w:rsidR="00162DD4" w:rsidRPr="00A47864">
        <w:t>y</w:t>
      </w:r>
      <w:r w:rsidRPr="00A47864">
        <w:t xml:space="preserve"> </w:t>
      </w:r>
      <w:r w:rsidR="00F53266" w:rsidRPr="00A47864">
        <w:t xml:space="preserve">apply </w:t>
      </w:r>
      <w:r w:rsidRPr="00A47864">
        <w:t xml:space="preserve">will be made in the form of a </w:t>
      </w:r>
      <w:r w:rsidR="00F53266" w:rsidRPr="00A47864">
        <w:t>G</w:t>
      </w:r>
      <w:r w:rsidRPr="00A47864">
        <w:t xml:space="preserve">uideline, to the extent that it is capable of being a </w:t>
      </w:r>
      <w:r w:rsidR="00F53266" w:rsidRPr="00A47864">
        <w:t>G</w:t>
      </w:r>
      <w:r w:rsidRPr="00A47864">
        <w:t xml:space="preserve">uideline in terms of section 4E of the MRA, for the purposes of the MRA </w:t>
      </w:r>
      <w:r w:rsidR="00941EEA" w:rsidRPr="00A47864">
        <w:t xml:space="preserve">and </w:t>
      </w:r>
      <w:r w:rsidR="00F53266" w:rsidRPr="00A47864">
        <w:t>will be made</w:t>
      </w:r>
      <w:r w:rsidRPr="00A47864">
        <w:t xml:space="preserve"> </w:t>
      </w:r>
      <w:r w:rsidR="00573FFC" w:rsidRPr="00A47864">
        <w:t xml:space="preserve">publicly </w:t>
      </w:r>
      <w:r w:rsidR="00941EEA" w:rsidRPr="00A47864">
        <w:t xml:space="preserve">available online at </w:t>
      </w:r>
      <w:hyperlink r:id="rId10" w:history="1">
        <w:r w:rsidR="0058186A" w:rsidRPr="00A47864">
          <w:rPr>
            <w:rStyle w:val="Hyperlink"/>
          </w:rPr>
          <w:t>www.revenue.nt.gov.au</w:t>
        </w:r>
      </w:hyperlink>
      <w:r w:rsidR="00941EEA" w:rsidRPr="00A47864">
        <w:t>.</w:t>
      </w:r>
      <w:r w:rsidRPr="00A47864">
        <w:t xml:space="preserve"> </w:t>
      </w:r>
    </w:p>
    <w:p w:rsidR="00941EEA" w:rsidRPr="00A47864" w:rsidRDefault="00941EEA" w:rsidP="00066C81">
      <w:pPr>
        <w:pStyle w:val="Heading1"/>
      </w:pPr>
      <w:r w:rsidRPr="00A47864">
        <w:t xml:space="preserve">Factors to be used in calculating </w:t>
      </w:r>
      <w:r w:rsidR="00F53266" w:rsidRPr="00A47864">
        <w:t>CRD</w:t>
      </w:r>
      <w:r w:rsidR="009D7AA7" w:rsidRPr="00A47864">
        <w:t xml:space="preserve"> and the periods during which the factors apply</w:t>
      </w:r>
    </w:p>
    <w:p w:rsidR="00D9680C" w:rsidRPr="00A47864" w:rsidRDefault="00941EEA" w:rsidP="00FE6B7F">
      <w:pPr>
        <w:pStyle w:val="ListNumber"/>
      </w:pPr>
      <w:r w:rsidRPr="00A47864">
        <w:t>The factors</w:t>
      </w:r>
      <w:r w:rsidR="00F53266" w:rsidRPr="00A47864">
        <w:t>,</w:t>
      </w:r>
      <w:r w:rsidR="009D7AA7" w:rsidRPr="00A47864">
        <w:t xml:space="preserve"> the periods during which the factors apply and the period of years over which the CRD will be allowable </w:t>
      </w:r>
      <w:r w:rsidR="00F53266" w:rsidRPr="00A47864">
        <w:t xml:space="preserve">that </w:t>
      </w:r>
      <w:r w:rsidRPr="00A47864">
        <w:t xml:space="preserve">are </w:t>
      </w:r>
      <w:r w:rsidR="005B3594" w:rsidRPr="00A47864">
        <w:t xml:space="preserve">to be taken into account for </w:t>
      </w:r>
      <w:r w:rsidR="00F53266" w:rsidRPr="00A47864">
        <w:t>the purposes of calculating CRD,</w:t>
      </w:r>
      <w:r w:rsidR="005B3594" w:rsidRPr="00A47864">
        <w:t xml:space="preserve"> are </w:t>
      </w:r>
      <w:r w:rsidR="009D7AA7" w:rsidRPr="00A47864">
        <w:t>presented in tabular form</w:t>
      </w:r>
      <w:r w:rsidR="00162DD4" w:rsidRPr="00A47864">
        <w:t xml:space="preserve"> on page 3</w:t>
      </w:r>
      <w:r w:rsidRPr="00A47864">
        <w:t>:</w:t>
      </w:r>
    </w:p>
    <w:p w:rsidR="00D9680C" w:rsidRPr="00A47864" w:rsidRDefault="00D9680C" w:rsidP="00066C81">
      <w:r w:rsidRPr="00A4786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2047"/>
        <w:gridCol w:w="2181"/>
        <w:gridCol w:w="2181"/>
      </w:tblGrid>
      <w:tr w:rsidR="00BE3347" w:rsidRPr="00A47864" w:rsidTr="00FE6B7F">
        <w:trPr>
          <w:trHeight w:val="445"/>
        </w:trPr>
        <w:tc>
          <w:tcPr>
            <w:tcW w:w="2312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"/>
            </w:pPr>
            <w:r w:rsidRPr="00A47864">
              <w:lastRenderedPageBreak/>
              <w:br w:type="page"/>
              <w:t xml:space="preserve"> CRD PERIOD</w:t>
            </w:r>
          </w:p>
        </w:tc>
        <w:tc>
          <w:tcPr>
            <w:tcW w:w="2047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3 YEARS</w:t>
            </w:r>
          </w:p>
        </w:tc>
        <w:tc>
          <w:tcPr>
            <w:tcW w:w="2181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5 YEARS</w:t>
            </w:r>
          </w:p>
        </w:tc>
        <w:tc>
          <w:tcPr>
            <w:tcW w:w="2181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10 YEARS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876C4E" w:rsidP="00FE6B7F">
            <w:pPr>
              <w:pStyle w:val="Tabletext"/>
            </w:pPr>
            <w:r w:rsidRPr="00FE6B7F">
              <w:t>1 Jan to 30</w:t>
            </w:r>
            <w:r w:rsidR="00E807D8" w:rsidRPr="00FE6B7F">
              <w:t xml:space="preserve"> Jun 2019</w:t>
            </w:r>
          </w:p>
          <w:p w:rsidR="00BE3347" w:rsidRPr="00FE6B7F" w:rsidRDefault="00EB6ED1" w:rsidP="00FE6B7F">
            <w:pPr>
              <w:pStyle w:val="Tabletext"/>
            </w:pPr>
            <w:r w:rsidRPr="00FE6B7F">
              <w:t>1 Jul to 31 Dec 2018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0.17815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0.18038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0.11097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0.11312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0.06080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0.06298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2018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2017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0.18082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0.18048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0.11355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0.11322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0.06342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0.06308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2017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2016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0.18044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0.17915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0.11318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0.11193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0.06304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0.06177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2016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2015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0.17988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0.18086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0.11264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0.11359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0.06249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0.06346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2015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2014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0.18048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0.18256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0.11323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0.11523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0.06309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0.06515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2014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2013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0.18454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0.18456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0.11718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0.11719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0.06717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0.06717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2013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2012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0.18276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0.18180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0.11544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0.11450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0.06536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0.06440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2012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2011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0.18360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0.18561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0.11625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0.11823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0.06620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0.06825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2011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2010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0.18918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0.18814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0.12172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0.12070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0.07192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0.07085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2010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2009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0.18941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0.18911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0.12196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0.12166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0.07217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0.07185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2009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2008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0.18582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0.19004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0.11843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0.12258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0.06847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0.07283</w:t>
            </w:r>
          </w:p>
        </w:tc>
      </w:tr>
    </w:tbl>
    <w:p w:rsidR="00066C81" w:rsidRPr="00066C81" w:rsidRDefault="006C5BEE" w:rsidP="00066C81">
      <w:pPr>
        <w:pStyle w:val="Heading1"/>
        <w:rPr>
          <w:rFonts w:eastAsia="Times New Roman"/>
          <w:kern w:val="32"/>
        </w:rPr>
      </w:pPr>
      <w:r w:rsidRPr="00A47864">
        <w:br w:type="page"/>
      </w:r>
      <w:r w:rsidR="00066C81" w:rsidRPr="00066C81">
        <w:rPr>
          <w:rFonts w:eastAsia="Times New Roman"/>
          <w:kern w:val="32"/>
        </w:rPr>
        <w:lastRenderedPageBreak/>
        <w:t>MRA publications</w:t>
      </w:r>
    </w:p>
    <w:p w:rsidR="00815A12" w:rsidRPr="00235988" w:rsidRDefault="00815A12" w:rsidP="00815A12">
      <w:pPr>
        <w:pStyle w:val="ListNumber"/>
        <w:tabs>
          <w:tab w:val="clear" w:pos="567"/>
          <w:tab w:val="num" w:pos="425"/>
        </w:tabs>
      </w:pPr>
      <w:r w:rsidRPr="00235988">
        <w:t xml:space="preserve">Guideline </w:t>
      </w:r>
      <w:hyperlink r:id="rId11" w:history="1">
        <w:r w:rsidRPr="00BA1AB0">
          <w:rPr>
            <w:rStyle w:val="Hyperlink"/>
          </w:rPr>
          <w:t>RG-MRA-001</w:t>
        </w:r>
      </w:hyperlink>
      <w:r w:rsidRPr="00BA1AB0">
        <w:t>: Guidelines and Advance Opinions</w:t>
      </w:r>
      <w:r w:rsidRPr="00235988">
        <w:t>, which sets out information on the Guideline system, is incorporated into and read as one with this Guideline.</w:t>
      </w:r>
    </w:p>
    <w:p w:rsidR="00815A12" w:rsidRPr="009E05CC" w:rsidRDefault="00815A12" w:rsidP="00815A12"/>
    <w:p w:rsidR="00815A12" w:rsidRPr="009E05CC" w:rsidRDefault="00815A12" w:rsidP="00815A12">
      <w:r>
        <w:rPr>
          <w:noProof/>
          <w:lang w:eastAsia="en-AU"/>
        </w:rPr>
        <w:drawing>
          <wp:inline distT="0" distB="0" distL="0" distR="0" wp14:anchorId="4750947B" wp14:editId="795D094C">
            <wp:extent cx="1570355" cy="515620"/>
            <wp:effectExtent l="0" t="0" r="0" b="0"/>
            <wp:docPr id="3" name="Picture 3" descr="Commissioner's signature: Michael Butl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ommissioner's signature: Michael Butl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A12" w:rsidRPr="009E05CC" w:rsidRDefault="00815A12" w:rsidP="00815A12">
      <w:r w:rsidRPr="009E05CC">
        <w:t xml:space="preserve">Michael Butler </w:t>
      </w:r>
      <w:r>
        <w:br/>
      </w:r>
      <w:r w:rsidRPr="009E05CC">
        <w:t>Secretary</w:t>
      </w:r>
      <w:r>
        <w:br/>
      </w:r>
      <w:r w:rsidRPr="009E05CC">
        <w:t>Date of Issue: 1 July 2019</w:t>
      </w:r>
    </w:p>
    <w:p w:rsidR="00815A12" w:rsidRPr="009E05CC" w:rsidRDefault="00815A12" w:rsidP="00815A12"/>
    <w:p w:rsidR="00815A12" w:rsidRPr="00B91230" w:rsidRDefault="00815A12" w:rsidP="00815A12">
      <w:r w:rsidRPr="00B91230">
        <w:t>For further information, please contact the Territory Revenue Office:</w:t>
      </w:r>
    </w:p>
    <w:p w:rsidR="00815A12" w:rsidRPr="00235988" w:rsidRDefault="00815A12" w:rsidP="00815A12">
      <w:r w:rsidRPr="00B91230">
        <w:t>GPO Box 154</w:t>
      </w:r>
      <w:r>
        <w:br/>
      </w:r>
      <w:r w:rsidRPr="00B91230">
        <w:t>Darwin NT 0801</w:t>
      </w:r>
      <w:r>
        <w:br/>
      </w:r>
      <w:r w:rsidRPr="00B91230">
        <w:t xml:space="preserve">Email: </w:t>
      </w:r>
      <w:hyperlink r:id="rId13" w:history="1">
        <w:r w:rsidRPr="008069D9">
          <w:rPr>
            <w:rStyle w:val="Hyperlink"/>
          </w:rPr>
          <w:t>ntrevenue@nt.gov.au</w:t>
        </w:r>
      </w:hyperlink>
      <w:r w:rsidRPr="00B91230">
        <w:t xml:space="preserve"> </w:t>
      </w:r>
      <w:r>
        <w:br/>
      </w:r>
      <w:r w:rsidRPr="00B91230">
        <w:t>Phone: 1300 305 353</w:t>
      </w:r>
      <w:r>
        <w:br/>
      </w:r>
      <w:r w:rsidRPr="00B91230">
        <w:t xml:space="preserve">Website: </w:t>
      </w:r>
      <w:hyperlink r:id="rId14" w:history="1">
        <w:r w:rsidRPr="00D42500">
          <w:rPr>
            <w:rStyle w:val="Hyperlink"/>
          </w:rPr>
          <w:t>www.revenue.nt.gov.au</w:t>
        </w:r>
      </w:hyperlink>
    </w:p>
    <w:p w:rsidR="006034B6" w:rsidRPr="00066C81" w:rsidRDefault="006034B6" w:rsidP="00FE6B7F">
      <w:pPr>
        <w:rPr>
          <w:rFonts w:cs="Times New Roman"/>
          <w:szCs w:val="22"/>
        </w:rPr>
      </w:pPr>
    </w:p>
    <w:sectPr w:rsidR="006034B6" w:rsidRPr="00066C81" w:rsidSect="00B938D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644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C6" w:rsidRDefault="000478C6" w:rsidP="00066C81">
      <w:r>
        <w:separator/>
      </w:r>
    </w:p>
  </w:endnote>
  <w:endnote w:type="continuationSeparator" w:id="0">
    <w:p w:rsidR="000478C6" w:rsidRDefault="000478C6" w:rsidP="0006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64" w:rsidRPr="00AE306C" w:rsidRDefault="000478C6" w:rsidP="00066C81">
    <w:r>
      <w:pict>
        <v:rect id="_x0000_i1025" style="width:481.9pt;height:.5pt" o:hralign="center" o:hrstd="t" o:hrnoshade="t" o:hr="t" fillcolor="black [3213]" stroked="f"/>
      </w:pict>
    </w:r>
  </w:p>
  <w:p w:rsidR="00A47864" w:rsidRPr="00A47864" w:rsidRDefault="00A47864" w:rsidP="00066C81">
    <w:pPr>
      <w:pStyle w:val="NTGFooter2deptpagenum"/>
    </w:pPr>
    <w:r w:rsidRPr="00A47864">
      <w:rPr>
        <w:rStyle w:val="NTGFooterDepartmentofChar"/>
        <w:sz w:val="20"/>
        <w:szCs w:val="20"/>
      </w:rPr>
      <w:fldChar w:fldCharType="begin"/>
    </w:r>
    <w:r w:rsidRPr="00A47864">
      <w:rPr>
        <w:rStyle w:val="NTGFooterDepartmentofChar"/>
        <w:sz w:val="20"/>
        <w:szCs w:val="20"/>
      </w:rPr>
      <w:instrText xml:space="preserve"> DOCPROPERTY  DepartmentOf  \* MERGEFORMAT </w:instrText>
    </w:r>
    <w:r w:rsidRPr="00A47864">
      <w:rPr>
        <w:rStyle w:val="NTGFooterDepartmentofChar"/>
        <w:sz w:val="20"/>
        <w:szCs w:val="20"/>
      </w:rPr>
      <w:fldChar w:fldCharType="separate"/>
    </w:r>
    <w:r w:rsidRPr="00A47864">
      <w:rPr>
        <w:rStyle w:val="NTGFooterDepartmentofChar"/>
        <w:sz w:val="20"/>
        <w:szCs w:val="20"/>
      </w:rPr>
      <w:t xml:space="preserve">Department of </w:t>
    </w:r>
    <w:r w:rsidRPr="00A47864">
      <w:rPr>
        <w:rStyle w:val="NTGFooterDepartmentofChar"/>
        <w:sz w:val="20"/>
        <w:szCs w:val="20"/>
      </w:rPr>
      <w:fldChar w:fldCharType="end"/>
    </w:r>
    <w:r w:rsidRPr="00A47864">
      <w:rPr>
        <w:rStyle w:val="NTGFooterDepartmentNameChar"/>
        <w:sz w:val="20"/>
        <w:szCs w:val="20"/>
      </w:rPr>
      <w:fldChar w:fldCharType="begin"/>
    </w:r>
    <w:r w:rsidRPr="00A47864">
      <w:rPr>
        <w:rStyle w:val="NTGFooterDepartmentNameChar"/>
        <w:sz w:val="20"/>
        <w:szCs w:val="20"/>
      </w:rPr>
      <w:instrText xml:space="preserve"> DOCPROPERTY  DepartmentName  \* MERGEFORMAT </w:instrText>
    </w:r>
    <w:r w:rsidRPr="00A47864">
      <w:rPr>
        <w:rStyle w:val="NTGFooterDepartmentNameChar"/>
        <w:sz w:val="20"/>
        <w:szCs w:val="20"/>
      </w:rPr>
      <w:fldChar w:fldCharType="separate"/>
    </w:r>
    <w:r w:rsidRPr="00A47864">
      <w:rPr>
        <w:rStyle w:val="NTGFooterDepartmentNameChar"/>
        <w:sz w:val="20"/>
        <w:szCs w:val="20"/>
      </w:rPr>
      <w:t>Treasury and Finance</w:t>
    </w:r>
    <w:r w:rsidRPr="00A47864">
      <w:rPr>
        <w:rStyle w:val="NTGFooterDepartmentNameChar"/>
        <w:sz w:val="20"/>
        <w:szCs w:val="20"/>
      </w:rPr>
      <w:fldChar w:fldCharType="end"/>
    </w:r>
    <w:r w:rsidRPr="00A47864">
      <w:tab/>
    </w:r>
    <w:r w:rsidRPr="00A47864">
      <w:rPr>
        <w:rStyle w:val="NTGFooter2deptpagenumChar"/>
        <w:szCs w:val="20"/>
      </w:rPr>
      <w:t xml:space="preserve">Page </w:t>
    </w:r>
    <w:r w:rsidRPr="00A47864">
      <w:rPr>
        <w:rStyle w:val="NTGFooter2deptpagenumChar"/>
        <w:szCs w:val="20"/>
      </w:rPr>
      <w:fldChar w:fldCharType="begin"/>
    </w:r>
    <w:r w:rsidRPr="00A47864">
      <w:rPr>
        <w:rStyle w:val="NTGFooter2deptpagenumChar"/>
        <w:szCs w:val="20"/>
      </w:rPr>
      <w:instrText xml:space="preserve"> PAGE  \* Arabic  \* MERGEFORMAT </w:instrText>
    </w:r>
    <w:r w:rsidRPr="00A47864">
      <w:rPr>
        <w:rStyle w:val="NTGFooter2deptpagenumChar"/>
        <w:szCs w:val="20"/>
      </w:rPr>
      <w:fldChar w:fldCharType="separate"/>
    </w:r>
    <w:r w:rsidR="00757471">
      <w:rPr>
        <w:rStyle w:val="NTGFooter2deptpagenumChar"/>
        <w:noProof/>
        <w:szCs w:val="20"/>
      </w:rPr>
      <w:t>4</w:t>
    </w:r>
    <w:r w:rsidRPr="00A47864">
      <w:rPr>
        <w:rStyle w:val="NTGFooter2deptpagenumChar"/>
        <w:szCs w:val="20"/>
      </w:rPr>
      <w:fldChar w:fldCharType="end"/>
    </w:r>
    <w:r w:rsidRPr="00A47864">
      <w:rPr>
        <w:rStyle w:val="NTGFooter2deptpagenumChar"/>
        <w:szCs w:val="20"/>
      </w:rPr>
      <w:t xml:space="preserve"> of </w:t>
    </w:r>
    <w:r w:rsidRPr="00A47864">
      <w:rPr>
        <w:rStyle w:val="NTGFooter2deptpagenumChar"/>
        <w:szCs w:val="20"/>
      </w:rPr>
      <w:fldChar w:fldCharType="begin"/>
    </w:r>
    <w:r w:rsidRPr="00A47864">
      <w:rPr>
        <w:rStyle w:val="NTGFooter2deptpagenumChar"/>
        <w:szCs w:val="20"/>
      </w:rPr>
      <w:instrText xml:space="preserve"> NUMPAGES  \* Arabic  \* MERGEFORMAT </w:instrText>
    </w:r>
    <w:r w:rsidRPr="00A47864">
      <w:rPr>
        <w:rStyle w:val="NTGFooter2deptpagenumChar"/>
        <w:szCs w:val="20"/>
      </w:rPr>
      <w:fldChar w:fldCharType="separate"/>
    </w:r>
    <w:r w:rsidR="00757471">
      <w:rPr>
        <w:rStyle w:val="NTGFooter2deptpagenumChar"/>
        <w:noProof/>
        <w:szCs w:val="20"/>
      </w:rPr>
      <w:t>4</w:t>
    </w:r>
    <w:r w:rsidRPr="00A47864">
      <w:rPr>
        <w:rStyle w:val="NTGFooter2deptpagenumChar"/>
        <w:szCs w:val="20"/>
      </w:rPr>
      <w:fldChar w:fldCharType="end"/>
    </w:r>
  </w:p>
  <w:p w:rsidR="00400B27" w:rsidRDefault="00400B27" w:rsidP="00FE6B7F">
    <w:pPr>
      <w:pStyle w:val="NTGFooter2deptpagenu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67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268"/>
    </w:tblGrid>
    <w:tr w:rsidR="00186053" w:rsidRPr="001E14EB" w:rsidTr="00FE71F3">
      <w:trPr>
        <w:cantSplit/>
        <w:trHeight w:hRule="exact" w:val="1400"/>
        <w:tblHeader/>
      </w:trPr>
      <w:tc>
        <w:tcPr>
          <w:tcW w:w="7655" w:type="dxa"/>
          <w:shd w:val="clear" w:color="auto" w:fill="auto"/>
          <w:vAlign w:val="center"/>
        </w:tcPr>
        <w:p w:rsidR="0022439E" w:rsidRPr="00705C9D" w:rsidRDefault="0065149C" w:rsidP="00066C81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22439E" w:rsidRPr="0022439E">
            <w:rPr>
              <w:rStyle w:val="NTGFooterDepartmentNameChar"/>
            </w:rPr>
            <w:t>TREASURY AND FINANCE</w:t>
          </w:r>
        </w:p>
        <w:p w:rsidR="00186053" w:rsidRPr="007B5DA2" w:rsidRDefault="00186053" w:rsidP="00066C81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757471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A47864">
            <w:rPr>
              <w:noProof/>
            </w:rPr>
            <w:fldChar w:fldCharType="begin"/>
          </w:r>
          <w:r w:rsidR="00A47864">
            <w:rPr>
              <w:noProof/>
            </w:rPr>
            <w:instrText xml:space="preserve"> NUMPAGES  \* Arabic  \* MERGEFORMAT </w:instrText>
          </w:r>
          <w:r w:rsidR="00A47864">
            <w:rPr>
              <w:noProof/>
            </w:rPr>
            <w:fldChar w:fldCharType="separate"/>
          </w:r>
          <w:r w:rsidR="00757471">
            <w:rPr>
              <w:noProof/>
            </w:rPr>
            <w:t>4</w:t>
          </w:r>
          <w:r w:rsidR="00A47864">
            <w:rPr>
              <w:noProof/>
            </w:rPr>
            <w:fldChar w:fldCharType="end"/>
          </w:r>
          <w:r w:rsidRPr="007B5DA2">
            <w:tab/>
          </w:r>
        </w:p>
      </w:tc>
      <w:tc>
        <w:tcPr>
          <w:tcW w:w="2268" w:type="dxa"/>
          <w:shd w:val="clear" w:color="auto" w:fill="auto"/>
          <w:vAlign w:val="center"/>
        </w:tcPr>
        <w:p w:rsidR="00186053" w:rsidRPr="001E14EB" w:rsidRDefault="004D6A0C" w:rsidP="00066C81">
          <w:r w:rsidRPr="000F6712">
            <w:rPr>
              <w:noProof/>
              <w:lang w:eastAsia="en-AU"/>
            </w:rPr>
            <w:drawing>
              <wp:inline distT="0" distB="0" distL="0" distR="0">
                <wp:extent cx="1343025" cy="485775"/>
                <wp:effectExtent l="0" t="0" r="0" b="0"/>
                <wp:docPr id="2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rthern Territory Govern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1375" w:rsidRPr="006034B6" w:rsidRDefault="006F1375" w:rsidP="00066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C6" w:rsidRDefault="000478C6" w:rsidP="00066C81">
      <w:r>
        <w:separator/>
      </w:r>
    </w:p>
  </w:footnote>
  <w:footnote w:type="continuationSeparator" w:id="0">
    <w:p w:rsidR="000478C6" w:rsidRDefault="000478C6" w:rsidP="0006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75" w:rsidRDefault="006F1375" w:rsidP="00066C8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1375" w:rsidRDefault="006F1375" w:rsidP="00066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53" w:rsidRPr="00A06368" w:rsidRDefault="000478C6" w:rsidP="00A06368">
    <w:pPr>
      <w:pStyle w:val="Header"/>
      <w:jc w:val="right"/>
      <w:rPr>
        <w:b/>
      </w:rPr>
    </w:pPr>
    <w:sdt>
      <w:sdtPr>
        <w:rPr>
          <w:b/>
        </w:rPr>
        <w:alias w:val="Title"/>
        <w:tag w:val=""/>
        <w:id w:val="-147284720"/>
        <w:placeholder>
          <w:docPart w:val="E137B37C230849D9BD67E72881A3FE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9680C" w:rsidRPr="00A06368">
          <w:rPr>
            <w:b/>
          </w:rPr>
          <w:t>Mineral Royalty Act: Royalty Guideline – RG-MRA-007 CRD Factors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75" w:rsidRPr="00D9680C" w:rsidRDefault="00D9680C" w:rsidP="00D9680C">
    <w:pPr>
      <w:pStyle w:val="Title"/>
      <w:rPr>
        <w:b w:val="0"/>
      </w:rPr>
    </w:pPr>
    <w:r w:rsidRPr="00D9680C">
      <w:rPr>
        <w:b w:val="0"/>
      </w:rPr>
      <w:t>Mineral Royalty Act:</w:t>
    </w:r>
    <w:r>
      <w:rPr>
        <w:b w:val="0"/>
      </w:rPr>
      <w:t xml:space="preserve"> </w:t>
    </w:r>
    <w:r w:rsidR="000A28EE" w:rsidRPr="00D9680C">
      <w:rPr>
        <w:b w:val="0"/>
      </w:rPr>
      <w:t>Royalty Guideline</w:t>
    </w:r>
    <w:r>
      <w:rPr>
        <w:b w:val="0"/>
      </w:rPr>
      <w:t xml:space="preserve"> – </w:t>
    </w:r>
    <w:r>
      <w:rPr>
        <w:b w:val="0"/>
      </w:rPr>
      <w:br/>
      <w:t>RG-MRA-007 CRD Factors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BEB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56CD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237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4EE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A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A2CF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D8B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E9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4CB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2855"/>
    <w:multiLevelType w:val="multilevel"/>
    <w:tmpl w:val="1F660554"/>
    <w:lvl w:ilvl="0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hint="default"/>
      </w:rPr>
    </w:lvl>
  </w:abstractNum>
  <w:abstractNum w:abstractNumId="11" w15:restartNumberingAfterBreak="0">
    <w:nsid w:val="02D310B8"/>
    <w:multiLevelType w:val="multilevel"/>
    <w:tmpl w:val="6DA2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593059"/>
    <w:multiLevelType w:val="multilevel"/>
    <w:tmpl w:val="551A23C2"/>
    <w:numStyleLink w:val="Text"/>
  </w:abstractNum>
  <w:abstractNum w:abstractNumId="13" w15:restartNumberingAfterBreak="0">
    <w:nsid w:val="11E40CD2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6A8633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 w15:restartNumberingAfterBreak="0">
    <w:nsid w:val="1A6C545F"/>
    <w:multiLevelType w:val="hybridMultilevel"/>
    <w:tmpl w:val="145699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7373C2"/>
    <w:multiLevelType w:val="hybridMultilevel"/>
    <w:tmpl w:val="74E28720"/>
    <w:lvl w:ilvl="0" w:tplc="516C2B0E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03CE7"/>
    <w:multiLevelType w:val="multilevel"/>
    <w:tmpl w:val="551A23C2"/>
    <w:styleLink w:val="Text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37EB732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B2D7D71"/>
    <w:multiLevelType w:val="multilevel"/>
    <w:tmpl w:val="BB74D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3F0D1A6E"/>
    <w:multiLevelType w:val="multilevel"/>
    <w:tmpl w:val="74F6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B51D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2" w15:restartNumberingAfterBreak="0">
    <w:nsid w:val="4A167D1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C8D79B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93B69B9"/>
    <w:multiLevelType w:val="multilevel"/>
    <w:tmpl w:val="4BCC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7294591F"/>
    <w:multiLevelType w:val="multilevel"/>
    <w:tmpl w:val="551A23C2"/>
    <w:numStyleLink w:val="Text"/>
  </w:abstractNum>
  <w:abstractNum w:abstractNumId="26" w15:restartNumberingAfterBreak="0">
    <w:nsid w:val="7D2E2ED9"/>
    <w:multiLevelType w:val="hybridMultilevel"/>
    <w:tmpl w:val="463E329C"/>
    <w:lvl w:ilvl="0" w:tplc="5D505326">
      <w:start w:val="1"/>
      <w:numFmt w:val="decimal"/>
      <w:lvlText w:val="(%1)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54"/>
        </w:tabs>
        <w:ind w:left="31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upperLetter"/>
        <w:lvlRestart w:val="0"/>
        <w:pStyle w:val="ListNumber2"/>
        <w:lvlText w:val="%2.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276"/>
          </w:tabs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11"/>
  </w:num>
  <w:num w:numId="5">
    <w:abstractNumId w:val="12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3"/>
  </w:num>
  <w:num w:numId="11">
    <w:abstractNumId w:val="23"/>
  </w:num>
  <w:num w:numId="12">
    <w:abstractNumId w:val="26"/>
  </w:num>
  <w:num w:numId="13">
    <w:abstractNumId w:val="17"/>
  </w:num>
  <w:num w:numId="14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985"/>
          </w:tabs>
          <w:ind w:left="1985" w:hanging="851"/>
        </w:pPr>
      </w:lvl>
    </w:lvlOverride>
    <w:lvlOverride w:ilvl="3">
      <w:lvl w:ilvl="3">
        <w:start w:val="1"/>
        <w:numFmt w:val="lowerRoman"/>
        <w:lvlRestart w:val="0"/>
        <w:lvlText w:val="%1(%2)(%3)(%4)"/>
        <w:lvlJc w:val="left"/>
        <w:pPr>
          <w:tabs>
            <w:tab w:val="num" w:pos="2948"/>
          </w:tabs>
          <w:ind w:left="2948" w:hanging="963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15">
    <w:abstractNumId w:val="16"/>
  </w:num>
  <w:num w:numId="16">
    <w:abstractNumId w:val="17"/>
    <w:lvlOverride w:ilvl="0">
      <w:lvl w:ilvl="0">
        <w:start w:val="1"/>
        <w:numFmt w:val="decimal"/>
        <w:pStyle w:val="ListNumber"/>
        <w:lvlText w:val="(%1)"/>
        <w:lvlJc w:val="left"/>
        <w:pPr>
          <w:ind w:left="785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505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225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945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65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85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105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825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545" w:hanging="180"/>
        </w:pPr>
      </w:lvl>
    </w:lvlOverride>
  </w:num>
  <w:num w:numId="17">
    <w:abstractNumId w:val="10"/>
  </w:num>
  <w:num w:numId="18">
    <w:abstractNumId w:val="19"/>
  </w:num>
  <w:num w:numId="19">
    <w:abstractNumId w:val="15"/>
  </w:num>
  <w:num w:numId="20">
    <w:abstractNumId w:val="2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42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851"/>
          </w:tabs>
          <w:ind w:left="851" w:hanging="426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276"/>
          </w:tabs>
          <w:ind w:left="1276" w:hanging="425"/>
        </w:pPr>
        <w:rPr>
          <w:rFonts w:ascii="Arial" w:eastAsia="Times New Roman" w:hAnsi="Arial" w:cs="Arial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42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851"/>
          </w:tabs>
          <w:ind w:left="851" w:hanging="426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276"/>
          </w:tabs>
          <w:ind w:left="1276" w:hanging="425"/>
        </w:pPr>
        <w:rPr>
          <w:rFonts w:ascii="Arial" w:eastAsia="Times New Roman" w:hAnsi="Arial" w:cs="Arial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B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EA"/>
    <w:rsid w:val="000060BF"/>
    <w:rsid w:val="000064CB"/>
    <w:rsid w:val="000104AB"/>
    <w:rsid w:val="00010EEA"/>
    <w:rsid w:val="0002150C"/>
    <w:rsid w:val="00022413"/>
    <w:rsid w:val="00022DE5"/>
    <w:rsid w:val="00023645"/>
    <w:rsid w:val="00023FC4"/>
    <w:rsid w:val="00025614"/>
    <w:rsid w:val="00026454"/>
    <w:rsid w:val="000302C0"/>
    <w:rsid w:val="00033157"/>
    <w:rsid w:val="000333C6"/>
    <w:rsid w:val="00037217"/>
    <w:rsid w:val="000376B2"/>
    <w:rsid w:val="000424F1"/>
    <w:rsid w:val="00042BC9"/>
    <w:rsid w:val="00045592"/>
    <w:rsid w:val="00045CCE"/>
    <w:rsid w:val="00046686"/>
    <w:rsid w:val="00046838"/>
    <w:rsid w:val="00046E43"/>
    <w:rsid w:val="000478C6"/>
    <w:rsid w:val="0005160E"/>
    <w:rsid w:val="00054E58"/>
    <w:rsid w:val="00055A15"/>
    <w:rsid w:val="00055F6E"/>
    <w:rsid w:val="000567BE"/>
    <w:rsid w:val="0005747B"/>
    <w:rsid w:val="00061530"/>
    <w:rsid w:val="00063A93"/>
    <w:rsid w:val="00063EAC"/>
    <w:rsid w:val="00066C81"/>
    <w:rsid w:val="00067AE5"/>
    <w:rsid w:val="00070001"/>
    <w:rsid w:val="000755D7"/>
    <w:rsid w:val="000812B1"/>
    <w:rsid w:val="00081963"/>
    <w:rsid w:val="00081984"/>
    <w:rsid w:val="000917B2"/>
    <w:rsid w:val="0009240A"/>
    <w:rsid w:val="0009495B"/>
    <w:rsid w:val="00094D2B"/>
    <w:rsid w:val="000968BE"/>
    <w:rsid w:val="000A058E"/>
    <w:rsid w:val="000A1789"/>
    <w:rsid w:val="000A28EE"/>
    <w:rsid w:val="000A34C9"/>
    <w:rsid w:val="000A57FE"/>
    <w:rsid w:val="000A5BAB"/>
    <w:rsid w:val="000A5FAF"/>
    <w:rsid w:val="000A673F"/>
    <w:rsid w:val="000A7ABD"/>
    <w:rsid w:val="000B1FE4"/>
    <w:rsid w:val="000B69F9"/>
    <w:rsid w:val="000B77FE"/>
    <w:rsid w:val="000C0DD5"/>
    <w:rsid w:val="000C2C04"/>
    <w:rsid w:val="000C3AD0"/>
    <w:rsid w:val="000C5DAB"/>
    <w:rsid w:val="000C72EC"/>
    <w:rsid w:val="000D21B9"/>
    <w:rsid w:val="000D4683"/>
    <w:rsid w:val="000D760C"/>
    <w:rsid w:val="000E087E"/>
    <w:rsid w:val="000E26E6"/>
    <w:rsid w:val="000E4D8E"/>
    <w:rsid w:val="000F7515"/>
    <w:rsid w:val="000F7CDB"/>
    <w:rsid w:val="00103FC2"/>
    <w:rsid w:val="00111E3F"/>
    <w:rsid w:val="00112237"/>
    <w:rsid w:val="00116839"/>
    <w:rsid w:val="001171EA"/>
    <w:rsid w:val="00117E21"/>
    <w:rsid w:val="00117F5D"/>
    <w:rsid w:val="00120400"/>
    <w:rsid w:val="0012101B"/>
    <w:rsid w:val="0012610A"/>
    <w:rsid w:val="001271FF"/>
    <w:rsid w:val="00127B39"/>
    <w:rsid w:val="0013250A"/>
    <w:rsid w:val="00134634"/>
    <w:rsid w:val="00135331"/>
    <w:rsid w:val="00135737"/>
    <w:rsid w:val="00135C96"/>
    <w:rsid w:val="001364CD"/>
    <w:rsid w:val="001407E2"/>
    <w:rsid w:val="001422DD"/>
    <w:rsid w:val="001514CC"/>
    <w:rsid w:val="001521B6"/>
    <w:rsid w:val="00153959"/>
    <w:rsid w:val="00153AFD"/>
    <w:rsid w:val="001545F9"/>
    <w:rsid w:val="001579C2"/>
    <w:rsid w:val="00160037"/>
    <w:rsid w:val="00160881"/>
    <w:rsid w:val="00160C6C"/>
    <w:rsid w:val="0016262C"/>
    <w:rsid w:val="00162DD4"/>
    <w:rsid w:val="00164258"/>
    <w:rsid w:val="00164A3A"/>
    <w:rsid w:val="00166509"/>
    <w:rsid w:val="00173B82"/>
    <w:rsid w:val="00174011"/>
    <w:rsid w:val="00176573"/>
    <w:rsid w:val="00177B68"/>
    <w:rsid w:val="0018229E"/>
    <w:rsid w:val="00184056"/>
    <w:rsid w:val="00184984"/>
    <w:rsid w:val="00184B7C"/>
    <w:rsid w:val="00186053"/>
    <w:rsid w:val="00187353"/>
    <w:rsid w:val="00187538"/>
    <w:rsid w:val="00187674"/>
    <w:rsid w:val="00192F6F"/>
    <w:rsid w:val="0019571B"/>
    <w:rsid w:val="001971A1"/>
    <w:rsid w:val="0019771F"/>
    <w:rsid w:val="001A6196"/>
    <w:rsid w:val="001B2391"/>
    <w:rsid w:val="001B71AE"/>
    <w:rsid w:val="001B7AC7"/>
    <w:rsid w:val="001C422C"/>
    <w:rsid w:val="001C4568"/>
    <w:rsid w:val="001C5588"/>
    <w:rsid w:val="001C77DC"/>
    <w:rsid w:val="001D0EAD"/>
    <w:rsid w:val="001D27E9"/>
    <w:rsid w:val="001D4089"/>
    <w:rsid w:val="001D5A9F"/>
    <w:rsid w:val="001D6742"/>
    <w:rsid w:val="001D69E9"/>
    <w:rsid w:val="001D7DC4"/>
    <w:rsid w:val="001E04B7"/>
    <w:rsid w:val="001E1B8B"/>
    <w:rsid w:val="001E3578"/>
    <w:rsid w:val="001E6135"/>
    <w:rsid w:val="001F04FF"/>
    <w:rsid w:val="001F1C84"/>
    <w:rsid w:val="001F2C61"/>
    <w:rsid w:val="001F4991"/>
    <w:rsid w:val="001F5273"/>
    <w:rsid w:val="001F60FE"/>
    <w:rsid w:val="001F632D"/>
    <w:rsid w:val="001F6B23"/>
    <w:rsid w:val="001F7966"/>
    <w:rsid w:val="001F7B6E"/>
    <w:rsid w:val="002013F0"/>
    <w:rsid w:val="0020232B"/>
    <w:rsid w:val="00204372"/>
    <w:rsid w:val="002048E7"/>
    <w:rsid w:val="00207E37"/>
    <w:rsid w:val="00210686"/>
    <w:rsid w:val="002115E6"/>
    <w:rsid w:val="00211ADE"/>
    <w:rsid w:val="00214DBF"/>
    <w:rsid w:val="00215A9D"/>
    <w:rsid w:val="0021684D"/>
    <w:rsid w:val="002174D9"/>
    <w:rsid w:val="00220E1E"/>
    <w:rsid w:val="00221114"/>
    <w:rsid w:val="0022361B"/>
    <w:rsid w:val="00223FB1"/>
    <w:rsid w:val="0022439E"/>
    <w:rsid w:val="00224644"/>
    <w:rsid w:val="00224759"/>
    <w:rsid w:val="0022584E"/>
    <w:rsid w:val="002306CE"/>
    <w:rsid w:val="0023083D"/>
    <w:rsid w:val="002329DB"/>
    <w:rsid w:val="002374AC"/>
    <w:rsid w:val="00237B7C"/>
    <w:rsid w:val="00242910"/>
    <w:rsid w:val="002440CC"/>
    <w:rsid w:val="0024555A"/>
    <w:rsid w:val="002466CE"/>
    <w:rsid w:val="002524C0"/>
    <w:rsid w:val="002526A8"/>
    <w:rsid w:val="00252EA3"/>
    <w:rsid w:val="0025439F"/>
    <w:rsid w:val="002544F4"/>
    <w:rsid w:val="002545A4"/>
    <w:rsid w:val="002546CB"/>
    <w:rsid w:val="002548C6"/>
    <w:rsid w:val="002555DE"/>
    <w:rsid w:val="00263245"/>
    <w:rsid w:val="00271740"/>
    <w:rsid w:val="002729CD"/>
    <w:rsid w:val="0027710E"/>
    <w:rsid w:val="00284755"/>
    <w:rsid w:val="002863EF"/>
    <w:rsid w:val="00294944"/>
    <w:rsid w:val="00295927"/>
    <w:rsid w:val="00295BEF"/>
    <w:rsid w:val="00297E74"/>
    <w:rsid w:val="002A03A5"/>
    <w:rsid w:val="002A3775"/>
    <w:rsid w:val="002A5567"/>
    <w:rsid w:val="002A5623"/>
    <w:rsid w:val="002A65F9"/>
    <w:rsid w:val="002A7D1F"/>
    <w:rsid w:val="002B1738"/>
    <w:rsid w:val="002C0386"/>
    <w:rsid w:val="002C1DA7"/>
    <w:rsid w:val="002C267D"/>
    <w:rsid w:val="002C681B"/>
    <w:rsid w:val="002D4686"/>
    <w:rsid w:val="002D6B9D"/>
    <w:rsid w:val="002D7B81"/>
    <w:rsid w:val="002E1CE1"/>
    <w:rsid w:val="002E5ECF"/>
    <w:rsid w:val="00301586"/>
    <w:rsid w:val="00307F79"/>
    <w:rsid w:val="00314B99"/>
    <w:rsid w:val="00314C98"/>
    <w:rsid w:val="00314E75"/>
    <w:rsid w:val="00322C49"/>
    <w:rsid w:val="00323FDD"/>
    <w:rsid w:val="00324CAE"/>
    <w:rsid w:val="00327C11"/>
    <w:rsid w:val="00330CA3"/>
    <w:rsid w:val="00331621"/>
    <w:rsid w:val="00332D45"/>
    <w:rsid w:val="00340212"/>
    <w:rsid w:val="00343BDF"/>
    <w:rsid w:val="003455BA"/>
    <w:rsid w:val="003458E7"/>
    <w:rsid w:val="00350C52"/>
    <w:rsid w:val="00350DA3"/>
    <w:rsid w:val="0035373D"/>
    <w:rsid w:val="00354185"/>
    <w:rsid w:val="00354627"/>
    <w:rsid w:val="00355A73"/>
    <w:rsid w:val="00355AD3"/>
    <w:rsid w:val="003566B4"/>
    <w:rsid w:val="0036272C"/>
    <w:rsid w:val="003627B1"/>
    <w:rsid w:val="00362A0F"/>
    <w:rsid w:val="003649F0"/>
    <w:rsid w:val="00364D5F"/>
    <w:rsid w:val="00365875"/>
    <w:rsid w:val="003659AD"/>
    <w:rsid w:val="00371470"/>
    <w:rsid w:val="00371523"/>
    <w:rsid w:val="00371C2D"/>
    <w:rsid w:val="00371DC6"/>
    <w:rsid w:val="00371E1A"/>
    <w:rsid w:val="0037207F"/>
    <w:rsid w:val="003765CD"/>
    <w:rsid w:val="00382187"/>
    <w:rsid w:val="00385103"/>
    <w:rsid w:val="00386424"/>
    <w:rsid w:val="00386D5A"/>
    <w:rsid w:val="0038749B"/>
    <w:rsid w:val="003879E2"/>
    <w:rsid w:val="00387BDB"/>
    <w:rsid w:val="00392F3F"/>
    <w:rsid w:val="00393DD6"/>
    <w:rsid w:val="00394D70"/>
    <w:rsid w:val="0039737A"/>
    <w:rsid w:val="003A525E"/>
    <w:rsid w:val="003A624A"/>
    <w:rsid w:val="003A7455"/>
    <w:rsid w:val="003B12DD"/>
    <w:rsid w:val="003B21D5"/>
    <w:rsid w:val="003B4A50"/>
    <w:rsid w:val="003B4C4C"/>
    <w:rsid w:val="003B680A"/>
    <w:rsid w:val="003B6FF3"/>
    <w:rsid w:val="003C1073"/>
    <w:rsid w:val="003C622F"/>
    <w:rsid w:val="003C6832"/>
    <w:rsid w:val="003D0846"/>
    <w:rsid w:val="003D0F41"/>
    <w:rsid w:val="003D1648"/>
    <w:rsid w:val="003D26A8"/>
    <w:rsid w:val="003D3D24"/>
    <w:rsid w:val="003D400C"/>
    <w:rsid w:val="003D5245"/>
    <w:rsid w:val="003E23F6"/>
    <w:rsid w:val="003E5274"/>
    <w:rsid w:val="003E62DE"/>
    <w:rsid w:val="003F0F60"/>
    <w:rsid w:val="003F5E2C"/>
    <w:rsid w:val="003F5F6C"/>
    <w:rsid w:val="003F70DD"/>
    <w:rsid w:val="003F7195"/>
    <w:rsid w:val="003F73D3"/>
    <w:rsid w:val="003F7433"/>
    <w:rsid w:val="003F7BDE"/>
    <w:rsid w:val="00400B27"/>
    <w:rsid w:val="00401F0A"/>
    <w:rsid w:val="00403366"/>
    <w:rsid w:val="004050CF"/>
    <w:rsid w:val="0041111B"/>
    <w:rsid w:val="004124F6"/>
    <w:rsid w:val="00412B3C"/>
    <w:rsid w:val="00412F76"/>
    <w:rsid w:val="004130A1"/>
    <w:rsid w:val="0041454C"/>
    <w:rsid w:val="0041637D"/>
    <w:rsid w:val="004173AC"/>
    <w:rsid w:val="0041795D"/>
    <w:rsid w:val="00424DCE"/>
    <w:rsid w:val="00426C14"/>
    <w:rsid w:val="004302A2"/>
    <w:rsid w:val="00430725"/>
    <w:rsid w:val="00431E0A"/>
    <w:rsid w:val="00432945"/>
    <w:rsid w:val="00434F1E"/>
    <w:rsid w:val="004362E6"/>
    <w:rsid w:val="004379E6"/>
    <w:rsid w:val="004407DC"/>
    <w:rsid w:val="004446A0"/>
    <w:rsid w:val="00445356"/>
    <w:rsid w:val="0044661C"/>
    <w:rsid w:val="00447064"/>
    <w:rsid w:val="0045415A"/>
    <w:rsid w:val="0045697A"/>
    <w:rsid w:val="00456CDA"/>
    <w:rsid w:val="004572A6"/>
    <w:rsid w:val="00460A1F"/>
    <w:rsid w:val="00461243"/>
    <w:rsid w:val="00463743"/>
    <w:rsid w:val="004639D0"/>
    <w:rsid w:val="004646F7"/>
    <w:rsid w:val="00465AB2"/>
    <w:rsid w:val="00466FB5"/>
    <w:rsid w:val="00470036"/>
    <w:rsid w:val="004707BC"/>
    <w:rsid w:val="004726D4"/>
    <w:rsid w:val="00473F14"/>
    <w:rsid w:val="004742EA"/>
    <w:rsid w:val="004743B6"/>
    <w:rsid w:val="00474B80"/>
    <w:rsid w:val="00475FE3"/>
    <w:rsid w:val="00476314"/>
    <w:rsid w:val="00481BAD"/>
    <w:rsid w:val="00481F7B"/>
    <w:rsid w:val="0048203B"/>
    <w:rsid w:val="00482184"/>
    <w:rsid w:val="00482C30"/>
    <w:rsid w:val="00485578"/>
    <w:rsid w:val="00486954"/>
    <w:rsid w:val="00490396"/>
    <w:rsid w:val="0049040E"/>
    <w:rsid w:val="004909A0"/>
    <w:rsid w:val="00490C82"/>
    <w:rsid w:val="00491CC4"/>
    <w:rsid w:val="00492379"/>
    <w:rsid w:val="0049284B"/>
    <w:rsid w:val="004941E5"/>
    <w:rsid w:val="00494D6F"/>
    <w:rsid w:val="004A342C"/>
    <w:rsid w:val="004A5CE6"/>
    <w:rsid w:val="004A60E1"/>
    <w:rsid w:val="004B003D"/>
    <w:rsid w:val="004B27B0"/>
    <w:rsid w:val="004B39EB"/>
    <w:rsid w:val="004B4827"/>
    <w:rsid w:val="004B4B9D"/>
    <w:rsid w:val="004C0D46"/>
    <w:rsid w:val="004C12DE"/>
    <w:rsid w:val="004C41DA"/>
    <w:rsid w:val="004C5782"/>
    <w:rsid w:val="004C5891"/>
    <w:rsid w:val="004C6027"/>
    <w:rsid w:val="004D0985"/>
    <w:rsid w:val="004D3B44"/>
    <w:rsid w:val="004D563D"/>
    <w:rsid w:val="004D6A0C"/>
    <w:rsid w:val="004E09CA"/>
    <w:rsid w:val="004E391B"/>
    <w:rsid w:val="004E480C"/>
    <w:rsid w:val="004E502F"/>
    <w:rsid w:val="004E5F24"/>
    <w:rsid w:val="004E62D7"/>
    <w:rsid w:val="004E69E8"/>
    <w:rsid w:val="004F103E"/>
    <w:rsid w:val="00500BE6"/>
    <w:rsid w:val="00502F49"/>
    <w:rsid w:val="00503BD9"/>
    <w:rsid w:val="0050534D"/>
    <w:rsid w:val="00516D27"/>
    <w:rsid w:val="005171E1"/>
    <w:rsid w:val="00517382"/>
    <w:rsid w:val="005205CA"/>
    <w:rsid w:val="00520F76"/>
    <w:rsid w:val="00522191"/>
    <w:rsid w:val="00525881"/>
    <w:rsid w:val="0052614B"/>
    <w:rsid w:val="0052675D"/>
    <w:rsid w:val="00526B7A"/>
    <w:rsid w:val="005271CC"/>
    <w:rsid w:val="00530165"/>
    <w:rsid w:val="005302CE"/>
    <w:rsid w:val="00532754"/>
    <w:rsid w:val="00532E93"/>
    <w:rsid w:val="00536F37"/>
    <w:rsid w:val="00537837"/>
    <w:rsid w:val="005400EA"/>
    <w:rsid w:val="005419BC"/>
    <w:rsid w:val="005428F8"/>
    <w:rsid w:val="00542966"/>
    <w:rsid w:val="00543A49"/>
    <w:rsid w:val="00545D20"/>
    <w:rsid w:val="005475C0"/>
    <w:rsid w:val="00547681"/>
    <w:rsid w:val="00551CBC"/>
    <w:rsid w:val="00555249"/>
    <w:rsid w:val="00561AC9"/>
    <w:rsid w:val="0056224B"/>
    <w:rsid w:val="005628C3"/>
    <w:rsid w:val="00566890"/>
    <w:rsid w:val="005707AB"/>
    <w:rsid w:val="00572867"/>
    <w:rsid w:val="00573713"/>
    <w:rsid w:val="00573A16"/>
    <w:rsid w:val="00573FFC"/>
    <w:rsid w:val="0058140E"/>
    <w:rsid w:val="0058186A"/>
    <w:rsid w:val="00581D64"/>
    <w:rsid w:val="00582D7B"/>
    <w:rsid w:val="005855C5"/>
    <w:rsid w:val="0058646E"/>
    <w:rsid w:val="00587446"/>
    <w:rsid w:val="00596353"/>
    <w:rsid w:val="00596B7E"/>
    <w:rsid w:val="005A0101"/>
    <w:rsid w:val="005A6A98"/>
    <w:rsid w:val="005A6E1E"/>
    <w:rsid w:val="005A6EAB"/>
    <w:rsid w:val="005B03D6"/>
    <w:rsid w:val="005B0AF0"/>
    <w:rsid w:val="005B3594"/>
    <w:rsid w:val="005B3B6D"/>
    <w:rsid w:val="005B3DF5"/>
    <w:rsid w:val="005B419B"/>
    <w:rsid w:val="005B43D5"/>
    <w:rsid w:val="005B4B9A"/>
    <w:rsid w:val="005B6506"/>
    <w:rsid w:val="005C6CEB"/>
    <w:rsid w:val="005D0992"/>
    <w:rsid w:val="005D4468"/>
    <w:rsid w:val="005D54FC"/>
    <w:rsid w:val="005D6A5F"/>
    <w:rsid w:val="005D6A71"/>
    <w:rsid w:val="005E3705"/>
    <w:rsid w:val="005E4080"/>
    <w:rsid w:val="005E5A0B"/>
    <w:rsid w:val="005E6620"/>
    <w:rsid w:val="005E722D"/>
    <w:rsid w:val="005F0CAA"/>
    <w:rsid w:val="005F1765"/>
    <w:rsid w:val="005F21D9"/>
    <w:rsid w:val="005F4318"/>
    <w:rsid w:val="005F7F50"/>
    <w:rsid w:val="00600361"/>
    <w:rsid w:val="00602163"/>
    <w:rsid w:val="006023B8"/>
    <w:rsid w:val="0060284F"/>
    <w:rsid w:val="006034B6"/>
    <w:rsid w:val="00604091"/>
    <w:rsid w:val="00605813"/>
    <w:rsid w:val="00605CAB"/>
    <w:rsid w:val="006102F8"/>
    <w:rsid w:val="00612AC9"/>
    <w:rsid w:val="00612FBB"/>
    <w:rsid w:val="00613254"/>
    <w:rsid w:val="0061625F"/>
    <w:rsid w:val="00620D8C"/>
    <w:rsid w:val="006226DC"/>
    <w:rsid w:val="00623756"/>
    <w:rsid w:val="0062467F"/>
    <w:rsid w:val="00624CDA"/>
    <w:rsid w:val="00626B28"/>
    <w:rsid w:val="00630FFB"/>
    <w:rsid w:val="00631526"/>
    <w:rsid w:val="006317C6"/>
    <w:rsid w:val="00632A1A"/>
    <w:rsid w:val="00634CF3"/>
    <w:rsid w:val="00635A59"/>
    <w:rsid w:val="00635C62"/>
    <w:rsid w:val="00635F78"/>
    <w:rsid w:val="006417FB"/>
    <w:rsid w:val="00645230"/>
    <w:rsid w:val="00645F0D"/>
    <w:rsid w:val="006501B7"/>
    <w:rsid w:val="0065149C"/>
    <w:rsid w:val="00654280"/>
    <w:rsid w:val="006549D2"/>
    <w:rsid w:val="006552F7"/>
    <w:rsid w:val="00656C48"/>
    <w:rsid w:val="006575EA"/>
    <w:rsid w:val="006601F7"/>
    <w:rsid w:val="00665708"/>
    <w:rsid w:val="0066709F"/>
    <w:rsid w:val="00667844"/>
    <w:rsid w:val="00667DA7"/>
    <w:rsid w:val="00674192"/>
    <w:rsid w:val="00674A8C"/>
    <w:rsid w:val="006831AE"/>
    <w:rsid w:val="006840A3"/>
    <w:rsid w:val="00684AD4"/>
    <w:rsid w:val="00685777"/>
    <w:rsid w:val="00687E8A"/>
    <w:rsid w:val="006930A2"/>
    <w:rsid w:val="006943F6"/>
    <w:rsid w:val="0069461E"/>
    <w:rsid w:val="006A21A5"/>
    <w:rsid w:val="006A23C0"/>
    <w:rsid w:val="006A30C4"/>
    <w:rsid w:val="006A3244"/>
    <w:rsid w:val="006A356D"/>
    <w:rsid w:val="006B002A"/>
    <w:rsid w:val="006B0776"/>
    <w:rsid w:val="006B19DB"/>
    <w:rsid w:val="006B1D07"/>
    <w:rsid w:val="006B3D13"/>
    <w:rsid w:val="006B455C"/>
    <w:rsid w:val="006B605D"/>
    <w:rsid w:val="006B7698"/>
    <w:rsid w:val="006C05D0"/>
    <w:rsid w:val="006C1229"/>
    <w:rsid w:val="006C12B1"/>
    <w:rsid w:val="006C360A"/>
    <w:rsid w:val="006C46D6"/>
    <w:rsid w:val="006C5BEE"/>
    <w:rsid w:val="006D0C05"/>
    <w:rsid w:val="006D19A1"/>
    <w:rsid w:val="006D34E1"/>
    <w:rsid w:val="006D355C"/>
    <w:rsid w:val="006D7BF0"/>
    <w:rsid w:val="006D7D4A"/>
    <w:rsid w:val="006E03DB"/>
    <w:rsid w:val="006E0735"/>
    <w:rsid w:val="006E078B"/>
    <w:rsid w:val="006E1679"/>
    <w:rsid w:val="006E1B71"/>
    <w:rsid w:val="006E22EA"/>
    <w:rsid w:val="006E32F6"/>
    <w:rsid w:val="006E3A88"/>
    <w:rsid w:val="006E3FC6"/>
    <w:rsid w:val="006E48FD"/>
    <w:rsid w:val="006E5E02"/>
    <w:rsid w:val="006E79AA"/>
    <w:rsid w:val="006F1375"/>
    <w:rsid w:val="006F1AB6"/>
    <w:rsid w:val="006F56AA"/>
    <w:rsid w:val="006F5C85"/>
    <w:rsid w:val="00700C9F"/>
    <w:rsid w:val="00701290"/>
    <w:rsid w:val="00703666"/>
    <w:rsid w:val="00704D01"/>
    <w:rsid w:val="007054FF"/>
    <w:rsid w:val="0070603B"/>
    <w:rsid w:val="00706F00"/>
    <w:rsid w:val="00711954"/>
    <w:rsid w:val="00713E0D"/>
    <w:rsid w:val="00720153"/>
    <w:rsid w:val="00722FF2"/>
    <w:rsid w:val="007245F1"/>
    <w:rsid w:val="00724967"/>
    <w:rsid w:val="0072533C"/>
    <w:rsid w:val="00731530"/>
    <w:rsid w:val="0073406B"/>
    <w:rsid w:val="007340BA"/>
    <w:rsid w:val="00736DB7"/>
    <w:rsid w:val="00742BE6"/>
    <w:rsid w:val="0074419C"/>
    <w:rsid w:val="007445E4"/>
    <w:rsid w:val="007501B1"/>
    <w:rsid w:val="0075176D"/>
    <w:rsid w:val="0075179B"/>
    <w:rsid w:val="007553B7"/>
    <w:rsid w:val="00755BFC"/>
    <w:rsid w:val="007572CE"/>
    <w:rsid w:val="00757465"/>
    <w:rsid w:val="00757471"/>
    <w:rsid w:val="00761932"/>
    <w:rsid w:val="00762067"/>
    <w:rsid w:val="00762918"/>
    <w:rsid w:val="00762969"/>
    <w:rsid w:val="00763A20"/>
    <w:rsid w:val="007672D7"/>
    <w:rsid w:val="00767E45"/>
    <w:rsid w:val="007719DE"/>
    <w:rsid w:val="007735E7"/>
    <w:rsid w:val="00773B36"/>
    <w:rsid w:val="00773DE8"/>
    <w:rsid w:val="00777491"/>
    <w:rsid w:val="007778CE"/>
    <w:rsid w:val="00780551"/>
    <w:rsid w:val="00780F8C"/>
    <w:rsid w:val="007817A1"/>
    <w:rsid w:val="007829AE"/>
    <w:rsid w:val="00782C24"/>
    <w:rsid w:val="00784A94"/>
    <w:rsid w:val="00785F89"/>
    <w:rsid w:val="00787076"/>
    <w:rsid w:val="0078725A"/>
    <w:rsid w:val="007879F9"/>
    <w:rsid w:val="00790679"/>
    <w:rsid w:val="007917A8"/>
    <w:rsid w:val="007918A7"/>
    <w:rsid w:val="00791ACA"/>
    <w:rsid w:val="007958D7"/>
    <w:rsid w:val="00797A22"/>
    <w:rsid w:val="007A07E8"/>
    <w:rsid w:val="007A553D"/>
    <w:rsid w:val="007B1307"/>
    <w:rsid w:val="007B231C"/>
    <w:rsid w:val="007B4081"/>
    <w:rsid w:val="007B51DD"/>
    <w:rsid w:val="007B5563"/>
    <w:rsid w:val="007B5FFF"/>
    <w:rsid w:val="007B7CC0"/>
    <w:rsid w:val="007C0E96"/>
    <w:rsid w:val="007C1D40"/>
    <w:rsid w:val="007C4B87"/>
    <w:rsid w:val="007C62CA"/>
    <w:rsid w:val="007C71F4"/>
    <w:rsid w:val="007D290F"/>
    <w:rsid w:val="007D34CA"/>
    <w:rsid w:val="007D40A4"/>
    <w:rsid w:val="007D4D03"/>
    <w:rsid w:val="007D54D6"/>
    <w:rsid w:val="007D5BD9"/>
    <w:rsid w:val="007D7071"/>
    <w:rsid w:val="007E36D0"/>
    <w:rsid w:val="007E4470"/>
    <w:rsid w:val="007E4AF8"/>
    <w:rsid w:val="007E6321"/>
    <w:rsid w:val="007E6726"/>
    <w:rsid w:val="007E6EB2"/>
    <w:rsid w:val="007F0790"/>
    <w:rsid w:val="007F10F3"/>
    <w:rsid w:val="007F23CE"/>
    <w:rsid w:val="007F3D47"/>
    <w:rsid w:val="007F458D"/>
    <w:rsid w:val="007F5FDB"/>
    <w:rsid w:val="007F658A"/>
    <w:rsid w:val="007F78D8"/>
    <w:rsid w:val="008049A2"/>
    <w:rsid w:val="00807B34"/>
    <w:rsid w:val="00807DD2"/>
    <w:rsid w:val="0081131C"/>
    <w:rsid w:val="00815A12"/>
    <w:rsid w:val="00821BA6"/>
    <w:rsid w:val="00824BAA"/>
    <w:rsid w:val="00824DF7"/>
    <w:rsid w:val="00827A50"/>
    <w:rsid w:val="00832100"/>
    <w:rsid w:val="008323D0"/>
    <w:rsid w:val="00832DC1"/>
    <w:rsid w:val="008367F6"/>
    <w:rsid w:val="008375B0"/>
    <w:rsid w:val="0084462A"/>
    <w:rsid w:val="00845462"/>
    <w:rsid w:val="008525BF"/>
    <w:rsid w:val="00854345"/>
    <w:rsid w:val="00855DA8"/>
    <w:rsid w:val="00857F65"/>
    <w:rsid w:val="008618DE"/>
    <w:rsid w:val="008642D5"/>
    <w:rsid w:val="00864645"/>
    <w:rsid w:val="00865384"/>
    <w:rsid w:val="00865E91"/>
    <w:rsid w:val="00866773"/>
    <w:rsid w:val="00867C82"/>
    <w:rsid w:val="0087276B"/>
    <w:rsid w:val="00874692"/>
    <w:rsid w:val="00875635"/>
    <w:rsid w:val="00876C4E"/>
    <w:rsid w:val="00880CC9"/>
    <w:rsid w:val="0088327C"/>
    <w:rsid w:val="0088762D"/>
    <w:rsid w:val="008877ED"/>
    <w:rsid w:val="00890DB6"/>
    <w:rsid w:val="008933D8"/>
    <w:rsid w:val="008A0085"/>
    <w:rsid w:val="008A0833"/>
    <w:rsid w:val="008A0912"/>
    <w:rsid w:val="008A0DC2"/>
    <w:rsid w:val="008A1C80"/>
    <w:rsid w:val="008A3E60"/>
    <w:rsid w:val="008A43A5"/>
    <w:rsid w:val="008A7265"/>
    <w:rsid w:val="008B23E9"/>
    <w:rsid w:val="008B3039"/>
    <w:rsid w:val="008C0559"/>
    <w:rsid w:val="008C1207"/>
    <w:rsid w:val="008C3763"/>
    <w:rsid w:val="008D038F"/>
    <w:rsid w:val="008D0BA9"/>
    <w:rsid w:val="008D2392"/>
    <w:rsid w:val="008D40CE"/>
    <w:rsid w:val="008D5BB0"/>
    <w:rsid w:val="008D7117"/>
    <w:rsid w:val="008E177D"/>
    <w:rsid w:val="008E1A86"/>
    <w:rsid w:val="008E1DC7"/>
    <w:rsid w:val="008E27F7"/>
    <w:rsid w:val="008E5AC0"/>
    <w:rsid w:val="008E6244"/>
    <w:rsid w:val="008F1AD7"/>
    <w:rsid w:val="008F1B15"/>
    <w:rsid w:val="008F2A38"/>
    <w:rsid w:val="008F3E64"/>
    <w:rsid w:val="008F5DAC"/>
    <w:rsid w:val="008F7167"/>
    <w:rsid w:val="008F7654"/>
    <w:rsid w:val="0090131A"/>
    <w:rsid w:val="00902884"/>
    <w:rsid w:val="00903EAE"/>
    <w:rsid w:val="00904475"/>
    <w:rsid w:val="009069DD"/>
    <w:rsid w:val="00912CE7"/>
    <w:rsid w:val="00913CB7"/>
    <w:rsid w:val="0091589D"/>
    <w:rsid w:val="009232A7"/>
    <w:rsid w:val="0093042B"/>
    <w:rsid w:val="009312EE"/>
    <w:rsid w:val="00931A46"/>
    <w:rsid w:val="009329EC"/>
    <w:rsid w:val="009342C0"/>
    <w:rsid w:val="00934A36"/>
    <w:rsid w:val="00937B15"/>
    <w:rsid w:val="00937C09"/>
    <w:rsid w:val="00941EEA"/>
    <w:rsid w:val="00944373"/>
    <w:rsid w:val="00944463"/>
    <w:rsid w:val="0094548B"/>
    <w:rsid w:val="00947358"/>
    <w:rsid w:val="00951504"/>
    <w:rsid w:val="00955AC5"/>
    <w:rsid w:val="00956834"/>
    <w:rsid w:val="0095764C"/>
    <w:rsid w:val="00961E2A"/>
    <w:rsid w:val="0096299F"/>
    <w:rsid w:val="00966B8B"/>
    <w:rsid w:val="00970453"/>
    <w:rsid w:val="00971B1A"/>
    <w:rsid w:val="00972562"/>
    <w:rsid w:val="0097383F"/>
    <w:rsid w:val="00981A37"/>
    <w:rsid w:val="00981DD0"/>
    <w:rsid w:val="00986113"/>
    <w:rsid w:val="009912B8"/>
    <w:rsid w:val="00993121"/>
    <w:rsid w:val="0099370B"/>
    <w:rsid w:val="00993BA5"/>
    <w:rsid w:val="00995115"/>
    <w:rsid w:val="009A4C0F"/>
    <w:rsid w:val="009A5957"/>
    <w:rsid w:val="009A5B4C"/>
    <w:rsid w:val="009A75A0"/>
    <w:rsid w:val="009B08B2"/>
    <w:rsid w:val="009B13A1"/>
    <w:rsid w:val="009B1546"/>
    <w:rsid w:val="009B1644"/>
    <w:rsid w:val="009B679A"/>
    <w:rsid w:val="009B70D9"/>
    <w:rsid w:val="009C36C4"/>
    <w:rsid w:val="009C414E"/>
    <w:rsid w:val="009D0425"/>
    <w:rsid w:val="009D1CC1"/>
    <w:rsid w:val="009D385D"/>
    <w:rsid w:val="009D53B2"/>
    <w:rsid w:val="009D5D56"/>
    <w:rsid w:val="009D5DA2"/>
    <w:rsid w:val="009D7AA7"/>
    <w:rsid w:val="009E0273"/>
    <w:rsid w:val="009E1CE4"/>
    <w:rsid w:val="009E2103"/>
    <w:rsid w:val="009E21DC"/>
    <w:rsid w:val="009E7450"/>
    <w:rsid w:val="009F19B3"/>
    <w:rsid w:val="009F372D"/>
    <w:rsid w:val="009F3A74"/>
    <w:rsid w:val="009F48CB"/>
    <w:rsid w:val="009F5A99"/>
    <w:rsid w:val="009F6DAD"/>
    <w:rsid w:val="009F73C1"/>
    <w:rsid w:val="009F759A"/>
    <w:rsid w:val="00A00C96"/>
    <w:rsid w:val="00A00F49"/>
    <w:rsid w:val="00A00FF6"/>
    <w:rsid w:val="00A03DF6"/>
    <w:rsid w:val="00A03FD0"/>
    <w:rsid w:val="00A047F2"/>
    <w:rsid w:val="00A06368"/>
    <w:rsid w:val="00A06FB0"/>
    <w:rsid w:val="00A07CA0"/>
    <w:rsid w:val="00A10398"/>
    <w:rsid w:val="00A10DB1"/>
    <w:rsid w:val="00A15B51"/>
    <w:rsid w:val="00A16927"/>
    <w:rsid w:val="00A2194D"/>
    <w:rsid w:val="00A23E15"/>
    <w:rsid w:val="00A255CB"/>
    <w:rsid w:val="00A27062"/>
    <w:rsid w:val="00A271E9"/>
    <w:rsid w:val="00A3089F"/>
    <w:rsid w:val="00A30A6C"/>
    <w:rsid w:val="00A36699"/>
    <w:rsid w:val="00A45774"/>
    <w:rsid w:val="00A47864"/>
    <w:rsid w:val="00A47EC0"/>
    <w:rsid w:val="00A537CF"/>
    <w:rsid w:val="00A5494C"/>
    <w:rsid w:val="00A55ECC"/>
    <w:rsid w:val="00A57A39"/>
    <w:rsid w:val="00A60570"/>
    <w:rsid w:val="00A608B1"/>
    <w:rsid w:val="00A6099D"/>
    <w:rsid w:val="00A641DF"/>
    <w:rsid w:val="00A64347"/>
    <w:rsid w:val="00A65BF5"/>
    <w:rsid w:val="00A7187B"/>
    <w:rsid w:val="00A728DB"/>
    <w:rsid w:val="00A73C0C"/>
    <w:rsid w:val="00A8134F"/>
    <w:rsid w:val="00A81BDC"/>
    <w:rsid w:val="00A82727"/>
    <w:rsid w:val="00A8454A"/>
    <w:rsid w:val="00A84B88"/>
    <w:rsid w:val="00A85782"/>
    <w:rsid w:val="00A86DFE"/>
    <w:rsid w:val="00A90088"/>
    <w:rsid w:val="00A94CD2"/>
    <w:rsid w:val="00A968CE"/>
    <w:rsid w:val="00A97CCB"/>
    <w:rsid w:val="00AA04C3"/>
    <w:rsid w:val="00AA0714"/>
    <w:rsid w:val="00AA548A"/>
    <w:rsid w:val="00AA6273"/>
    <w:rsid w:val="00AA632B"/>
    <w:rsid w:val="00AA7082"/>
    <w:rsid w:val="00AB1281"/>
    <w:rsid w:val="00AB22EA"/>
    <w:rsid w:val="00AB3949"/>
    <w:rsid w:val="00AB3EA7"/>
    <w:rsid w:val="00AB4AB1"/>
    <w:rsid w:val="00AB5CE5"/>
    <w:rsid w:val="00AC0479"/>
    <w:rsid w:val="00AC0CA2"/>
    <w:rsid w:val="00AC5873"/>
    <w:rsid w:val="00AC6677"/>
    <w:rsid w:val="00AC69CE"/>
    <w:rsid w:val="00AD2225"/>
    <w:rsid w:val="00AD3FF2"/>
    <w:rsid w:val="00AD5CC0"/>
    <w:rsid w:val="00AD5EAB"/>
    <w:rsid w:val="00AD5EAF"/>
    <w:rsid w:val="00AE0B75"/>
    <w:rsid w:val="00AE2154"/>
    <w:rsid w:val="00AE6860"/>
    <w:rsid w:val="00AF2DB3"/>
    <w:rsid w:val="00AF35C6"/>
    <w:rsid w:val="00AF35EB"/>
    <w:rsid w:val="00AF42F0"/>
    <w:rsid w:val="00AF5B58"/>
    <w:rsid w:val="00B00016"/>
    <w:rsid w:val="00B0128A"/>
    <w:rsid w:val="00B01BD5"/>
    <w:rsid w:val="00B02AB8"/>
    <w:rsid w:val="00B03943"/>
    <w:rsid w:val="00B07EB7"/>
    <w:rsid w:val="00B11074"/>
    <w:rsid w:val="00B13EFB"/>
    <w:rsid w:val="00B142D1"/>
    <w:rsid w:val="00B14E33"/>
    <w:rsid w:val="00B16B84"/>
    <w:rsid w:val="00B17B7E"/>
    <w:rsid w:val="00B211BB"/>
    <w:rsid w:val="00B21D03"/>
    <w:rsid w:val="00B23100"/>
    <w:rsid w:val="00B23CFA"/>
    <w:rsid w:val="00B407CC"/>
    <w:rsid w:val="00B4243C"/>
    <w:rsid w:val="00B46EE6"/>
    <w:rsid w:val="00B50C89"/>
    <w:rsid w:val="00B50DF0"/>
    <w:rsid w:val="00B5270D"/>
    <w:rsid w:val="00B54F76"/>
    <w:rsid w:val="00B555A0"/>
    <w:rsid w:val="00B60FD0"/>
    <w:rsid w:val="00B61F20"/>
    <w:rsid w:val="00B621B6"/>
    <w:rsid w:val="00B6344B"/>
    <w:rsid w:val="00B63555"/>
    <w:rsid w:val="00B65B96"/>
    <w:rsid w:val="00B71990"/>
    <w:rsid w:val="00B71D61"/>
    <w:rsid w:val="00B74083"/>
    <w:rsid w:val="00B828A5"/>
    <w:rsid w:val="00B82C46"/>
    <w:rsid w:val="00B85594"/>
    <w:rsid w:val="00B86E6B"/>
    <w:rsid w:val="00B87EED"/>
    <w:rsid w:val="00B921A2"/>
    <w:rsid w:val="00B938D7"/>
    <w:rsid w:val="00B946BF"/>
    <w:rsid w:val="00B94AE3"/>
    <w:rsid w:val="00BA093E"/>
    <w:rsid w:val="00BA0D70"/>
    <w:rsid w:val="00BA24A6"/>
    <w:rsid w:val="00BA263D"/>
    <w:rsid w:val="00BA2971"/>
    <w:rsid w:val="00BA3777"/>
    <w:rsid w:val="00BA48FA"/>
    <w:rsid w:val="00BA4ABE"/>
    <w:rsid w:val="00BA63DE"/>
    <w:rsid w:val="00BA6FAF"/>
    <w:rsid w:val="00BB0A32"/>
    <w:rsid w:val="00BB0B06"/>
    <w:rsid w:val="00BB1C13"/>
    <w:rsid w:val="00BB2188"/>
    <w:rsid w:val="00BB5608"/>
    <w:rsid w:val="00BC0077"/>
    <w:rsid w:val="00BC50A3"/>
    <w:rsid w:val="00BC590E"/>
    <w:rsid w:val="00BC6720"/>
    <w:rsid w:val="00BC7BAF"/>
    <w:rsid w:val="00BD047B"/>
    <w:rsid w:val="00BD2B44"/>
    <w:rsid w:val="00BD2C00"/>
    <w:rsid w:val="00BE1391"/>
    <w:rsid w:val="00BE3347"/>
    <w:rsid w:val="00BE6B1E"/>
    <w:rsid w:val="00BE71B8"/>
    <w:rsid w:val="00BE7723"/>
    <w:rsid w:val="00BE77B1"/>
    <w:rsid w:val="00BE7D5F"/>
    <w:rsid w:val="00BF25BF"/>
    <w:rsid w:val="00BF59C3"/>
    <w:rsid w:val="00BF618D"/>
    <w:rsid w:val="00BF79D3"/>
    <w:rsid w:val="00BF7C7C"/>
    <w:rsid w:val="00C01C3F"/>
    <w:rsid w:val="00C02729"/>
    <w:rsid w:val="00C03D88"/>
    <w:rsid w:val="00C03F77"/>
    <w:rsid w:val="00C04FF1"/>
    <w:rsid w:val="00C10818"/>
    <w:rsid w:val="00C1093F"/>
    <w:rsid w:val="00C12178"/>
    <w:rsid w:val="00C12329"/>
    <w:rsid w:val="00C21CAC"/>
    <w:rsid w:val="00C23AEC"/>
    <w:rsid w:val="00C23F02"/>
    <w:rsid w:val="00C24755"/>
    <w:rsid w:val="00C2528A"/>
    <w:rsid w:val="00C254DF"/>
    <w:rsid w:val="00C26AF2"/>
    <w:rsid w:val="00C27A0A"/>
    <w:rsid w:val="00C30D67"/>
    <w:rsid w:val="00C319F4"/>
    <w:rsid w:val="00C32D2A"/>
    <w:rsid w:val="00C335F2"/>
    <w:rsid w:val="00C33F90"/>
    <w:rsid w:val="00C35B2A"/>
    <w:rsid w:val="00C36286"/>
    <w:rsid w:val="00C3642D"/>
    <w:rsid w:val="00C368C0"/>
    <w:rsid w:val="00C37B99"/>
    <w:rsid w:val="00C37DC4"/>
    <w:rsid w:val="00C42E80"/>
    <w:rsid w:val="00C432A7"/>
    <w:rsid w:val="00C44F7F"/>
    <w:rsid w:val="00C45C9C"/>
    <w:rsid w:val="00C45FB9"/>
    <w:rsid w:val="00C4644C"/>
    <w:rsid w:val="00C47288"/>
    <w:rsid w:val="00C51229"/>
    <w:rsid w:val="00C55095"/>
    <w:rsid w:val="00C559BC"/>
    <w:rsid w:val="00C613A4"/>
    <w:rsid w:val="00C63A22"/>
    <w:rsid w:val="00C666F3"/>
    <w:rsid w:val="00C67A86"/>
    <w:rsid w:val="00C75F63"/>
    <w:rsid w:val="00C7642D"/>
    <w:rsid w:val="00C80B4A"/>
    <w:rsid w:val="00C83BA4"/>
    <w:rsid w:val="00C84A9F"/>
    <w:rsid w:val="00C8698C"/>
    <w:rsid w:val="00C86E53"/>
    <w:rsid w:val="00C90E10"/>
    <w:rsid w:val="00C914DE"/>
    <w:rsid w:val="00C921D4"/>
    <w:rsid w:val="00C92230"/>
    <w:rsid w:val="00C93068"/>
    <w:rsid w:val="00C93DBA"/>
    <w:rsid w:val="00C96F28"/>
    <w:rsid w:val="00C97284"/>
    <w:rsid w:val="00C973DA"/>
    <w:rsid w:val="00CA4134"/>
    <w:rsid w:val="00CA44FC"/>
    <w:rsid w:val="00CA7A00"/>
    <w:rsid w:val="00CB28F6"/>
    <w:rsid w:val="00CB5187"/>
    <w:rsid w:val="00CB5202"/>
    <w:rsid w:val="00CB556E"/>
    <w:rsid w:val="00CB6136"/>
    <w:rsid w:val="00CB623A"/>
    <w:rsid w:val="00CB634F"/>
    <w:rsid w:val="00CB7F80"/>
    <w:rsid w:val="00CC0AFB"/>
    <w:rsid w:val="00CC1325"/>
    <w:rsid w:val="00CC1B04"/>
    <w:rsid w:val="00CC31F5"/>
    <w:rsid w:val="00CC347B"/>
    <w:rsid w:val="00CC710B"/>
    <w:rsid w:val="00CD1D2B"/>
    <w:rsid w:val="00CD3BEC"/>
    <w:rsid w:val="00CD41B4"/>
    <w:rsid w:val="00CD472A"/>
    <w:rsid w:val="00CD5396"/>
    <w:rsid w:val="00CD5754"/>
    <w:rsid w:val="00CD6756"/>
    <w:rsid w:val="00CE0218"/>
    <w:rsid w:val="00CE2985"/>
    <w:rsid w:val="00CE555F"/>
    <w:rsid w:val="00CF094D"/>
    <w:rsid w:val="00CF0CBD"/>
    <w:rsid w:val="00CF1679"/>
    <w:rsid w:val="00CF1CC3"/>
    <w:rsid w:val="00CF26C4"/>
    <w:rsid w:val="00CF3458"/>
    <w:rsid w:val="00CF76E8"/>
    <w:rsid w:val="00CF7CE4"/>
    <w:rsid w:val="00D00D00"/>
    <w:rsid w:val="00D01D91"/>
    <w:rsid w:val="00D01EDD"/>
    <w:rsid w:val="00D10561"/>
    <w:rsid w:val="00D1271C"/>
    <w:rsid w:val="00D1311C"/>
    <w:rsid w:val="00D14B39"/>
    <w:rsid w:val="00D15DC7"/>
    <w:rsid w:val="00D2734D"/>
    <w:rsid w:val="00D311DE"/>
    <w:rsid w:val="00D37A3E"/>
    <w:rsid w:val="00D40FB2"/>
    <w:rsid w:val="00D417D2"/>
    <w:rsid w:val="00D4225D"/>
    <w:rsid w:val="00D426E7"/>
    <w:rsid w:val="00D44B5C"/>
    <w:rsid w:val="00D4588E"/>
    <w:rsid w:val="00D4597F"/>
    <w:rsid w:val="00D46D7A"/>
    <w:rsid w:val="00D47F5D"/>
    <w:rsid w:val="00D52970"/>
    <w:rsid w:val="00D54990"/>
    <w:rsid w:val="00D54F29"/>
    <w:rsid w:val="00D61191"/>
    <w:rsid w:val="00D62273"/>
    <w:rsid w:val="00D63C57"/>
    <w:rsid w:val="00D65C30"/>
    <w:rsid w:val="00D6670A"/>
    <w:rsid w:val="00D672D5"/>
    <w:rsid w:val="00D71F16"/>
    <w:rsid w:val="00D73CD8"/>
    <w:rsid w:val="00D77756"/>
    <w:rsid w:val="00D81405"/>
    <w:rsid w:val="00D81604"/>
    <w:rsid w:val="00D85B09"/>
    <w:rsid w:val="00D86683"/>
    <w:rsid w:val="00D91A6D"/>
    <w:rsid w:val="00D91D80"/>
    <w:rsid w:val="00D94CCC"/>
    <w:rsid w:val="00D95631"/>
    <w:rsid w:val="00D9680C"/>
    <w:rsid w:val="00D96EEB"/>
    <w:rsid w:val="00D97446"/>
    <w:rsid w:val="00D9777E"/>
    <w:rsid w:val="00D97E0B"/>
    <w:rsid w:val="00D97F9A"/>
    <w:rsid w:val="00DA0588"/>
    <w:rsid w:val="00DA3126"/>
    <w:rsid w:val="00DA3638"/>
    <w:rsid w:val="00DA4644"/>
    <w:rsid w:val="00DA73FE"/>
    <w:rsid w:val="00DB2BC8"/>
    <w:rsid w:val="00DB2D81"/>
    <w:rsid w:val="00DB3E79"/>
    <w:rsid w:val="00DB70C4"/>
    <w:rsid w:val="00DB7968"/>
    <w:rsid w:val="00DB7D4C"/>
    <w:rsid w:val="00DC332A"/>
    <w:rsid w:val="00DC3F21"/>
    <w:rsid w:val="00DC3F78"/>
    <w:rsid w:val="00DC41DE"/>
    <w:rsid w:val="00DC558F"/>
    <w:rsid w:val="00DD2AC4"/>
    <w:rsid w:val="00DD3F35"/>
    <w:rsid w:val="00DD7120"/>
    <w:rsid w:val="00DE21CE"/>
    <w:rsid w:val="00DE2A7B"/>
    <w:rsid w:val="00DE4589"/>
    <w:rsid w:val="00DE6078"/>
    <w:rsid w:val="00DF40ED"/>
    <w:rsid w:val="00DF589E"/>
    <w:rsid w:val="00E01CEC"/>
    <w:rsid w:val="00E0391A"/>
    <w:rsid w:val="00E03A9E"/>
    <w:rsid w:val="00E0586D"/>
    <w:rsid w:val="00E07172"/>
    <w:rsid w:val="00E120D0"/>
    <w:rsid w:val="00E16FCA"/>
    <w:rsid w:val="00E203D5"/>
    <w:rsid w:val="00E229A3"/>
    <w:rsid w:val="00E24906"/>
    <w:rsid w:val="00E26BA3"/>
    <w:rsid w:val="00E33387"/>
    <w:rsid w:val="00E33ABF"/>
    <w:rsid w:val="00E35861"/>
    <w:rsid w:val="00E40BB2"/>
    <w:rsid w:val="00E44535"/>
    <w:rsid w:val="00E50EEB"/>
    <w:rsid w:val="00E51BC9"/>
    <w:rsid w:val="00E55838"/>
    <w:rsid w:val="00E55AAB"/>
    <w:rsid w:val="00E55EA6"/>
    <w:rsid w:val="00E564E8"/>
    <w:rsid w:val="00E575AB"/>
    <w:rsid w:val="00E65FE2"/>
    <w:rsid w:val="00E66642"/>
    <w:rsid w:val="00E71056"/>
    <w:rsid w:val="00E718BD"/>
    <w:rsid w:val="00E722AF"/>
    <w:rsid w:val="00E807D8"/>
    <w:rsid w:val="00E80CEE"/>
    <w:rsid w:val="00E81705"/>
    <w:rsid w:val="00E8248F"/>
    <w:rsid w:val="00E82C12"/>
    <w:rsid w:val="00E95529"/>
    <w:rsid w:val="00EA01AC"/>
    <w:rsid w:val="00EA0B33"/>
    <w:rsid w:val="00EA100C"/>
    <w:rsid w:val="00EA11AB"/>
    <w:rsid w:val="00EA5777"/>
    <w:rsid w:val="00EB202A"/>
    <w:rsid w:val="00EB4DF2"/>
    <w:rsid w:val="00EB5C29"/>
    <w:rsid w:val="00EB6910"/>
    <w:rsid w:val="00EB6ED1"/>
    <w:rsid w:val="00EC14FC"/>
    <w:rsid w:val="00EC16D8"/>
    <w:rsid w:val="00EC2ED4"/>
    <w:rsid w:val="00EC4686"/>
    <w:rsid w:val="00EC5738"/>
    <w:rsid w:val="00EC7464"/>
    <w:rsid w:val="00ED07DF"/>
    <w:rsid w:val="00ED0B9A"/>
    <w:rsid w:val="00ED0D88"/>
    <w:rsid w:val="00ED25CB"/>
    <w:rsid w:val="00ED3D74"/>
    <w:rsid w:val="00ED7B90"/>
    <w:rsid w:val="00EE1282"/>
    <w:rsid w:val="00EE2D47"/>
    <w:rsid w:val="00EE37D3"/>
    <w:rsid w:val="00EF0350"/>
    <w:rsid w:val="00EF0F77"/>
    <w:rsid w:val="00EF0FCA"/>
    <w:rsid w:val="00EF6FC5"/>
    <w:rsid w:val="00F00E4D"/>
    <w:rsid w:val="00F01E89"/>
    <w:rsid w:val="00F059D9"/>
    <w:rsid w:val="00F07436"/>
    <w:rsid w:val="00F078AC"/>
    <w:rsid w:val="00F10AF7"/>
    <w:rsid w:val="00F12497"/>
    <w:rsid w:val="00F215D6"/>
    <w:rsid w:val="00F21E75"/>
    <w:rsid w:val="00F266D3"/>
    <w:rsid w:val="00F26C6C"/>
    <w:rsid w:val="00F26E96"/>
    <w:rsid w:val="00F2739F"/>
    <w:rsid w:val="00F30797"/>
    <w:rsid w:val="00F31B47"/>
    <w:rsid w:val="00F35A52"/>
    <w:rsid w:val="00F41CD5"/>
    <w:rsid w:val="00F43570"/>
    <w:rsid w:val="00F45A80"/>
    <w:rsid w:val="00F4720B"/>
    <w:rsid w:val="00F53266"/>
    <w:rsid w:val="00F53BD0"/>
    <w:rsid w:val="00F54766"/>
    <w:rsid w:val="00F573F0"/>
    <w:rsid w:val="00F65883"/>
    <w:rsid w:val="00F775A7"/>
    <w:rsid w:val="00F77EAA"/>
    <w:rsid w:val="00F80B64"/>
    <w:rsid w:val="00F81AB7"/>
    <w:rsid w:val="00F83718"/>
    <w:rsid w:val="00F84042"/>
    <w:rsid w:val="00F85FFD"/>
    <w:rsid w:val="00F9092C"/>
    <w:rsid w:val="00F93BC7"/>
    <w:rsid w:val="00F94421"/>
    <w:rsid w:val="00F9452D"/>
    <w:rsid w:val="00F946ED"/>
    <w:rsid w:val="00F965BC"/>
    <w:rsid w:val="00FA2A4F"/>
    <w:rsid w:val="00FA2CCF"/>
    <w:rsid w:val="00FA3740"/>
    <w:rsid w:val="00FA3A1B"/>
    <w:rsid w:val="00FA774C"/>
    <w:rsid w:val="00FB0857"/>
    <w:rsid w:val="00FB13A9"/>
    <w:rsid w:val="00FB265C"/>
    <w:rsid w:val="00FB38EA"/>
    <w:rsid w:val="00FB4153"/>
    <w:rsid w:val="00FB5420"/>
    <w:rsid w:val="00FB556D"/>
    <w:rsid w:val="00FC033B"/>
    <w:rsid w:val="00FC0B62"/>
    <w:rsid w:val="00FC1BA8"/>
    <w:rsid w:val="00FC2011"/>
    <w:rsid w:val="00FC2B90"/>
    <w:rsid w:val="00FC4A2E"/>
    <w:rsid w:val="00FC4A57"/>
    <w:rsid w:val="00FC6726"/>
    <w:rsid w:val="00FD3E0C"/>
    <w:rsid w:val="00FD4385"/>
    <w:rsid w:val="00FD5B0D"/>
    <w:rsid w:val="00FD5FBD"/>
    <w:rsid w:val="00FE2CB7"/>
    <w:rsid w:val="00FE4969"/>
    <w:rsid w:val="00FE5B14"/>
    <w:rsid w:val="00FE6B7F"/>
    <w:rsid w:val="00FE71F3"/>
    <w:rsid w:val="00FF07C1"/>
    <w:rsid w:val="00FF0FD9"/>
    <w:rsid w:val="00FF2B51"/>
    <w:rsid w:val="00FF45F4"/>
    <w:rsid w:val="00FF5EC5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FD642-51E2-473F-8733-FD0832A0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 w:qFormat="1"/>
    <w:lsdException w:name="List Number 2" w:uiPriority="99"/>
    <w:lsdException w:name="Title" w:uiPriority="10" w:qFormat="1"/>
    <w:lsdException w:name="List Continue" w:uiPriority="99"/>
    <w:lsdException w:name="List Continue 2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368"/>
    <w:pPr>
      <w:spacing w:after="200"/>
    </w:pPr>
    <w:rPr>
      <w:rFonts w:ascii="Arial" w:eastAsia="Calibri" w:hAnsi="Arial" w:cs="Arial"/>
      <w:sz w:val="22"/>
      <w:lang w:eastAsia="en-US"/>
    </w:rPr>
  </w:style>
  <w:style w:type="paragraph" w:styleId="Heading1">
    <w:name w:val="heading 1"/>
    <w:basedOn w:val="Style1"/>
    <w:next w:val="Normal"/>
    <w:link w:val="Heading1Char"/>
    <w:qFormat/>
    <w:rsid w:val="00066C81"/>
    <w:pPr>
      <w:spacing w:before="240" w:after="200"/>
      <w:outlineLvl w:val="0"/>
    </w:pPr>
    <w:rPr>
      <w:rFonts w:cs="Arial"/>
    </w:rPr>
  </w:style>
  <w:style w:type="paragraph" w:styleId="Heading2">
    <w:name w:val="heading 2"/>
    <w:basedOn w:val="Heading1"/>
    <w:next w:val="Normal"/>
    <w:link w:val="Heading2Char"/>
    <w:qFormat/>
    <w:rsid w:val="00937B15"/>
    <w:pPr>
      <w:numPr>
        <w:ilvl w:val="1"/>
      </w:numPr>
      <w:outlineLvl w:val="1"/>
    </w:pPr>
    <w:rPr>
      <w:b w:val="0"/>
    </w:rPr>
  </w:style>
  <w:style w:type="paragraph" w:styleId="Heading4">
    <w:name w:val="heading 4"/>
    <w:basedOn w:val="Normal"/>
    <w:next w:val="Normal"/>
    <w:qFormat/>
    <w:rsid w:val="00937B1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37B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37B15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37B1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37B15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37B15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4B7C"/>
    <w:pPr>
      <w:tabs>
        <w:tab w:val="center" w:pos="4153"/>
        <w:tab w:val="right" w:pos="8306"/>
      </w:tabs>
    </w:pPr>
  </w:style>
  <w:style w:type="paragraph" w:styleId="Header">
    <w:name w:val="header"/>
    <w:aliases w:val="NTG Page Header"/>
    <w:basedOn w:val="Normal"/>
    <w:autoRedefine/>
    <w:rsid w:val="00184B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B5202"/>
    <w:rPr>
      <w:rFonts w:ascii="Tahoma" w:hAnsi="Tahoma" w:cs="Tahoma"/>
      <w:sz w:val="16"/>
      <w:szCs w:val="16"/>
    </w:rPr>
  </w:style>
  <w:style w:type="paragraph" w:customStyle="1" w:styleId="NTTHeaderInfo">
    <w:name w:val="NTT Header Info"/>
    <w:rsid w:val="00713E0D"/>
    <w:pPr>
      <w:spacing w:line="240" w:lineRule="exact"/>
      <w:jc w:val="right"/>
    </w:pPr>
    <w:rPr>
      <w:rFonts w:ascii="Arial" w:hAnsi="Arial"/>
      <w:sz w:val="18"/>
      <w:szCs w:val="18"/>
    </w:rPr>
  </w:style>
  <w:style w:type="character" w:customStyle="1" w:styleId="Heading1Char">
    <w:name w:val="Heading 1 Char"/>
    <w:link w:val="Heading1"/>
    <w:rsid w:val="00066C81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link w:val="Heading2"/>
    <w:rsid w:val="00937B15"/>
    <w:rPr>
      <w:rFonts w:ascii="Arial" w:hAnsi="Arial" w:cs="Arial"/>
      <w:b/>
      <w:sz w:val="18"/>
      <w:szCs w:val="18"/>
      <w:lang w:val="en-AU" w:eastAsia="en-AU" w:bidi="ar-SA"/>
    </w:rPr>
  </w:style>
  <w:style w:type="paragraph" w:customStyle="1" w:styleId="NTTBodyText">
    <w:name w:val="NTT Body Text"/>
    <w:rsid w:val="00E51BC9"/>
    <w:pPr>
      <w:spacing w:after="120" w:line="300" w:lineRule="exact"/>
    </w:pPr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rsid w:val="0019571B"/>
  </w:style>
  <w:style w:type="paragraph" w:customStyle="1" w:styleId="NTTBodyTextTitle">
    <w:name w:val="NTT Body Text Title"/>
    <w:basedOn w:val="NTTBodyText"/>
    <w:rsid w:val="001D7DC4"/>
    <w:rPr>
      <w:b/>
      <w:bCs/>
    </w:rPr>
  </w:style>
  <w:style w:type="table" w:styleId="TableGrid">
    <w:name w:val="Table Grid"/>
    <w:basedOn w:val="TableNormal"/>
    <w:uiPriority w:val="59"/>
    <w:rsid w:val="00C2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One">
    <w:name w:val="Heading One"/>
    <w:basedOn w:val="Normal"/>
    <w:rsid w:val="00364D5F"/>
    <w:pPr>
      <w:spacing w:after="120"/>
      <w:jc w:val="center"/>
    </w:pPr>
    <w:rPr>
      <w:rFonts w:cs="Times New Roman"/>
      <w:b/>
      <w:bCs/>
      <w:sz w:val="32"/>
    </w:rPr>
  </w:style>
  <w:style w:type="paragraph" w:customStyle="1" w:styleId="HeadingTwo">
    <w:name w:val="Heading Two"/>
    <w:basedOn w:val="Normal"/>
    <w:link w:val="HeadingTwoChar"/>
    <w:rsid w:val="00364D5F"/>
    <w:pPr>
      <w:pBdr>
        <w:bottom w:val="single" w:sz="4" w:space="1" w:color="auto"/>
      </w:pBdr>
      <w:spacing w:before="360" w:after="120"/>
    </w:pPr>
    <w:rPr>
      <w:rFonts w:cs="Times New Roman"/>
      <w:b/>
      <w:bCs/>
    </w:rPr>
  </w:style>
  <w:style w:type="numbering" w:customStyle="1" w:styleId="Text">
    <w:name w:val="Text"/>
    <w:rsid w:val="00545D20"/>
    <w:pPr>
      <w:numPr>
        <w:numId w:val="13"/>
      </w:numPr>
    </w:pPr>
  </w:style>
  <w:style w:type="character" w:styleId="Hyperlink">
    <w:name w:val="Hyperlink"/>
    <w:rsid w:val="00545D20"/>
    <w:rPr>
      <w:color w:val="0000FF"/>
      <w:u w:val="single"/>
    </w:rPr>
  </w:style>
  <w:style w:type="paragraph" w:styleId="BlockText">
    <w:name w:val="Block Text"/>
    <w:basedOn w:val="Normal"/>
    <w:link w:val="BlockTextChar"/>
    <w:rsid w:val="00937B15"/>
    <w:pPr>
      <w:tabs>
        <w:tab w:val="left" w:pos="851"/>
        <w:tab w:val="left" w:pos="1276"/>
        <w:tab w:val="left" w:pos="1701"/>
      </w:tabs>
      <w:spacing w:after="120"/>
    </w:pPr>
  </w:style>
  <w:style w:type="paragraph" w:customStyle="1" w:styleId="HeadingThree">
    <w:name w:val="Heading Three"/>
    <w:basedOn w:val="HeadingTwo"/>
    <w:rsid w:val="00545D20"/>
    <w:pPr>
      <w:pBdr>
        <w:bottom w:val="none" w:sz="0" w:space="0" w:color="auto"/>
      </w:pBdr>
    </w:pPr>
    <w:rPr>
      <w:i/>
      <w:iCs/>
    </w:rPr>
  </w:style>
  <w:style w:type="paragraph" w:customStyle="1" w:styleId="HeadingFour">
    <w:name w:val="Heading Four"/>
    <w:basedOn w:val="HeadingThree"/>
    <w:rsid w:val="006034B6"/>
    <w:rPr>
      <w:b w:val="0"/>
      <w:bCs w:val="0"/>
      <w:u w:val="single"/>
    </w:rPr>
  </w:style>
  <w:style w:type="paragraph" w:customStyle="1" w:styleId="BodyText">
    <w:name w:val="Body Text."/>
    <w:basedOn w:val="Normal"/>
    <w:autoRedefine/>
    <w:rsid w:val="00CB5187"/>
    <w:pPr>
      <w:tabs>
        <w:tab w:val="left" w:pos="0"/>
      </w:tabs>
      <w:jc w:val="both"/>
    </w:pPr>
    <w:rPr>
      <w:szCs w:val="22"/>
    </w:rPr>
  </w:style>
  <w:style w:type="paragraph" w:customStyle="1" w:styleId="Subheading1">
    <w:name w:val="Subheading 1"/>
    <w:basedOn w:val="Normal"/>
    <w:autoRedefine/>
    <w:rsid w:val="00941EEA"/>
    <w:pPr>
      <w:spacing w:before="240" w:line="300" w:lineRule="exact"/>
      <w:jc w:val="both"/>
    </w:pPr>
    <w:rPr>
      <w:rFonts w:cs="Times New Roman"/>
      <w:b/>
      <w:sz w:val="24"/>
      <w:szCs w:val="24"/>
    </w:rPr>
  </w:style>
  <w:style w:type="character" w:customStyle="1" w:styleId="BlockTextChar">
    <w:name w:val="Block Text Char"/>
    <w:link w:val="BlockText"/>
    <w:rsid w:val="006C5BEE"/>
    <w:rPr>
      <w:rFonts w:ascii="Arial" w:hAnsi="Arial" w:cs="Arial"/>
      <w:sz w:val="22"/>
      <w:lang w:val="en-AU" w:eastAsia="en-AU" w:bidi="ar-SA"/>
    </w:rPr>
  </w:style>
  <w:style w:type="character" w:styleId="FollowedHyperlink">
    <w:name w:val="FollowedHyperlink"/>
    <w:rsid w:val="00B4243C"/>
    <w:rPr>
      <w:color w:val="800080"/>
      <w:u w:val="single"/>
    </w:rPr>
  </w:style>
  <w:style w:type="paragraph" w:styleId="Title">
    <w:name w:val="Title"/>
    <w:next w:val="Normal"/>
    <w:link w:val="TitleChar"/>
    <w:uiPriority w:val="10"/>
    <w:rsid w:val="000A28EE"/>
    <w:pPr>
      <w:spacing w:after="240"/>
    </w:pPr>
    <w:rPr>
      <w:rFonts w:ascii="Arial Black" w:hAnsi="Arial Black" w:cs="Arial"/>
      <w:b/>
      <w:color w:val="CB6015"/>
      <w:sz w:val="36"/>
      <w:szCs w:val="36"/>
    </w:rPr>
  </w:style>
  <w:style w:type="character" w:customStyle="1" w:styleId="TitleChar">
    <w:name w:val="Title Char"/>
    <w:link w:val="Title"/>
    <w:uiPriority w:val="10"/>
    <w:rsid w:val="000A28EE"/>
    <w:rPr>
      <w:rFonts w:ascii="Arial Black" w:hAnsi="Arial Black" w:cs="Arial"/>
      <w:b/>
      <w:color w:val="CB6015"/>
      <w:sz w:val="36"/>
      <w:szCs w:val="36"/>
    </w:rPr>
  </w:style>
  <w:style w:type="paragraph" w:customStyle="1" w:styleId="Title2">
    <w:name w:val="Title2"/>
    <w:basedOn w:val="Title"/>
    <w:link w:val="Title2Char"/>
    <w:qFormat/>
    <w:rsid w:val="000A28EE"/>
    <w:rPr>
      <w:rFonts w:ascii="Lato Heavy" w:hAnsi="Lato Heavy"/>
    </w:rPr>
  </w:style>
  <w:style w:type="character" w:customStyle="1" w:styleId="Title2Char">
    <w:name w:val="Title2 Char"/>
    <w:link w:val="Title2"/>
    <w:rsid w:val="000A28EE"/>
    <w:rPr>
      <w:rFonts w:ascii="Lato Heavy" w:hAnsi="Lato Heavy" w:cs="Arial"/>
      <w:b/>
      <w:color w:val="CB6015"/>
      <w:sz w:val="36"/>
      <w:szCs w:val="36"/>
    </w:rPr>
  </w:style>
  <w:style w:type="paragraph" w:customStyle="1" w:styleId="NTGFooter1items">
    <w:name w:val="NTG Footer 1 items"/>
    <w:basedOn w:val="Normal"/>
    <w:link w:val="NTGFooter1itemsChar"/>
    <w:uiPriority w:val="7"/>
    <w:rsid w:val="00186053"/>
    <w:pPr>
      <w:widowControl w:val="0"/>
      <w:tabs>
        <w:tab w:val="left" w:pos="1778"/>
        <w:tab w:val="right" w:pos="9026"/>
      </w:tabs>
    </w:pPr>
    <w:rPr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186053"/>
    <w:pPr>
      <w:widowControl w:val="0"/>
      <w:tabs>
        <w:tab w:val="right" w:pos="9026"/>
      </w:tabs>
      <w:spacing w:after="200"/>
    </w:pPr>
    <w:rPr>
      <w:rFonts w:ascii="Arial" w:eastAsia="Calibri" w:hAnsi="Arial" w:cs="Arial"/>
      <w:caps/>
      <w:sz w:val="22"/>
      <w:szCs w:val="16"/>
      <w:lang w:eastAsia="en-US"/>
    </w:rPr>
  </w:style>
  <w:style w:type="paragraph" w:customStyle="1" w:styleId="NTGFooterDepartmentName">
    <w:name w:val="NTG Footer Department Name"/>
    <w:link w:val="NTGFooterDepartmentNameChar"/>
    <w:uiPriority w:val="7"/>
    <w:rsid w:val="00186053"/>
    <w:pPr>
      <w:widowControl w:val="0"/>
      <w:tabs>
        <w:tab w:val="right" w:pos="9026"/>
      </w:tabs>
      <w:spacing w:after="200"/>
    </w:pPr>
    <w:rPr>
      <w:rFonts w:ascii="Arial Black" w:eastAsia="Calibri" w:hAnsi="Arial Black" w:cs="Arial"/>
      <w:caps/>
      <w:sz w:val="22"/>
      <w:szCs w:val="16"/>
      <w:lang w:eastAsia="en-US"/>
    </w:rPr>
  </w:style>
  <w:style w:type="character" w:customStyle="1" w:styleId="NTGFooter1itemsChar">
    <w:name w:val="NTG Footer 1 items Char"/>
    <w:link w:val="NTGFooter1items"/>
    <w:uiPriority w:val="7"/>
    <w:rsid w:val="00186053"/>
    <w:rPr>
      <w:rFonts w:ascii="Arial" w:eastAsia="Calibri" w:hAnsi="Arial" w:cs="Arial"/>
      <w:szCs w:val="16"/>
      <w:lang w:eastAsia="en-US"/>
    </w:rPr>
  </w:style>
  <w:style w:type="character" w:customStyle="1" w:styleId="NTGFooterDepartmentofChar">
    <w:name w:val="NTG Footer Department of Char"/>
    <w:link w:val="NTGFooterDepartmentof"/>
    <w:uiPriority w:val="7"/>
    <w:rsid w:val="00186053"/>
    <w:rPr>
      <w:rFonts w:ascii="Arial" w:eastAsia="Calibri" w:hAnsi="Arial" w:cs="Arial"/>
      <w:caps/>
      <w:sz w:val="22"/>
      <w:szCs w:val="16"/>
      <w:lang w:eastAsia="en-US"/>
    </w:rPr>
  </w:style>
  <w:style w:type="character" w:customStyle="1" w:styleId="NTGFooterDepartmentNameChar">
    <w:name w:val="NTG Footer Department Name Char"/>
    <w:link w:val="NTGFooterDepartmentName"/>
    <w:uiPriority w:val="7"/>
    <w:rsid w:val="00186053"/>
    <w:rPr>
      <w:rFonts w:ascii="Arial Black" w:eastAsia="Calibri" w:hAnsi="Arial Black" w:cs="Arial"/>
      <w:caps/>
      <w:sz w:val="22"/>
      <w:szCs w:val="16"/>
      <w:lang w:eastAsia="en-US"/>
    </w:rPr>
  </w:style>
  <w:style w:type="paragraph" w:customStyle="1" w:styleId="Style1">
    <w:name w:val="Style1"/>
    <w:basedOn w:val="HeadingTwo"/>
    <w:link w:val="Style1Char"/>
    <w:qFormat/>
    <w:rsid w:val="004E62D7"/>
    <w:pPr>
      <w:pBdr>
        <w:bottom w:val="none" w:sz="0" w:space="0" w:color="auto"/>
      </w:pBdr>
      <w:tabs>
        <w:tab w:val="right" w:pos="9638"/>
      </w:tabs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790679"/>
    <w:pPr>
      <w:ind w:left="720"/>
    </w:pPr>
  </w:style>
  <w:style w:type="character" w:customStyle="1" w:styleId="HeadingTwoChar">
    <w:name w:val="Heading Two Char"/>
    <w:link w:val="HeadingTwo"/>
    <w:rsid w:val="004E62D7"/>
    <w:rPr>
      <w:rFonts w:ascii="Arial" w:hAnsi="Arial"/>
      <w:b/>
      <w:bCs/>
      <w:sz w:val="22"/>
    </w:rPr>
  </w:style>
  <w:style w:type="character" w:customStyle="1" w:styleId="Style1Char">
    <w:name w:val="Style1 Char"/>
    <w:link w:val="Style1"/>
    <w:rsid w:val="004E62D7"/>
    <w:rPr>
      <w:rFonts w:ascii="Arial" w:hAnsi="Arial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B938D7"/>
    <w:rPr>
      <w:rFonts w:ascii="Arial" w:hAnsi="Arial" w:cs="Arial"/>
      <w:sz w:val="22"/>
    </w:rPr>
  </w:style>
  <w:style w:type="paragraph" w:customStyle="1" w:styleId="DTFTabletext">
    <w:name w:val="DTF Table text"/>
    <w:qFormat/>
    <w:rsid w:val="00BE3347"/>
    <w:pPr>
      <w:spacing w:after="120"/>
    </w:pPr>
    <w:rPr>
      <w:rFonts w:ascii="Lato" w:hAnsi="Lato" w:cs="Arial"/>
      <w:sz w:val="22"/>
    </w:rPr>
  </w:style>
  <w:style w:type="paragraph" w:customStyle="1" w:styleId="DTFTabletextcentred">
    <w:name w:val="DTF Table text centred"/>
    <w:basedOn w:val="DTFTabletext"/>
    <w:qFormat/>
    <w:rsid w:val="00BE3347"/>
    <w:pPr>
      <w:jc w:val="center"/>
    </w:p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D9680C"/>
    <w:pPr>
      <w:tabs>
        <w:tab w:val="right" w:pos="9639"/>
      </w:tabs>
    </w:pPr>
    <w:rPr>
      <w:rFonts w:cs="Times New Roman"/>
      <w:sz w:val="20"/>
      <w:szCs w:val="22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D9680C"/>
    <w:rPr>
      <w:rFonts w:ascii="Arial" w:eastAsia="Calibri" w:hAnsi="Arial"/>
      <w:szCs w:val="22"/>
      <w:lang w:eastAsia="en-US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A47864"/>
    <w:pPr>
      <w:spacing w:after="480"/>
    </w:p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A47864"/>
    <w:rPr>
      <w:rFonts w:ascii="Arial" w:eastAsia="Calibri" w:hAnsi="Arial"/>
      <w:szCs w:val="22"/>
      <w:lang w:eastAsia="en-US"/>
    </w:rPr>
  </w:style>
  <w:style w:type="character" w:styleId="Strong">
    <w:name w:val="Strong"/>
    <w:basedOn w:val="DefaultParagraphFont"/>
    <w:qFormat/>
    <w:rsid w:val="00066C81"/>
    <w:rPr>
      <w:b/>
      <w:bCs/>
    </w:rPr>
  </w:style>
  <w:style w:type="paragraph" w:styleId="ListNumber">
    <w:name w:val="List Number"/>
    <w:basedOn w:val="BlockText"/>
    <w:link w:val="ListNumberChar"/>
    <w:uiPriority w:val="99"/>
    <w:qFormat/>
    <w:rsid w:val="00FE6B7F"/>
    <w:pPr>
      <w:numPr>
        <w:numId w:val="32"/>
      </w:numPr>
      <w:ind w:left="425"/>
    </w:pPr>
    <w:rPr>
      <w:rFonts w:eastAsiaTheme="minorEastAsia"/>
      <w:iCs/>
      <w:szCs w:val="22"/>
    </w:rPr>
  </w:style>
  <w:style w:type="character" w:styleId="SubtleEmphasis">
    <w:name w:val="Subtle Emphasis"/>
    <w:basedOn w:val="DefaultParagraphFont"/>
    <w:uiPriority w:val="19"/>
    <w:qFormat/>
    <w:rsid w:val="00066C81"/>
    <w:rPr>
      <w:i/>
      <w:iCs/>
    </w:rPr>
  </w:style>
  <w:style w:type="paragraph" w:styleId="ListContinue">
    <w:name w:val="List Continue"/>
    <w:basedOn w:val="Normal"/>
    <w:uiPriority w:val="99"/>
    <w:unhideWhenUsed/>
    <w:rsid w:val="00FE6B7F"/>
    <w:pPr>
      <w:tabs>
        <w:tab w:val="left" w:pos="1276"/>
      </w:tabs>
      <w:spacing w:after="120"/>
      <w:ind w:left="1276" w:hanging="851"/>
    </w:pPr>
    <w:rPr>
      <w:szCs w:val="22"/>
    </w:rPr>
  </w:style>
  <w:style w:type="paragraph" w:styleId="ListContinue2">
    <w:name w:val="List Continue 2"/>
    <w:basedOn w:val="Normal"/>
    <w:uiPriority w:val="99"/>
    <w:unhideWhenUsed/>
    <w:rsid w:val="00FE6B7F"/>
    <w:pPr>
      <w:spacing w:after="120"/>
      <w:ind w:left="851"/>
      <w:contextualSpacing/>
    </w:pPr>
    <w:rPr>
      <w:rFonts w:cs="Times New Roman"/>
      <w:szCs w:val="22"/>
    </w:rPr>
  </w:style>
  <w:style w:type="character" w:customStyle="1" w:styleId="ListNumberChar">
    <w:name w:val="List Number Char"/>
    <w:basedOn w:val="DefaultParagraphFont"/>
    <w:link w:val="ListNumber"/>
    <w:uiPriority w:val="99"/>
    <w:rsid w:val="00FE6B7F"/>
    <w:rPr>
      <w:rFonts w:ascii="Arial" w:eastAsiaTheme="minorEastAsia" w:hAnsi="Arial" w:cs="Arial"/>
      <w:iCs/>
      <w:sz w:val="22"/>
      <w:szCs w:val="22"/>
      <w:lang w:eastAsia="en-US"/>
    </w:rPr>
  </w:style>
  <w:style w:type="paragraph" w:styleId="ListNumber2">
    <w:name w:val="List Number 2"/>
    <w:basedOn w:val="BlockText"/>
    <w:uiPriority w:val="99"/>
    <w:rsid w:val="00FE6B7F"/>
    <w:pPr>
      <w:numPr>
        <w:ilvl w:val="1"/>
        <w:numId w:val="32"/>
      </w:numPr>
      <w:tabs>
        <w:tab w:val="left" w:pos="851"/>
      </w:tabs>
    </w:pPr>
    <w:rPr>
      <w:rFonts w:eastAsiaTheme="minorEastAsia"/>
      <w:iCs/>
      <w:szCs w:val="22"/>
    </w:rPr>
  </w:style>
  <w:style w:type="paragraph" w:customStyle="1" w:styleId="Tabletext">
    <w:name w:val="Table text"/>
    <w:basedOn w:val="Normal"/>
    <w:autoRedefine/>
    <w:rsid w:val="00FE6B7F"/>
    <w:pPr>
      <w:spacing w:after="60"/>
    </w:pPr>
    <w:rPr>
      <w:bCs/>
      <w:szCs w:val="22"/>
    </w:rPr>
  </w:style>
  <w:style w:type="table" w:styleId="TableTheme">
    <w:name w:val="Table Theme"/>
    <w:basedOn w:val="TableNormal"/>
    <w:uiPriority w:val="99"/>
    <w:semiHidden/>
    <w:unhideWhenUsed/>
    <w:rsid w:val="00FE6B7F"/>
    <w:pPr>
      <w:spacing w:after="200"/>
    </w:pPr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red">
    <w:name w:val="Table text centred"/>
    <w:basedOn w:val="Normal"/>
    <w:rsid w:val="00FE6B7F"/>
    <w:pPr>
      <w:spacing w:after="60"/>
      <w:jc w:val="center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nt.gov.au/__data/assets/word_doc/0003/540309/RG-MRA-006.docx" TargetMode="External"/><Relationship Id="rId13" Type="http://schemas.openxmlformats.org/officeDocument/2006/relationships/hyperlink" Target="mailto:ntrevenue@nt.gov.a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easury.nt.gov.au/__data/assets/word_doc/0015/540303/RG-MRA-001-V2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evenue.nt.gov.a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reasury.nt.gov.au/__data/assets/word_doc/0014/711320/RG-MRA-006-V3.docx" TargetMode="External"/><Relationship Id="rId14" Type="http://schemas.openxmlformats.org/officeDocument/2006/relationships/hyperlink" Target="http://www.revenue.nt.gov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37B37C230849D9BD67E72881A3F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D0B3-5BDE-4D66-91E0-7FA7CA45128D}"/>
      </w:docPartPr>
      <w:docPartBody>
        <w:p w:rsidR="004948B0" w:rsidRDefault="001F7633" w:rsidP="001F7633">
          <w:pPr>
            <w:pStyle w:val="E137B37C230849D9BD67E72881A3FE61"/>
          </w:pPr>
          <w:r w:rsidRPr="0024594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33"/>
    <w:rsid w:val="001F7633"/>
    <w:rsid w:val="004948B0"/>
    <w:rsid w:val="009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633"/>
    <w:rPr>
      <w:color w:val="808080"/>
    </w:rPr>
  </w:style>
  <w:style w:type="paragraph" w:customStyle="1" w:styleId="344D324D376D4BB5BC321F58E72C7CDB">
    <w:name w:val="344D324D376D4BB5BC321F58E72C7CDB"/>
    <w:rsid w:val="001F7633"/>
  </w:style>
  <w:style w:type="paragraph" w:customStyle="1" w:styleId="12CF0F10460E421F853A9B3D5643EF17">
    <w:name w:val="12CF0F10460E421F853A9B3D5643EF17"/>
    <w:rsid w:val="001F7633"/>
  </w:style>
  <w:style w:type="paragraph" w:customStyle="1" w:styleId="E137B37C230849D9BD67E72881A3FE61">
    <w:name w:val="E137B37C230849D9BD67E72881A3FE61"/>
    <w:rsid w:val="001F7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8747-C0BD-46AE-A6EB-64998371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1002</Words>
  <Characters>5054</Characters>
  <Application>Microsoft Office Word</Application>
  <DocSecurity>0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Mineral Royalty Act: Royalty Guideline – RG-MRA-007 CRD Factors</vt:lpstr>
    </vt:vector>
  </TitlesOfParts>
  <Company>Northern Territory Government</Company>
  <LinksUpToDate>false</LinksUpToDate>
  <CharactersWithSpaces>6003</CharactersWithSpaces>
  <SharedDoc>false</SharedDoc>
  <HLinks>
    <vt:vector size="42" baseType="variant">
      <vt:variant>
        <vt:i4>5242895</vt:i4>
      </vt:variant>
      <vt:variant>
        <vt:i4>18</vt:i4>
      </vt:variant>
      <vt:variant>
        <vt:i4>0</vt:i4>
      </vt:variant>
      <vt:variant>
        <vt:i4>5</vt:i4>
      </vt:variant>
      <vt:variant>
        <vt:lpwstr>http://www.revenue.nt.gov.au/</vt:lpwstr>
      </vt:variant>
      <vt:variant>
        <vt:lpwstr/>
      </vt:variant>
      <vt:variant>
        <vt:i4>7077962</vt:i4>
      </vt:variant>
      <vt:variant>
        <vt:i4>15</vt:i4>
      </vt:variant>
      <vt:variant>
        <vt:i4>0</vt:i4>
      </vt:variant>
      <vt:variant>
        <vt:i4>5</vt:i4>
      </vt:variant>
      <vt:variant>
        <vt:lpwstr>mailto:royaltiesandassurance.dtf@nt.gov.au</vt:lpwstr>
      </vt:variant>
      <vt:variant>
        <vt:lpwstr/>
      </vt:variant>
      <vt:variant>
        <vt:i4>1507364</vt:i4>
      </vt:variant>
      <vt:variant>
        <vt:i4>12</vt:i4>
      </vt:variant>
      <vt:variant>
        <vt:i4>0</vt:i4>
      </vt:variant>
      <vt:variant>
        <vt:i4>5</vt:i4>
      </vt:variant>
      <vt:variant>
        <vt:lpwstr>https://treasury.nt.gov.au/__data/assets/word_doc/0015/540303/RG-MRA-001.docx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http://www.revenue.nt.gov.au/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Royalty Act: Royalty Guideline – RG-MRA-007 CRD Factors</dc:title>
  <dc:subject/>
  <dc:creator>Northern Territory Government</dc:creator>
  <cp:keywords/>
  <cp:lastModifiedBy>Shanya Bandara</cp:lastModifiedBy>
  <cp:revision>6</cp:revision>
  <cp:lastPrinted>2017-01-09T05:10:00Z</cp:lastPrinted>
  <dcterms:created xsi:type="dcterms:W3CDTF">2019-07-09T03:11:00Z</dcterms:created>
  <dcterms:modified xsi:type="dcterms:W3CDTF">2022-12-20T04:35:00Z</dcterms:modified>
</cp:coreProperties>
</file>