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162B5" w14:textId="77777777" w:rsidR="002546CB" w:rsidRPr="00C27A0A" w:rsidRDefault="00C27A0A" w:rsidP="002C5206">
      <w:pPr>
        <w:pStyle w:val="HeadingOne"/>
      </w:pPr>
      <w:r w:rsidRPr="00C27A0A">
        <w:t>MINERAL ROYALTY ACT</w:t>
      </w:r>
      <w:r w:rsidR="00DE66BD">
        <w:t xml:space="preserve"> </w:t>
      </w:r>
    </w:p>
    <w:p w14:paraId="18A162B6" w14:textId="77777777" w:rsidR="00C27A0A" w:rsidRPr="00C27A0A" w:rsidRDefault="00C27A0A" w:rsidP="002C5206">
      <w:pPr>
        <w:pStyle w:val="HeadingOne"/>
      </w:pPr>
      <w:r w:rsidRPr="00C27A0A">
        <w:t>Royal</w:t>
      </w:r>
      <w:r>
        <w:t>t</w:t>
      </w:r>
      <w:r w:rsidRPr="00C27A0A">
        <w:t>y Guideline</w:t>
      </w:r>
    </w:p>
    <w:p w14:paraId="18A162B7" w14:textId="77777777" w:rsidR="00C27A0A" w:rsidRPr="00C27A0A" w:rsidRDefault="00C27A0A" w:rsidP="002C5206">
      <w:pPr>
        <w:pStyle w:val="HeadingOne"/>
      </w:pPr>
      <w:r w:rsidRPr="00C27A0A">
        <w:t>RG-MRA-</w:t>
      </w:r>
      <w:r w:rsidR="00DE66BD">
        <w:t>006</w:t>
      </w:r>
      <w:r w:rsidRPr="00C27A0A">
        <w:t xml:space="preserve">: </w:t>
      </w:r>
      <w:r w:rsidR="00DE66BD">
        <w:t>Capital Recognition Deduction</w:t>
      </w:r>
    </w:p>
    <w:p w14:paraId="18A162B8" w14:textId="77777777" w:rsidR="00C27A0A" w:rsidRDefault="00C27A0A" w:rsidP="002C5206">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77"/>
        <w:gridCol w:w="1969"/>
        <w:gridCol w:w="2104"/>
        <w:gridCol w:w="2105"/>
      </w:tblGrid>
      <w:tr w:rsidR="005C1A9F" w:rsidRPr="008E7052" w14:paraId="18A162BC" w14:textId="77777777" w:rsidTr="005C1A9F">
        <w:trPr>
          <w:jc w:val="center"/>
        </w:trPr>
        <w:tc>
          <w:tcPr>
            <w:tcW w:w="877" w:type="dxa"/>
          </w:tcPr>
          <w:p w14:paraId="18A162B9" w14:textId="77777777" w:rsidR="005C1A9F" w:rsidRPr="008E7052" w:rsidRDefault="005C1A9F" w:rsidP="005C1A9F">
            <w:pPr>
              <w:jc w:val="center"/>
              <w:rPr>
                <w:b/>
                <w:sz w:val="18"/>
                <w:szCs w:val="18"/>
              </w:rPr>
            </w:pPr>
            <w:bookmarkStart w:id="0" w:name="OLE_LINK1"/>
            <w:bookmarkStart w:id="1" w:name="OLE_LINK2"/>
            <w:r w:rsidRPr="008E7052">
              <w:rPr>
                <w:b/>
                <w:sz w:val="18"/>
                <w:szCs w:val="18"/>
              </w:rPr>
              <w:t>Version</w:t>
            </w:r>
          </w:p>
        </w:tc>
        <w:tc>
          <w:tcPr>
            <w:tcW w:w="1969" w:type="dxa"/>
          </w:tcPr>
          <w:p w14:paraId="18A162BA" w14:textId="77777777" w:rsidR="005C1A9F" w:rsidRPr="008E7052" w:rsidRDefault="005C1A9F" w:rsidP="005C1A9F">
            <w:pPr>
              <w:jc w:val="center"/>
              <w:rPr>
                <w:b/>
                <w:sz w:val="18"/>
                <w:szCs w:val="18"/>
              </w:rPr>
            </w:pPr>
            <w:r w:rsidRPr="008E7052">
              <w:rPr>
                <w:b/>
                <w:sz w:val="18"/>
                <w:szCs w:val="18"/>
              </w:rPr>
              <w:t>Issued</w:t>
            </w:r>
          </w:p>
        </w:tc>
        <w:tc>
          <w:tcPr>
            <w:tcW w:w="4209" w:type="dxa"/>
            <w:gridSpan w:val="2"/>
          </w:tcPr>
          <w:p w14:paraId="18A162BB" w14:textId="77777777" w:rsidR="005C1A9F" w:rsidRPr="008E7052" w:rsidRDefault="005C1A9F" w:rsidP="005C1A9F">
            <w:pPr>
              <w:jc w:val="center"/>
              <w:rPr>
                <w:b/>
                <w:sz w:val="18"/>
                <w:szCs w:val="18"/>
              </w:rPr>
            </w:pPr>
            <w:r w:rsidRPr="008E7052">
              <w:rPr>
                <w:b/>
                <w:sz w:val="18"/>
                <w:szCs w:val="18"/>
              </w:rPr>
              <w:t>Dates of Effect</w:t>
            </w:r>
          </w:p>
        </w:tc>
      </w:tr>
      <w:tr w:rsidR="005C1A9F" w:rsidRPr="008E7052" w14:paraId="18A162C1" w14:textId="77777777" w:rsidTr="005C1A9F">
        <w:trPr>
          <w:jc w:val="center"/>
        </w:trPr>
        <w:tc>
          <w:tcPr>
            <w:tcW w:w="877" w:type="dxa"/>
          </w:tcPr>
          <w:p w14:paraId="18A162BD" w14:textId="77777777" w:rsidR="005C1A9F" w:rsidRPr="008E7052" w:rsidRDefault="005C1A9F" w:rsidP="005C1A9F">
            <w:pPr>
              <w:jc w:val="center"/>
              <w:rPr>
                <w:sz w:val="18"/>
                <w:szCs w:val="18"/>
              </w:rPr>
            </w:pPr>
            <w:r>
              <w:rPr>
                <w:sz w:val="18"/>
                <w:szCs w:val="18"/>
              </w:rPr>
              <w:t>1</w:t>
            </w:r>
          </w:p>
        </w:tc>
        <w:tc>
          <w:tcPr>
            <w:tcW w:w="1969" w:type="dxa"/>
          </w:tcPr>
          <w:p w14:paraId="18A162BE" w14:textId="77777777" w:rsidR="005C1A9F" w:rsidRPr="008E7052" w:rsidRDefault="005C1A9F" w:rsidP="005C1A9F">
            <w:pPr>
              <w:jc w:val="center"/>
              <w:rPr>
                <w:sz w:val="18"/>
                <w:szCs w:val="18"/>
              </w:rPr>
            </w:pPr>
            <w:r>
              <w:rPr>
                <w:sz w:val="18"/>
                <w:szCs w:val="18"/>
              </w:rPr>
              <w:t>29 August 2011</w:t>
            </w:r>
          </w:p>
        </w:tc>
        <w:tc>
          <w:tcPr>
            <w:tcW w:w="2104" w:type="dxa"/>
          </w:tcPr>
          <w:p w14:paraId="18A162BF" w14:textId="77777777" w:rsidR="005C1A9F" w:rsidRPr="008E7052" w:rsidRDefault="005C1A9F" w:rsidP="005C1A9F">
            <w:pPr>
              <w:rPr>
                <w:sz w:val="18"/>
                <w:szCs w:val="18"/>
              </w:rPr>
            </w:pPr>
            <w:r>
              <w:rPr>
                <w:sz w:val="18"/>
                <w:szCs w:val="18"/>
              </w:rPr>
              <w:t>From: 29 August 2011</w:t>
            </w:r>
          </w:p>
        </w:tc>
        <w:tc>
          <w:tcPr>
            <w:tcW w:w="2105" w:type="dxa"/>
          </w:tcPr>
          <w:p w14:paraId="18A162C0" w14:textId="7787BFC8" w:rsidR="005C1A9F" w:rsidRPr="008E7052" w:rsidRDefault="005C1A9F" w:rsidP="000178D8">
            <w:pPr>
              <w:rPr>
                <w:sz w:val="18"/>
                <w:szCs w:val="18"/>
              </w:rPr>
            </w:pPr>
            <w:r w:rsidRPr="008E7052">
              <w:rPr>
                <w:sz w:val="18"/>
                <w:szCs w:val="18"/>
              </w:rPr>
              <w:t xml:space="preserve">To: </w:t>
            </w:r>
            <w:r w:rsidR="000178D8">
              <w:rPr>
                <w:sz w:val="18"/>
                <w:szCs w:val="18"/>
              </w:rPr>
              <w:t>30 June 2018</w:t>
            </w:r>
          </w:p>
        </w:tc>
      </w:tr>
      <w:bookmarkEnd w:id="0"/>
      <w:bookmarkEnd w:id="1"/>
    </w:tbl>
    <w:p w14:paraId="18A162C2" w14:textId="77777777" w:rsidR="00C27A0A" w:rsidRDefault="00C27A0A" w:rsidP="002C5206">
      <w:pPr>
        <w:rPr>
          <w:szCs w:val="22"/>
        </w:rPr>
      </w:pPr>
    </w:p>
    <w:p w14:paraId="18A162C3" w14:textId="77777777" w:rsidR="00C27A0A" w:rsidRPr="00C27A0A" w:rsidRDefault="00BC590E" w:rsidP="002C5206">
      <w:pPr>
        <w:pStyle w:val="HeadingTwo"/>
      </w:pPr>
      <w:r>
        <w:t xml:space="preserve">Purpose </w:t>
      </w:r>
    </w:p>
    <w:p w14:paraId="18A162C4" w14:textId="77777777" w:rsidR="00DE66BD" w:rsidRPr="00DE66BD" w:rsidRDefault="00DE66BD" w:rsidP="002C5206">
      <w:pPr>
        <w:pStyle w:val="BlockText"/>
        <w:tabs>
          <w:tab w:val="clear" w:pos="567"/>
        </w:tabs>
      </w:pPr>
      <w:r w:rsidRPr="0037635C">
        <w:t xml:space="preserve">This </w:t>
      </w:r>
      <w:r w:rsidR="00914C1C">
        <w:t>G</w:t>
      </w:r>
      <w:r w:rsidRPr="0037635C">
        <w:t xml:space="preserve">uideline </w:t>
      </w:r>
      <w:r w:rsidR="00914C1C">
        <w:t>explains how</w:t>
      </w:r>
      <w:r>
        <w:t xml:space="preserve"> </w:t>
      </w:r>
      <w:r w:rsidR="00782487">
        <w:t>c</w:t>
      </w:r>
      <w:r w:rsidR="00782487" w:rsidRPr="002C5206">
        <w:t>apital</w:t>
      </w:r>
      <w:r w:rsidR="00782487">
        <w:t xml:space="preserve"> recognition deduction</w:t>
      </w:r>
      <w:r w:rsidR="00782487" w:rsidRPr="0037635C">
        <w:t xml:space="preserve"> </w:t>
      </w:r>
      <w:r>
        <w:t>(CRD)</w:t>
      </w:r>
      <w:r w:rsidR="00914C1C">
        <w:t xml:space="preserve"> is to be determined</w:t>
      </w:r>
      <w:r>
        <w:t xml:space="preserve"> </w:t>
      </w:r>
      <w:r w:rsidRPr="0037635C">
        <w:t xml:space="preserve">for the purpose of calculating the </w:t>
      </w:r>
      <w:r w:rsidR="007461DF">
        <w:t>amount</w:t>
      </w:r>
      <w:r w:rsidR="007461DF" w:rsidRPr="0037635C">
        <w:t xml:space="preserve"> </w:t>
      </w:r>
      <w:r w:rsidRPr="0037635C">
        <w:t>of royalty payable under the</w:t>
      </w:r>
      <w:r>
        <w:t xml:space="preserve"> </w:t>
      </w:r>
      <w:r w:rsidR="00914C1C" w:rsidRPr="0037635C">
        <w:rPr>
          <w:i/>
        </w:rPr>
        <w:t xml:space="preserve">Mineral Royalty Act </w:t>
      </w:r>
      <w:r w:rsidR="00914C1C">
        <w:rPr>
          <w:i/>
        </w:rPr>
        <w:t xml:space="preserve">1982 </w:t>
      </w:r>
      <w:r w:rsidR="00914C1C">
        <w:t xml:space="preserve">(NT) </w:t>
      </w:r>
      <w:r w:rsidR="00914C1C" w:rsidRPr="0037635C">
        <w:t>(</w:t>
      </w:r>
      <w:r w:rsidR="00914C1C">
        <w:t xml:space="preserve">the </w:t>
      </w:r>
      <w:r w:rsidR="00914C1C" w:rsidRPr="0037635C">
        <w:t>MRA</w:t>
      </w:r>
      <w:r w:rsidR="00914C1C">
        <w:t>)</w:t>
      </w:r>
      <w:r w:rsidRPr="00DE66BD">
        <w:t xml:space="preserve">. </w:t>
      </w:r>
    </w:p>
    <w:p w14:paraId="18A162C5" w14:textId="77777777" w:rsidR="00B15FDC" w:rsidRDefault="00B15FDC" w:rsidP="002C5206">
      <w:pPr>
        <w:pStyle w:val="BlockText"/>
      </w:pPr>
      <w:r>
        <w:t>T</w:t>
      </w:r>
      <w:r w:rsidRPr="00972C1A">
        <w:t>his Guideline</w:t>
      </w:r>
      <w:r w:rsidR="006E0D5E">
        <w:t xml:space="preserve"> </w:t>
      </w:r>
      <w:r w:rsidR="00E11054">
        <w:t>is issued by the Secretary under section 4E of the MRA.</w:t>
      </w:r>
    </w:p>
    <w:p w14:paraId="18A162C6" w14:textId="77777777" w:rsidR="00DE66BD" w:rsidRDefault="00DE66BD" w:rsidP="002C5206">
      <w:pPr>
        <w:pStyle w:val="HeadingTwo"/>
        <w:jc w:val="both"/>
      </w:pPr>
      <w:r>
        <w:t xml:space="preserve">Introduction </w:t>
      </w:r>
    </w:p>
    <w:p w14:paraId="18A162C7" w14:textId="77777777" w:rsidR="00E11054" w:rsidRPr="002C5206" w:rsidRDefault="00E11054" w:rsidP="00E11054">
      <w:pPr>
        <w:pStyle w:val="BlockText"/>
        <w:tabs>
          <w:tab w:val="clear" w:pos="567"/>
        </w:tabs>
      </w:pPr>
      <w:r w:rsidRPr="002C5206">
        <w:t>Section 10 of the MRA sets out the formula for calculating the net value of a saleable mineral commodity sold</w:t>
      </w:r>
      <w:r w:rsidR="00CC0329">
        <w:t>,</w:t>
      </w:r>
      <w:r w:rsidRPr="002C5206">
        <w:t xml:space="preserve"> or removed without sale</w:t>
      </w:r>
      <w:r w:rsidR="00CC0329">
        <w:t>,</w:t>
      </w:r>
      <w:r w:rsidRPr="002C5206">
        <w:t xml:space="preserve"> from a production unit. The rate of royalty is applied to the net value to establish liability for the relevant royalty year.</w:t>
      </w:r>
    </w:p>
    <w:p w14:paraId="18A162C8" w14:textId="77777777" w:rsidR="00E11054" w:rsidRPr="002C5206" w:rsidRDefault="00E11054" w:rsidP="00E11054">
      <w:pPr>
        <w:pStyle w:val="BlockText"/>
      </w:pPr>
      <w:r w:rsidRPr="002C5206">
        <w:t>Under section 10, net value is calculated in accordance with the formula:</w:t>
      </w:r>
    </w:p>
    <w:p w14:paraId="18A162C9" w14:textId="77777777" w:rsidR="00E11054" w:rsidRPr="003B5F3C" w:rsidRDefault="00E11054" w:rsidP="00E11054">
      <w:pPr>
        <w:spacing w:after="120"/>
        <w:ind w:left="540"/>
        <w:rPr>
          <w:b/>
        </w:rPr>
      </w:pPr>
      <w:r w:rsidRPr="003B5F3C">
        <w:rPr>
          <w:b/>
        </w:rPr>
        <w:t>GR – (OC + CRD + EEE + AD)</w:t>
      </w:r>
    </w:p>
    <w:p w14:paraId="18A162CA" w14:textId="77777777" w:rsidR="00E11054" w:rsidRDefault="00E11054" w:rsidP="00E11054">
      <w:pPr>
        <w:spacing w:after="120"/>
        <w:ind w:left="540"/>
      </w:pPr>
      <w:proofErr w:type="gramStart"/>
      <w:r>
        <w:t>where</w:t>
      </w:r>
      <w:proofErr w:type="gramEnd"/>
      <w:r>
        <w:t xml:space="preserve"> - </w:t>
      </w:r>
    </w:p>
    <w:p w14:paraId="18A162CB" w14:textId="77777777" w:rsidR="00E11054" w:rsidRPr="00DE66BD" w:rsidRDefault="00E11054" w:rsidP="00E11054">
      <w:pPr>
        <w:spacing w:after="120"/>
        <w:ind w:left="540"/>
      </w:pPr>
      <w:r w:rsidRPr="00DE66BD">
        <w:t>GR is the gross realization from the production unit in the royalty year</w:t>
      </w:r>
      <w:r>
        <w:t>;</w:t>
      </w:r>
    </w:p>
    <w:p w14:paraId="18A162CC" w14:textId="77777777" w:rsidR="00E11054" w:rsidRPr="00DE66BD" w:rsidRDefault="00E11054" w:rsidP="00E11054">
      <w:pPr>
        <w:spacing w:after="120"/>
        <w:ind w:left="540"/>
      </w:pPr>
      <w:r w:rsidRPr="00DE66BD">
        <w:t>OC is the operating costs of the production unit for the royalty year</w:t>
      </w:r>
      <w:r>
        <w:t>;</w:t>
      </w:r>
    </w:p>
    <w:p w14:paraId="18A162CD" w14:textId="77777777" w:rsidR="00E11054" w:rsidRPr="00DE66BD" w:rsidRDefault="00E11054" w:rsidP="00E11054">
      <w:pPr>
        <w:spacing w:after="120"/>
        <w:ind w:left="540"/>
      </w:pPr>
      <w:r w:rsidRPr="00DE66BD">
        <w:t>CRD is the capital recognition deduction</w:t>
      </w:r>
      <w:r>
        <w:t>;</w:t>
      </w:r>
    </w:p>
    <w:p w14:paraId="18A162CE" w14:textId="77777777" w:rsidR="00E11054" w:rsidRPr="00DE66BD" w:rsidRDefault="00E11054" w:rsidP="00E11054">
      <w:pPr>
        <w:spacing w:after="120"/>
        <w:ind w:left="540"/>
      </w:pPr>
      <w:r w:rsidRPr="00DE66BD">
        <w:t xml:space="preserve">EEE is </w:t>
      </w:r>
      <w:r>
        <w:t>the</w:t>
      </w:r>
      <w:r w:rsidRPr="00DE66BD">
        <w:t xml:space="preserve"> eligible exploration expenditure</w:t>
      </w:r>
      <w:r>
        <w:t>, if any; and</w:t>
      </w:r>
    </w:p>
    <w:p w14:paraId="18A162CF" w14:textId="77777777" w:rsidR="00E11054" w:rsidRDefault="00E11054" w:rsidP="00E11054">
      <w:pPr>
        <w:spacing w:after="120"/>
        <w:ind w:left="540"/>
      </w:pPr>
      <w:r>
        <w:t>AD is any additional deduction.</w:t>
      </w:r>
    </w:p>
    <w:p w14:paraId="18A162D0" w14:textId="77777777" w:rsidR="00E11054" w:rsidRDefault="00E11054" w:rsidP="00E11054">
      <w:pPr>
        <w:pStyle w:val="BlockText"/>
        <w:tabs>
          <w:tab w:val="clear" w:pos="567"/>
        </w:tabs>
      </w:pPr>
      <w:r w:rsidRPr="002C5206">
        <w:t>Based on this formula the net value of production in a royalty year is established by deducting all allowable deductions (including CRD) from a production unit’s gross realization in that royalty year.</w:t>
      </w:r>
    </w:p>
    <w:p w14:paraId="18A162D1" w14:textId="77777777" w:rsidR="00B15FDC" w:rsidRPr="002C5206" w:rsidRDefault="00B15FDC" w:rsidP="002C5206">
      <w:pPr>
        <w:pStyle w:val="BlockText"/>
        <w:tabs>
          <w:tab w:val="clear" w:pos="567"/>
        </w:tabs>
      </w:pPr>
      <w:r w:rsidRPr="002C5206">
        <w:t>CRD give</w:t>
      </w:r>
      <w:r w:rsidR="00E11054">
        <w:t>s</w:t>
      </w:r>
      <w:r w:rsidRPr="002C5206">
        <w:t xml:space="preserve"> full recognition </w:t>
      </w:r>
      <w:r w:rsidR="00FC53B1" w:rsidRPr="002C5206">
        <w:t xml:space="preserve">to all capital assets that are </w:t>
      </w:r>
      <w:r w:rsidR="004E7F20">
        <w:t>e</w:t>
      </w:r>
      <w:r w:rsidR="004E7F20" w:rsidRPr="002C5206">
        <w:t xml:space="preserve">ligible </w:t>
      </w:r>
      <w:r w:rsidR="004E7F20">
        <w:t>c</w:t>
      </w:r>
      <w:r w:rsidR="004E7F20" w:rsidRPr="002C5206">
        <w:t xml:space="preserve">apital </w:t>
      </w:r>
      <w:r w:rsidR="004E7F20">
        <w:t>a</w:t>
      </w:r>
      <w:r w:rsidR="004E7F20" w:rsidRPr="002C5206">
        <w:t xml:space="preserve">ssets </w:t>
      </w:r>
      <w:r w:rsidR="004E7F20">
        <w:t>e</w:t>
      </w:r>
      <w:r w:rsidR="004E7F20" w:rsidRPr="002C5206">
        <w:t xml:space="preserve">xpenditure </w:t>
      </w:r>
      <w:r w:rsidR="00F842E4" w:rsidRPr="002C5206">
        <w:t>(ECAE) and replace</w:t>
      </w:r>
      <w:r w:rsidR="00E11054">
        <w:t>s</w:t>
      </w:r>
      <w:r w:rsidR="00F842E4" w:rsidRPr="002C5206">
        <w:t xml:space="preserve"> the </w:t>
      </w:r>
      <w:r w:rsidR="00CC0329">
        <w:t>1982</w:t>
      </w:r>
      <w:r w:rsidR="00CC0329" w:rsidRPr="002C5206">
        <w:t xml:space="preserve"> </w:t>
      </w:r>
      <w:r w:rsidR="00F842E4" w:rsidRPr="002C5206">
        <w:t>regime which allowed</w:t>
      </w:r>
      <w:r w:rsidR="009E60FD">
        <w:t xml:space="preserve"> for</w:t>
      </w:r>
      <w:r w:rsidR="00F842E4" w:rsidRPr="002C5206">
        <w:t xml:space="preserve"> depreciation of assets over a maximum of 15 years and full interest deductibility.</w:t>
      </w:r>
    </w:p>
    <w:p w14:paraId="18A162D2" w14:textId="77777777" w:rsidR="00EA2846" w:rsidRPr="002C5206" w:rsidRDefault="00EA2846" w:rsidP="00EA2846">
      <w:pPr>
        <w:pStyle w:val="BlockText"/>
      </w:pPr>
      <w:r w:rsidRPr="002C5206">
        <w:t xml:space="preserve">Under the CRD scheme, interest (2% above the 10 year bond rate for Australian Federal Government securities) is built into the CRD calculation. The interest component has application to all royalty payers, irrespective of the particular structure of financing they enter into in relation to capital expenditure. </w:t>
      </w:r>
    </w:p>
    <w:p w14:paraId="18A162D3" w14:textId="77777777" w:rsidR="00914C1C" w:rsidRPr="002C5206" w:rsidRDefault="00914C1C" w:rsidP="00914C1C">
      <w:pPr>
        <w:pStyle w:val="BlockText"/>
      </w:pPr>
      <w:r w:rsidRPr="002C5206">
        <w:t xml:space="preserve">As a consequence, actual depreciation/amortisation and interest expenses incurred by a royalty payer in a royalty year are not deductible </w:t>
      </w:r>
      <w:r w:rsidR="00BD5DD4">
        <w:t>as ECAE</w:t>
      </w:r>
      <w:r w:rsidR="00C12651">
        <w:t xml:space="preserve"> or as an operating cost</w:t>
      </w:r>
      <w:r w:rsidRPr="002C5206">
        <w:t>.</w:t>
      </w:r>
    </w:p>
    <w:p w14:paraId="18A162D4" w14:textId="77777777" w:rsidR="00E11054" w:rsidRDefault="00E11054" w:rsidP="00E11054">
      <w:pPr>
        <w:pStyle w:val="HeadingTwo"/>
        <w:pBdr>
          <w:bottom w:val="none" w:sz="0" w:space="0" w:color="auto"/>
        </w:pBdr>
        <w:jc w:val="both"/>
      </w:pPr>
    </w:p>
    <w:p w14:paraId="18A162D5" w14:textId="77777777" w:rsidR="00914C1C" w:rsidRPr="002C5206" w:rsidRDefault="00914C1C" w:rsidP="00914C1C">
      <w:pPr>
        <w:pStyle w:val="HeadingTwo"/>
        <w:jc w:val="both"/>
      </w:pPr>
      <w:r>
        <w:lastRenderedPageBreak/>
        <w:t xml:space="preserve">What is </w:t>
      </w:r>
      <w:proofErr w:type="gramStart"/>
      <w:r>
        <w:t>CRD</w:t>
      </w:r>
      <w:proofErr w:type="gramEnd"/>
    </w:p>
    <w:p w14:paraId="18A162D6" w14:textId="77777777" w:rsidR="00621369" w:rsidRPr="002C5206" w:rsidRDefault="00A72386" w:rsidP="002C5206">
      <w:pPr>
        <w:pStyle w:val="BlockText"/>
      </w:pPr>
      <w:r w:rsidRPr="002C5206">
        <w:t>CRD is the fraction of the value of each item representing an amount of ECAE and used on the production unit</w:t>
      </w:r>
      <w:r w:rsidR="00914C1C">
        <w:t>, for the purposes of the operations of the production unit,</w:t>
      </w:r>
      <w:r w:rsidRPr="002C5206">
        <w:t xml:space="preserve"> during the whole or part of each </w:t>
      </w:r>
      <w:r w:rsidR="00914C1C">
        <w:t>six</w:t>
      </w:r>
      <w:r w:rsidRPr="002C5206">
        <w:t xml:space="preserve"> month period of a royalty year.</w:t>
      </w:r>
    </w:p>
    <w:p w14:paraId="18A162D7" w14:textId="77777777" w:rsidR="00621369" w:rsidRPr="002C5206" w:rsidRDefault="00621369" w:rsidP="002C5206">
      <w:pPr>
        <w:pStyle w:val="BlockText"/>
      </w:pPr>
      <w:r w:rsidRPr="002C5206">
        <w:t xml:space="preserve">The amount of CRD able to be deducted each six months is </w:t>
      </w:r>
      <w:r w:rsidR="00B153D1" w:rsidRPr="002C5206">
        <w:t>calculated</w:t>
      </w:r>
      <w:r w:rsidRPr="002C5206">
        <w:t xml:space="preserve"> by:</w:t>
      </w:r>
    </w:p>
    <w:p w14:paraId="18A162D8" w14:textId="77777777" w:rsidR="00621369" w:rsidRPr="002C5206" w:rsidRDefault="00072572" w:rsidP="002C5206">
      <w:pPr>
        <w:pStyle w:val="BlockText"/>
        <w:numPr>
          <w:ilvl w:val="1"/>
          <w:numId w:val="3"/>
        </w:numPr>
        <w:tabs>
          <w:tab w:val="clear" w:pos="1134"/>
        </w:tabs>
      </w:pPr>
      <w:r>
        <w:t>allocating all items of ECAE (</w:t>
      </w:r>
      <w:r w:rsidR="00621369" w:rsidRPr="002C5206">
        <w:t xml:space="preserve">defined in paragraphs </w:t>
      </w:r>
      <w:r w:rsidR="00E11054">
        <w:t>11</w:t>
      </w:r>
      <w:r w:rsidR="00E11054" w:rsidRPr="002C5206">
        <w:t xml:space="preserve"> </w:t>
      </w:r>
      <w:r w:rsidR="00621369" w:rsidRPr="002C5206">
        <w:t xml:space="preserve">to </w:t>
      </w:r>
      <w:r w:rsidR="00E11054">
        <w:t>14</w:t>
      </w:r>
      <w:r w:rsidR="00E11054" w:rsidRPr="002C5206">
        <w:t xml:space="preserve"> </w:t>
      </w:r>
      <w:r w:rsidR="00621369" w:rsidRPr="002C5206">
        <w:t>below)</w:t>
      </w:r>
      <w:r w:rsidR="0058515E" w:rsidRPr="002C5206">
        <w:t xml:space="preserve"> on the basis of the period of years over which CRD can be claimed, in accordance with the </w:t>
      </w:r>
      <w:r w:rsidR="00897326">
        <w:t>c</w:t>
      </w:r>
      <w:r w:rsidR="00897326" w:rsidRPr="002C5206">
        <w:t xml:space="preserve">apital </w:t>
      </w:r>
      <w:r w:rsidR="00897326">
        <w:t>d</w:t>
      </w:r>
      <w:r w:rsidR="0058515E" w:rsidRPr="002C5206">
        <w:t xml:space="preserve">eduction </w:t>
      </w:r>
      <w:r w:rsidR="00897326">
        <w:t>l</w:t>
      </w:r>
      <w:r w:rsidR="00897326" w:rsidRPr="002C5206">
        <w:t xml:space="preserve">ife </w:t>
      </w:r>
      <w:r w:rsidR="00897326">
        <w:t>s</w:t>
      </w:r>
      <w:r w:rsidR="00897326" w:rsidRPr="002C5206">
        <w:t xml:space="preserve">chedule </w:t>
      </w:r>
      <w:r w:rsidR="0058515E" w:rsidRPr="002C5206">
        <w:t xml:space="preserve">set out in paragraphs </w:t>
      </w:r>
      <w:r w:rsidR="00E11054" w:rsidRPr="002C5206">
        <w:t>3</w:t>
      </w:r>
      <w:r w:rsidR="00E11054">
        <w:t>0</w:t>
      </w:r>
      <w:r w:rsidR="00E11054" w:rsidRPr="002C5206">
        <w:t xml:space="preserve"> </w:t>
      </w:r>
      <w:r w:rsidR="00CB4155" w:rsidRPr="002C5206">
        <w:t>and</w:t>
      </w:r>
      <w:r w:rsidR="0058515E" w:rsidRPr="002C5206">
        <w:t xml:space="preserve"> </w:t>
      </w:r>
      <w:r w:rsidR="00E11054" w:rsidRPr="002C5206">
        <w:t>3</w:t>
      </w:r>
      <w:r w:rsidR="00E11054">
        <w:t>1</w:t>
      </w:r>
      <w:r w:rsidR="00E11054" w:rsidRPr="002C5206">
        <w:t xml:space="preserve"> </w:t>
      </w:r>
      <w:r w:rsidR="0058515E" w:rsidRPr="002C5206">
        <w:t>below;</w:t>
      </w:r>
      <w:r w:rsidR="007942B4" w:rsidRPr="002C5206">
        <w:t xml:space="preserve"> </w:t>
      </w:r>
    </w:p>
    <w:p w14:paraId="18A162D9" w14:textId="77777777" w:rsidR="0058515E" w:rsidRPr="002C5206" w:rsidRDefault="0058515E" w:rsidP="002C5206">
      <w:pPr>
        <w:pStyle w:val="BlockText"/>
        <w:numPr>
          <w:ilvl w:val="1"/>
          <w:numId w:val="3"/>
        </w:numPr>
        <w:tabs>
          <w:tab w:val="clear" w:pos="1134"/>
        </w:tabs>
      </w:pPr>
      <w:r w:rsidRPr="002C5206">
        <w:t xml:space="preserve">utilising </w:t>
      </w:r>
      <w:r w:rsidR="00EE073C" w:rsidRPr="002C5206">
        <w:t xml:space="preserve">the </w:t>
      </w:r>
      <w:r w:rsidRPr="002C5206">
        <w:t>CRD factors announced by the Secretary (</w:t>
      </w:r>
      <w:r w:rsidR="00EA2846">
        <w:t>refer to</w:t>
      </w:r>
      <w:r w:rsidR="00EA2846" w:rsidRPr="002C5206">
        <w:t xml:space="preserve"> </w:t>
      </w:r>
      <w:r w:rsidRPr="002C5206">
        <w:t xml:space="preserve">paragraphs </w:t>
      </w:r>
      <w:r w:rsidR="00E11054" w:rsidRPr="002C5206">
        <w:t>3</w:t>
      </w:r>
      <w:r w:rsidR="00E11054">
        <w:t>8</w:t>
      </w:r>
      <w:r w:rsidR="00E11054" w:rsidRPr="002C5206">
        <w:t xml:space="preserve"> </w:t>
      </w:r>
      <w:r w:rsidRPr="002C5206">
        <w:t xml:space="preserve">to </w:t>
      </w:r>
      <w:r w:rsidR="00E11054" w:rsidRPr="002C5206">
        <w:t>4</w:t>
      </w:r>
      <w:r w:rsidR="00E11054">
        <w:t>4</w:t>
      </w:r>
      <w:r w:rsidR="00E11054" w:rsidRPr="002C5206">
        <w:t xml:space="preserve"> </w:t>
      </w:r>
      <w:r w:rsidRPr="002C5206">
        <w:t>below)</w:t>
      </w:r>
      <w:r w:rsidR="00B153D1" w:rsidRPr="002C5206">
        <w:t>;</w:t>
      </w:r>
      <w:r w:rsidR="007942B4" w:rsidRPr="002C5206">
        <w:t xml:space="preserve"> </w:t>
      </w:r>
    </w:p>
    <w:p w14:paraId="18A162DA" w14:textId="77777777" w:rsidR="00B153D1" w:rsidRPr="002C5206" w:rsidRDefault="00B153D1" w:rsidP="002C5206">
      <w:pPr>
        <w:pStyle w:val="BlockText"/>
        <w:numPr>
          <w:ilvl w:val="1"/>
          <w:numId w:val="3"/>
        </w:numPr>
        <w:tabs>
          <w:tab w:val="clear" w:pos="1134"/>
        </w:tabs>
      </w:pPr>
      <w:r w:rsidRPr="002C5206">
        <w:t xml:space="preserve">multiplying </w:t>
      </w:r>
      <w:r w:rsidR="00453893" w:rsidRPr="002C5206">
        <w:t>the principal sum (</w:t>
      </w:r>
      <w:r w:rsidR="00EA2846">
        <w:t>refer to</w:t>
      </w:r>
      <w:r w:rsidR="00EA2846" w:rsidRPr="002C5206">
        <w:t xml:space="preserve"> </w:t>
      </w:r>
      <w:r w:rsidR="00453893" w:rsidRPr="002C5206">
        <w:t>paragraph</w:t>
      </w:r>
      <w:r w:rsidR="00CB4155" w:rsidRPr="002C5206">
        <w:t>s</w:t>
      </w:r>
      <w:r w:rsidR="00453893" w:rsidRPr="002C5206">
        <w:t xml:space="preserve"> </w:t>
      </w:r>
      <w:r w:rsidR="00E11054" w:rsidRPr="002C5206">
        <w:t>2</w:t>
      </w:r>
      <w:r w:rsidR="00E11054">
        <w:t>4</w:t>
      </w:r>
      <w:r w:rsidR="00E11054" w:rsidRPr="002C5206">
        <w:t xml:space="preserve"> </w:t>
      </w:r>
      <w:r w:rsidR="00CB4155" w:rsidRPr="002C5206">
        <w:t xml:space="preserve">to </w:t>
      </w:r>
      <w:r w:rsidR="00E11054" w:rsidRPr="002C5206">
        <w:t>2</w:t>
      </w:r>
      <w:r w:rsidR="00E11054">
        <w:t>7</w:t>
      </w:r>
      <w:r w:rsidR="00E11054" w:rsidRPr="002C5206">
        <w:t xml:space="preserve"> </w:t>
      </w:r>
      <w:r w:rsidR="00453893" w:rsidRPr="002C5206">
        <w:t xml:space="preserve">below) of each item of ECAE by </w:t>
      </w:r>
      <w:r w:rsidRPr="002C5206">
        <w:t xml:space="preserve">the </w:t>
      </w:r>
      <w:r w:rsidR="007942B4" w:rsidRPr="002C5206">
        <w:t xml:space="preserve">appropriate </w:t>
      </w:r>
      <w:r w:rsidRPr="002C5206">
        <w:t>CRD factor</w:t>
      </w:r>
      <w:r w:rsidR="007942B4" w:rsidRPr="002C5206">
        <w:t xml:space="preserve"> (depending on the period of years over which CRD can be claimed)</w:t>
      </w:r>
      <w:r w:rsidR="00453893" w:rsidRPr="002C5206">
        <w:t xml:space="preserve"> in (2) above.</w:t>
      </w:r>
    </w:p>
    <w:p w14:paraId="18A162DB" w14:textId="77777777" w:rsidR="00B153D1" w:rsidRDefault="00B153D1" w:rsidP="00914C1C">
      <w:pPr>
        <w:pStyle w:val="BlockText"/>
        <w:numPr>
          <w:ilvl w:val="0"/>
          <w:numId w:val="0"/>
        </w:numPr>
        <w:ind w:left="567"/>
      </w:pPr>
      <w:r w:rsidRPr="002C5206">
        <w:t xml:space="preserve">The above </w:t>
      </w:r>
      <w:r w:rsidR="007942B4" w:rsidRPr="002C5206">
        <w:t>calculation is best illustrated by way of example:</w:t>
      </w:r>
    </w:p>
    <w:p w14:paraId="18A162DC" w14:textId="77777777" w:rsidR="00F74F1B" w:rsidRPr="002C5206" w:rsidRDefault="00F74F1B" w:rsidP="00F74F1B">
      <w:pPr>
        <w:pStyle w:val="HeadingFour"/>
        <w:spacing w:before="240"/>
        <w:jc w:val="both"/>
      </w:pPr>
      <w:r>
        <w:t>Example</w:t>
      </w:r>
    </w:p>
    <w:p w14:paraId="18A162DD" w14:textId="77777777" w:rsidR="00966595" w:rsidRDefault="00C02243" w:rsidP="00966595">
      <w:pPr>
        <w:pStyle w:val="ExampleText"/>
        <w:pBdr>
          <w:bottom w:val="single" w:sz="4" w:space="3" w:color="auto"/>
        </w:pBdr>
      </w:pPr>
      <w:r w:rsidRPr="002C5206">
        <w:t>A</w:t>
      </w:r>
      <w:r w:rsidR="00F74F1B">
        <w:t>ssume a</w:t>
      </w:r>
      <w:r w:rsidRPr="002C5206">
        <w:t>n item of ECAE has a principal sum of $100 000</w:t>
      </w:r>
      <w:r w:rsidR="00F74F1B">
        <w:t>.</w:t>
      </w:r>
      <w:r w:rsidRPr="002C5206">
        <w:t xml:space="preserve"> The CRD for the period from 1 July 2010 to 31 December 2010 for this item is calculated by:</w:t>
      </w:r>
    </w:p>
    <w:p w14:paraId="18A162DE" w14:textId="77777777" w:rsidR="003C6819" w:rsidRPr="002C5206" w:rsidRDefault="00072572" w:rsidP="00072572">
      <w:pPr>
        <w:pStyle w:val="ExampleText"/>
        <w:pBdr>
          <w:bottom w:val="single" w:sz="4" w:space="3" w:color="auto"/>
        </w:pBdr>
        <w:ind w:left="709" w:hanging="709"/>
      </w:pPr>
      <w:r w:rsidRPr="00072572">
        <w:t>(1</w:t>
      </w:r>
      <w:r>
        <w:t>)</w:t>
      </w:r>
      <w:r>
        <w:tab/>
      </w:r>
      <w:r w:rsidR="003C6819" w:rsidRPr="002C5206">
        <w:t xml:space="preserve">allocating the item of ECAE on the basis of the period of years over which CRD can be claimed in accordance with the </w:t>
      </w:r>
      <w:r w:rsidR="00897326">
        <w:t>c</w:t>
      </w:r>
      <w:r w:rsidR="00897326" w:rsidRPr="002C5206">
        <w:t xml:space="preserve">apital </w:t>
      </w:r>
      <w:r w:rsidR="00897326">
        <w:t>d</w:t>
      </w:r>
      <w:r w:rsidR="00897326" w:rsidRPr="002C5206">
        <w:t xml:space="preserve">eduction </w:t>
      </w:r>
      <w:r w:rsidR="00897326">
        <w:t>l</w:t>
      </w:r>
      <w:r w:rsidR="00897326" w:rsidRPr="002C5206">
        <w:t xml:space="preserve">ife </w:t>
      </w:r>
      <w:r w:rsidR="00897326">
        <w:t>s</w:t>
      </w:r>
      <w:r w:rsidR="00897326" w:rsidRPr="002C5206">
        <w:t>chedule</w:t>
      </w:r>
      <w:r w:rsidR="00EA2846">
        <w:t>:</w:t>
      </w:r>
      <w:r w:rsidR="003C6819" w:rsidRPr="002C5206">
        <w:t xml:space="preserve"> </w:t>
      </w:r>
      <w:r w:rsidR="003C6819" w:rsidRPr="00EA2846">
        <w:rPr>
          <w:i/>
        </w:rPr>
        <w:t>three years</w:t>
      </w:r>
      <w:r w:rsidR="003C6819" w:rsidRPr="002C5206">
        <w:t xml:space="preserve">; </w:t>
      </w:r>
    </w:p>
    <w:p w14:paraId="18A162DF" w14:textId="77777777" w:rsidR="007942B4" w:rsidRPr="002C5206" w:rsidRDefault="00072572" w:rsidP="00072572">
      <w:pPr>
        <w:pStyle w:val="ExampleText"/>
        <w:pBdr>
          <w:bottom w:val="single" w:sz="4" w:space="3" w:color="auto"/>
        </w:pBdr>
        <w:ind w:left="709" w:hanging="709"/>
      </w:pPr>
      <w:r>
        <w:t>(2)</w:t>
      </w:r>
      <w:r>
        <w:tab/>
      </w:r>
      <w:r w:rsidR="003C6819" w:rsidRPr="002C5206">
        <w:t>using t</w:t>
      </w:r>
      <w:r w:rsidR="007942B4" w:rsidRPr="002C5206">
        <w:t>he three year CRD factor</w:t>
      </w:r>
      <w:r w:rsidR="003C6819" w:rsidRPr="002C5206">
        <w:t xml:space="preserve"> announced by the Secretary</w:t>
      </w:r>
      <w:r w:rsidR="007942B4" w:rsidRPr="002C5206">
        <w:t xml:space="preserve"> for the relevant</w:t>
      </w:r>
      <w:r w:rsidR="005A4865" w:rsidRPr="002C5206">
        <w:t xml:space="preserve"> six month</w:t>
      </w:r>
      <w:r w:rsidR="007942B4" w:rsidRPr="002C5206">
        <w:t xml:space="preserve"> period</w:t>
      </w:r>
      <w:r w:rsidR="00EA2846">
        <w:t xml:space="preserve"> from</w:t>
      </w:r>
      <w:r w:rsidR="005A4865" w:rsidRPr="002C5206">
        <w:t xml:space="preserve"> </w:t>
      </w:r>
      <w:r w:rsidR="00C02243" w:rsidRPr="002C5206">
        <w:t>1 July </w:t>
      </w:r>
      <w:r w:rsidR="005A4865" w:rsidRPr="002C5206">
        <w:t>2010 to 31 December 2010</w:t>
      </w:r>
      <w:r w:rsidR="00EA2846">
        <w:t>:</w:t>
      </w:r>
      <w:r w:rsidR="005A4865" w:rsidRPr="002C5206">
        <w:t xml:space="preserve"> </w:t>
      </w:r>
      <w:r w:rsidR="003C6819" w:rsidRPr="00EA2846">
        <w:rPr>
          <w:i/>
        </w:rPr>
        <w:t>0.18814</w:t>
      </w:r>
      <w:r w:rsidR="003C6819" w:rsidRPr="002C5206">
        <w:t>;</w:t>
      </w:r>
      <w:r w:rsidR="00EA2846">
        <w:t xml:space="preserve"> and</w:t>
      </w:r>
    </w:p>
    <w:p w14:paraId="18A162E0" w14:textId="77777777" w:rsidR="005A4865" w:rsidRPr="002C5206" w:rsidRDefault="00072572" w:rsidP="00966595">
      <w:pPr>
        <w:pStyle w:val="ExampleText"/>
        <w:pBdr>
          <w:bottom w:val="single" w:sz="4" w:space="3" w:color="auto"/>
        </w:pBdr>
      </w:pPr>
      <w:r>
        <w:t>(3)</w:t>
      </w:r>
      <w:r>
        <w:tab/>
      </w:r>
      <w:r w:rsidR="003C6819" w:rsidRPr="002C5206">
        <w:t>m</w:t>
      </w:r>
      <w:r w:rsidR="00C02243" w:rsidRPr="002C5206">
        <w:t>ultiply</w:t>
      </w:r>
      <w:r w:rsidR="003C6819" w:rsidRPr="002C5206">
        <w:t>ing</w:t>
      </w:r>
      <w:r w:rsidR="00C02243" w:rsidRPr="002C5206">
        <w:t xml:space="preserve"> the principal</w:t>
      </w:r>
      <w:r w:rsidR="00F74F1B">
        <w:t xml:space="preserve"> sum by the CRD factor</w:t>
      </w:r>
      <w:r w:rsidR="00EA2846">
        <w:t>:</w:t>
      </w:r>
      <w:r w:rsidR="003C6819" w:rsidRPr="002C5206">
        <w:t xml:space="preserve"> </w:t>
      </w:r>
      <w:r w:rsidR="003C6819" w:rsidRPr="00EA2846">
        <w:rPr>
          <w:i/>
        </w:rPr>
        <w:t>$100 000</w:t>
      </w:r>
      <w:r w:rsidR="00F74F1B" w:rsidRPr="00EA2846">
        <w:rPr>
          <w:i/>
        </w:rPr>
        <w:t xml:space="preserve"> </w:t>
      </w:r>
      <w:r w:rsidR="003C6819" w:rsidRPr="00EA2846">
        <w:rPr>
          <w:i/>
        </w:rPr>
        <w:t>x 0.18814</w:t>
      </w:r>
      <w:r w:rsidR="00EA2846">
        <w:t>.</w:t>
      </w:r>
    </w:p>
    <w:p w14:paraId="18A162E1" w14:textId="77777777" w:rsidR="003C6819" w:rsidRPr="002C5206" w:rsidRDefault="00EA2846" w:rsidP="00966595">
      <w:pPr>
        <w:pStyle w:val="ExampleText"/>
        <w:pBdr>
          <w:bottom w:val="single" w:sz="4" w:space="3" w:color="auto"/>
        </w:pBdr>
      </w:pPr>
      <w:r>
        <w:t>T</w:t>
      </w:r>
      <w:r w:rsidR="00EE073C" w:rsidRPr="002C5206">
        <w:t xml:space="preserve">he </w:t>
      </w:r>
      <w:r w:rsidR="003C6819" w:rsidRPr="002C5206">
        <w:t xml:space="preserve">CRD for the item of ECAE for the </w:t>
      </w:r>
      <w:r w:rsidR="00EE073C" w:rsidRPr="002C5206">
        <w:t xml:space="preserve">six month </w:t>
      </w:r>
      <w:r w:rsidR="003C6819" w:rsidRPr="002C5206">
        <w:t>period is $18 814.</w:t>
      </w:r>
    </w:p>
    <w:p w14:paraId="18A162E2" w14:textId="77777777" w:rsidR="00A72386" w:rsidRDefault="00621369" w:rsidP="002C5206">
      <w:pPr>
        <w:pStyle w:val="HeadingTwo"/>
        <w:jc w:val="both"/>
      </w:pPr>
      <w:r>
        <w:t xml:space="preserve">What is </w:t>
      </w:r>
      <w:proofErr w:type="gramStart"/>
      <w:r>
        <w:t>ECAE</w:t>
      </w:r>
      <w:proofErr w:type="gramEnd"/>
    </w:p>
    <w:p w14:paraId="18A162E3" w14:textId="77777777" w:rsidR="00A72386" w:rsidRDefault="00A72386" w:rsidP="002C5206">
      <w:pPr>
        <w:pStyle w:val="BlockText"/>
        <w:tabs>
          <w:tab w:val="clear" w:pos="567"/>
        </w:tabs>
      </w:pPr>
      <w:r>
        <w:t xml:space="preserve">ECAE is an amount expended which was absolutely necessary </w:t>
      </w:r>
      <w:r w:rsidR="00072572">
        <w:t>for</w:t>
      </w:r>
      <w:r>
        <w:t xml:space="preserve"> the setting up and operation of the production unit (</w:t>
      </w:r>
      <w:r w:rsidR="00EA2846">
        <w:t xml:space="preserve">refer to </w:t>
      </w:r>
      <w:r>
        <w:t xml:space="preserve">paragraphs </w:t>
      </w:r>
      <w:r w:rsidR="00E11054">
        <w:t xml:space="preserve">21 </w:t>
      </w:r>
      <w:r>
        <w:t xml:space="preserve">to </w:t>
      </w:r>
      <w:r w:rsidR="00E11054">
        <w:t xml:space="preserve">23 </w:t>
      </w:r>
      <w:r>
        <w:t>below), in respect of:</w:t>
      </w:r>
    </w:p>
    <w:p w14:paraId="18A162E4" w14:textId="77777777" w:rsidR="00A72386" w:rsidRPr="002C5206" w:rsidRDefault="00A72386" w:rsidP="002C5206">
      <w:pPr>
        <w:pStyle w:val="BlockText"/>
        <w:numPr>
          <w:ilvl w:val="1"/>
          <w:numId w:val="3"/>
        </w:numPr>
      </w:pPr>
      <w:r w:rsidRPr="002C5206">
        <w:t>feasibility studies</w:t>
      </w:r>
      <w:r w:rsidR="00F74F1B">
        <w:t>;</w:t>
      </w:r>
    </w:p>
    <w:p w14:paraId="18A162E5" w14:textId="77777777" w:rsidR="00A72386" w:rsidRPr="002C5206" w:rsidRDefault="00A72386" w:rsidP="002C5206">
      <w:pPr>
        <w:pStyle w:val="BlockText"/>
        <w:numPr>
          <w:ilvl w:val="1"/>
          <w:numId w:val="3"/>
        </w:numPr>
      </w:pPr>
      <w:r w:rsidRPr="002C5206">
        <w:t>studies and investigations required by a law in force in the Territory</w:t>
      </w:r>
      <w:r w:rsidR="00F74F1B">
        <w:t>;</w:t>
      </w:r>
    </w:p>
    <w:p w14:paraId="18A162E6" w14:textId="77777777" w:rsidR="00A72386" w:rsidRPr="002C5206" w:rsidRDefault="00A72386" w:rsidP="002C5206">
      <w:pPr>
        <w:pStyle w:val="BlockText"/>
        <w:numPr>
          <w:ilvl w:val="1"/>
          <w:numId w:val="3"/>
        </w:numPr>
      </w:pPr>
      <w:r w:rsidRPr="002C5206">
        <w:t>site clearing and overburden removal activities up to the date of the commencement of the active operation of the production unit</w:t>
      </w:r>
      <w:r w:rsidR="00F74F1B">
        <w:t>;</w:t>
      </w:r>
    </w:p>
    <w:p w14:paraId="18A162E7" w14:textId="77777777" w:rsidR="00A72386" w:rsidRPr="002C5206" w:rsidRDefault="00A72386" w:rsidP="002C5206">
      <w:pPr>
        <w:pStyle w:val="BlockText"/>
        <w:numPr>
          <w:ilvl w:val="1"/>
          <w:numId w:val="3"/>
        </w:numPr>
      </w:pPr>
      <w:r w:rsidRPr="002C5206">
        <w:t>mine design and shaft sinking and tunnelling</w:t>
      </w:r>
      <w:r w:rsidR="00F74F1B">
        <w:t>;</w:t>
      </w:r>
    </w:p>
    <w:p w14:paraId="18A162E8" w14:textId="77777777" w:rsidR="00A72386" w:rsidRPr="002C5206" w:rsidRDefault="00A72386" w:rsidP="002C5206">
      <w:pPr>
        <w:pStyle w:val="BlockText"/>
        <w:numPr>
          <w:ilvl w:val="1"/>
          <w:numId w:val="3"/>
        </w:numPr>
      </w:pPr>
      <w:r w:rsidRPr="002C5206">
        <w:t>design, acquisition, installation and construction of facilities essential to the operation of the production unit, including:</w:t>
      </w:r>
    </w:p>
    <w:p w14:paraId="18A162E9" w14:textId="77777777" w:rsidR="00A72386" w:rsidRPr="002C5206" w:rsidRDefault="00A72386" w:rsidP="00CC6D62">
      <w:pPr>
        <w:pStyle w:val="BlockText"/>
        <w:numPr>
          <w:ilvl w:val="2"/>
          <w:numId w:val="3"/>
        </w:numPr>
        <w:tabs>
          <w:tab w:val="clear" w:pos="1985"/>
          <w:tab w:val="num" w:pos="1843"/>
        </w:tabs>
        <w:ind w:left="1701" w:hanging="567"/>
      </w:pPr>
      <w:r w:rsidRPr="002C5206">
        <w:t>mining plant</w:t>
      </w:r>
      <w:r w:rsidR="00347844" w:rsidRPr="002C5206">
        <w:t>;</w:t>
      </w:r>
    </w:p>
    <w:p w14:paraId="18A162EA" w14:textId="77777777" w:rsidR="00A72386" w:rsidRPr="002C5206" w:rsidRDefault="00A72386" w:rsidP="00CC6D62">
      <w:pPr>
        <w:pStyle w:val="BlockText"/>
        <w:numPr>
          <w:ilvl w:val="2"/>
          <w:numId w:val="3"/>
        </w:numPr>
        <w:tabs>
          <w:tab w:val="clear" w:pos="1985"/>
          <w:tab w:val="num" w:pos="1843"/>
        </w:tabs>
        <w:ind w:left="1701" w:hanging="567"/>
      </w:pPr>
      <w:r w:rsidRPr="002C5206">
        <w:t>treatment plant necessary for the production of a saleable mineral commodity</w:t>
      </w:r>
      <w:r w:rsidR="00347844" w:rsidRPr="002C5206">
        <w:t>;</w:t>
      </w:r>
    </w:p>
    <w:p w14:paraId="18A162EB" w14:textId="77777777" w:rsidR="00A72386" w:rsidRPr="002C5206" w:rsidRDefault="00A72386" w:rsidP="00CC6D62">
      <w:pPr>
        <w:pStyle w:val="BlockText"/>
        <w:numPr>
          <w:ilvl w:val="2"/>
          <w:numId w:val="3"/>
        </w:numPr>
        <w:tabs>
          <w:tab w:val="clear" w:pos="1985"/>
          <w:tab w:val="num" w:pos="1843"/>
        </w:tabs>
        <w:ind w:left="1701" w:hanging="567"/>
      </w:pPr>
      <w:r w:rsidRPr="002C5206">
        <w:t>storage facilities</w:t>
      </w:r>
      <w:r w:rsidR="00347844" w:rsidRPr="002C5206">
        <w:t>;</w:t>
      </w:r>
    </w:p>
    <w:p w14:paraId="18A162EC" w14:textId="77777777" w:rsidR="00A72386" w:rsidRPr="002C5206" w:rsidRDefault="00A72386" w:rsidP="00CC6D62">
      <w:pPr>
        <w:pStyle w:val="BlockText"/>
        <w:numPr>
          <w:ilvl w:val="2"/>
          <w:numId w:val="3"/>
        </w:numPr>
        <w:tabs>
          <w:tab w:val="clear" w:pos="1985"/>
          <w:tab w:val="num" w:pos="1843"/>
        </w:tabs>
        <w:ind w:left="1701" w:hanging="567"/>
      </w:pPr>
      <w:r w:rsidRPr="002C5206">
        <w:t>structures</w:t>
      </w:r>
      <w:r w:rsidR="00347844" w:rsidRPr="002C5206">
        <w:t>;</w:t>
      </w:r>
    </w:p>
    <w:p w14:paraId="18A162ED" w14:textId="77777777" w:rsidR="00A72386" w:rsidRPr="002C5206" w:rsidRDefault="00A72386" w:rsidP="00CC6D62">
      <w:pPr>
        <w:pStyle w:val="BlockText"/>
        <w:numPr>
          <w:ilvl w:val="2"/>
          <w:numId w:val="3"/>
        </w:numPr>
        <w:tabs>
          <w:tab w:val="clear" w:pos="1985"/>
          <w:tab w:val="num" w:pos="1843"/>
        </w:tabs>
        <w:ind w:left="1701" w:hanging="567"/>
      </w:pPr>
      <w:r w:rsidRPr="002C5206">
        <w:t>electricity generation and reticulation</w:t>
      </w:r>
      <w:r w:rsidR="00347844" w:rsidRPr="002C5206">
        <w:t>;</w:t>
      </w:r>
    </w:p>
    <w:p w14:paraId="18A162EE" w14:textId="77777777" w:rsidR="00A72386" w:rsidRPr="002C5206" w:rsidRDefault="00A72386" w:rsidP="00CC6D62">
      <w:pPr>
        <w:pStyle w:val="BlockText"/>
        <w:numPr>
          <w:ilvl w:val="2"/>
          <w:numId w:val="3"/>
        </w:numPr>
        <w:tabs>
          <w:tab w:val="clear" w:pos="1985"/>
          <w:tab w:val="num" w:pos="1843"/>
        </w:tabs>
        <w:ind w:left="1701" w:hanging="567"/>
      </w:pPr>
      <w:r w:rsidRPr="002C5206">
        <w:t>water storage and reticulation</w:t>
      </w:r>
      <w:r w:rsidR="00347844" w:rsidRPr="002C5206">
        <w:t>;</w:t>
      </w:r>
    </w:p>
    <w:p w14:paraId="18A162EF" w14:textId="77777777" w:rsidR="00A72386" w:rsidRPr="002C5206" w:rsidRDefault="00A72386" w:rsidP="00CC6D62">
      <w:pPr>
        <w:pStyle w:val="BlockText"/>
        <w:numPr>
          <w:ilvl w:val="2"/>
          <w:numId w:val="3"/>
        </w:numPr>
        <w:tabs>
          <w:tab w:val="clear" w:pos="1985"/>
          <w:tab w:val="num" w:pos="1843"/>
        </w:tabs>
        <w:ind w:left="1701" w:hanging="567"/>
      </w:pPr>
      <w:r w:rsidRPr="002C5206">
        <w:t>communication facilities</w:t>
      </w:r>
      <w:r w:rsidR="00347844" w:rsidRPr="002C5206">
        <w:t>;</w:t>
      </w:r>
    </w:p>
    <w:p w14:paraId="18A162F0" w14:textId="77777777" w:rsidR="00A72386" w:rsidRPr="002C5206" w:rsidRDefault="00A72386" w:rsidP="00CC6D62">
      <w:pPr>
        <w:pStyle w:val="BlockText"/>
        <w:numPr>
          <w:ilvl w:val="2"/>
          <w:numId w:val="3"/>
        </w:numPr>
        <w:tabs>
          <w:tab w:val="clear" w:pos="1985"/>
          <w:tab w:val="num" w:pos="1843"/>
        </w:tabs>
        <w:ind w:left="1701" w:hanging="567"/>
      </w:pPr>
      <w:r w:rsidRPr="002C5206">
        <w:t>transport facilities</w:t>
      </w:r>
      <w:r w:rsidR="00347844" w:rsidRPr="002C5206">
        <w:t>;</w:t>
      </w:r>
      <w:r w:rsidR="00F74F1B">
        <w:t xml:space="preserve"> and</w:t>
      </w:r>
    </w:p>
    <w:p w14:paraId="18A162F1" w14:textId="77777777" w:rsidR="00A72386" w:rsidRPr="002C5206" w:rsidRDefault="00A72386" w:rsidP="00CC6D62">
      <w:pPr>
        <w:pStyle w:val="BlockText"/>
        <w:numPr>
          <w:ilvl w:val="2"/>
          <w:numId w:val="3"/>
        </w:numPr>
        <w:tabs>
          <w:tab w:val="clear" w:pos="1985"/>
          <w:tab w:val="num" w:pos="1843"/>
        </w:tabs>
        <w:ind w:left="1701" w:hanging="567"/>
      </w:pPr>
      <w:r w:rsidRPr="002C5206">
        <w:t>town and accommodation facilities</w:t>
      </w:r>
      <w:r w:rsidR="00347844" w:rsidRPr="002C5206">
        <w:t>;</w:t>
      </w:r>
    </w:p>
    <w:p w14:paraId="18A162F2" w14:textId="77777777" w:rsidR="002C5206" w:rsidRDefault="00A72386" w:rsidP="002C5206">
      <w:pPr>
        <w:pStyle w:val="BlockText"/>
        <w:numPr>
          <w:ilvl w:val="1"/>
          <w:numId w:val="3"/>
        </w:numPr>
      </w:pPr>
      <w:r>
        <w:lastRenderedPageBreak/>
        <w:t xml:space="preserve">other </w:t>
      </w:r>
      <w:r w:rsidRPr="002C5206">
        <w:t>facilities</w:t>
      </w:r>
      <w:r>
        <w:t xml:space="preserve"> </w:t>
      </w:r>
      <w:r w:rsidR="00347844">
        <w:t>absolutely necessary</w:t>
      </w:r>
      <w:r>
        <w:t xml:space="preserve"> </w:t>
      </w:r>
      <w:r w:rsidR="00347844">
        <w:t>for</w:t>
      </w:r>
      <w:r>
        <w:t xml:space="preserve"> the production </w:t>
      </w:r>
      <w:r w:rsidR="00347844">
        <w:t>of a saleable mineral commodity</w:t>
      </w:r>
      <w:r w:rsidR="00F74F1B">
        <w:t>; and</w:t>
      </w:r>
    </w:p>
    <w:p w14:paraId="18A162F3" w14:textId="77777777" w:rsidR="00573565" w:rsidRDefault="00573565" w:rsidP="002C5206">
      <w:pPr>
        <w:pStyle w:val="BlockText"/>
        <w:numPr>
          <w:ilvl w:val="1"/>
          <w:numId w:val="3"/>
        </w:numPr>
        <w:tabs>
          <w:tab w:val="left" w:pos="1276"/>
          <w:tab w:val="left" w:pos="1701"/>
        </w:tabs>
      </w:pPr>
      <w:r>
        <w:t xml:space="preserve">amounts required by </w:t>
      </w:r>
      <w:r w:rsidR="00E11054">
        <w:t xml:space="preserve">Northern Territory or Commonwealth legislation </w:t>
      </w:r>
      <w:r>
        <w:t xml:space="preserve">to be expended </w:t>
      </w:r>
      <w:r w:rsidR="008E19DD">
        <w:t>in negotiation with landowners prior to the operation of the production unit (for example, pursuant to native title</w:t>
      </w:r>
      <w:r w:rsidR="00F74F1B">
        <w:t>, land rights</w:t>
      </w:r>
      <w:r w:rsidR="008E19DD">
        <w:t xml:space="preserve"> or sacred sites legislation).</w:t>
      </w:r>
      <w:r w:rsidR="002032E8">
        <w:t xml:space="preserve"> It is restricted to negotiation costs and does not cover compensation payments.</w:t>
      </w:r>
    </w:p>
    <w:p w14:paraId="18A162F4" w14:textId="77777777" w:rsidR="002609F7" w:rsidRPr="002C5206" w:rsidRDefault="002609F7" w:rsidP="002C5206">
      <w:pPr>
        <w:pStyle w:val="BlockText"/>
      </w:pPr>
      <w:r w:rsidRPr="002C5206">
        <w:t xml:space="preserve">Repair and maintenance work to an eligible capital asset used in the production of a saleable mineral commodity </w:t>
      </w:r>
      <w:r w:rsidR="00347A47">
        <w:t>is</w:t>
      </w:r>
      <w:r w:rsidR="00347A47" w:rsidRPr="002C5206">
        <w:t xml:space="preserve"> </w:t>
      </w:r>
      <w:r w:rsidRPr="002C5206">
        <w:t xml:space="preserve">often classified as an operating cost for royalty purposes. However, a capital improvement may be made to an asset. When this </w:t>
      </w:r>
      <w:r w:rsidR="00C55738">
        <w:t>occurs</w:t>
      </w:r>
      <w:r w:rsidRPr="002C5206">
        <w:t>, the capital improvement may constitute a new item of ECAE.</w:t>
      </w:r>
    </w:p>
    <w:p w14:paraId="18A162F5" w14:textId="77777777" w:rsidR="002609F7" w:rsidRPr="002C5206" w:rsidRDefault="00EA2846" w:rsidP="002C5206">
      <w:pPr>
        <w:pStyle w:val="BlockText"/>
      </w:pPr>
      <w:r w:rsidRPr="002C5206">
        <w:t>A</w:t>
      </w:r>
      <w:r>
        <w:t xml:space="preserve"> capital</w:t>
      </w:r>
      <w:r w:rsidRPr="002C5206">
        <w:t xml:space="preserve"> </w:t>
      </w:r>
      <w:r w:rsidR="002609F7" w:rsidRPr="002C5206">
        <w:t>improvement is something that substantially and permanently enhances the value of the asset. It is not work that merely rectifies defects or is undertaken in anticipation of forthcoming defe</w:t>
      </w:r>
      <w:r w:rsidR="003A27AB" w:rsidRPr="002C5206">
        <w:t>cts (preventative repairs and maintenance). Similarly, it does not include work undertaken to keep the asset in a suitable condition to allow it to serve the purpose for which it exists.</w:t>
      </w:r>
    </w:p>
    <w:p w14:paraId="18A162F6" w14:textId="77777777" w:rsidR="002609F7" w:rsidRPr="00864E9B" w:rsidRDefault="002609F7" w:rsidP="002C5206">
      <w:pPr>
        <w:pStyle w:val="HeadingFour"/>
        <w:spacing w:before="240"/>
        <w:jc w:val="both"/>
      </w:pPr>
      <w:r w:rsidRPr="00864E9B">
        <w:t>E</w:t>
      </w:r>
      <w:r w:rsidRPr="003A27AB">
        <w:rPr>
          <w:i w:val="0"/>
          <w:iCs w:val="0"/>
        </w:rPr>
        <w:t>x</w:t>
      </w:r>
      <w:r w:rsidRPr="00864E9B">
        <w:t>ample</w:t>
      </w:r>
    </w:p>
    <w:p w14:paraId="18A162F7" w14:textId="77777777" w:rsidR="00592F82" w:rsidRPr="003A27AB" w:rsidRDefault="002609F7" w:rsidP="002C5206">
      <w:pPr>
        <w:pStyle w:val="ExampleText"/>
        <w:pBdr>
          <w:bottom w:val="single" w:sz="4" w:space="3" w:color="auto"/>
        </w:pBdr>
      </w:pPr>
      <w:r w:rsidRPr="003A27AB">
        <w:t xml:space="preserve">If a bulldozer </w:t>
      </w:r>
      <w:r w:rsidR="00102E5F">
        <w:t>that a miner is claiming CRD</w:t>
      </w:r>
      <w:r w:rsidR="00897326">
        <w:t xml:space="preserve"> for</w:t>
      </w:r>
      <w:r w:rsidR="00102E5F">
        <w:t xml:space="preserve"> </w:t>
      </w:r>
      <w:r w:rsidR="002F0A75">
        <w:t>has</w:t>
      </w:r>
      <w:r w:rsidR="002F0A75" w:rsidRPr="003A27AB">
        <w:t xml:space="preserve"> </w:t>
      </w:r>
      <w:r w:rsidRPr="003A27AB">
        <w:t xml:space="preserve">its </w:t>
      </w:r>
      <w:r w:rsidR="003A27AB" w:rsidRPr="003A27AB">
        <w:t>damaged hydraulics</w:t>
      </w:r>
      <w:r w:rsidRPr="003A27AB">
        <w:t xml:space="preserve"> replaced, this </w:t>
      </w:r>
      <w:r w:rsidR="002F0A75">
        <w:t>is</w:t>
      </w:r>
      <w:r w:rsidRPr="003A27AB">
        <w:t xml:space="preserve"> classified as repair and maintenance and is d</w:t>
      </w:r>
      <w:r w:rsidR="00102E5F">
        <w:t>eductible as an operating cost.</w:t>
      </w:r>
      <w:r w:rsidRPr="003A27AB">
        <w:t xml:space="preserve"> However, if the same bulldozer </w:t>
      </w:r>
      <w:r w:rsidR="002F0A75" w:rsidRPr="003A27AB">
        <w:t>ha</w:t>
      </w:r>
      <w:r w:rsidR="002F0A75">
        <w:t>s</w:t>
      </w:r>
      <w:r w:rsidR="002F0A75" w:rsidRPr="003A27AB">
        <w:t xml:space="preserve"> </w:t>
      </w:r>
      <w:r w:rsidRPr="003A27AB">
        <w:t>its engine and transmission</w:t>
      </w:r>
      <w:r w:rsidR="00102E5F">
        <w:t xml:space="preserve"> that were in good working order</w:t>
      </w:r>
      <w:r w:rsidRPr="003A27AB">
        <w:t xml:space="preserve"> replaced with a new engine and transmission that </w:t>
      </w:r>
      <w:r w:rsidR="002F0A75">
        <w:t>are</w:t>
      </w:r>
      <w:r w:rsidR="002F0A75" w:rsidRPr="003A27AB">
        <w:t xml:space="preserve"> </w:t>
      </w:r>
      <w:r w:rsidR="003A27AB" w:rsidRPr="003A27AB">
        <w:t>substantially</w:t>
      </w:r>
      <w:r w:rsidRPr="003A27AB">
        <w:t xml:space="preserve"> more powerful, </w:t>
      </w:r>
      <w:r w:rsidR="003A27AB" w:rsidRPr="003A27AB">
        <w:t>for the purpose of increasing the amount of work the</w:t>
      </w:r>
      <w:r w:rsidR="00102E5F">
        <w:t xml:space="preserve"> bulldozer was able to perform,</w:t>
      </w:r>
      <w:r w:rsidR="003A27AB" w:rsidRPr="003A27AB">
        <w:t xml:space="preserve"> </w:t>
      </w:r>
      <w:r w:rsidRPr="003A27AB">
        <w:t xml:space="preserve">this </w:t>
      </w:r>
      <w:r w:rsidR="002F0A75">
        <w:t>is</w:t>
      </w:r>
      <w:r w:rsidRPr="003A27AB">
        <w:t xml:space="preserve"> </w:t>
      </w:r>
      <w:r w:rsidR="00EA2846" w:rsidRPr="003A27AB">
        <w:t>a</w:t>
      </w:r>
      <w:r w:rsidR="00EA2846">
        <w:t xml:space="preserve"> capital</w:t>
      </w:r>
      <w:r w:rsidR="00EA2846" w:rsidRPr="003A27AB">
        <w:t xml:space="preserve"> </w:t>
      </w:r>
      <w:r w:rsidRPr="003A27AB">
        <w:t xml:space="preserve">improvement and deductible as ECAE. A separate CRD life, based on the depreciation period allowed for income tax purposes, </w:t>
      </w:r>
      <w:r w:rsidR="002F0A75">
        <w:t xml:space="preserve">is </w:t>
      </w:r>
      <w:r w:rsidRPr="003A27AB">
        <w:t xml:space="preserve">allocated to this </w:t>
      </w:r>
      <w:r w:rsidR="00102E5F">
        <w:t xml:space="preserve">item of </w:t>
      </w:r>
      <w:r w:rsidRPr="003A27AB">
        <w:t>ECAE</w:t>
      </w:r>
      <w:r w:rsidR="00102E5F">
        <w:t>.</w:t>
      </w:r>
    </w:p>
    <w:p w14:paraId="18A162F8" w14:textId="77777777" w:rsidR="00A72386" w:rsidRDefault="00A72386" w:rsidP="002C5206">
      <w:pPr>
        <w:pStyle w:val="BlockText"/>
      </w:pPr>
      <w:r>
        <w:t>The recording of an amount as a capital item in the accounts of the production unit</w:t>
      </w:r>
      <w:r w:rsidR="00F74F1B">
        <w:t xml:space="preserve"> is not conclusive evidence that the item is an item of ECAE for the purposes of the MRA</w:t>
      </w:r>
      <w:r>
        <w:t>. The following are examples of expenditure not considered to be ECAE:</w:t>
      </w:r>
    </w:p>
    <w:p w14:paraId="18A162F9" w14:textId="77777777" w:rsidR="008E19DD" w:rsidRPr="002C5206" w:rsidRDefault="00F74F1B" w:rsidP="002C5206">
      <w:pPr>
        <w:pStyle w:val="BlockText"/>
        <w:numPr>
          <w:ilvl w:val="1"/>
          <w:numId w:val="3"/>
        </w:numPr>
      </w:pPr>
      <w:r>
        <w:t xml:space="preserve">subject to paragraph </w:t>
      </w:r>
      <w:r w:rsidR="006E3B79">
        <w:t>11</w:t>
      </w:r>
      <w:r>
        <w:t>(7</w:t>
      </w:r>
      <w:r w:rsidR="008E19DD" w:rsidRPr="002C5206">
        <w:t>), a</w:t>
      </w:r>
      <w:r w:rsidR="00A72386" w:rsidRPr="002C5206">
        <w:t>mounts expended in negotiation with landowners prior to the o</w:t>
      </w:r>
      <w:r w:rsidR="008E19DD" w:rsidRPr="002C5206">
        <w:t>peration of the production unit</w:t>
      </w:r>
      <w:r>
        <w:t>;</w:t>
      </w:r>
      <w:r w:rsidR="008E19DD" w:rsidRPr="002C5206">
        <w:t xml:space="preserve"> </w:t>
      </w:r>
    </w:p>
    <w:p w14:paraId="18A162FA" w14:textId="77777777" w:rsidR="008E19DD" w:rsidRPr="002C5206" w:rsidRDefault="008E19DD" w:rsidP="002C5206">
      <w:pPr>
        <w:pStyle w:val="BlockText"/>
        <w:numPr>
          <w:ilvl w:val="1"/>
          <w:numId w:val="3"/>
        </w:numPr>
      </w:pPr>
      <w:r w:rsidRPr="002C5206">
        <w:t>tenement acquisition costs (</w:t>
      </w:r>
      <w:r w:rsidR="004C19B4">
        <w:t>refer to</w:t>
      </w:r>
      <w:r w:rsidR="004C19B4" w:rsidRPr="002C5206">
        <w:t xml:space="preserve"> </w:t>
      </w:r>
      <w:r w:rsidRPr="002C5206">
        <w:t xml:space="preserve">paragraphs </w:t>
      </w:r>
      <w:r w:rsidR="00E11054" w:rsidRPr="002C5206">
        <w:t>4</w:t>
      </w:r>
      <w:r w:rsidR="00E11054">
        <w:t>8</w:t>
      </w:r>
      <w:r w:rsidR="00E11054" w:rsidRPr="002C5206">
        <w:t xml:space="preserve"> </w:t>
      </w:r>
      <w:r w:rsidRPr="002C5206">
        <w:t xml:space="preserve">to </w:t>
      </w:r>
      <w:r w:rsidR="00E11054" w:rsidRPr="002C5206">
        <w:t>5</w:t>
      </w:r>
      <w:r w:rsidR="00E11054">
        <w:t xml:space="preserve">0 </w:t>
      </w:r>
      <w:r w:rsidR="004C19B4">
        <w:t>below</w:t>
      </w:r>
      <w:r w:rsidR="00F74F1B">
        <w:t>); and</w:t>
      </w:r>
    </w:p>
    <w:p w14:paraId="18A162FB" w14:textId="77777777" w:rsidR="00A72386" w:rsidRPr="002C5206" w:rsidRDefault="00F74F1B" w:rsidP="002C5206">
      <w:pPr>
        <w:pStyle w:val="BlockText"/>
        <w:numPr>
          <w:ilvl w:val="1"/>
          <w:numId w:val="3"/>
        </w:numPr>
      </w:pPr>
      <w:r>
        <w:t>a</w:t>
      </w:r>
      <w:r w:rsidR="00A72386" w:rsidRPr="002C5206">
        <w:t xml:space="preserve">ny expenditure </w:t>
      </w:r>
      <w:r w:rsidR="008E19DD" w:rsidRPr="002C5206">
        <w:t>in relation to an activity</w:t>
      </w:r>
      <w:r>
        <w:t xml:space="preserve"> in the nature of e</w:t>
      </w:r>
      <w:r w:rsidR="00A72386" w:rsidRPr="002C5206">
        <w:t>xploration</w:t>
      </w:r>
      <w:r w:rsidR="008E19DD" w:rsidRPr="002C5206">
        <w:t>.</w:t>
      </w:r>
    </w:p>
    <w:p w14:paraId="18A162FC" w14:textId="77777777" w:rsidR="00C13E44" w:rsidRDefault="00C13E44" w:rsidP="002C5206">
      <w:pPr>
        <w:pStyle w:val="HeadingThree"/>
        <w:jc w:val="both"/>
        <w:rPr>
          <w:rFonts w:cs="Arial"/>
        </w:rPr>
      </w:pPr>
      <w:r>
        <w:t xml:space="preserve">ECAE </w:t>
      </w:r>
      <w:r w:rsidR="00F74F1B">
        <w:t>e</w:t>
      </w:r>
      <w:r w:rsidRPr="00E65B23">
        <w:t xml:space="preserve">ligibility </w:t>
      </w:r>
      <w:r w:rsidR="00F74F1B">
        <w:t>c</w:t>
      </w:r>
      <w:r w:rsidRPr="00E65B23">
        <w:t>riteria</w:t>
      </w:r>
    </w:p>
    <w:p w14:paraId="18A162FD" w14:textId="77777777" w:rsidR="00C13E44" w:rsidRDefault="00C13E44" w:rsidP="002C5206">
      <w:pPr>
        <w:pStyle w:val="BlockText"/>
      </w:pPr>
      <w:r>
        <w:t xml:space="preserve">An item of ECAE must be used on the production unit and be absolutely necessary for the setting up and operation of the production unit in the Northern Territory. Where an item of ECAE is not used </w:t>
      </w:r>
      <w:r w:rsidR="00F74F1B">
        <w:t>during the</w:t>
      </w:r>
      <w:r>
        <w:t xml:space="preserve"> whole or part of a six month period, the CRD should be </w:t>
      </w:r>
      <w:r w:rsidR="00F74F1B">
        <w:t xml:space="preserve">proportionately </w:t>
      </w:r>
      <w:r>
        <w:t xml:space="preserve">reduced. </w:t>
      </w:r>
    </w:p>
    <w:p w14:paraId="18A162FE" w14:textId="77777777" w:rsidR="00112E53" w:rsidRPr="00864E9B" w:rsidRDefault="00C13E44" w:rsidP="00F74F1B">
      <w:pPr>
        <w:pStyle w:val="BlockText"/>
      </w:pPr>
      <w:r>
        <w:t xml:space="preserve">“Use” means use normal to the kind of </w:t>
      </w:r>
      <w:r w:rsidR="00464CC6">
        <w:t>asset</w:t>
      </w:r>
      <w:r>
        <w:t xml:space="preserve"> in question, which depends on the nature and character of the </w:t>
      </w:r>
      <w:r w:rsidR="00464CC6">
        <w:t>ECAE</w:t>
      </w:r>
      <w:r>
        <w:t>. Normal use does not cease because the asset is out of action at times</w:t>
      </w:r>
      <w:r w:rsidR="002745D1">
        <w:t xml:space="preserve"> and for reasons incidental to ownership and normal use. However, a royalty payer who chooses deliberately not to use </w:t>
      </w:r>
      <w:r w:rsidR="004C19B4">
        <w:t xml:space="preserve">an </w:t>
      </w:r>
      <w:r w:rsidR="002745D1">
        <w:t xml:space="preserve">asset </w:t>
      </w:r>
      <w:proofErr w:type="spellStart"/>
      <w:r w:rsidR="004C19B4">
        <w:t>can</w:t>
      </w:r>
      <w:r w:rsidR="002745D1">
        <w:t xml:space="preserve"> not</w:t>
      </w:r>
      <w:proofErr w:type="spellEnd"/>
      <w:r w:rsidR="002745D1">
        <w:t xml:space="preserve"> be said to be using it.</w:t>
      </w:r>
    </w:p>
    <w:p w14:paraId="18A162FF" w14:textId="77777777" w:rsidR="002745D1" w:rsidRDefault="002745D1" w:rsidP="00F74F1B">
      <w:pPr>
        <w:pStyle w:val="BlockText"/>
        <w:tabs>
          <w:tab w:val="clear" w:pos="567"/>
        </w:tabs>
      </w:pPr>
      <w:r>
        <w:t xml:space="preserve">If </w:t>
      </w:r>
      <w:r w:rsidR="00112E53">
        <w:t xml:space="preserve">a </w:t>
      </w:r>
      <w:r>
        <w:t xml:space="preserve">production </w:t>
      </w:r>
      <w:r w:rsidR="00112E53">
        <w:t>unit is temporarily shut down</w:t>
      </w:r>
      <w:r>
        <w:t>, this may affect the CRD for the ECAE</w:t>
      </w:r>
      <w:r w:rsidR="00112E53">
        <w:t>.</w:t>
      </w:r>
      <w:r>
        <w:t xml:space="preserve"> </w:t>
      </w:r>
      <w:r w:rsidR="004C19B4">
        <w:t>I</w:t>
      </w:r>
      <w:r w:rsidR="00112E53">
        <w:t xml:space="preserve">f a production unit is </w:t>
      </w:r>
      <w:r w:rsidR="00464CC6">
        <w:t>shut down</w:t>
      </w:r>
      <w:r>
        <w:t xml:space="preserve"> to allow a royalty payer to carry out periodic maintenance, or as a result of a natural disaster, the temporary break in the operation would </w:t>
      </w:r>
      <w:r w:rsidR="00464CC6">
        <w:t xml:space="preserve">generally </w:t>
      </w:r>
      <w:r>
        <w:t xml:space="preserve">not affect the CRD for the relevant </w:t>
      </w:r>
      <w:r w:rsidR="00464CC6">
        <w:t xml:space="preserve">items of </w:t>
      </w:r>
      <w:r>
        <w:t>ECAE</w:t>
      </w:r>
      <w:r w:rsidR="00464CC6">
        <w:t xml:space="preserve"> because the Secretary would consider that there has been a continuous use of these assets</w:t>
      </w:r>
      <w:r>
        <w:t xml:space="preserve">. </w:t>
      </w:r>
    </w:p>
    <w:p w14:paraId="18A16300" w14:textId="77777777" w:rsidR="002745D1" w:rsidRDefault="002745D1" w:rsidP="002C5206">
      <w:pPr>
        <w:pStyle w:val="BlockText"/>
        <w:spacing w:before="240"/>
      </w:pPr>
      <w:r>
        <w:t xml:space="preserve">If an item of ECAE is not used solely for the operations of the production unit, CRD should be apportioned accordingly. For example, if a vehicle is used between the production unit and an exploration </w:t>
      </w:r>
      <w:r w:rsidR="00464CC6">
        <w:t>licence</w:t>
      </w:r>
      <w:r>
        <w:t xml:space="preserve"> outside the production unit, CRD can only be claimed for the portion </w:t>
      </w:r>
      <w:r w:rsidR="00C55738">
        <w:t>of</w:t>
      </w:r>
      <w:r>
        <w:t xml:space="preserve"> </w:t>
      </w:r>
      <w:r>
        <w:lastRenderedPageBreak/>
        <w:t>vehicle costs associated with the operations of the production unit to which the royalty return relates. Appropriate records must be maintained to substantiate the apportionment.</w:t>
      </w:r>
    </w:p>
    <w:p w14:paraId="18A16301" w14:textId="77777777" w:rsidR="00112E53" w:rsidRDefault="00112E53" w:rsidP="002C5206">
      <w:pPr>
        <w:pStyle w:val="BlockText"/>
      </w:pPr>
      <w:r>
        <w:t xml:space="preserve">There is no requirement that an asset be owned by the royalty payer. CRD may be applied to an asset to which the royalty payer has an immediate right of use under a finance lease, or other arrangement where the title is retained by the lessor and may not eventually be transferred to the royalty payer. </w:t>
      </w:r>
    </w:p>
    <w:p w14:paraId="18A16302" w14:textId="3AD3425C" w:rsidR="00AC1993" w:rsidRDefault="0072719D" w:rsidP="002C5206">
      <w:pPr>
        <w:pStyle w:val="BlockText"/>
      </w:pPr>
      <w:r>
        <w:t xml:space="preserve">Equipment </w:t>
      </w:r>
      <w:r w:rsidR="00464CC6">
        <w:t xml:space="preserve">provided and </w:t>
      </w:r>
      <w:r>
        <w:t xml:space="preserve">used by a contractor to provide services to the royalty payer would not be eligible for CRD. Payment for services provided by the contractor would include costs associated with the equipment </w:t>
      </w:r>
      <w:r w:rsidR="009E60FD">
        <w:t>which</w:t>
      </w:r>
      <w:r>
        <w:t xml:space="preserve"> </w:t>
      </w:r>
      <w:r w:rsidR="00464CC6">
        <w:t xml:space="preserve">may </w:t>
      </w:r>
      <w:r w:rsidR="00D97A1D">
        <w:t xml:space="preserve">be </w:t>
      </w:r>
      <w:r>
        <w:t>claimable as Operating Costs if the</w:t>
      </w:r>
      <w:r w:rsidR="00AC1993">
        <w:t xml:space="preserve">y meet the eligibility criteria. Guideline </w:t>
      </w:r>
      <w:r w:rsidR="00AC1993" w:rsidRPr="007B21F4">
        <w:rPr>
          <w:i/>
        </w:rPr>
        <w:t>RG</w:t>
      </w:r>
      <w:r w:rsidR="00AC1993" w:rsidRPr="007B21F4">
        <w:rPr>
          <w:i/>
        </w:rPr>
        <w:noBreakHyphen/>
        <w:t>MRA</w:t>
      </w:r>
      <w:r w:rsidR="00AC1993" w:rsidRPr="007B21F4">
        <w:rPr>
          <w:i/>
        </w:rPr>
        <w:noBreakHyphen/>
        <w:t>005</w:t>
      </w:r>
      <w:r w:rsidR="00AC1993" w:rsidRPr="00347A47">
        <w:rPr>
          <w:i/>
        </w:rPr>
        <w:t>: Operating Costs</w:t>
      </w:r>
      <w:r w:rsidR="00AC1993">
        <w:t xml:space="preserve"> provides further information. </w:t>
      </w:r>
    </w:p>
    <w:p w14:paraId="18A16303" w14:textId="77777777" w:rsidR="006D421E" w:rsidRPr="00145798" w:rsidRDefault="00F74F1B" w:rsidP="00AC1993">
      <w:pPr>
        <w:pStyle w:val="BlockText"/>
        <w:numPr>
          <w:ilvl w:val="0"/>
          <w:numId w:val="0"/>
        </w:numPr>
        <w:spacing w:before="240"/>
        <w:rPr>
          <w:i/>
          <w:u w:val="single"/>
        </w:rPr>
      </w:pPr>
      <w:r w:rsidRPr="00145798">
        <w:rPr>
          <w:i/>
          <w:u w:val="single"/>
        </w:rPr>
        <w:t>What is a production u</w:t>
      </w:r>
      <w:r w:rsidR="006D421E" w:rsidRPr="00145798">
        <w:rPr>
          <w:i/>
          <w:u w:val="single"/>
        </w:rPr>
        <w:t>nit</w:t>
      </w:r>
    </w:p>
    <w:p w14:paraId="18A16304" w14:textId="77777777" w:rsidR="006D421E" w:rsidRDefault="006D421E" w:rsidP="002C5206">
      <w:pPr>
        <w:pStyle w:val="BlockText"/>
      </w:pPr>
      <w:r>
        <w:t xml:space="preserve">An eligible capital asset must </w:t>
      </w:r>
      <w:r w:rsidR="00874515">
        <w:t>form</w:t>
      </w:r>
      <w:r>
        <w:t xml:space="preserve"> part of a production unit</w:t>
      </w:r>
      <w:r w:rsidR="00874515">
        <w:t xml:space="preserve"> or be used on the production unit for a relevant or requisite purpose</w:t>
      </w:r>
      <w:r>
        <w:t xml:space="preserve">. The term </w:t>
      </w:r>
      <w:r w:rsidRPr="002520B7">
        <w:t>production unit</w:t>
      </w:r>
      <w:r>
        <w:t xml:space="preserve"> means either a mining tenement, or two or more mining tenements that are being operated as part of an integrated operation, together with any facilities in the Northern Territory that are absolutely necessary for the production of a saleable mineral commodity from the mining tenement(s). </w:t>
      </w:r>
    </w:p>
    <w:p w14:paraId="18A16305" w14:textId="77777777" w:rsidR="006D421E" w:rsidRDefault="006D421E" w:rsidP="002C5206">
      <w:pPr>
        <w:pStyle w:val="BlockText"/>
      </w:pPr>
      <w:r>
        <w:t>A facility only forms part of the production unit if two requirements are satisfied:</w:t>
      </w:r>
    </w:p>
    <w:p w14:paraId="18A16306" w14:textId="77777777" w:rsidR="006D421E" w:rsidRDefault="006D421E" w:rsidP="002C5206">
      <w:pPr>
        <w:pStyle w:val="BlockText"/>
        <w:numPr>
          <w:ilvl w:val="1"/>
          <w:numId w:val="3"/>
        </w:numPr>
        <w:tabs>
          <w:tab w:val="clear" w:pos="1134"/>
        </w:tabs>
      </w:pPr>
      <w:r>
        <w:t>the facility is situated wit</w:t>
      </w:r>
      <w:r w:rsidR="00DC728C">
        <w:t>hin the Northern Territory; and</w:t>
      </w:r>
      <w:r>
        <w:t xml:space="preserve"> </w:t>
      </w:r>
    </w:p>
    <w:p w14:paraId="18A16307" w14:textId="77777777" w:rsidR="006D421E" w:rsidRDefault="006D421E" w:rsidP="002C5206">
      <w:pPr>
        <w:pStyle w:val="BlockText"/>
        <w:numPr>
          <w:ilvl w:val="1"/>
          <w:numId w:val="3"/>
        </w:numPr>
        <w:tabs>
          <w:tab w:val="clear" w:pos="1134"/>
        </w:tabs>
      </w:pPr>
      <w:r>
        <w:t>the facility is absolutely necessary for the production of a saleable mineral commodity from minerals obtained from that production unit.</w:t>
      </w:r>
    </w:p>
    <w:p w14:paraId="18A16308" w14:textId="4BF0F7A2" w:rsidR="006D421E" w:rsidRPr="0098176D" w:rsidRDefault="00AC1993" w:rsidP="002C5206">
      <w:pPr>
        <w:pStyle w:val="BlockText"/>
      </w:pPr>
      <w:r>
        <w:t xml:space="preserve">Guideline </w:t>
      </w:r>
      <w:r w:rsidRPr="007B21F4">
        <w:rPr>
          <w:i/>
        </w:rPr>
        <w:t>RG-MRA-002</w:t>
      </w:r>
      <w:r w:rsidRPr="003B7652">
        <w:rPr>
          <w:i/>
        </w:rPr>
        <w:t>: Production Unit</w:t>
      </w:r>
      <w:r>
        <w:t xml:space="preserve"> provides further</w:t>
      </w:r>
      <w:r w:rsidR="006D421E">
        <w:t xml:space="preserve"> information on the </w:t>
      </w:r>
      <w:r w:rsidR="00874515">
        <w:t xml:space="preserve">key concept of </w:t>
      </w:r>
      <w:r w:rsidR="004C19B4">
        <w:t xml:space="preserve">a </w:t>
      </w:r>
      <w:r w:rsidR="006D421E">
        <w:t>production unit</w:t>
      </w:r>
      <w:r w:rsidR="006D421E" w:rsidRPr="003B7652">
        <w:rPr>
          <w:i/>
        </w:rPr>
        <w:t>.</w:t>
      </w:r>
    </w:p>
    <w:p w14:paraId="18A16309" w14:textId="77777777" w:rsidR="006D421E" w:rsidRPr="006D377D" w:rsidRDefault="006D421E" w:rsidP="002C5206">
      <w:pPr>
        <w:pStyle w:val="HeadingThree"/>
        <w:jc w:val="both"/>
      </w:pPr>
      <w:r>
        <w:t xml:space="preserve">What is the value </w:t>
      </w:r>
      <w:r w:rsidR="009E60FD">
        <w:t>of</w:t>
      </w:r>
      <w:r>
        <w:t xml:space="preserve"> an item of </w:t>
      </w:r>
      <w:proofErr w:type="gramStart"/>
      <w:r>
        <w:t>ECAE</w:t>
      </w:r>
      <w:proofErr w:type="gramEnd"/>
    </w:p>
    <w:p w14:paraId="18A1630A" w14:textId="77777777" w:rsidR="006D421E" w:rsidRDefault="00DC728C" w:rsidP="002C5206">
      <w:pPr>
        <w:pStyle w:val="BlockText"/>
      </w:pPr>
      <w:r>
        <w:t xml:space="preserve">Subject to paragraph </w:t>
      </w:r>
      <w:r w:rsidR="006E0D5E">
        <w:t xml:space="preserve">25 </w:t>
      </w:r>
      <w:r w:rsidR="00966595">
        <w:t>below</w:t>
      </w:r>
      <w:r>
        <w:t xml:space="preserve">, </w:t>
      </w:r>
      <w:r w:rsidR="00145798">
        <w:t>the value of an item of ECAE, called the principal sum, is generally the acquisition cost of the item (irrespective of whether the asset is new or used) where acquired under an arm’s length transaction. Where an asset is transferred within a group of companies, the written down value</w:t>
      </w:r>
      <w:r w:rsidR="00782487">
        <w:t xml:space="preserve"> (</w:t>
      </w:r>
      <w:r w:rsidR="00187141">
        <w:t>derived from an</w:t>
      </w:r>
      <w:r w:rsidR="00782487">
        <w:t xml:space="preserve"> arm’s length value less accumulated depreciation)</w:t>
      </w:r>
      <w:r w:rsidR="00145798">
        <w:t xml:space="preserve"> may be used to value the asset for CRD purposes.</w:t>
      </w:r>
    </w:p>
    <w:p w14:paraId="18A1630B" w14:textId="77777777" w:rsidR="006D421E" w:rsidRDefault="006D421E" w:rsidP="002C5206">
      <w:pPr>
        <w:pStyle w:val="BlockText"/>
      </w:pPr>
      <w:r>
        <w:t xml:space="preserve">Where the </w:t>
      </w:r>
      <w:r w:rsidR="00DC728C">
        <w:t xml:space="preserve">item of </w:t>
      </w:r>
      <w:r>
        <w:t xml:space="preserve">ECAE was not purchased at arm’s length, the market value should be used.  </w:t>
      </w:r>
    </w:p>
    <w:p w14:paraId="18A1630C" w14:textId="77777777" w:rsidR="006D421E" w:rsidRPr="006D377D" w:rsidRDefault="006D421E" w:rsidP="002C5206">
      <w:pPr>
        <w:pStyle w:val="BlockText"/>
      </w:pPr>
      <w:r>
        <w:t xml:space="preserve">In line with generally accepted accounting principles, the principal sum </w:t>
      </w:r>
      <w:r w:rsidRPr="006D377D">
        <w:t xml:space="preserve">may </w:t>
      </w:r>
      <w:r w:rsidR="00874515">
        <w:t>include</w:t>
      </w:r>
      <w:r w:rsidRPr="006D377D">
        <w:t>:</w:t>
      </w:r>
      <w:r w:rsidRPr="006D377D">
        <w:rPr>
          <w:rStyle w:val="FootnoteReference"/>
        </w:rPr>
        <w:footnoteReference w:id="1"/>
      </w:r>
    </w:p>
    <w:p w14:paraId="18A1630D" w14:textId="77777777" w:rsidR="006D421E" w:rsidRDefault="006D421E" w:rsidP="002C5206">
      <w:pPr>
        <w:pStyle w:val="BlockText"/>
        <w:numPr>
          <w:ilvl w:val="1"/>
          <w:numId w:val="3"/>
        </w:numPr>
        <w:tabs>
          <w:tab w:val="clear" w:pos="1134"/>
        </w:tabs>
      </w:pPr>
      <w:r>
        <w:t>purchase price;</w:t>
      </w:r>
    </w:p>
    <w:p w14:paraId="18A1630E" w14:textId="77777777" w:rsidR="006D421E" w:rsidRDefault="006D421E" w:rsidP="002C5206">
      <w:pPr>
        <w:pStyle w:val="BlockText"/>
        <w:numPr>
          <w:ilvl w:val="1"/>
          <w:numId w:val="3"/>
        </w:numPr>
        <w:tabs>
          <w:tab w:val="clear" w:pos="1134"/>
        </w:tabs>
      </w:pPr>
      <w:r>
        <w:t>construction cost;</w:t>
      </w:r>
    </w:p>
    <w:p w14:paraId="18A1630F" w14:textId="77777777" w:rsidR="006D421E" w:rsidRDefault="006D421E" w:rsidP="002C5206">
      <w:pPr>
        <w:pStyle w:val="BlockText"/>
        <w:numPr>
          <w:ilvl w:val="1"/>
          <w:numId w:val="3"/>
        </w:numPr>
        <w:tabs>
          <w:tab w:val="clear" w:pos="1134"/>
        </w:tabs>
      </w:pPr>
      <w:r>
        <w:t>import duties;</w:t>
      </w:r>
    </w:p>
    <w:p w14:paraId="18A16310" w14:textId="77777777" w:rsidR="006D421E" w:rsidRDefault="006D421E" w:rsidP="002C5206">
      <w:pPr>
        <w:pStyle w:val="BlockText"/>
        <w:numPr>
          <w:ilvl w:val="1"/>
          <w:numId w:val="3"/>
        </w:numPr>
        <w:tabs>
          <w:tab w:val="clear" w:pos="1134"/>
        </w:tabs>
      </w:pPr>
      <w:r>
        <w:t>non-refundable purchase taxes</w:t>
      </w:r>
      <w:r w:rsidR="00A61478">
        <w:t xml:space="preserve"> (including stamp duty)</w:t>
      </w:r>
      <w:r>
        <w:t>;</w:t>
      </w:r>
    </w:p>
    <w:p w14:paraId="18A16311" w14:textId="77777777" w:rsidR="006D421E" w:rsidRDefault="006D421E" w:rsidP="002C5206">
      <w:pPr>
        <w:pStyle w:val="BlockText"/>
        <w:numPr>
          <w:ilvl w:val="1"/>
          <w:numId w:val="3"/>
        </w:numPr>
        <w:tabs>
          <w:tab w:val="clear" w:pos="1134"/>
        </w:tabs>
      </w:pPr>
      <w:r>
        <w:t>delivery and handling costs;</w:t>
      </w:r>
    </w:p>
    <w:p w14:paraId="18A16312" w14:textId="77777777" w:rsidR="006D421E" w:rsidRDefault="006D421E" w:rsidP="002C5206">
      <w:pPr>
        <w:pStyle w:val="BlockText"/>
        <w:numPr>
          <w:ilvl w:val="1"/>
          <w:numId w:val="3"/>
        </w:numPr>
        <w:tabs>
          <w:tab w:val="clear" w:pos="1134"/>
        </w:tabs>
      </w:pPr>
      <w:r>
        <w:t>site preparation costs; and/or</w:t>
      </w:r>
    </w:p>
    <w:p w14:paraId="18A16313" w14:textId="77777777" w:rsidR="006D421E" w:rsidRDefault="006D421E" w:rsidP="002C5206">
      <w:pPr>
        <w:pStyle w:val="BlockText"/>
        <w:numPr>
          <w:ilvl w:val="1"/>
          <w:numId w:val="3"/>
        </w:numPr>
        <w:tabs>
          <w:tab w:val="clear" w:pos="1134"/>
        </w:tabs>
      </w:pPr>
      <w:r>
        <w:t>installation and assembly costs.</w:t>
      </w:r>
    </w:p>
    <w:p w14:paraId="18A16314" w14:textId="77777777" w:rsidR="006D421E" w:rsidRPr="006D377D" w:rsidRDefault="006D421E" w:rsidP="002C5206">
      <w:pPr>
        <w:pStyle w:val="BlockText"/>
      </w:pPr>
      <w:r w:rsidRPr="0021240B">
        <w:t xml:space="preserve">The principal sum of an asset </w:t>
      </w:r>
      <w:r w:rsidR="00874515">
        <w:t>does</w:t>
      </w:r>
      <w:r w:rsidRPr="0021240B">
        <w:t xml:space="preserve"> not include </w:t>
      </w:r>
      <w:r>
        <w:t xml:space="preserve">any </w:t>
      </w:r>
      <w:r w:rsidRPr="0021240B">
        <w:t>subsequent costs incurred</w:t>
      </w:r>
      <w:r>
        <w:t xml:space="preserve"> on maintenance, </w:t>
      </w:r>
      <w:r w:rsidRPr="0021240B">
        <w:t>repairs</w:t>
      </w:r>
      <w:r>
        <w:t xml:space="preserve"> or consumables as</w:t>
      </w:r>
      <w:r w:rsidRPr="0021240B">
        <w:t xml:space="preserve"> </w:t>
      </w:r>
      <w:r>
        <w:t>t</w:t>
      </w:r>
      <w:r w:rsidRPr="0021240B">
        <w:t xml:space="preserve">hese costs </w:t>
      </w:r>
      <w:r>
        <w:t>are generally considered to be</w:t>
      </w:r>
      <w:r w:rsidRPr="0021240B">
        <w:t xml:space="preserve"> operating costs and </w:t>
      </w:r>
      <w:r w:rsidR="00424C22">
        <w:t xml:space="preserve">are </w:t>
      </w:r>
      <w:r w:rsidRPr="0021240B">
        <w:t xml:space="preserve">treated </w:t>
      </w:r>
      <w:r>
        <w:t>as such</w:t>
      </w:r>
      <w:r w:rsidRPr="0021240B">
        <w:t xml:space="preserve"> under the MRA.</w:t>
      </w:r>
    </w:p>
    <w:p w14:paraId="18A16315" w14:textId="77777777" w:rsidR="00424C22" w:rsidRPr="00424C22" w:rsidRDefault="00424C22" w:rsidP="00990649">
      <w:pPr>
        <w:pStyle w:val="StyleHeadingThreeNotBoldUnderlineJustified"/>
      </w:pPr>
      <w:r w:rsidRPr="00424C22">
        <w:lastRenderedPageBreak/>
        <w:t xml:space="preserve">Revaluation of an </w:t>
      </w:r>
      <w:r w:rsidR="009D2402">
        <w:t>a</w:t>
      </w:r>
      <w:r w:rsidRPr="00424C22">
        <w:t>sset</w:t>
      </w:r>
    </w:p>
    <w:p w14:paraId="18A16316" w14:textId="77777777" w:rsidR="00424C22" w:rsidRDefault="00424C22" w:rsidP="002C5206">
      <w:pPr>
        <w:pStyle w:val="BlockText"/>
      </w:pPr>
      <w:r>
        <w:t xml:space="preserve">The assets of a production unit may be subject to revaluation which can result in either an increase or decrease of the asset’s value. For CRD purposes, the value of an item of ECAE (the principal sum) </w:t>
      </w:r>
      <w:r w:rsidR="00347A47">
        <w:t>is not</w:t>
      </w:r>
      <w:r>
        <w:t xml:space="preserve"> affected by revaluation (whether upward or downward). </w:t>
      </w:r>
    </w:p>
    <w:p w14:paraId="18A16317" w14:textId="77777777" w:rsidR="00424C22" w:rsidRPr="009C7EEA" w:rsidRDefault="00424C22" w:rsidP="002C5206">
      <w:pPr>
        <w:pStyle w:val="BlockText"/>
      </w:pPr>
      <w:r>
        <w:t>Once the principal sum of an item of ECAE is determined and CRD claimed, the same principal sum continue</w:t>
      </w:r>
      <w:r w:rsidR="00347A47">
        <w:t>s</w:t>
      </w:r>
      <w:r>
        <w:t xml:space="preserve"> for the duration of the allocated CRD life notwithstanding any revaluations. </w:t>
      </w:r>
    </w:p>
    <w:p w14:paraId="18A16318" w14:textId="77777777" w:rsidR="00424C22" w:rsidRDefault="00424C22" w:rsidP="002C5206">
      <w:pPr>
        <w:pStyle w:val="HeadingTwo"/>
        <w:jc w:val="both"/>
      </w:pPr>
      <w:r w:rsidRPr="00CD0391">
        <w:t>C</w:t>
      </w:r>
      <w:r>
        <w:t xml:space="preserve">apital </w:t>
      </w:r>
      <w:r w:rsidR="00E22774">
        <w:t>deduction</w:t>
      </w:r>
      <w:r w:rsidR="00E22774" w:rsidRPr="00CD0391">
        <w:t xml:space="preserve"> </w:t>
      </w:r>
      <w:r w:rsidR="00E22774">
        <w:t>l</w:t>
      </w:r>
      <w:r w:rsidR="00E22774" w:rsidRPr="00CD0391">
        <w:t xml:space="preserve">ife </w:t>
      </w:r>
      <w:r w:rsidR="00E22774">
        <w:t>s</w:t>
      </w:r>
      <w:r w:rsidR="00E22774" w:rsidRPr="00CD0391">
        <w:t>chedule</w:t>
      </w:r>
    </w:p>
    <w:p w14:paraId="18A16319" w14:textId="77777777" w:rsidR="00424C22" w:rsidRDefault="00424C22" w:rsidP="002C5206">
      <w:pPr>
        <w:pStyle w:val="BlockText"/>
      </w:pPr>
      <w:r>
        <w:t xml:space="preserve">Under section 4C(5) of the MRA, CRD may be claimed over a period of 3, 5 or 10 years depending on the period over which depreciation for the particular expenditure is allowed for income tax purposes. </w:t>
      </w:r>
    </w:p>
    <w:p w14:paraId="18A1631A" w14:textId="77777777" w:rsidR="00424C22" w:rsidRDefault="00424C22" w:rsidP="00990649">
      <w:pPr>
        <w:pStyle w:val="BlockText"/>
        <w:spacing w:after="240"/>
      </w:pPr>
      <w:r>
        <w:t>The table below sets out the period over which a capital recognition deduction may be claimed for items representing ECAE.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410"/>
      </w:tblGrid>
      <w:tr w:rsidR="00424C22" w:rsidRPr="00990649" w14:paraId="18A1631D" w14:textId="77777777" w:rsidTr="00424C22">
        <w:tc>
          <w:tcPr>
            <w:tcW w:w="4410" w:type="dxa"/>
          </w:tcPr>
          <w:p w14:paraId="18A1631B" w14:textId="77777777" w:rsidR="00424C22" w:rsidRPr="00AC1993" w:rsidRDefault="00424C22" w:rsidP="002C5206">
            <w:pPr>
              <w:jc w:val="center"/>
              <w:rPr>
                <w:b/>
                <w:szCs w:val="22"/>
              </w:rPr>
            </w:pPr>
            <w:r w:rsidRPr="00AC1993">
              <w:rPr>
                <w:b/>
                <w:szCs w:val="22"/>
              </w:rPr>
              <w:t>Period over which depreciation allowed for income tax purposes</w:t>
            </w:r>
          </w:p>
        </w:tc>
        <w:tc>
          <w:tcPr>
            <w:tcW w:w="4410" w:type="dxa"/>
          </w:tcPr>
          <w:p w14:paraId="18A1631C" w14:textId="77777777" w:rsidR="00424C22" w:rsidRPr="00AC1993" w:rsidRDefault="00424C22" w:rsidP="002C5206">
            <w:pPr>
              <w:jc w:val="center"/>
              <w:rPr>
                <w:b/>
                <w:szCs w:val="22"/>
              </w:rPr>
            </w:pPr>
            <w:r w:rsidRPr="00AC1993">
              <w:rPr>
                <w:b/>
                <w:szCs w:val="22"/>
              </w:rPr>
              <w:t>Corresponding period allowed for purposes of capital recognition deduction</w:t>
            </w:r>
            <w:r w:rsidR="00897326">
              <w:rPr>
                <w:b/>
                <w:szCs w:val="22"/>
              </w:rPr>
              <w:t xml:space="preserve"> (CRD life)</w:t>
            </w:r>
          </w:p>
        </w:tc>
      </w:tr>
      <w:tr w:rsidR="00424C22" w:rsidRPr="00990649" w14:paraId="18A16320" w14:textId="77777777" w:rsidTr="00424C22">
        <w:tc>
          <w:tcPr>
            <w:tcW w:w="4410" w:type="dxa"/>
          </w:tcPr>
          <w:p w14:paraId="18A1631E" w14:textId="77777777" w:rsidR="00424C22" w:rsidRPr="00AC1993" w:rsidRDefault="00424C22" w:rsidP="002C5206">
            <w:pPr>
              <w:jc w:val="center"/>
              <w:rPr>
                <w:szCs w:val="22"/>
              </w:rPr>
            </w:pPr>
            <w:r w:rsidRPr="00AC1993">
              <w:rPr>
                <w:szCs w:val="22"/>
              </w:rPr>
              <w:t>4 years or less</w:t>
            </w:r>
          </w:p>
        </w:tc>
        <w:tc>
          <w:tcPr>
            <w:tcW w:w="4410" w:type="dxa"/>
          </w:tcPr>
          <w:p w14:paraId="18A1631F" w14:textId="77777777" w:rsidR="00424C22" w:rsidRPr="00AC1993" w:rsidRDefault="00424C22" w:rsidP="002C5206">
            <w:pPr>
              <w:jc w:val="center"/>
              <w:rPr>
                <w:szCs w:val="22"/>
              </w:rPr>
            </w:pPr>
            <w:r w:rsidRPr="00AC1993">
              <w:rPr>
                <w:szCs w:val="22"/>
              </w:rPr>
              <w:t>3 years</w:t>
            </w:r>
          </w:p>
        </w:tc>
      </w:tr>
      <w:tr w:rsidR="00424C22" w:rsidRPr="00990649" w14:paraId="18A16323" w14:textId="77777777" w:rsidTr="00424C22">
        <w:tc>
          <w:tcPr>
            <w:tcW w:w="4410" w:type="dxa"/>
          </w:tcPr>
          <w:p w14:paraId="18A16321" w14:textId="77777777" w:rsidR="00424C22" w:rsidRPr="00AC1993" w:rsidRDefault="00424C22" w:rsidP="002C5206">
            <w:pPr>
              <w:jc w:val="center"/>
              <w:rPr>
                <w:szCs w:val="22"/>
              </w:rPr>
            </w:pPr>
            <w:r w:rsidRPr="00AC1993">
              <w:rPr>
                <w:szCs w:val="22"/>
              </w:rPr>
              <w:t>Over 4 years but less than 10 years</w:t>
            </w:r>
          </w:p>
        </w:tc>
        <w:tc>
          <w:tcPr>
            <w:tcW w:w="4410" w:type="dxa"/>
          </w:tcPr>
          <w:p w14:paraId="18A16322" w14:textId="77777777" w:rsidR="00424C22" w:rsidRPr="00AC1993" w:rsidRDefault="00424C22" w:rsidP="002C5206">
            <w:pPr>
              <w:jc w:val="center"/>
              <w:rPr>
                <w:szCs w:val="22"/>
              </w:rPr>
            </w:pPr>
            <w:r w:rsidRPr="00AC1993">
              <w:rPr>
                <w:szCs w:val="22"/>
              </w:rPr>
              <w:t>5 years</w:t>
            </w:r>
          </w:p>
        </w:tc>
      </w:tr>
      <w:tr w:rsidR="00424C22" w:rsidRPr="00990649" w14:paraId="18A16326" w14:textId="77777777" w:rsidTr="00424C22">
        <w:tc>
          <w:tcPr>
            <w:tcW w:w="4410" w:type="dxa"/>
          </w:tcPr>
          <w:p w14:paraId="18A16324" w14:textId="77777777" w:rsidR="00424C22" w:rsidRPr="00AC1993" w:rsidRDefault="00424C22" w:rsidP="002C5206">
            <w:pPr>
              <w:jc w:val="center"/>
              <w:rPr>
                <w:szCs w:val="22"/>
              </w:rPr>
            </w:pPr>
            <w:r w:rsidRPr="00AC1993">
              <w:rPr>
                <w:szCs w:val="22"/>
              </w:rPr>
              <w:t>10 years and over and all other assets</w:t>
            </w:r>
          </w:p>
        </w:tc>
        <w:tc>
          <w:tcPr>
            <w:tcW w:w="4410" w:type="dxa"/>
          </w:tcPr>
          <w:p w14:paraId="18A16325" w14:textId="77777777" w:rsidR="00424C22" w:rsidRPr="00AC1993" w:rsidRDefault="00424C22" w:rsidP="002C5206">
            <w:pPr>
              <w:jc w:val="center"/>
              <w:rPr>
                <w:szCs w:val="22"/>
              </w:rPr>
            </w:pPr>
            <w:r w:rsidRPr="00AC1993">
              <w:rPr>
                <w:szCs w:val="22"/>
              </w:rPr>
              <w:t>10 years</w:t>
            </w:r>
          </w:p>
        </w:tc>
      </w:tr>
    </w:tbl>
    <w:p w14:paraId="18A16327" w14:textId="77777777" w:rsidR="00424C22" w:rsidRDefault="00874515" w:rsidP="00990649">
      <w:pPr>
        <w:pStyle w:val="HeadingThree"/>
      </w:pPr>
      <w:r>
        <w:t>Special a</w:t>
      </w:r>
      <w:r w:rsidR="00424C22">
        <w:t xml:space="preserve">rrangements </w:t>
      </w:r>
      <w:r w:rsidR="00424C22" w:rsidRPr="00990649">
        <w:t>for</w:t>
      </w:r>
      <w:r>
        <w:t xml:space="preserve"> certain eligible capital a</w:t>
      </w:r>
      <w:r w:rsidR="00424C22">
        <w:t>ssets</w:t>
      </w:r>
    </w:p>
    <w:p w14:paraId="18A16328" w14:textId="77777777" w:rsidR="00424C22" w:rsidRDefault="00424C22" w:rsidP="002C5206">
      <w:pPr>
        <w:pStyle w:val="BlockText"/>
      </w:pPr>
      <w:r>
        <w:t xml:space="preserve">Under section 4C(7) of the MRA, the Secretary may make special arrangements for the treatment of items representing ECAE. The discretion </w:t>
      </w:r>
      <w:r w:rsidR="00347A47">
        <w:t xml:space="preserve">is </w:t>
      </w:r>
      <w:r>
        <w:t xml:space="preserve">designed to deal with </w:t>
      </w:r>
      <w:r w:rsidR="008115D0">
        <w:t xml:space="preserve">assets that are </w:t>
      </w:r>
      <w:r>
        <w:t>non-depreciable for income tax purposes</w:t>
      </w:r>
      <w:r w:rsidR="008115D0">
        <w:t>.</w:t>
      </w:r>
    </w:p>
    <w:p w14:paraId="18A16329" w14:textId="77777777" w:rsidR="008115D0" w:rsidRDefault="008115D0" w:rsidP="002C5206">
      <w:pPr>
        <w:pStyle w:val="BlockText"/>
      </w:pPr>
      <w:r>
        <w:t>Where an item of ECAE is non-depreciable for income tax purposes, it is categorised as having a 10 year CRD life on the basis that it falls into the “all other assets” category. These non-depreciable assets may include mine pits, feasibility studies, mine development, overburden removal and haulage roads.</w:t>
      </w:r>
    </w:p>
    <w:p w14:paraId="18A1632A" w14:textId="77777777" w:rsidR="008115D0" w:rsidRDefault="008115D0" w:rsidP="002C5206">
      <w:pPr>
        <w:pStyle w:val="BlockText"/>
      </w:pPr>
      <w:r>
        <w:t xml:space="preserve">In some cases, the application of a 10 year CRD life may not produce a fair and equitable outcome. For example, where the life of mine is substantially less than 10 years and the miner has no ability to recover any of the unclaimed portion of the expenditure. </w:t>
      </w:r>
    </w:p>
    <w:p w14:paraId="18A1632B" w14:textId="77777777" w:rsidR="008115D0" w:rsidRDefault="004C19B4" w:rsidP="002C5206">
      <w:pPr>
        <w:pStyle w:val="BlockText"/>
      </w:pPr>
      <w:r>
        <w:t>Section 4C(7)</w:t>
      </w:r>
      <w:r w:rsidR="008115D0">
        <w:t xml:space="preserve"> permits the Secretary to determine a more reasonable period over which </w:t>
      </w:r>
      <w:r w:rsidR="00874515">
        <w:t xml:space="preserve">CRD </w:t>
      </w:r>
      <w:r w:rsidR="008115D0">
        <w:t xml:space="preserve">can be made for non-depreciable assets where this is </w:t>
      </w:r>
      <w:r w:rsidR="00874515">
        <w:t>justified.</w:t>
      </w:r>
    </w:p>
    <w:p w14:paraId="18A1632C" w14:textId="77777777" w:rsidR="008115D0" w:rsidRDefault="008115D0" w:rsidP="002C5206">
      <w:pPr>
        <w:pStyle w:val="BlockText"/>
      </w:pPr>
      <w:r>
        <w:t xml:space="preserve">For a special arrangement to be considered, a royalty payer must submit a written application, detailing a statement of reasons </w:t>
      </w:r>
      <w:r w:rsidR="004C19B4">
        <w:t xml:space="preserve">together </w:t>
      </w:r>
      <w:r>
        <w:t>with supporting information</w:t>
      </w:r>
      <w:r w:rsidR="004C19B4">
        <w:t xml:space="preserve"> which substantiates their claim</w:t>
      </w:r>
      <w:r>
        <w:t xml:space="preserve">.  </w:t>
      </w:r>
    </w:p>
    <w:p w14:paraId="18A1632D" w14:textId="77777777" w:rsidR="008115D0" w:rsidRDefault="008115D0" w:rsidP="002C5206">
      <w:pPr>
        <w:pStyle w:val="BlockText"/>
      </w:pPr>
      <w:r>
        <w:t xml:space="preserve">As a general rule, the following factors </w:t>
      </w:r>
      <w:r w:rsidR="00347A47">
        <w:t>are</w:t>
      </w:r>
      <w:r>
        <w:t xml:space="preserve"> considered for a special arrangement:</w:t>
      </w:r>
    </w:p>
    <w:p w14:paraId="18A1632E" w14:textId="77777777" w:rsidR="008115D0" w:rsidRDefault="008115D0" w:rsidP="002C5206">
      <w:pPr>
        <w:pStyle w:val="BlockText"/>
        <w:numPr>
          <w:ilvl w:val="1"/>
          <w:numId w:val="3"/>
        </w:numPr>
        <w:tabs>
          <w:tab w:val="clear" w:pos="1134"/>
        </w:tabs>
      </w:pPr>
      <w:r>
        <w:t>the nature</w:t>
      </w:r>
      <w:r w:rsidR="000D6445">
        <w:t xml:space="preserve"> and character</w:t>
      </w:r>
      <w:r>
        <w:t xml:space="preserve"> of the asset;</w:t>
      </w:r>
    </w:p>
    <w:p w14:paraId="18A1632F" w14:textId="77777777" w:rsidR="008115D0" w:rsidRDefault="008115D0" w:rsidP="002C5206">
      <w:pPr>
        <w:pStyle w:val="BlockText"/>
        <w:numPr>
          <w:ilvl w:val="1"/>
          <w:numId w:val="3"/>
        </w:numPr>
        <w:tabs>
          <w:tab w:val="clear" w:pos="1134"/>
        </w:tabs>
      </w:pPr>
      <w:r>
        <w:t>the income tax treatment of the asset;</w:t>
      </w:r>
    </w:p>
    <w:p w14:paraId="18A16330" w14:textId="77777777" w:rsidR="008115D0" w:rsidRDefault="008115D0" w:rsidP="002C5206">
      <w:pPr>
        <w:pStyle w:val="BlockText"/>
        <w:numPr>
          <w:ilvl w:val="1"/>
          <w:numId w:val="3"/>
        </w:numPr>
        <w:tabs>
          <w:tab w:val="clear" w:pos="1134"/>
        </w:tabs>
      </w:pPr>
      <w:r>
        <w:t>the residual value at the end of the mine life;</w:t>
      </w:r>
    </w:p>
    <w:p w14:paraId="18A16331" w14:textId="77777777" w:rsidR="008115D0" w:rsidRDefault="008115D0" w:rsidP="002C5206">
      <w:pPr>
        <w:pStyle w:val="BlockText"/>
        <w:numPr>
          <w:ilvl w:val="1"/>
          <w:numId w:val="3"/>
        </w:numPr>
        <w:tabs>
          <w:tab w:val="clear" w:pos="1134"/>
        </w:tabs>
      </w:pPr>
      <w:r>
        <w:t>transferability of the asset (for example, can it be sold separately from the production unit);</w:t>
      </w:r>
    </w:p>
    <w:p w14:paraId="18A16332" w14:textId="77777777" w:rsidR="008115D0" w:rsidRDefault="008115D0" w:rsidP="002C5206">
      <w:pPr>
        <w:pStyle w:val="BlockText"/>
        <w:numPr>
          <w:ilvl w:val="1"/>
          <w:numId w:val="3"/>
        </w:numPr>
        <w:tabs>
          <w:tab w:val="clear" w:pos="1134"/>
        </w:tabs>
      </w:pPr>
      <w:r>
        <w:t xml:space="preserve">the life of </w:t>
      </w:r>
      <w:r w:rsidR="000D6445">
        <w:t xml:space="preserve">the </w:t>
      </w:r>
      <w:r>
        <w:t>mine;</w:t>
      </w:r>
    </w:p>
    <w:p w14:paraId="18A16333" w14:textId="77777777" w:rsidR="008115D0" w:rsidRDefault="008115D0" w:rsidP="002C5206">
      <w:pPr>
        <w:pStyle w:val="BlockText"/>
        <w:numPr>
          <w:ilvl w:val="1"/>
          <w:numId w:val="3"/>
        </w:numPr>
        <w:tabs>
          <w:tab w:val="clear" w:pos="1134"/>
        </w:tabs>
      </w:pPr>
      <w:r>
        <w:t>the treatment of other comparable assets;</w:t>
      </w:r>
    </w:p>
    <w:p w14:paraId="18A16334" w14:textId="77777777" w:rsidR="008115D0" w:rsidRDefault="008115D0" w:rsidP="002C5206">
      <w:pPr>
        <w:pStyle w:val="BlockText"/>
        <w:numPr>
          <w:ilvl w:val="1"/>
          <w:numId w:val="3"/>
        </w:numPr>
        <w:tabs>
          <w:tab w:val="clear" w:pos="1134"/>
        </w:tabs>
      </w:pPr>
      <w:r>
        <w:t>whether the asset has previously been claimed for royalty purposes; and</w:t>
      </w:r>
    </w:p>
    <w:p w14:paraId="18A16335" w14:textId="77777777" w:rsidR="008115D0" w:rsidRDefault="008115D0" w:rsidP="002C5206">
      <w:pPr>
        <w:pStyle w:val="BlockText"/>
        <w:numPr>
          <w:ilvl w:val="1"/>
          <w:numId w:val="3"/>
        </w:numPr>
        <w:tabs>
          <w:tab w:val="clear" w:pos="1134"/>
        </w:tabs>
      </w:pPr>
      <w:r>
        <w:t xml:space="preserve">any other relevant information. </w:t>
      </w:r>
    </w:p>
    <w:p w14:paraId="18A16336" w14:textId="77777777" w:rsidR="000D6445" w:rsidRPr="005375B1" w:rsidRDefault="000D6445" w:rsidP="002C5206">
      <w:pPr>
        <w:pStyle w:val="HeadingTwo"/>
        <w:jc w:val="both"/>
      </w:pPr>
      <w:r w:rsidRPr="005375B1">
        <w:lastRenderedPageBreak/>
        <w:t xml:space="preserve">CRD </w:t>
      </w:r>
      <w:r w:rsidR="004C19B4">
        <w:t>f</w:t>
      </w:r>
      <w:r w:rsidRPr="005375B1">
        <w:t>actors</w:t>
      </w:r>
    </w:p>
    <w:p w14:paraId="18A16337" w14:textId="77777777" w:rsidR="000D6445" w:rsidRPr="000D6445" w:rsidRDefault="000D6445" w:rsidP="002C5206">
      <w:pPr>
        <w:pStyle w:val="BlockText"/>
        <w:tabs>
          <w:tab w:val="clear" w:pos="567"/>
        </w:tabs>
        <w:ind w:left="284" w:hanging="426"/>
        <w:rPr>
          <w:szCs w:val="22"/>
        </w:rPr>
      </w:pPr>
      <w:r w:rsidRPr="000D6445">
        <w:rPr>
          <w:szCs w:val="22"/>
        </w:rPr>
        <w:t>CRD is a fraction of the value of each item representing an amount of ECAE actually used on the production unit, for the purposes of operations of the production unit, during the whole or part of the 6 monthly period of a royalty year.</w:t>
      </w:r>
    </w:p>
    <w:p w14:paraId="18A16338" w14:textId="77777777" w:rsidR="000D6445" w:rsidRPr="000D6445" w:rsidRDefault="000D6445" w:rsidP="002C5206">
      <w:pPr>
        <w:pStyle w:val="BlockText"/>
        <w:tabs>
          <w:tab w:val="clear" w:pos="567"/>
        </w:tabs>
        <w:ind w:left="284" w:hanging="426"/>
        <w:rPr>
          <w:szCs w:val="22"/>
        </w:rPr>
      </w:pPr>
      <w:r w:rsidRPr="000D6445">
        <w:rPr>
          <w:szCs w:val="22"/>
        </w:rPr>
        <w:t>The fraction</w:t>
      </w:r>
      <w:r w:rsidR="004C19B4">
        <w:rPr>
          <w:szCs w:val="22"/>
        </w:rPr>
        <w:t>, known as the CRD factor,</w:t>
      </w:r>
      <w:r w:rsidRPr="000D6445">
        <w:rPr>
          <w:szCs w:val="22"/>
        </w:rPr>
        <w:t xml:space="preserve"> is published or announced from time to time by the Secretary, and applies retrospectively for the period specified in the announcement (being 6 months before the announcement).</w:t>
      </w:r>
    </w:p>
    <w:p w14:paraId="18A16339" w14:textId="77777777" w:rsidR="000D6445" w:rsidRPr="000D6445" w:rsidRDefault="000D6445" w:rsidP="002C5206">
      <w:pPr>
        <w:pStyle w:val="BlockText"/>
        <w:tabs>
          <w:tab w:val="clear" w:pos="567"/>
        </w:tabs>
        <w:ind w:left="284" w:hanging="426"/>
        <w:rPr>
          <w:szCs w:val="22"/>
        </w:rPr>
      </w:pPr>
      <w:r w:rsidRPr="000D6445">
        <w:rPr>
          <w:szCs w:val="22"/>
        </w:rPr>
        <w:t xml:space="preserve">The </w:t>
      </w:r>
      <w:r w:rsidR="004C19B4">
        <w:rPr>
          <w:szCs w:val="22"/>
        </w:rPr>
        <w:t>CRD factor</w:t>
      </w:r>
      <w:r w:rsidR="004C19B4" w:rsidRPr="000D6445">
        <w:rPr>
          <w:szCs w:val="22"/>
        </w:rPr>
        <w:t xml:space="preserve"> </w:t>
      </w:r>
      <w:r w:rsidRPr="000D6445">
        <w:rPr>
          <w:szCs w:val="22"/>
        </w:rPr>
        <w:t>is determined by the Secretary converting the principal sum</w:t>
      </w:r>
      <w:r w:rsidR="00874515">
        <w:rPr>
          <w:szCs w:val="22"/>
        </w:rPr>
        <w:t xml:space="preserve"> (</w:t>
      </w:r>
      <w:r w:rsidR="004C19B4">
        <w:rPr>
          <w:szCs w:val="22"/>
        </w:rPr>
        <w:t xml:space="preserve">refer to </w:t>
      </w:r>
      <w:r w:rsidR="00874515">
        <w:rPr>
          <w:szCs w:val="22"/>
        </w:rPr>
        <w:t>paragraph</w:t>
      </w:r>
      <w:r>
        <w:rPr>
          <w:szCs w:val="22"/>
        </w:rPr>
        <w:t xml:space="preserve"> </w:t>
      </w:r>
      <w:r w:rsidR="00F30E6C">
        <w:rPr>
          <w:szCs w:val="22"/>
        </w:rPr>
        <w:t xml:space="preserve">10 </w:t>
      </w:r>
      <w:r>
        <w:rPr>
          <w:szCs w:val="22"/>
        </w:rPr>
        <w:t>above)</w:t>
      </w:r>
      <w:r w:rsidRPr="000D6445">
        <w:rPr>
          <w:szCs w:val="22"/>
        </w:rPr>
        <w:t xml:space="preserve"> into a series of semi-annual annuities at an assumed rate of interest.  </w:t>
      </w:r>
    </w:p>
    <w:p w14:paraId="18A1633A" w14:textId="77777777" w:rsidR="000D6445" w:rsidRPr="000D6445" w:rsidRDefault="000D6445" w:rsidP="002C5206">
      <w:pPr>
        <w:pStyle w:val="BlockText"/>
        <w:tabs>
          <w:tab w:val="clear" w:pos="567"/>
        </w:tabs>
        <w:ind w:left="284" w:hanging="426"/>
        <w:rPr>
          <w:szCs w:val="22"/>
        </w:rPr>
      </w:pPr>
      <w:r w:rsidRPr="000D6445">
        <w:rPr>
          <w:szCs w:val="22"/>
        </w:rPr>
        <w:t xml:space="preserve">Each item of ECAE is </w:t>
      </w:r>
      <w:r w:rsidR="009E60FD">
        <w:rPr>
          <w:szCs w:val="22"/>
        </w:rPr>
        <w:t xml:space="preserve">to </w:t>
      </w:r>
      <w:r w:rsidRPr="000D6445">
        <w:rPr>
          <w:szCs w:val="22"/>
        </w:rPr>
        <w:t>be allocated a period of years over which the CRD will be allowable (</w:t>
      </w:r>
      <w:r w:rsidR="004C19B4">
        <w:rPr>
          <w:szCs w:val="22"/>
        </w:rPr>
        <w:t>refer to</w:t>
      </w:r>
      <w:r w:rsidR="004C19B4" w:rsidRPr="000D6445">
        <w:rPr>
          <w:szCs w:val="22"/>
        </w:rPr>
        <w:t xml:space="preserve"> </w:t>
      </w:r>
      <w:r w:rsidRPr="000D6445">
        <w:rPr>
          <w:szCs w:val="22"/>
        </w:rPr>
        <w:t xml:space="preserve">paragraphs </w:t>
      </w:r>
      <w:r w:rsidR="006E0D5E">
        <w:rPr>
          <w:szCs w:val="22"/>
        </w:rPr>
        <w:t xml:space="preserve">30 </w:t>
      </w:r>
      <w:r w:rsidR="004C19B4">
        <w:rPr>
          <w:szCs w:val="22"/>
        </w:rPr>
        <w:t xml:space="preserve">and </w:t>
      </w:r>
      <w:r w:rsidR="006E0D5E">
        <w:rPr>
          <w:szCs w:val="22"/>
        </w:rPr>
        <w:t>31</w:t>
      </w:r>
      <w:r w:rsidR="006E0D5E" w:rsidRPr="000D6445">
        <w:rPr>
          <w:szCs w:val="22"/>
        </w:rPr>
        <w:t xml:space="preserve"> </w:t>
      </w:r>
      <w:r w:rsidRPr="000D6445">
        <w:rPr>
          <w:szCs w:val="22"/>
        </w:rPr>
        <w:t xml:space="preserve">above). </w:t>
      </w:r>
    </w:p>
    <w:p w14:paraId="18A1633B" w14:textId="77777777" w:rsidR="000D6445" w:rsidRPr="000D6445" w:rsidRDefault="000D6445" w:rsidP="002C5206">
      <w:pPr>
        <w:pStyle w:val="BlockText"/>
        <w:tabs>
          <w:tab w:val="clear" w:pos="567"/>
        </w:tabs>
        <w:ind w:left="284" w:hanging="426"/>
        <w:rPr>
          <w:szCs w:val="22"/>
        </w:rPr>
      </w:pPr>
      <w:r w:rsidRPr="000D6445">
        <w:rPr>
          <w:szCs w:val="22"/>
        </w:rPr>
        <w:t>CRD in respect of each item of ECAE is an allowable deduction for a period not exceeding the period allowed for it, whether that period is a period of uninterrupted use or the sum of fractional periods of use.</w:t>
      </w:r>
    </w:p>
    <w:p w14:paraId="18A1633C" w14:textId="77777777" w:rsidR="000D6445" w:rsidRPr="000D6445" w:rsidRDefault="000D6445" w:rsidP="002C5206">
      <w:pPr>
        <w:pStyle w:val="BlockText"/>
        <w:tabs>
          <w:tab w:val="clear" w:pos="567"/>
        </w:tabs>
        <w:ind w:left="284" w:hanging="426"/>
        <w:rPr>
          <w:szCs w:val="22"/>
        </w:rPr>
      </w:pPr>
      <w:r w:rsidRPr="000D6445">
        <w:rPr>
          <w:szCs w:val="22"/>
        </w:rPr>
        <w:t>The announcement of the factors to be used in calculating CRD and the period during which the factors will apply is generally made soon after the end of each 6 month period to allow royalty payers sufficient time to deter</w:t>
      </w:r>
      <w:r w:rsidR="009E60FD">
        <w:rPr>
          <w:szCs w:val="22"/>
        </w:rPr>
        <w:t>mine their royalty liabilities.</w:t>
      </w:r>
      <w:r w:rsidRPr="000D6445">
        <w:rPr>
          <w:szCs w:val="22"/>
        </w:rPr>
        <w:t xml:space="preserve"> </w:t>
      </w:r>
      <w:r w:rsidR="00A95EC1">
        <w:rPr>
          <w:szCs w:val="22"/>
        </w:rPr>
        <w:t>Where</w:t>
      </w:r>
      <w:r w:rsidRPr="000D6445">
        <w:rPr>
          <w:szCs w:val="22"/>
        </w:rPr>
        <w:t xml:space="preserve"> the Secretary </w:t>
      </w:r>
      <w:r w:rsidR="00A95EC1">
        <w:rPr>
          <w:szCs w:val="22"/>
        </w:rPr>
        <w:t>does not make</w:t>
      </w:r>
      <w:r w:rsidR="00A95EC1" w:rsidRPr="000D6445">
        <w:rPr>
          <w:szCs w:val="22"/>
        </w:rPr>
        <w:t xml:space="preserve"> </w:t>
      </w:r>
      <w:r w:rsidRPr="000D6445">
        <w:rPr>
          <w:szCs w:val="22"/>
        </w:rPr>
        <w:t>an announcement within 12 months of the most recent announcement, the</w:t>
      </w:r>
      <w:r w:rsidR="00A95EC1">
        <w:rPr>
          <w:szCs w:val="22"/>
        </w:rPr>
        <w:t xml:space="preserve"> latest</w:t>
      </w:r>
      <w:r w:rsidRPr="000D6445">
        <w:rPr>
          <w:szCs w:val="22"/>
        </w:rPr>
        <w:t xml:space="preserve"> factors announced </w:t>
      </w:r>
      <w:r w:rsidR="00A95EC1">
        <w:rPr>
          <w:szCs w:val="22"/>
        </w:rPr>
        <w:t>will</w:t>
      </w:r>
      <w:r w:rsidRPr="000D6445">
        <w:rPr>
          <w:szCs w:val="22"/>
        </w:rPr>
        <w:t xml:space="preserve"> apply until the Secretary announces new factors.</w:t>
      </w:r>
    </w:p>
    <w:p w14:paraId="18A1633D" w14:textId="4C9188B6" w:rsidR="000D6445" w:rsidRPr="000D6445" w:rsidRDefault="000D6445" w:rsidP="002C5206">
      <w:pPr>
        <w:pStyle w:val="BlockText"/>
        <w:tabs>
          <w:tab w:val="clear" w:pos="567"/>
        </w:tabs>
        <w:ind w:left="284" w:hanging="426"/>
        <w:rPr>
          <w:szCs w:val="22"/>
        </w:rPr>
      </w:pPr>
      <w:r w:rsidRPr="000D6445">
        <w:rPr>
          <w:szCs w:val="22"/>
        </w:rPr>
        <w:t>The Secretary has announced and issued the CRD factors to be used in calculating CRD and the period during which the factors</w:t>
      </w:r>
      <w:r w:rsidR="00874515">
        <w:rPr>
          <w:szCs w:val="22"/>
        </w:rPr>
        <w:t xml:space="preserve"> will </w:t>
      </w:r>
      <w:r w:rsidR="009E60FD">
        <w:rPr>
          <w:szCs w:val="22"/>
        </w:rPr>
        <w:t>apply,</w:t>
      </w:r>
      <w:r w:rsidR="00874515">
        <w:rPr>
          <w:szCs w:val="22"/>
        </w:rPr>
        <w:t xml:space="preserve"> in the form of a G</w:t>
      </w:r>
      <w:r w:rsidRPr="000D6445">
        <w:rPr>
          <w:szCs w:val="22"/>
        </w:rPr>
        <w:t>uidel</w:t>
      </w:r>
      <w:r>
        <w:rPr>
          <w:szCs w:val="22"/>
        </w:rPr>
        <w:t>ine (</w:t>
      </w:r>
      <w:r w:rsidR="00874515">
        <w:rPr>
          <w:szCs w:val="22"/>
        </w:rPr>
        <w:t xml:space="preserve">see </w:t>
      </w:r>
      <w:r w:rsidRPr="007B21F4">
        <w:rPr>
          <w:i/>
          <w:szCs w:val="22"/>
        </w:rPr>
        <w:t>RG-MRA-007</w:t>
      </w:r>
      <w:r>
        <w:rPr>
          <w:i/>
          <w:szCs w:val="22"/>
        </w:rPr>
        <w:t xml:space="preserve">: </w:t>
      </w:r>
      <w:r w:rsidR="00EE073C">
        <w:rPr>
          <w:i/>
          <w:szCs w:val="22"/>
        </w:rPr>
        <w:t>CRD </w:t>
      </w:r>
      <w:r w:rsidRPr="000D6445">
        <w:rPr>
          <w:i/>
          <w:szCs w:val="22"/>
        </w:rPr>
        <w:t>Factors</w:t>
      </w:r>
      <w:r w:rsidR="00874515">
        <w:rPr>
          <w:szCs w:val="22"/>
        </w:rPr>
        <w:t>).</w:t>
      </w:r>
    </w:p>
    <w:p w14:paraId="18A1633E" w14:textId="77777777" w:rsidR="00C13E44" w:rsidRDefault="00181E0D" w:rsidP="00AC1993">
      <w:pPr>
        <w:pStyle w:val="HeadingTwo"/>
        <w:jc w:val="both"/>
      </w:pPr>
      <w:r>
        <w:t>Calculation of CRD</w:t>
      </w:r>
    </w:p>
    <w:p w14:paraId="18A1633F" w14:textId="77777777" w:rsidR="00181E0D" w:rsidRDefault="00181E0D" w:rsidP="002C5206">
      <w:pPr>
        <w:pStyle w:val="BlockText"/>
      </w:pPr>
      <w:r>
        <w:t>The calculation of CRD is best illustrated by way of example.</w:t>
      </w:r>
    </w:p>
    <w:p w14:paraId="18A16340" w14:textId="77777777" w:rsidR="009D2402" w:rsidRDefault="00181E0D" w:rsidP="009D2402">
      <w:pPr>
        <w:pStyle w:val="ExampleText"/>
        <w:pBdr>
          <w:bottom w:val="single" w:sz="4" w:space="3" w:color="auto"/>
        </w:pBdr>
      </w:pPr>
      <w:r>
        <w:t xml:space="preserve">Assume </w:t>
      </w:r>
      <w:r w:rsidRPr="00624BE4">
        <w:t xml:space="preserve">ABC Mining </w:t>
      </w:r>
      <w:r>
        <w:t xml:space="preserve">Pty Ltd (ABC) </w:t>
      </w:r>
      <w:r w:rsidRPr="00624BE4">
        <w:t xml:space="preserve">operates a production unit within the </w:t>
      </w:r>
      <w:r>
        <w:t xml:space="preserve">Northern </w:t>
      </w:r>
      <w:r w:rsidRPr="00624BE4">
        <w:t xml:space="preserve">Territory. ABC </w:t>
      </w:r>
      <w:r w:rsidR="002F0A75">
        <w:t>elects</w:t>
      </w:r>
      <w:r w:rsidRPr="00624BE4">
        <w:t xml:space="preserve"> to prepare its royalty returns on an accrual basis and its royalty year commences</w:t>
      </w:r>
      <w:r>
        <w:t xml:space="preserve"> on 1 January each year. ABC needs a water tank for its production unit and </w:t>
      </w:r>
      <w:r w:rsidR="002F0A75">
        <w:t xml:space="preserve">purchases </w:t>
      </w:r>
      <w:r>
        <w:t xml:space="preserve">a suitable tank at arm’s length for $100 000 on 1 July 2010. The delivery and installation costs for the water tank </w:t>
      </w:r>
      <w:r w:rsidR="002F0A75">
        <w:t xml:space="preserve">are </w:t>
      </w:r>
      <w:r>
        <w:t>$20 000. On 1 July 2010, $120 000</w:t>
      </w:r>
      <w:r w:rsidR="001B5B9D">
        <w:t xml:space="preserve"> (the principal sum)</w:t>
      </w:r>
      <w:r>
        <w:t xml:space="preserve"> </w:t>
      </w:r>
      <w:r w:rsidR="002F0A75">
        <w:t xml:space="preserve">is </w:t>
      </w:r>
      <w:r>
        <w:t xml:space="preserve">brought to ABC’s account. The water tank has an effective depreciation life of 25 years and is being depreciated at 4% prime cost method, for income tax purposes. The water tank </w:t>
      </w:r>
      <w:r w:rsidR="002F0A75">
        <w:t xml:space="preserve">is </w:t>
      </w:r>
      <w:r>
        <w:t>put into use on the production unit on 1 September 2010.</w:t>
      </w:r>
    </w:p>
    <w:p w14:paraId="18A16341" w14:textId="77777777" w:rsidR="0011102C" w:rsidRDefault="00181E0D" w:rsidP="009D2402">
      <w:pPr>
        <w:pStyle w:val="ExampleText"/>
        <w:pBdr>
          <w:bottom w:val="single" w:sz="4" w:space="3" w:color="auto"/>
        </w:pBdr>
      </w:pPr>
      <w:r>
        <w:t>As the water tank is an item of ECAE, the CRD that may be claimed by ABC is calculated as follows:</w:t>
      </w:r>
    </w:p>
    <w:p w14:paraId="18A16342" w14:textId="77777777" w:rsidR="0011102C" w:rsidRDefault="00181E0D" w:rsidP="009D2402">
      <w:pPr>
        <w:pStyle w:val="ExampleText"/>
        <w:pBdr>
          <w:bottom w:val="single" w:sz="4" w:space="3" w:color="auto"/>
        </w:pBdr>
      </w:pPr>
      <w:r>
        <w:t>For the 6 month royalty period 1 January 2010 to 30 June 2010, no CRD may be claimed as the water tank was not used on the production unit.</w:t>
      </w:r>
    </w:p>
    <w:p w14:paraId="18A16343" w14:textId="74301D80" w:rsidR="00CF2987" w:rsidRDefault="00181E0D" w:rsidP="009D2402">
      <w:pPr>
        <w:pStyle w:val="ExampleText"/>
        <w:pBdr>
          <w:bottom w:val="single" w:sz="4" w:space="3" w:color="auto"/>
        </w:pBdr>
      </w:pPr>
      <w:r>
        <w:t xml:space="preserve">For the 6 month royalty period 1 July 2010 to 31 December 2010, a CRD may be claimed for the period 1 September 2010 to 31 December 2010 (122 out of a possible 184 days of actual usage </w:t>
      </w:r>
      <w:r w:rsidR="00762AB9">
        <w:t xml:space="preserve">on the production unit </w:t>
      </w:r>
      <w:r>
        <w:t>for the period). Because the water tank is depreciated over 25 years for income tax purposes, the corresponding CRD life is 10 years</w:t>
      </w:r>
      <w:r w:rsidR="00AB7D63">
        <w:t xml:space="preserve"> (</w:t>
      </w:r>
      <w:r w:rsidR="004C19B4">
        <w:t xml:space="preserve">refer to </w:t>
      </w:r>
      <w:r w:rsidR="00AB7D63">
        <w:t xml:space="preserve">paragraphs </w:t>
      </w:r>
      <w:r w:rsidR="002F0A75">
        <w:t xml:space="preserve">30 </w:t>
      </w:r>
      <w:r w:rsidR="004C19B4">
        <w:t xml:space="preserve">and </w:t>
      </w:r>
      <w:r w:rsidR="002F0A75">
        <w:t xml:space="preserve">31 </w:t>
      </w:r>
      <w:r w:rsidR="00AB7D63">
        <w:t>above)</w:t>
      </w:r>
      <w:r>
        <w:t xml:space="preserve">. The </w:t>
      </w:r>
      <w:r w:rsidR="00AB7D63">
        <w:t xml:space="preserve">10 year </w:t>
      </w:r>
      <w:r>
        <w:t>CRD factor</w:t>
      </w:r>
      <w:r w:rsidR="00AB7D63">
        <w:t xml:space="preserve"> announced by the Secretary </w:t>
      </w:r>
      <w:r>
        <w:t>for this period is 0.07085</w:t>
      </w:r>
      <w:r w:rsidR="00AB7D63">
        <w:t xml:space="preserve"> (</w:t>
      </w:r>
      <w:r w:rsidR="004C19B4">
        <w:t xml:space="preserve">refer to </w:t>
      </w:r>
      <w:r w:rsidR="00AB7D63">
        <w:t>paragraph</w:t>
      </w:r>
      <w:r w:rsidR="00EE073C">
        <w:t xml:space="preserve">s </w:t>
      </w:r>
      <w:r w:rsidR="002F0A75">
        <w:t xml:space="preserve">38 </w:t>
      </w:r>
      <w:r w:rsidR="00EE073C">
        <w:t xml:space="preserve">to </w:t>
      </w:r>
      <w:r w:rsidR="002F0A75">
        <w:t xml:space="preserve">44 </w:t>
      </w:r>
      <w:r w:rsidR="00EE073C">
        <w:t>above</w:t>
      </w:r>
      <w:r w:rsidR="004C19B4">
        <w:t xml:space="preserve"> and </w:t>
      </w:r>
      <w:r w:rsidR="004C19B4" w:rsidRPr="007B21F4">
        <w:rPr>
          <w:i/>
        </w:rPr>
        <w:t>RG-MRA-007</w:t>
      </w:r>
      <w:r w:rsidR="004C19B4" w:rsidRPr="002F0A75">
        <w:rPr>
          <w:i/>
        </w:rPr>
        <w:t>: CRD Factors</w:t>
      </w:r>
      <w:r w:rsidR="00EE073C">
        <w:t>)</w:t>
      </w:r>
      <w:r>
        <w:t>.</w:t>
      </w:r>
    </w:p>
    <w:p w14:paraId="18A16344" w14:textId="77777777" w:rsidR="00145798" w:rsidRDefault="00181E0D" w:rsidP="009D2402">
      <w:pPr>
        <w:pStyle w:val="ExampleText"/>
        <w:pBdr>
          <w:bottom w:val="single" w:sz="4" w:space="3" w:color="auto"/>
        </w:pBdr>
      </w:pPr>
      <w:r>
        <w:t xml:space="preserve">The </w:t>
      </w:r>
      <w:r w:rsidR="00762AB9">
        <w:t xml:space="preserve">allowable </w:t>
      </w:r>
      <w:r>
        <w:t xml:space="preserve">CRD </w:t>
      </w:r>
      <w:r w:rsidR="00762AB9">
        <w:t xml:space="preserve">for the period </w:t>
      </w:r>
      <w:r>
        <w:t xml:space="preserve">is calculated </w:t>
      </w:r>
      <w:r w:rsidR="00762AB9">
        <w:t>by multiplying</w:t>
      </w:r>
      <w:r>
        <w:t xml:space="preserve"> </w:t>
      </w:r>
      <w:r w:rsidR="00762AB9">
        <w:t>the principal sum by the CRD factor by the proportion of days in the period that the item was in use:</w:t>
      </w:r>
    </w:p>
    <w:p w14:paraId="18A16345" w14:textId="77777777" w:rsidR="00181E0D" w:rsidRDefault="00762AB9" w:rsidP="009D2402">
      <w:pPr>
        <w:pStyle w:val="ExampleText"/>
        <w:pBdr>
          <w:bottom w:val="single" w:sz="4" w:space="3" w:color="auto"/>
        </w:pBdr>
      </w:pPr>
      <w:r>
        <w:t>$120 000 x</w:t>
      </w:r>
      <w:r w:rsidR="00181E0D">
        <w:t xml:space="preserve"> 0.07085 x 122/184 = $5 637.20 </w:t>
      </w:r>
    </w:p>
    <w:p w14:paraId="18A16346" w14:textId="77777777" w:rsidR="00181E0D" w:rsidRDefault="00181E0D" w:rsidP="002C5206">
      <w:pPr>
        <w:pStyle w:val="BlockText"/>
        <w:numPr>
          <w:ilvl w:val="0"/>
          <w:numId w:val="0"/>
        </w:numPr>
        <w:ind w:left="283"/>
      </w:pPr>
    </w:p>
    <w:p w14:paraId="18A16347" w14:textId="77777777" w:rsidR="00874515" w:rsidRPr="00181E0D" w:rsidRDefault="00874515" w:rsidP="002C5206">
      <w:pPr>
        <w:pStyle w:val="BlockText"/>
        <w:numPr>
          <w:ilvl w:val="0"/>
          <w:numId w:val="0"/>
        </w:numPr>
        <w:ind w:left="283"/>
      </w:pPr>
    </w:p>
    <w:p w14:paraId="18A16348" w14:textId="77777777" w:rsidR="00F85C7F" w:rsidRDefault="00F85C7F" w:rsidP="00F85C7F">
      <w:pPr>
        <w:pStyle w:val="HeadingTwo"/>
        <w:pBdr>
          <w:bottom w:val="none" w:sz="0" w:space="0" w:color="auto"/>
        </w:pBdr>
        <w:spacing w:before="0"/>
        <w:jc w:val="both"/>
      </w:pPr>
    </w:p>
    <w:p w14:paraId="18A16349" w14:textId="77777777" w:rsidR="00DE66BD" w:rsidRDefault="00DE66BD" w:rsidP="00990649">
      <w:pPr>
        <w:pStyle w:val="HeadingTwo"/>
        <w:spacing w:before="0"/>
        <w:jc w:val="both"/>
      </w:pPr>
      <w:r>
        <w:t xml:space="preserve">Rule </w:t>
      </w:r>
      <w:r w:rsidR="00874515">
        <w:t>a</w:t>
      </w:r>
      <w:r>
        <w:t xml:space="preserve">gainst </w:t>
      </w:r>
      <w:r w:rsidR="00874515">
        <w:t>d</w:t>
      </w:r>
      <w:r>
        <w:t xml:space="preserve">ouble </w:t>
      </w:r>
      <w:r w:rsidR="00874515">
        <w:t>d</w:t>
      </w:r>
      <w:r>
        <w:t>eductions</w:t>
      </w:r>
    </w:p>
    <w:p w14:paraId="18A1634A" w14:textId="77777777" w:rsidR="00C57204" w:rsidRDefault="00762AB9" w:rsidP="002C5206">
      <w:pPr>
        <w:pStyle w:val="BlockText"/>
      </w:pPr>
      <w:r>
        <w:lastRenderedPageBreak/>
        <w:t xml:space="preserve">Where an amount expended in respect of a production unit is capable of falling under more than one deduction category (for example, </w:t>
      </w:r>
      <w:r w:rsidR="002939C1">
        <w:t xml:space="preserve">certain </w:t>
      </w:r>
      <w:r>
        <w:t xml:space="preserve">capital equipment could be an operating cost or qualify for a </w:t>
      </w:r>
      <w:r w:rsidR="00897326">
        <w:t>CRD</w:t>
      </w:r>
      <w:r>
        <w:t xml:space="preserve">) the royalty payer needs to decide how the expenditure will be treated as only one deduction is allowed. </w:t>
      </w:r>
    </w:p>
    <w:p w14:paraId="18A1634B" w14:textId="77777777" w:rsidR="00DE66BD" w:rsidRDefault="00762AB9" w:rsidP="00C57204">
      <w:pPr>
        <w:pStyle w:val="BlockText"/>
      </w:pPr>
      <w:r>
        <w:t>The royalty payer should claim the expenditure under the most appropriate deduction category.</w:t>
      </w:r>
      <w:r w:rsidR="00C57204">
        <w:t xml:space="preserve"> For example, a</w:t>
      </w:r>
      <w:r>
        <w:t xml:space="preserve">ny expenditure relating to activities in the nature of </w:t>
      </w:r>
      <w:r w:rsidR="00A61478">
        <w:t xml:space="preserve">mine development </w:t>
      </w:r>
      <w:r>
        <w:t xml:space="preserve">(where the expenditure </w:t>
      </w:r>
      <w:r w:rsidR="002F4242">
        <w:t xml:space="preserve">is more appropriately to be treated as </w:t>
      </w:r>
      <w:r w:rsidR="00A61478">
        <w:t>ECAE</w:t>
      </w:r>
      <w:r w:rsidR="002F4242">
        <w:t>) should be claimed as</w:t>
      </w:r>
      <w:r w:rsidR="00897326">
        <w:t xml:space="preserve"> a</w:t>
      </w:r>
      <w:r w:rsidR="002F4242">
        <w:t xml:space="preserve"> </w:t>
      </w:r>
      <w:r w:rsidR="00A61478">
        <w:t>CRD</w:t>
      </w:r>
      <w:r w:rsidR="002F4242">
        <w:t>.</w:t>
      </w:r>
    </w:p>
    <w:p w14:paraId="18A1634C" w14:textId="77777777" w:rsidR="00DE66BD" w:rsidRPr="00814753" w:rsidRDefault="00C03394" w:rsidP="002C5206">
      <w:pPr>
        <w:pStyle w:val="HeadingTwo"/>
        <w:jc w:val="both"/>
      </w:pPr>
      <w:r>
        <w:t>Sale or t</w:t>
      </w:r>
      <w:r w:rsidR="002F4242">
        <w:t>ransfer of a</w:t>
      </w:r>
      <w:r w:rsidR="00DE66BD">
        <w:t xml:space="preserve"> </w:t>
      </w:r>
      <w:r>
        <w:t>p</w:t>
      </w:r>
      <w:r w:rsidR="00DE66BD">
        <w:t xml:space="preserve">roduction </w:t>
      </w:r>
      <w:r>
        <w:t>u</w:t>
      </w:r>
      <w:r w:rsidR="00DE66BD">
        <w:t xml:space="preserve">nit </w:t>
      </w:r>
    </w:p>
    <w:p w14:paraId="18A1634D" w14:textId="77777777" w:rsidR="00DE66BD" w:rsidRDefault="002F4242" w:rsidP="002C5206">
      <w:pPr>
        <w:pStyle w:val="BlockText"/>
      </w:pPr>
      <w:r>
        <w:t xml:space="preserve">When a production unit </w:t>
      </w:r>
      <w:r w:rsidR="00AD1E23">
        <w:t xml:space="preserve">together </w:t>
      </w:r>
      <w:r>
        <w:t xml:space="preserve">with the eligible capital assets is sold or transferred to a new miner or a new royalty payer, the </w:t>
      </w:r>
      <w:r w:rsidR="00DE66BD">
        <w:t xml:space="preserve">cost of acquiring </w:t>
      </w:r>
      <w:r>
        <w:t xml:space="preserve">the </w:t>
      </w:r>
      <w:r w:rsidR="00DE66BD">
        <w:t xml:space="preserve">mining tenement or production unit is not deductible for royalty purposes either as </w:t>
      </w:r>
      <w:r w:rsidR="00897326">
        <w:t>o</w:t>
      </w:r>
      <w:r w:rsidR="00DE66BD">
        <w:t xml:space="preserve">perating </w:t>
      </w:r>
      <w:r w:rsidR="00897326">
        <w:t xml:space="preserve">costs </w:t>
      </w:r>
      <w:r w:rsidR="00DE66BD">
        <w:t>or as ECAE. However, when a production unit is sold or transferred</w:t>
      </w:r>
      <w:r w:rsidR="00AD1E23">
        <w:t xml:space="preserve"> and the purchaser continues to operate the production unit as a going concern</w:t>
      </w:r>
      <w:r w:rsidR="00DE66BD">
        <w:t>, any CRD in relation to ECAE for that production unit continue</w:t>
      </w:r>
      <w:r w:rsidR="00C20C1A">
        <w:t>s</w:t>
      </w:r>
      <w:r w:rsidR="00DE66BD">
        <w:t xml:space="preserve"> in the same manner and to the same extent as if the production unit or ECAE had not been sold or transferred.  </w:t>
      </w:r>
    </w:p>
    <w:p w14:paraId="18A1634E" w14:textId="77777777" w:rsidR="00DE66BD" w:rsidRDefault="00DE66BD" w:rsidP="002C5206">
      <w:pPr>
        <w:pStyle w:val="BlockText"/>
      </w:pPr>
      <w:r>
        <w:t xml:space="preserve">For example, if an asset with </w:t>
      </w:r>
      <w:r w:rsidR="002F4242">
        <w:t xml:space="preserve">two </w:t>
      </w:r>
      <w:r>
        <w:t xml:space="preserve">years remaining CRD life is transferred with the production unit to a new owner, </w:t>
      </w:r>
      <w:r w:rsidR="00C03394">
        <w:t>the new owner is</w:t>
      </w:r>
      <w:r>
        <w:t xml:space="preserve"> only entitled to claim CRD on the asset for the remaining </w:t>
      </w:r>
      <w:r w:rsidR="00AD1E23">
        <w:t xml:space="preserve">two </w:t>
      </w:r>
      <w:r>
        <w:t>years of CRD life, based on the same value that applied to the previous deductions for the asset</w:t>
      </w:r>
      <w:r w:rsidR="00C03394">
        <w:t>, irrespective of the actual consideration (if any) paid for the asset</w:t>
      </w:r>
      <w:r>
        <w:t xml:space="preserve">. The new owner </w:t>
      </w:r>
      <w:r w:rsidR="00C20C1A">
        <w:t>cannot</w:t>
      </w:r>
      <w:r>
        <w:t xml:space="preserve"> commence a new </w:t>
      </w:r>
      <w:r w:rsidR="00782487">
        <w:t>CRD</w:t>
      </w:r>
      <w:r>
        <w:t xml:space="preserve"> life for the asset.</w:t>
      </w:r>
    </w:p>
    <w:p w14:paraId="18A1634F" w14:textId="77777777" w:rsidR="000065AF" w:rsidRDefault="008A02BA" w:rsidP="002C5206">
      <w:pPr>
        <w:pStyle w:val="BlockText"/>
      </w:pPr>
      <w:r>
        <w:t>I</w:t>
      </w:r>
      <w:r w:rsidR="002F4242">
        <w:t>f eligible capital assets are sold</w:t>
      </w:r>
      <w:r w:rsidR="001B5B9D">
        <w:t xml:space="preserve"> or transferred</w:t>
      </w:r>
      <w:r w:rsidR="002F4242">
        <w:t xml:space="preserve"> independently from the production unit, the new owner of the second hand assets </w:t>
      </w:r>
      <w:r w:rsidR="00C20C1A">
        <w:t>is</w:t>
      </w:r>
      <w:r w:rsidR="002F4242">
        <w:t xml:space="preserve"> able to commence a new CRD </w:t>
      </w:r>
      <w:r w:rsidR="00897326">
        <w:t xml:space="preserve">life </w:t>
      </w:r>
      <w:r w:rsidR="002F4242">
        <w:t>based on</w:t>
      </w:r>
      <w:r w:rsidR="000065AF">
        <w:t>:</w:t>
      </w:r>
    </w:p>
    <w:p w14:paraId="18A16350" w14:textId="1FBC7C0D" w:rsidR="000065AF" w:rsidRDefault="000065AF" w:rsidP="000065AF">
      <w:pPr>
        <w:pStyle w:val="BlockText"/>
        <w:numPr>
          <w:ilvl w:val="1"/>
          <w:numId w:val="3"/>
        </w:numPr>
      </w:pPr>
      <w:r>
        <w:t xml:space="preserve">if it is an </w:t>
      </w:r>
      <w:proofErr w:type="spellStart"/>
      <w:r>
        <w:t>arms length</w:t>
      </w:r>
      <w:proofErr w:type="spellEnd"/>
      <w:r>
        <w:t xml:space="preserve"> sale or transfer (Guideline </w:t>
      </w:r>
      <w:r w:rsidRPr="007B21F4">
        <w:rPr>
          <w:i/>
        </w:rPr>
        <w:t>RG-MRA-004</w:t>
      </w:r>
      <w:r w:rsidRPr="007A4C74">
        <w:rPr>
          <w:i/>
        </w:rPr>
        <w:t>: Gross Realization</w:t>
      </w:r>
      <w:r>
        <w:t xml:space="preserve"> provides further information on arm’s length sales at paragraph 17), </w:t>
      </w:r>
      <w:r w:rsidR="002F4242">
        <w:t xml:space="preserve">the purchase price </w:t>
      </w:r>
      <w:r>
        <w:t>paid by the new owner; or</w:t>
      </w:r>
    </w:p>
    <w:p w14:paraId="18A16351" w14:textId="77777777" w:rsidR="00DE66BD" w:rsidRDefault="000065AF" w:rsidP="000065AF">
      <w:pPr>
        <w:pStyle w:val="BlockText"/>
        <w:numPr>
          <w:ilvl w:val="1"/>
          <w:numId w:val="3"/>
        </w:numPr>
      </w:pPr>
      <w:r>
        <w:t xml:space="preserve">if it is a related party sale or transfer, the written down value </w:t>
      </w:r>
      <w:r w:rsidR="00187141">
        <w:t>(derived from an arm’s length value less accumulated depreciation)</w:t>
      </w:r>
      <w:r>
        <w:t>.</w:t>
      </w:r>
    </w:p>
    <w:p w14:paraId="18A16352" w14:textId="77777777" w:rsidR="00DE66BD" w:rsidRDefault="00DE66BD" w:rsidP="002C5206">
      <w:pPr>
        <w:pStyle w:val="HeadingTwo"/>
        <w:jc w:val="both"/>
      </w:pPr>
      <w:r>
        <w:t>Asset</w:t>
      </w:r>
      <w:r w:rsidR="008A02BA">
        <w:t>s</w:t>
      </w:r>
      <w:r w:rsidRPr="00DC02B1">
        <w:t xml:space="preserve"> </w:t>
      </w:r>
      <w:r w:rsidR="00C03394">
        <w:t>s</w:t>
      </w:r>
      <w:r w:rsidRPr="00DC02B1">
        <w:t xml:space="preserve">old, </w:t>
      </w:r>
      <w:r w:rsidR="00C03394">
        <w:t>s</w:t>
      </w:r>
      <w:r w:rsidRPr="00DC02B1">
        <w:t xml:space="preserve">crapped or </w:t>
      </w:r>
      <w:r w:rsidR="00C03394">
        <w:t>r</w:t>
      </w:r>
      <w:r w:rsidRPr="00DC02B1">
        <w:t xml:space="preserve">emoved from the </w:t>
      </w:r>
      <w:r w:rsidR="00C03394">
        <w:t>p</w:t>
      </w:r>
      <w:r w:rsidRPr="00DC02B1">
        <w:t xml:space="preserve">roduction </w:t>
      </w:r>
      <w:r w:rsidR="00C03394">
        <w:t>u</w:t>
      </w:r>
      <w:r w:rsidRPr="00DC02B1">
        <w:t>nit</w:t>
      </w:r>
    </w:p>
    <w:p w14:paraId="18A16353" w14:textId="77777777" w:rsidR="00DE66BD" w:rsidRDefault="00DE66BD" w:rsidP="002C5206">
      <w:pPr>
        <w:pStyle w:val="BlockText"/>
      </w:pPr>
      <w:r>
        <w:t>If an asset is sold, scrapped or removed from a production unit, CRD in respect of that asset cease</w:t>
      </w:r>
      <w:r w:rsidR="00C20C1A">
        <w:t>s</w:t>
      </w:r>
      <w:r>
        <w:t xml:space="preserve"> </w:t>
      </w:r>
      <w:r w:rsidR="00C20C1A">
        <w:t>as soon as</w:t>
      </w:r>
      <w:r>
        <w:t xml:space="preserve"> the asset is no longer used for the operations of the production unit. The CRD claimed for the relevant royalty period </w:t>
      </w:r>
      <w:r w:rsidR="008A02BA">
        <w:t xml:space="preserve">usually </w:t>
      </w:r>
      <w:r>
        <w:t>need</w:t>
      </w:r>
      <w:r w:rsidR="00C20C1A">
        <w:t>s</w:t>
      </w:r>
      <w:r>
        <w:t xml:space="preserve"> to be apportioned accordingly.</w:t>
      </w:r>
    </w:p>
    <w:p w14:paraId="18A16354" w14:textId="37232BB2" w:rsidR="00DE66BD" w:rsidRDefault="00DE66BD" w:rsidP="002C5206">
      <w:pPr>
        <w:pStyle w:val="BlockText"/>
      </w:pPr>
      <w:r>
        <w:t xml:space="preserve">Any gain or loss resulting from the sale </w:t>
      </w:r>
      <w:r w:rsidR="008A02BA">
        <w:t xml:space="preserve">of an asset sold independently from a production unit </w:t>
      </w:r>
      <w:r w:rsidR="001B5B9D">
        <w:t xml:space="preserve">must </w:t>
      </w:r>
      <w:r>
        <w:t xml:space="preserve">be included in gross realization for the royalty return for the relevant period. </w:t>
      </w:r>
      <w:r w:rsidR="00AC1993">
        <w:t xml:space="preserve">Guideline </w:t>
      </w:r>
      <w:r w:rsidR="00AC1993" w:rsidRPr="007B21F4">
        <w:rPr>
          <w:i/>
        </w:rPr>
        <w:t>RG-MRA-004</w:t>
      </w:r>
      <w:r w:rsidR="00AC1993" w:rsidRPr="008A02BA">
        <w:rPr>
          <w:i/>
        </w:rPr>
        <w:t>: Gross Realization</w:t>
      </w:r>
      <w:r w:rsidR="00AC1993" w:rsidDel="008A02BA">
        <w:t xml:space="preserve"> </w:t>
      </w:r>
      <w:r w:rsidR="00AC1993">
        <w:t>provides f</w:t>
      </w:r>
      <w:r w:rsidR="008A02BA">
        <w:t xml:space="preserve">urther </w:t>
      </w:r>
      <w:r w:rsidR="00A71233">
        <w:t xml:space="preserve">information </w:t>
      </w:r>
      <w:r w:rsidR="002E4D94">
        <w:t xml:space="preserve">on </w:t>
      </w:r>
      <w:r w:rsidR="00A71233">
        <w:t>the inclusion of a gain or loss on sale of assets</w:t>
      </w:r>
      <w:r>
        <w:t>.</w:t>
      </w:r>
    </w:p>
    <w:p w14:paraId="18A16355" w14:textId="77777777" w:rsidR="00DE66BD" w:rsidRDefault="00DE66BD" w:rsidP="002C5206">
      <w:pPr>
        <w:pStyle w:val="HeadingTwo"/>
        <w:jc w:val="both"/>
      </w:pPr>
      <w:r w:rsidRPr="00207F64">
        <w:t xml:space="preserve">GST </w:t>
      </w:r>
    </w:p>
    <w:p w14:paraId="18A16356" w14:textId="77777777" w:rsidR="00DE66BD" w:rsidRPr="00DC02B1" w:rsidRDefault="00DE66BD" w:rsidP="002C5206">
      <w:pPr>
        <w:pStyle w:val="BlockText"/>
      </w:pPr>
      <w:r>
        <w:t>An amount of ECAE is the amount exclusive of the GST (if any) payable in relation to that expenditure. Where an item of ECAE is input taxed, the amount claimable is inclusive of GST.</w:t>
      </w:r>
    </w:p>
    <w:p w14:paraId="18A16357" w14:textId="77777777" w:rsidR="00DE66BD" w:rsidRPr="009C7EEA" w:rsidRDefault="00DE66BD" w:rsidP="002C5206">
      <w:pPr>
        <w:pStyle w:val="HeadingTwo"/>
        <w:jc w:val="both"/>
      </w:pPr>
      <w:r w:rsidRPr="009C7EEA">
        <w:t xml:space="preserve">Record </w:t>
      </w:r>
      <w:r w:rsidR="00C03394">
        <w:t>k</w:t>
      </w:r>
      <w:r w:rsidRPr="009C7EEA">
        <w:t xml:space="preserve">eeping </w:t>
      </w:r>
      <w:r w:rsidR="00C03394">
        <w:t>r</w:t>
      </w:r>
      <w:r w:rsidRPr="009C7EEA">
        <w:t>equirement</w:t>
      </w:r>
      <w:r w:rsidR="008A02BA">
        <w:t>s</w:t>
      </w:r>
    </w:p>
    <w:p w14:paraId="18A16358" w14:textId="2923C0EC" w:rsidR="008A02BA" w:rsidRPr="002C5206" w:rsidRDefault="008A02BA" w:rsidP="002C5206">
      <w:pPr>
        <w:pStyle w:val="BlockText"/>
        <w:tabs>
          <w:tab w:val="clear" w:pos="567"/>
        </w:tabs>
      </w:pPr>
      <w:r w:rsidRPr="002C5206">
        <w:t xml:space="preserve">For general record keeping requirements, refer to </w:t>
      </w:r>
      <w:r w:rsidR="006E0D5E" w:rsidRPr="007B21F4">
        <w:rPr>
          <w:i/>
        </w:rPr>
        <w:t>MRA Overview</w:t>
      </w:r>
      <w:r w:rsidRPr="002C5206">
        <w:t xml:space="preserve">. </w:t>
      </w:r>
    </w:p>
    <w:p w14:paraId="18A16359" w14:textId="77777777" w:rsidR="00986E47" w:rsidRPr="00986E47" w:rsidRDefault="00986E47" w:rsidP="00986E47">
      <w:pPr>
        <w:pStyle w:val="BlockText"/>
        <w:tabs>
          <w:tab w:val="clear" w:pos="567"/>
        </w:tabs>
      </w:pPr>
      <w:r w:rsidRPr="00986E47">
        <w:t>In respect of CRD, the royalty payer must maintain proper records relating to all assets which have been included as ECAE. Relevant supporting documentation includes, but is not limited to:</w:t>
      </w:r>
    </w:p>
    <w:p w14:paraId="18A1635A" w14:textId="77777777" w:rsidR="00986E47" w:rsidRPr="00986E47" w:rsidRDefault="00986E47" w:rsidP="00986E47">
      <w:pPr>
        <w:pStyle w:val="BlockText"/>
        <w:numPr>
          <w:ilvl w:val="1"/>
          <w:numId w:val="3"/>
        </w:numPr>
      </w:pPr>
      <w:r>
        <w:t>fixed asset r</w:t>
      </w:r>
      <w:r w:rsidRPr="00986E47">
        <w:t>egister, including a schedule of acquisitions, transfers and disposals for the relevant royalty period</w:t>
      </w:r>
      <w:r>
        <w:t>;</w:t>
      </w:r>
    </w:p>
    <w:p w14:paraId="18A1635B" w14:textId="77777777" w:rsidR="00986E47" w:rsidRPr="00986E47" w:rsidRDefault="00986E47" w:rsidP="00986E47">
      <w:pPr>
        <w:pStyle w:val="BlockText"/>
        <w:numPr>
          <w:ilvl w:val="1"/>
          <w:numId w:val="3"/>
        </w:numPr>
      </w:pPr>
      <w:r>
        <w:lastRenderedPageBreak/>
        <w:t>taxation depreciation s</w:t>
      </w:r>
      <w:r w:rsidRPr="00986E47">
        <w:t>chedule</w:t>
      </w:r>
      <w:r>
        <w:t>;</w:t>
      </w:r>
    </w:p>
    <w:p w14:paraId="18A1635C" w14:textId="77777777" w:rsidR="00986E47" w:rsidRPr="00986E47" w:rsidRDefault="00986E47" w:rsidP="00986E47">
      <w:pPr>
        <w:pStyle w:val="BlockText"/>
        <w:numPr>
          <w:ilvl w:val="1"/>
          <w:numId w:val="3"/>
        </w:numPr>
      </w:pPr>
      <w:r>
        <w:t>trial balance and detailed general l</w:t>
      </w:r>
      <w:r w:rsidRPr="00986E47">
        <w:t>edger reports</w:t>
      </w:r>
      <w:r>
        <w:t>; and</w:t>
      </w:r>
    </w:p>
    <w:p w14:paraId="18A1635D" w14:textId="77777777" w:rsidR="00986E47" w:rsidRPr="00986E47" w:rsidRDefault="00986E47" w:rsidP="00986E47">
      <w:pPr>
        <w:pStyle w:val="BlockText"/>
        <w:numPr>
          <w:ilvl w:val="1"/>
          <w:numId w:val="3"/>
        </w:numPr>
      </w:pPr>
      <w:r>
        <w:t>i</w:t>
      </w:r>
      <w:r w:rsidRPr="00986E47">
        <w:t>nvoices and capital expenditure approvals</w:t>
      </w:r>
      <w:r>
        <w:t>.</w:t>
      </w:r>
    </w:p>
    <w:p w14:paraId="18A1635E" w14:textId="77777777" w:rsidR="008A02BA" w:rsidRDefault="008A02BA" w:rsidP="002C5206">
      <w:pPr>
        <w:pStyle w:val="HeadingTwo"/>
        <w:jc w:val="both"/>
      </w:pPr>
      <w:r>
        <w:t xml:space="preserve">MRA </w:t>
      </w:r>
      <w:r w:rsidR="00AD1E23">
        <w:t>p</w:t>
      </w:r>
      <w:r>
        <w:t>ublications</w:t>
      </w:r>
    </w:p>
    <w:p w14:paraId="18A1635F" w14:textId="11F97E3D" w:rsidR="008A02BA" w:rsidRDefault="00CB4155" w:rsidP="002C5206">
      <w:pPr>
        <w:pStyle w:val="BlockText"/>
        <w:numPr>
          <w:ilvl w:val="0"/>
          <w:numId w:val="41"/>
        </w:numPr>
        <w:tabs>
          <w:tab w:val="clear" w:pos="425"/>
        </w:tabs>
      </w:pPr>
      <w:r>
        <w:t xml:space="preserve">Guideline </w:t>
      </w:r>
      <w:r w:rsidRPr="007B21F4">
        <w:rPr>
          <w:i/>
        </w:rPr>
        <w:t>RG-MRA-001</w:t>
      </w:r>
      <w:r w:rsidR="00C20C1A">
        <w:rPr>
          <w:i/>
        </w:rPr>
        <w:t>: Guidelines and Advance Opinions</w:t>
      </w:r>
      <w:r>
        <w:t>, which</w:t>
      </w:r>
      <w:r w:rsidRPr="002C5206">
        <w:t xml:space="preserve"> </w:t>
      </w:r>
      <w:r>
        <w:t>sets out information on the Guideline system, is incorporated into and read as one with this Guideline.</w:t>
      </w:r>
    </w:p>
    <w:p w14:paraId="18A16360" w14:textId="77777777" w:rsidR="006034B6" w:rsidRDefault="006034B6" w:rsidP="002C5206">
      <w:pPr>
        <w:jc w:val="both"/>
      </w:pPr>
    </w:p>
    <w:p w14:paraId="18A16361" w14:textId="77777777" w:rsidR="006034B6" w:rsidRDefault="006034B6" w:rsidP="002C5206">
      <w:pPr>
        <w:jc w:val="both"/>
      </w:pPr>
    </w:p>
    <w:p w14:paraId="18A16362" w14:textId="77777777" w:rsidR="00CB4155" w:rsidRDefault="003B2973" w:rsidP="002C5206">
      <w:pPr>
        <w:jc w:val="both"/>
      </w:pPr>
      <w:r>
        <w:rPr>
          <w:noProof/>
        </w:rPr>
        <w:drawing>
          <wp:inline distT="0" distB="0" distL="0" distR="0" wp14:anchorId="18A16373" wp14:editId="18A16374">
            <wp:extent cx="1187450" cy="368300"/>
            <wp:effectExtent l="0" t="0" r="0" b="0"/>
            <wp:docPr id="1" name="Picture 1" descr="Anne signature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signature_tra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368300"/>
                    </a:xfrm>
                    <a:prstGeom prst="rect">
                      <a:avLst/>
                    </a:prstGeom>
                    <a:noFill/>
                    <a:ln>
                      <a:noFill/>
                    </a:ln>
                  </pic:spPr>
                </pic:pic>
              </a:graphicData>
            </a:graphic>
          </wp:inline>
        </w:drawing>
      </w:r>
    </w:p>
    <w:p w14:paraId="18A16363" w14:textId="77777777" w:rsidR="00364D5F" w:rsidRDefault="00364D5F" w:rsidP="002C5206">
      <w:pPr>
        <w:jc w:val="both"/>
      </w:pPr>
    </w:p>
    <w:p w14:paraId="18A16364" w14:textId="77777777" w:rsidR="006034B6" w:rsidRDefault="006034B6" w:rsidP="002C5206">
      <w:pPr>
        <w:jc w:val="both"/>
      </w:pPr>
      <w:r>
        <w:t>Anne Tan</w:t>
      </w:r>
    </w:p>
    <w:p w14:paraId="18A16365" w14:textId="77777777" w:rsidR="006034B6" w:rsidRDefault="006034B6" w:rsidP="002C5206">
      <w:pPr>
        <w:jc w:val="both"/>
      </w:pPr>
      <w:r>
        <w:t>Secretary</w:t>
      </w:r>
    </w:p>
    <w:p w14:paraId="18A16366" w14:textId="77777777" w:rsidR="006034B6" w:rsidRDefault="006034B6" w:rsidP="002C5206">
      <w:pPr>
        <w:jc w:val="both"/>
      </w:pPr>
    </w:p>
    <w:p w14:paraId="18A16367" w14:textId="77777777" w:rsidR="006034B6" w:rsidRDefault="006034B6" w:rsidP="002C5206">
      <w:pPr>
        <w:jc w:val="both"/>
      </w:pPr>
      <w:r>
        <w:t>Date of Issue:</w:t>
      </w:r>
      <w:r w:rsidR="005C1A9F">
        <w:t xml:space="preserve"> 29 August 2011</w:t>
      </w:r>
    </w:p>
    <w:p w14:paraId="18A16368" w14:textId="77777777" w:rsidR="006034B6" w:rsidRDefault="006034B6" w:rsidP="002C520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5"/>
        <w:gridCol w:w="4823"/>
      </w:tblGrid>
      <w:tr w:rsidR="006034B6" w14:paraId="18A1636A" w14:textId="77777777" w:rsidTr="00F855FA">
        <w:tc>
          <w:tcPr>
            <w:tcW w:w="9854" w:type="dxa"/>
            <w:gridSpan w:val="2"/>
          </w:tcPr>
          <w:p w14:paraId="18A16369" w14:textId="77777777" w:rsidR="006034B6" w:rsidRDefault="006034B6" w:rsidP="002C5206">
            <w:r>
              <w:t>For further information please contact the Territory Revenue Office:</w:t>
            </w:r>
          </w:p>
        </w:tc>
      </w:tr>
      <w:tr w:rsidR="006034B6" w14:paraId="18A16371" w14:textId="77777777" w:rsidTr="00F855FA">
        <w:tc>
          <w:tcPr>
            <w:tcW w:w="4927" w:type="dxa"/>
          </w:tcPr>
          <w:p w14:paraId="18A1636B" w14:textId="5B1465E0" w:rsidR="006034B6" w:rsidRDefault="00521D3A" w:rsidP="002C5206">
            <w:r>
              <w:t>GPO Box 197</w:t>
            </w:r>
            <w:bookmarkStart w:id="2" w:name="_GoBack"/>
            <w:bookmarkEnd w:id="2"/>
            <w:r w:rsidR="006034B6">
              <w:t>4</w:t>
            </w:r>
          </w:p>
          <w:p w14:paraId="18A1636C" w14:textId="77777777" w:rsidR="006034B6" w:rsidRDefault="006034B6" w:rsidP="002C5206">
            <w:r>
              <w:t>Darwin  NT  0801</w:t>
            </w:r>
          </w:p>
          <w:p w14:paraId="18A1636D" w14:textId="5FFF53AF" w:rsidR="006034B6" w:rsidRDefault="006034B6" w:rsidP="002C5206">
            <w:r>
              <w:t xml:space="preserve">Email: </w:t>
            </w:r>
            <w:hyperlink r:id="rId11" w:history="1">
              <w:r w:rsidR="00EC5966" w:rsidRPr="008400FD">
                <w:rPr>
                  <w:rStyle w:val="Hyperlink"/>
                </w:rPr>
                <w:t>ntrevenue@nt.gov.au</w:t>
              </w:r>
            </w:hyperlink>
          </w:p>
        </w:tc>
        <w:tc>
          <w:tcPr>
            <w:tcW w:w="4927" w:type="dxa"/>
          </w:tcPr>
          <w:p w14:paraId="18A1636E" w14:textId="77777777" w:rsidR="006034B6" w:rsidRDefault="006034B6" w:rsidP="002C5206">
            <w:r>
              <w:t>Phone: 1300 305 353</w:t>
            </w:r>
          </w:p>
          <w:p w14:paraId="18A1636F" w14:textId="77777777" w:rsidR="006034B6" w:rsidRDefault="006034B6" w:rsidP="002C5206">
            <w:r>
              <w:t>Fax: 08 8999 5577</w:t>
            </w:r>
          </w:p>
          <w:p w14:paraId="18A16370" w14:textId="77777777" w:rsidR="006034B6" w:rsidRDefault="006034B6" w:rsidP="002C5206">
            <w:r>
              <w:t xml:space="preserve">Website: </w:t>
            </w:r>
            <w:hyperlink r:id="rId12" w:history="1">
              <w:r w:rsidRPr="009369D6">
                <w:rPr>
                  <w:rStyle w:val="Hyperlink"/>
                </w:rPr>
                <w:t>www.revenue.nt.gov.au</w:t>
              </w:r>
            </w:hyperlink>
          </w:p>
        </w:tc>
      </w:tr>
    </w:tbl>
    <w:p w14:paraId="18A16372" w14:textId="77777777" w:rsidR="006034B6" w:rsidRDefault="006034B6" w:rsidP="002C5206"/>
    <w:p w14:paraId="552E8668" w14:textId="77777777" w:rsidR="000C54AF" w:rsidRPr="00364D5F" w:rsidRDefault="000C54AF" w:rsidP="002C5206"/>
    <w:sectPr w:rsidR="000C54AF" w:rsidRPr="00364D5F" w:rsidSect="00C27A0A">
      <w:headerReference w:type="even" r:id="rId13"/>
      <w:headerReference w:type="default" r:id="rId14"/>
      <w:footerReference w:type="default" r:id="rId15"/>
      <w:headerReference w:type="first" r:id="rId16"/>
      <w:footerReference w:type="first" r:id="rId17"/>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4450" w14:textId="77777777" w:rsidR="00B6443A" w:rsidRDefault="00B6443A">
      <w:r>
        <w:separator/>
      </w:r>
    </w:p>
  </w:endnote>
  <w:endnote w:type="continuationSeparator" w:id="0">
    <w:p w14:paraId="55BF9AF5" w14:textId="77777777" w:rsidR="00B6443A" w:rsidRDefault="00B6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637C" w14:textId="77777777" w:rsidR="0018773D" w:rsidRDefault="0018773D" w:rsidP="00364D5F">
    <w:pPr>
      <w:pStyle w:val="Footer"/>
      <w:tabs>
        <w:tab w:val="clear" w:pos="4153"/>
        <w:tab w:val="clear" w:pos="8306"/>
        <w:tab w:val="right" w:pos="9720"/>
      </w:tabs>
      <w:rPr>
        <w:sz w:val="16"/>
        <w:szCs w:val="16"/>
      </w:rPr>
    </w:pPr>
  </w:p>
  <w:p w14:paraId="18A1637D" w14:textId="6A478230" w:rsidR="0018773D" w:rsidRPr="00364D5F" w:rsidRDefault="0018773D"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21D3A">
      <w:rPr>
        <w:noProof/>
        <w:sz w:val="16"/>
        <w:szCs w:val="16"/>
      </w:rPr>
      <w:t>8</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21D3A">
      <w:rPr>
        <w:noProof/>
        <w:sz w:val="16"/>
        <w:szCs w:val="16"/>
      </w:rPr>
      <w:t>8</w:t>
    </w:r>
    <w:r w:rsidRPr="006034B6">
      <w:rPr>
        <w:sz w:val="16"/>
        <w:szCs w:val="16"/>
      </w:rPr>
      <w:fldChar w:fldCharType="end"/>
    </w:r>
    <w:r>
      <w:rPr>
        <w:sz w:val="16"/>
        <w:szCs w:val="16"/>
      </w:rPr>
      <w:tab/>
      <w:t>RG-MRA-006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6384" w14:textId="77777777" w:rsidR="0018773D" w:rsidRDefault="0018773D" w:rsidP="00364D5F">
    <w:pPr>
      <w:pStyle w:val="Footer"/>
      <w:tabs>
        <w:tab w:val="clear" w:pos="4153"/>
        <w:tab w:val="clear" w:pos="8306"/>
        <w:tab w:val="right" w:pos="9720"/>
      </w:tabs>
      <w:rPr>
        <w:sz w:val="16"/>
        <w:szCs w:val="16"/>
      </w:rPr>
    </w:pPr>
  </w:p>
  <w:p w14:paraId="18A16385" w14:textId="299B24DE" w:rsidR="0018773D" w:rsidRPr="006034B6" w:rsidRDefault="0018773D"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21D3A">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21D3A">
      <w:rPr>
        <w:noProof/>
        <w:sz w:val="16"/>
        <w:szCs w:val="16"/>
      </w:rPr>
      <w:t>8</w:t>
    </w:r>
    <w:r w:rsidRPr="006034B6">
      <w:rPr>
        <w:sz w:val="16"/>
        <w:szCs w:val="16"/>
      </w:rPr>
      <w:fldChar w:fldCharType="end"/>
    </w:r>
    <w:r>
      <w:rPr>
        <w:sz w:val="16"/>
        <w:szCs w:val="16"/>
      </w:rPr>
      <w:tab/>
      <w:t>RG-MRA-006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40523" w14:textId="77777777" w:rsidR="00B6443A" w:rsidRDefault="00B6443A">
      <w:r>
        <w:separator/>
      </w:r>
    </w:p>
  </w:footnote>
  <w:footnote w:type="continuationSeparator" w:id="0">
    <w:p w14:paraId="58FF4E59" w14:textId="77777777" w:rsidR="00B6443A" w:rsidRDefault="00B6443A">
      <w:r>
        <w:continuationSeparator/>
      </w:r>
    </w:p>
  </w:footnote>
  <w:footnote w:id="1">
    <w:p w14:paraId="18A16388" w14:textId="77777777" w:rsidR="0018773D" w:rsidRPr="006D377D" w:rsidRDefault="0018773D" w:rsidP="006D421E">
      <w:pPr>
        <w:pStyle w:val="FootnoteText"/>
        <w:rPr>
          <w:rFonts w:cs="Arial"/>
        </w:rPr>
      </w:pPr>
      <w:r w:rsidRPr="006D377D">
        <w:rPr>
          <w:rStyle w:val="FootnoteReference"/>
          <w:rFonts w:cs="Arial"/>
        </w:rPr>
        <w:footnoteRef/>
      </w:r>
      <w:r w:rsidRPr="006D377D">
        <w:rPr>
          <w:rFonts w:cs="Arial"/>
        </w:rPr>
        <w:t xml:space="preserve"> See </w:t>
      </w:r>
      <w:r>
        <w:rPr>
          <w:rFonts w:cs="Arial"/>
        </w:rPr>
        <w:t>Accounting S</w:t>
      </w:r>
      <w:r w:rsidRPr="006D377D">
        <w:rPr>
          <w:rFonts w:cs="Arial"/>
        </w:rPr>
        <w:t>tandard AASB 116</w:t>
      </w:r>
      <w:r>
        <w:rPr>
          <w:rFonts w:cs="Arial"/>
        </w:rPr>
        <w:t xml:space="preserve"> (or successor Accounting Standard)</w:t>
      </w:r>
      <w:r w:rsidRPr="006D377D">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6379" w14:textId="77777777" w:rsidR="0018773D" w:rsidRDefault="0018773D"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1637A" w14:textId="77777777" w:rsidR="0018773D" w:rsidRDefault="00187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637B" w14:textId="77777777" w:rsidR="0018773D" w:rsidRPr="003765CD" w:rsidRDefault="0018773D"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637E" w14:textId="77777777" w:rsidR="0018773D" w:rsidRDefault="003B2973" w:rsidP="0019571B">
    <w:pPr>
      <w:pStyle w:val="NTTHeaderInfo"/>
      <w:rPr>
        <w:b/>
        <w:noProof/>
      </w:rPr>
    </w:pPr>
    <w:r>
      <w:rPr>
        <w:b/>
        <w:noProof/>
      </w:rPr>
      <w:drawing>
        <wp:anchor distT="0" distB="0" distL="114300" distR="114300" simplePos="0" relativeHeight="251657728" behindDoc="1" locked="0" layoutInCell="0" allowOverlap="1" wp14:anchorId="18A16386" wp14:editId="18A16387">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1637F" w14:textId="77777777" w:rsidR="0018773D" w:rsidRDefault="0018773D" w:rsidP="0019571B">
    <w:pPr>
      <w:pStyle w:val="NTTHeaderInfo"/>
      <w:rPr>
        <w:b/>
        <w:noProof/>
      </w:rPr>
    </w:pPr>
  </w:p>
  <w:p w14:paraId="18A16380" w14:textId="77777777" w:rsidR="0018773D" w:rsidRDefault="0018773D" w:rsidP="0019571B">
    <w:pPr>
      <w:pStyle w:val="NTTHeaderInfo"/>
      <w:rPr>
        <w:b/>
        <w:noProof/>
      </w:rPr>
    </w:pPr>
  </w:p>
  <w:p w14:paraId="18A16381" w14:textId="77777777" w:rsidR="0018773D" w:rsidRDefault="0018773D">
    <w:pPr>
      <w:pStyle w:val="Header"/>
    </w:pPr>
  </w:p>
  <w:p w14:paraId="18A16382" w14:textId="77777777" w:rsidR="0018773D" w:rsidRDefault="0018773D">
    <w:pPr>
      <w:pStyle w:val="Header"/>
    </w:pPr>
  </w:p>
  <w:p w14:paraId="18A16383" w14:textId="77777777" w:rsidR="0018773D" w:rsidRDefault="00187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0001B75"/>
    <w:multiLevelType w:val="hybridMultilevel"/>
    <w:tmpl w:val="18E0B370"/>
    <w:lvl w:ilvl="0" w:tplc="70200568">
      <w:start w:val="1"/>
      <w:numFmt w:val="decimal"/>
      <w:pStyle w:val="BodyText"/>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1E67DCD"/>
    <w:multiLevelType w:val="hybridMultilevel"/>
    <w:tmpl w:val="34145C02"/>
    <w:lvl w:ilvl="0" w:tplc="25D49394">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7E7DA6"/>
    <w:multiLevelType w:val="hybridMultilevel"/>
    <w:tmpl w:val="710AE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761FB9"/>
    <w:multiLevelType w:val="hybridMultilevel"/>
    <w:tmpl w:val="17D47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A26446"/>
    <w:multiLevelType w:val="hybridMultilevel"/>
    <w:tmpl w:val="277C0B6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593059"/>
    <w:multiLevelType w:val="multilevel"/>
    <w:tmpl w:val="88F6EEB2"/>
    <w:numStyleLink w:val="Text"/>
  </w:abstractNum>
  <w:abstractNum w:abstractNumId="8" w15:restartNumberingAfterBreak="0">
    <w:nsid w:val="0F8B0210"/>
    <w:multiLevelType w:val="hybridMultilevel"/>
    <w:tmpl w:val="D5E65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310E1"/>
    <w:multiLevelType w:val="hybridMultilevel"/>
    <w:tmpl w:val="680ADEC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30EB9"/>
    <w:multiLevelType w:val="hybridMultilevel"/>
    <w:tmpl w:val="04CA29F6"/>
    <w:lvl w:ilvl="0" w:tplc="AFB4FCD2">
      <w:start w:val="1"/>
      <w:numFmt w:val="bullet"/>
      <w:lvlText w:val="­"/>
      <w:lvlJc w:val="left"/>
      <w:pPr>
        <w:tabs>
          <w:tab w:val="num" w:pos="1260"/>
        </w:tabs>
        <w:ind w:left="1260" w:hanging="360"/>
      </w:pPr>
      <w:rPr>
        <w:rFonts w:ascii="Courier New" w:hAnsi="Courier New"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5B86E09"/>
    <w:multiLevelType w:val="hybridMultilevel"/>
    <w:tmpl w:val="1D524994"/>
    <w:lvl w:ilvl="0" w:tplc="AFB4FCD2">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19C0901"/>
    <w:multiLevelType w:val="hybridMultilevel"/>
    <w:tmpl w:val="5284FF6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657C9E"/>
    <w:multiLevelType w:val="hybridMultilevel"/>
    <w:tmpl w:val="0284E5D6"/>
    <w:lvl w:ilvl="0" w:tplc="0C09000F">
      <w:start w:val="2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6A00C88"/>
    <w:multiLevelType w:val="hybridMultilevel"/>
    <w:tmpl w:val="DF5C855C"/>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A4555E"/>
    <w:multiLevelType w:val="hybridMultilevel"/>
    <w:tmpl w:val="A460985E"/>
    <w:lvl w:ilvl="0" w:tplc="0096CC3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98509C4"/>
    <w:multiLevelType w:val="hybridMultilevel"/>
    <w:tmpl w:val="5D56201A"/>
    <w:lvl w:ilvl="0" w:tplc="39641880">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2E6819D0"/>
    <w:multiLevelType w:val="hybridMultilevel"/>
    <w:tmpl w:val="F46C7E0A"/>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8B35900"/>
    <w:multiLevelType w:val="hybridMultilevel"/>
    <w:tmpl w:val="26EA5BF4"/>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406E3A"/>
    <w:multiLevelType w:val="hybridMultilevel"/>
    <w:tmpl w:val="6B32CD0E"/>
    <w:lvl w:ilvl="0" w:tplc="F21CB5A8">
      <w:start w:val="1"/>
      <w:numFmt w:val="decimal"/>
      <w:lvlText w:val="(%1)"/>
      <w:lvlJc w:val="left"/>
      <w:pPr>
        <w:ind w:left="1220" w:hanging="360"/>
      </w:pPr>
      <w:rPr>
        <w:rFonts w:hint="default"/>
      </w:rPr>
    </w:lvl>
    <w:lvl w:ilvl="1" w:tplc="0C090019" w:tentative="1">
      <w:start w:val="1"/>
      <w:numFmt w:val="lowerLetter"/>
      <w:lvlText w:val="%2."/>
      <w:lvlJc w:val="left"/>
      <w:pPr>
        <w:ind w:left="1940" w:hanging="360"/>
      </w:pPr>
    </w:lvl>
    <w:lvl w:ilvl="2" w:tplc="0C09001B" w:tentative="1">
      <w:start w:val="1"/>
      <w:numFmt w:val="lowerRoman"/>
      <w:lvlText w:val="%3."/>
      <w:lvlJc w:val="right"/>
      <w:pPr>
        <w:ind w:left="2660" w:hanging="180"/>
      </w:pPr>
    </w:lvl>
    <w:lvl w:ilvl="3" w:tplc="0C09000F" w:tentative="1">
      <w:start w:val="1"/>
      <w:numFmt w:val="decimal"/>
      <w:lvlText w:val="%4."/>
      <w:lvlJc w:val="left"/>
      <w:pPr>
        <w:ind w:left="3380" w:hanging="360"/>
      </w:pPr>
    </w:lvl>
    <w:lvl w:ilvl="4" w:tplc="0C090019" w:tentative="1">
      <w:start w:val="1"/>
      <w:numFmt w:val="lowerLetter"/>
      <w:lvlText w:val="%5."/>
      <w:lvlJc w:val="left"/>
      <w:pPr>
        <w:ind w:left="4100" w:hanging="360"/>
      </w:pPr>
    </w:lvl>
    <w:lvl w:ilvl="5" w:tplc="0C09001B" w:tentative="1">
      <w:start w:val="1"/>
      <w:numFmt w:val="lowerRoman"/>
      <w:lvlText w:val="%6."/>
      <w:lvlJc w:val="right"/>
      <w:pPr>
        <w:ind w:left="4820" w:hanging="180"/>
      </w:pPr>
    </w:lvl>
    <w:lvl w:ilvl="6" w:tplc="0C09000F" w:tentative="1">
      <w:start w:val="1"/>
      <w:numFmt w:val="decimal"/>
      <w:lvlText w:val="%7."/>
      <w:lvlJc w:val="left"/>
      <w:pPr>
        <w:ind w:left="5540" w:hanging="360"/>
      </w:pPr>
    </w:lvl>
    <w:lvl w:ilvl="7" w:tplc="0C090019" w:tentative="1">
      <w:start w:val="1"/>
      <w:numFmt w:val="lowerLetter"/>
      <w:lvlText w:val="%8."/>
      <w:lvlJc w:val="left"/>
      <w:pPr>
        <w:ind w:left="6260" w:hanging="360"/>
      </w:pPr>
    </w:lvl>
    <w:lvl w:ilvl="8" w:tplc="0C09001B" w:tentative="1">
      <w:start w:val="1"/>
      <w:numFmt w:val="lowerRoman"/>
      <w:lvlText w:val="%9."/>
      <w:lvlJc w:val="right"/>
      <w:pPr>
        <w:ind w:left="6980" w:hanging="180"/>
      </w:pPr>
    </w:lvl>
  </w:abstractNum>
  <w:abstractNum w:abstractNumId="21" w15:restartNumberingAfterBreak="0">
    <w:nsid w:val="3EC26ADA"/>
    <w:multiLevelType w:val="hybridMultilevel"/>
    <w:tmpl w:val="FA52B856"/>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2"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F1B2443"/>
    <w:multiLevelType w:val="hybridMultilevel"/>
    <w:tmpl w:val="7B54BD3C"/>
    <w:lvl w:ilvl="0" w:tplc="1F1277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763085"/>
    <w:multiLevelType w:val="hybridMultilevel"/>
    <w:tmpl w:val="D4B8400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76046"/>
    <w:multiLevelType w:val="hybridMultilevel"/>
    <w:tmpl w:val="C996179C"/>
    <w:lvl w:ilvl="0" w:tplc="C04471D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6A6E4166"/>
    <w:multiLevelType w:val="hybridMultilevel"/>
    <w:tmpl w:val="6E203A7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CE1364D"/>
    <w:multiLevelType w:val="hybridMultilevel"/>
    <w:tmpl w:val="E3C6D0DC"/>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94591F"/>
    <w:multiLevelType w:val="multilevel"/>
    <w:tmpl w:val="88F6EEB2"/>
    <w:numStyleLink w:val="Text"/>
  </w:abstractNum>
  <w:abstractNum w:abstractNumId="31" w15:restartNumberingAfterBreak="0">
    <w:nsid w:val="7BAC5109"/>
    <w:multiLevelType w:val="hybridMultilevel"/>
    <w:tmpl w:val="3D4AAD2C"/>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B630BB"/>
    <w:multiLevelType w:val="hybridMultilevel"/>
    <w:tmpl w:val="451C8FC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EA19CA"/>
    <w:multiLevelType w:val="hybridMultilevel"/>
    <w:tmpl w:val="017C686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2"/>
  </w:num>
  <w:num w:numId="3">
    <w:abstractNumId w:val="12"/>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3"/>
  </w:num>
  <w:num w:numId="5">
    <w:abstractNumId w:val="7"/>
  </w:num>
  <w:num w:numId="6">
    <w:abstractNumId w:val="24"/>
  </w:num>
  <w:num w:numId="7">
    <w:abstractNumId w:val="25"/>
  </w:num>
  <w:num w:numId="8">
    <w:abstractNumId w:val="0"/>
  </w:num>
  <w:num w:numId="9">
    <w:abstractNumId w:val="26"/>
  </w:num>
  <w:num w:numId="10">
    <w:abstractNumId w:val="9"/>
  </w:num>
  <w:num w:numId="11">
    <w:abstractNumId w:val="28"/>
  </w:num>
  <w:num w:numId="12">
    <w:abstractNumId w:val="33"/>
  </w:num>
  <w:num w:numId="13">
    <w:abstractNumId w:val="32"/>
  </w:num>
  <w:num w:numId="14">
    <w:abstractNumId w:val="15"/>
  </w:num>
  <w:num w:numId="15">
    <w:abstractNumId w:val="13"/>
  </w:num>
  <w:num w:numId="16">
    <w:abstractNumId w:val="29"/>
  </w:num>
  <w:num w:numId="17">
    <w:abstractNumId w:val="31"/>
  </w:num>
  <w:num w:numId="18">
    <w:abstractNumId w:val="6"/>
  </w:num>
  <w:num w:numId="19">
    <w:abstractNumId w:val="19"/>
  </w:num>
  <w:num w:numId="20">
    <w:abstractNumId w:val="5"/>
  </w:num>
  <w:num w:numId="21">
    <w:abstractNumId w:val="4"/>
  </w:num>
  <w:num w:numId="22">
    <w:abstractNumId w:val="8"/>
  </w:num>
  <w:num w:numId="23">
    <w:abstractNumId w:val="11"/>
  </w:num>
  <w:num w:numId="24">
    <w:abstractNumId w:val="18"/>
  </w:num>
  <w:num w:numId="25">
    <w:abstractNumId w:val="10"/>
  </w:num>
  <w:num w:numId="26">
    <w:abstractNumId w:val="1"/>
  </w:num>
  <w:num w:numId="27">
    <w:abstractNumId w:val="21"/>
  </w:num>
  <w:num w:numId="28">
    <w:abstractNumId w:val="12"/>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5"/>
          </w:tabs>
          <w:ind w:left="851"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9">
    <w:abstractNumId w:val="12"/>
    <w:lvlOverride w:ilvl="0">
      <w:lvl w:ilvl="0">
        <w:start w:val="1"/>
        <w:numFmt w:val="decimal"/>
        <w:pStyle w:val="BlockText"/>
        <w:lvlText w:val="%1."/>
        <w:lvlJc w:val="left"/>
        <w:pPr>
          <w:tabs>
            <w:tab w:val="num" w:pos="567"/>
          </w:tabs>
          <w:ind w:left="567" w:hanging="425"/>
        </w:pPr>
        <w:rPr>
          <w:rFonts w:hint="default"/>
        </w:rPr>
      </w:lvl>
    </w:lvlOverride>
    <w:lvlOverride w:ilvl="1">
      <w:lvl w:ilvl="1">
        <w:start w:val="1"/>
        <w:numFmt w:val="lowerLetter"/>
        <w:lvlRestart w:val="0"/>
        <w:lvlText w:val="(%2)"/>
        <w:lvlJc w:val="left"/>
        <w:pPr>
          <w:tabs>
            <w:tab w:val="num" w:pos="851"/>
          </w:tabs>
          <w:ind w:left="851" w:hanging="426"/>
        </w:pPr>
        <w:rPr>
          <w:rFonts w:hint="default"/>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0">
    <w:abstractNumId w:val="16"/>
  </w:num>
  <w:num w:numId="31">
    <w:abstractNumId w:val="27"/>
  </w:num>
  <w:num w:numId="32">
    <w:abstractNumId w:val="2"/>
  </w:num>
  <w:num w:numId="33">
    <w:abstractNumId w:val="12"/>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4">
    <w:abstractNumId w:val="12"/>
    <w:lvlOverride w:ilvl="0">
      <w:lvl w:ilvl="0">
        <w:start w:val="1"/>
        <w:numFmt w:val="decimal"/>
        <w:pStyle w:val="BlockText"/>
        <w:lvlText w:val="%1."/>
        <w:lvlJc w:val="left"/>
        <w:pPr>
          <w:tabs>
            <w:tab w:val="num" w:pos="567"/>
          </w:tabs>
          <w:ind w:left="567" w:hanging="425"/>
        </w:pPr>
        <w:rPr>
          <w:rFonts w:hint="default"/>
        </w:rPr>
      </w:lvl>
    </w:lvlOverride>
    <w:lvlOverride w:ilvl="1">
      <w:lvl w:ilvl="1">
        <w:start w:val="1"/>
        <w:numFmt w:val="lowerLetter"/>
        <w:lvlRestart w:val="0"/>
        <w:lvlText w:val="(%2)"/>
        <w:lvlJc w:val="left"/>
        <w:pPr>
          <w:tabs>
            <w:tab w:val="num" w:pos="851"/>
          </w:tabs>
          <w:ind w:left="851" w:hanging="426"/>
        </w:pPr>
        <w:rPr>
          <w:rFonts w:hint="default"/>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5">
    <w:abstractNumId w:val="12"/>
    <w:lvlOverride w:ilvl="0">
      <w:lvl w:ilvl="0">
        <w:start w:val="1"/>
        <w:numFmt w:val="decimal"/>
        <w:pStyle w:val="BlockText"/>
        <w:lvlText w:val="%1."/>
        <w:lvlJc w:val="left"/>
        <w:pPr>
          <w:tabs>
            <w:tab w:val="num" w:pos="567"/>
          </w:tabs>
          <w:ind w:left="567" w:hanging="425"/>
        </w:pPr>
        <w:rPr>
          <w:rFonts w:hint="default"/>
        </w:rPr>
      </w:lvl>
    </w:lvlOverride>
    <w:lvlOverride w:ilvl="1">
      <w:lvl w:ilvl="1">
        <w:start w:val="1"/>
        <w:numFmt w:val="lowerLetter"/>
        <w:lvlRestart w:val="0"/>
        <w:lvlText w:val="(%2)"/>
        <w:lvlJc w:val="left"/>
        <w:pPr>
          <w:tabs>
            <w:tab w:val="num" w:pos="851"/>
          </w:tabs>
          <w:ind w:left="851" w:hanging="426"/>
        </w:pPr>
        <w:rPr>
          <w:rFonts w:hint="default"/>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6">
    <w:abstractNumId w:val="12"/>
    <w:lvlOverride w:ilvl="0">
      <w:lvl w:ilvl="0">
        <w:start w:val="1"/>
        <w:numFmt w:val="decimal"/>
        <w:pStyle w:val="BlockText"/>
        <w:lvlText w:val="%1."/>
        <w:lvlJc w:val="left"/>
        <w:pPr>
          <w:tabs>
            <w:tab w:val="num" w:pos="567"/>
          </w:tabs>
          <w:ind w:left="567" w:hanging="425"/>
        </w:pPr>
        <w:rPr>
          <w:rFonts w:hint="default"/>
        </w:rPr>
      </w:lvl>
    </w:lvlOverride>
    <w:lvlOverride w:ilvl="1">
      <w:lvl w:ilvl="1">
        <w:start w:val="1"/>
        <w:numFmt w:val="lowerLetter"/>
        <w:lvlRestart w:val="0"/>
        <w:lvlText w:val="(%2)"/>
        <w:lvlJc w:val="left"/>
        <w:pPr>
          <w:tabs>
            <w:tab w:val="num" w:pos="851"/>
          </w:tabs>
          <w:ind w:left="851" w:hanging="426"/>
        </w:pPr>
        <w:rPr>
          <w:rFonts w:hint="default"/>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7">
    <w:abstractNumId w:val="12"/>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8">
    <w:abstractNumId w:val="12"/>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9">
    <w:abstractNumId w:val="14"/>
  </w:num>
  <w:num w:numId="40">
    <w:abstractNumId w:val="12"/>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Restart w:val="0"/>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1">
    <w:abstractNumId w:val="12"/>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2">
    <w:abstractNumId w:val="20"/>
  </w:num>
  <w:num w:numId="43">
    <w:abstractNumId w:val="12"/>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2D"/>
    <w:rsid w:val="00002A16"/>
    <w:rsid w:val="000060BF"/>
    <w:rsid w:val="000064CB"/>
    <w:rsid w:val="000065AF"/>
    <w:rsid w:val="000104AB"/>
    <w:rsid w:val="00010EEA"/>
    <w:rsid w:val="000178D8"/>
    <w:rsid w:val="0002150C"/>
    <w:rsid w:val="00022413"/>
    <w:rsid w:val="00023645"/>
    <w:rsid w:val="00025614"/>
    <w:rsid w:val="000302C0"/>
    <w:rsid w:val="0003258B"/>
    <w:rsid w:val="000333C6"/>
    <w:rsid w:val="000376B2"/>
    <w:rsid w:val="00040F9B"/>
    <w:rsid w:val="000424F1"/>
    <w:rsid w:val="00042BC9"/>
    <w:rsid w:val="00045CCE"/>
    <w:rsid w:val="00045E43"/>
    <w:rsid w:val="00046838"/>
    <w:rsid w:val="00047502"/>
    <w:rsid w:val="0005160E"/>
    <w:rsid w:val="00054E58"/>
    <w:rsid w:val="00055A15"/>
    <w:rsid w:val="00055F6E"/>
    <w:rsid w:val="000567BE"/>
    <w:rsid w:val="0005747B"/>
    <w:rsid w:val="00063A93"/>
    <w:rsid w:val="00063EAC"/>
    <w:rsid w:val="000647F0"/>
    <w:rsid w:val="00066437"/>
    <w:rsid w:val="00067AE5"/>
    <w:rsid w:val="00070001"/>
    <w:rsid w:val="00072572"/>
    <w:rsid w:val="000755D7"/>
    <w:rsid w:val="00081963"/>
    <w:rsid w:val="00081984"/>
    <w:rsid w:val="000917B2"/>
    <w:rsid w:val="00094D2B"/>
    <w:rsid w:val="000968BE"/>
    <w:rsid w:val="000A058E"/>
    <w:rsid w:val="000A1789"/>
    <w:rsid w:val="000A57FE"/>
    <w:rsid w:val="000A5BAB"/>
    <w:rsid w:val="000A5FAF"/>
    <w:rsid w:val="000A7ABD"/>
    <w:rsid w:val="000B139D"/>
    <w:rsid w:val="000B1FE4"/>
    <w:rsid w:val="000C0DD5"/>
    <w:rsid w:val="000C2C04"/>
    <w:rsid w:val="000C3AD0"/>
    <w:rsid w:val="000C54AF"/>
    <w:rsid w:val="000C5DAB"/>
    <w:rsid w:val="000D0F76"/>
    <w:rsid w:val="000D21B9"/>
    <w:rsid w:val="000D4683"/>
    <w:rsid w:val="000D6445"/>
    <w:rsid w:val="000D760C"/>
    <w:rsid w:val="000E26E6"/>
    <w:rsid w:val="000E4D8E"/>
    <w:rsid w:val="000F7515"/>
    <w:rsid w:val="00102E5F"/>
    <w:rsid w:val="00105824"/>
    <w:rsid w:val="0011102C"/>
    <w:rsid w:val="00112237"/>
    <w:rsid w:val="00112E53"/>
    <w:rsid w:val="001171EA"/>
    <w:rsid w:val="00117E21"/>
    <w:rsid w:val="00117F5D"/>
    <w:rsid w:val="00120400"/>
    <w:rsid w:val="0012101B"/>
    <w:rsid w:val="0012610A"/>
    <w:rsid w:val="001271FF"/>
    <w:rsid w:val="0013250A"/>
    <w:rsid w:val="00134634"/>
    <w:rsid w:val="00135C96"/>
    <w:rsid w:val="001364CD"/>
    <w:rsid w:val="001407E2"/>
    <w:rsid w:val="001422DD"/>
    <w:rsid w:val="00145798"/>
    <w:rsid w:val="001521B6"/>
    <w:rsid w:val="00153959"/>
    <w:rsid w:val="00153AFD"/>
    <w:rsid w:val="001545F9"/>
    <w:rsid w:val="001579C2"/>
    <w:rsid w:val="00160881"/>
    <w:rsid w:val="0016262C"/>
    <w:rsid w:val="00164258"/>
    <w:rsid w:val="00164A3A"/>
    <w:rsid w:val="00166509"/>
    <w:rsid w:val="00176573"/>
    <w:rsid w:val="00181E0D"/>
    <w:rsid w:val="0018229E"/>
    <w:rsid w:val="00184056"/>
    <w:rsid w:val="00184984"/>
    <w:rsid w:val="00184B7C"/>
    <w:rsid w:val="00187141"/>
    <w:rsid w:val="00187674"/>
    <w:rsid w:val="0018773D"/>
    <w:rsid w:val="001913DA"/>
    <w:rsid w:val="00192F6F"/>
    <w:rsid w:val="0019571B"/>
    <w:rsid w:val="001971A1"/>
    <w:rsid w:val="0019771F"/>
    <w:rsid w:val="001A6196"/>
    <w:rsid w:val="001B51AA"/>
    <w:rsid w:val="001B5B9D"/>
    <w:rsid w:val="001B71AE"/>
    <w:rsid w:val="001B7AC7"/>
    <w:rsid w:val="001C422B"/>
    <w:rsid w:val="001C422C"/>
    <w:rsid w:val="001C4568"/>
    <w:rsid w:val="001C70C6"/>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32E8"/>
    <w:rsid w:val="00204372"/>
    <w:rsid w:val="002048E7"/>
    <w:rsid w:val="00207E37"/>
    <w:rsid w:val="00207F92"/>
    <w:rsid w:val="00210686"/>
    <w:rsid w:val="002115E6"/>
    <w:rsid w:val="00211ADE"/>
    <w:rsid w:val="00215A9D"/>
    <w:rsid w:val="0021684D"/>
    <w:rsid w:val="00220E1E"/>
    <w:rsid w:val="00221114"/>
    <w:rsid w:val="0022361B"/>
    <w:rsid w:val="00224644"/>
    <w:rsid w:val="0022584E"/>
    <w:rsid w:val="00226F98"/>
    <w:rsid w:val="00230027"/>
    <w:rsid w:val="002306CE"/>
    <w:rsid w:val="0023083D"/>
    <w:rsid w:val="002374AC"/>
    <w:rsid w:val="00237B7C"/>
    <w:rsid w:val="00242910"/>
    <w:rsid w:val="002440CC"/>
    <w:rsid w:val="0024555A"/>
    <w:rsid w:val="002466CE"/>
    <w:rsid w:val="0025053F"/>
    <w:rsid w:val="002524C0"/>
    <w:rsid w:val="002526A8"/>
    <w:rsid w:val="00252EA3"/>
    <w:rsid w:val="0025439F"/>
    <w:rsid w:val="002545A4"/>
    <w:rsid w:val="002546CB"/>
    <w:rsid w:val="002548C6"/>
    <w:rsid w:val="002555DE"/>
    <w:rsid w:val="002609F7"/>
    <w:rsid w:val="00262D75"/>
    <w:rsid w:val="002631A1"/>
    <w:rsid w:val="00271740"/>
    <w:rsid w:val="002745D1"/>
    <w:rsid w:val="0027710E"/>
    <w:rsid w:val="002863EF"/>
    <w:rsid w:val="002939C1"/>
    <w:rsid w:val="00295BEF"/>
    <w:rsid w:val="00297E74"/>
    <w:rsid w:val="002A03A5"/>
    <w:rsid w:val="002A3775"/>
    <w:rsid w:val="002A5567"/>
    <w:rsid w:val="002A5623"/>
    <w:rsid w:val="002A7D1F"/>
    <w:rsid w:val="002B1738"/>
    <w:rsid w:val="002B1DC6"/>
    <w:rsid w:val="002B3C21"/>
    <w:rsid w:val="002C0386"/>
    <w:rsid w:val="002C1DA7"/>
    <w:rsid w:val="002C267D"/>
    <w:rsid w:val="002C5206"/>
    <w:rsid w:val="002C68B1"/>
    <w:rsid w:val="002D218B"/>
    <w:rsid w:val="002D4686"/>
    <w:rsid w:val="002D6B9D"/>
    <w:rsid w:val="002D7B81"/>
    <w:rsid w:val="002E1CE1"/>
    <w:rsid w:val="002E4D94"/>
    <w:rsid w:val="002F0A75"/>
    <w:rsid w:val="002F3546"/>
    <w:rsid w:val="002F4242"/>
    <w:rsid w:val="003013BE"/>
    <w:rsid w:val="00301586"/>
    <w:rsid w:val="0030383B"/>
    <w:rsid w:val="00307F79"/>
    <w:rsid w:val="00311AB6"/>
    <w:rsid w:val="00314B99"/>
    <w:rsid w:val="00314C98"/>
    <w:rsid w:val="00314E75"/>
    <w:rsid w:val="00323FDD"/>
    <w:rsid w:val="00327C11"/>
    <w:rsid w:val="00330CA3"/>
    <w:rsid w:val="00332D45"/>
    <w:rsid w:val="00340212"/>
    <w:rsid w:val="003428FD"/>
    <w:rsid w:val="00343BDF"/>
    <w:rsid w:val="003455BA"/>
    <w:rsid w:val="003458E7"/>
    <w:rsid w:val="00347844"/>
    <w:rsid w:val="00347A4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10ED"/>
    <w:rsid w:val="00385103"/>
    <w:rsid w:val="00386424"/>
    <w:rsid w:val="00386D5A"/>
    <w:rsid w:val="0038749B"/>
    <w:rsid w:val="00393DD6"/>
    <w:rsid w:val="00394D70"/>
    <w:rsid w:val="0039737A"/>
    <w:rsid w:val="003A27AB"/>
    <w:rsid w:val="003A525E"/>
    <w:rsid w:val="003A7455"/>
    <w:rsid w:val="003B21D5"/>
    <w:rsid w:val="003B2973"/>
    <w:rsid w:val="003B4A50"/>
    <w:rsid w:val="003B4C4C"/>
    <w:rsid w:val="003B5F3C"/>
    <w:rsid w:val="003B680A"/>
    <w:rsid w:val="003C1073"/>
    <w:rsid w:val="003C1B4E"/>
    <w:rsid w:val="003C2772"/>
    <w:rsid w:val="003C6819"/>
    <w:rsid w:val="003C6832"/>
    <w:rsid w:val="003C7E2A"/>
    <w:rsid w:val="003D0F41"/>
    <w:rsid w:val="003D26A8"/>
    <w:rsid w:val="003D3D24"/>
    <w:rsid w:val="003D400C"/>
    <w:rsid w:val="003D5245"/>
    <w:rsid w:val="003E23F6"/>
    <w:rsid w:val="003E5274"/>
    <w:rsid w:val="003E5DFA"/>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637D"/>
    <w:rsid w:val="00417742"/>
    <w:rsid w:val="0041795D"/>
    <w:rsid w:val="00424C22"/>
    <w:rsid w:val="00424DCE"/>
    <w:rsid w:val="00427C19"/>
    <w:rsid w:val="004302A2"/>
    <w:rsid w:val="00430725"/>
    <w:rsid w:val="00431E0A"/>
    <w:rsid w:val="00432945"/>
    <w:rsid w:val="00434F1E"/>
    <w:rsid w:val="004362E6"/>
    <w:rsid w:val="004379E6"/>
    <w:rsid w:val="004407DC"/>
    <w:rsid w:val="004521E9"/>
    <w:rsid w:val="00453893"/>
    <w:rsid w:val="0045415A"/>
    <w:rsid w:val="0045697A"/>
    <w:rsid w:val="00456CDA"/>
    <w:rsid w:val="004572A6"/>
    <w:rsid w:val="00461243"/>
    <w:rsid w:val="00463743"/>
    <w:rsid w:val="004646F7"/>
    <w:rsid w:val="00464CC6"/>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19B4"/>
    <w:rsid w:val="004C5782"/>
    <w:rsid w:val="004C5891"/>
    <w:rsid w:val="004C6027"/>
    <w:rsid w:val="004D1809"/>
    <w:rsid w:val="004D3B44"/>
    <w:rsid w:val="004E09CA"/>
    <w:rsid w:val="004E391B"/>
    <w:rsid w:val="004E502F"/>
    <w:rsid w:val="004E5F24"/>
    <w:rsid w:val="004E69E8"/>
    <w:rsid w:val="004E7F20"/>
    <w:rsid w:val="004F103E"/>
    <w:rsid w:val="00500BE6"/>
    <w:rsid w:val="0050534D"/>
    <w:rsid w:val="00506420"/>
    <w:rsid w:val="00510B76"/>
    <w:rsid w:val="00516D27"/>
    <w:rsid w:val="00517382"/>
    <w:rsid w:val="00517D29"/>
    <w:rsid w:val="005205CA"/>
    <w:rsid w:val="00520F76"/>
    <w:rsid w:val="0052181E"/>
    <w:rsid w:val="00521D3A"/>
    <w:rsid w:val="00522191"/>
    <w:rsid w:val="00525881"/>
    <w:rsid w:val="0052614B"/>
    <w:rsid w:val="0052675D"/>
    <w:rsid w:val="00526B7A"/>
    <w:rsid w:val="00530165"/>
    <w:rsid w:val="005302CE"/>
    <w:rsid w:val="00532754"/>
    <w:rsid w:val="00534C5A"/>
    <w:rsid w:val="00536F37"/>
    <w:rsid w:val="00537837"/>
    <w:rsid w:val="005400EA"/>
    <w:rsid w:val="005419BC"/>
    <w:rsid w:val="005428F8"/>
    <w:rsid w:val="00542966"/>
    <w:rsid w:val="00545D20"/>
    <w:rsid w:val="005475C0"/>
    <w:rsid w:val="00547681"/>
    <w:rsid w:val="00550326"/>
    <w:rsid w:val="00551CBC"/>
    <w:rsid w:val="00555249"/>
    <w:rsid w:val="00557BB9"/>
    <w:rsid w:val="0056224B"/>
    <w:rsid w:val="005628C3"/>
    <w:rsid w:val="00566890"/>
    <w:rsid w:val="005707AB"/>
    <w:rsid w:val="005708BF"/>
    <w:rsid w:val="00572867"/>
    <w:rsid w:val="00573565"/>
    <w:rsid w:val="00573A16"/>
    <w:rsid w:val="0058140E"/>
    <w:rsid w:val="00581D64"/>
    <w:rsid w:val="005826C1"/>
    <w:rsid w:val="00582D7B"/>
    <w:rsid w:val="0058515E"/>
    <w:rsid w:val="005855C5"/>
    <w:rsid w:val="0058646E"/>
    <w:rsid w:val="00587446"/>
    <w:rsid w:val="00592F82"/>
    <w:rsid w:val="00596353"/>
    <w:rsid w:val="00596B7E"/>
    <w:rsid w:val="005A0101"/>
    <w:rsid w:val="005A4865"/>
    <w:rsid w:val="005A6A98"/>
    <w:rsid w:val="005A6EAB"/>
    <w:rsid w:val="005B03D6"/>
    <w:rsid w:val="005B3B6D"/>
    <w:rsid w:val="005B419B"/>
    <w:rsid w:val="005B43D5"/>
    <w:rsid w:val="005B4B9A"/>
    <w:rsid w:val="005B5511"/>
    <w:rsid w:val="005C1A9F"/>
    <w:rsid w:val="005C42C6"/>
    <w:rsid w:val="005D0992"/>
    <w:rsid w:val="005D4468"/>
    <w:rsid w:val="005D54FC"/>
    <w:rsid w:val="005E5A0B"/>
    <w:rsid w:val="005E722D"/>
    <w:rsid w:val="005F0CAA"/>
    <w:rsid w:val="005F1765"/>
    <w:rsid w:val="005F21D9"/>
    <w:rsid w:val="00601528"/>
    <w:rsid w:val="006023B8"/>
    <w:rsid w:val="0060284F"/>
    <w:rsid w:val="006034B6"/>
    <w:rsid w:val="00605813"/>
    <w:rsid w:val="00605CAB"/>
    <w:rsid w:val="006102F8"/>
    <w:rsid w:val="00612FBB"/>
    <w:rsid w:val="0061625F"/>
    <w:rsid w:val="00621369"/>
    <w:rsid w:val="006226DC"/>
    <w:rsid w:val="00623756"/>
    <w:rsid w:val="00624CDA"/>
    <w:rsid w:val="00626B28"/>
    <w:rsid w:val="00630882"/>
    <w:rsid w:val="00630FFB"/>
    <w:rsid w:val="0063245D"/>
    <w:rsid w:val="00632A1A"/>
    <w:rsid w:val="00634CF3"/>
    <w:rsid w:val="00635C62"/>
    <w:rsid w:val="00635F78"/>
    <w:rsid w:val="00643AD4"/>
    <w:rsid w:val="00645230"/>
    <w:rsid w:val="00645F0D"/>
    <w:rsid w:val="006501B7"/>
    <w:rsid w:val="006512C7"/>
    <w:rsid w:val="00654280"/>
    <w:rsid w:val="006552F7"/>
    <w:rsid w:val="006575EA"/>
    <w:rsid w:val="0066709F"/>
    <w:rsid w:val="006831AE"/>
    <w:rsid w:val="0069461E"/>
    <w:rsid w:val="006A0AED"/>
    <w:rsid w:val="006A21A5"/>
    <w:rsid w:val="006A30C4"/>
    <w:rsid w:val="006A356D"/>
    <w:rsid w:val="006B002A"/>
    <w:rsid w:val="006B0776"/>
    <w:rsid w:val="006B12C1"/>
    <w:rsid w:val="006B19DB"/>
    <w:rsid w:val="006B3D13"/>
    <w:rsid w:val="006B455C"/>
    <w:rsid w:val="006B605D"/>
    <w:rsid w:val="006B7698"/>
    <w:rsid w:val="006C05D0"/>
    <w:rsid w:val="006C1229"/>
    <w:rsid w:val="006C12B1"/>
    <w:rsid w:val="006C221C"/>
    <w:rsid w:val="006C360A"/>
    <w:rsid w:val="006D0C05"/>
    <w:rsid w:val="006D19A1"/>
    <w:rsid w:val="006D34E1"/>
    <w:rsid w:val="006D421E"/>
    <w:rsid w:val="006D7D4A"/>
    <w:rsid w:val="006E03DB"/>
    <w:rsid w:val="006E0735"/>
    <w:rsid w:val="006E0D5E"/>
    <w:rsid w:val="006E32F6"/>
    <w:rsid w:val="006E3A88"/>
    <w:rsid w:val="006E3B79"/>
    <w:rsid w:val="006E3FC6"/>
    <w:rsid w:val="006E5D22"/>
    <w:rsid w:val="006E769E"/>
    <w:rsid w:val="006E79AA"/>
    <w:rsid w:val="006F1AB6"/>
    <w:rsid w:val="006F3F70"/>
    <w:rsid w:val="006F56AA"/>
    <w:rsid w:val="006F5C85"/>
    <w:rsid w:val="00700C9F"/>
    <w:rsid w:val="00703666"/>
    <w:rsid w:val="0070603B"/>
    <w:rsid w:val="00706F00"/>
    <w:rsid w:val="00713E0D"/>
    <w:rsid w:val="00714DB9"/>
    <w:rsid w:val="00720153"/>
    <w:rsid w:val="00724967"/>
    <w:rsid w:val="0072719D"/>
    <w:rsid w:val="00731530"/>
    <w:rsid w:val="00736DB7"/>
    <w:rsid w:val="0074419C"/>
    <w:rsid w:val="00744425"/>
    <w:rsid w:val="007445E4"/>
    <w:rsid w:val="007461DF"/>
    <w:rsid w:val="007501B1"/>
    <w:rsid w:val="0075176D"/>
    <w:rsid w:val="0075179B"/>
    <w:rsid w:val="007553B7"/>
    <w:rsid w:val="00755BFC"/>
    <w:rsid w:val="007572CE"/>
    <w:rsid w:val="00757465"/>
    <w:rsid w:val="007602F5"/>
    <w:rsid w:val="00760936"/>
    <w:rsid w:val="00761932"/>
    <w:rsid w:val="00762067"/>
    <w:rsid w:val="00762918"/>
    <w:rsid w:val="00762969"/>
    <w:rsid w:val="00762AB9"/>
    <w:rsid w:val="00763A20"/>
    <w:rsid w:val="007648A6"/>
    <w:rsid w:val="00767E45"/>
    <w:rsid w:val="007719DE"/>
    <w:rsid w:val="007735E7"/>
    <w:rsid w:val="00773B36"/>
    <w:rsid w:val="00777491"/>
    <w:rsid w:val="00780551"/>
    <w:rsid w:val="00780F8C"/>
    <w:rsid w:val="00781136"/>
    <w:rsid w:val="007817A1"/>
    <w:rsid w:val="00782487"/>
    <w:rsid w:val="007829AE"/>
    <w:rsid w:val="00784A94"/>
    <w:rsid w:val="00787076"/>
    <w:rsid w:val="00791ACA"/>
    <w:rsid w:val="00792010"/>
    <w:rsid w:val="007942B4"/>
    <w:rsid w:val="00797A22"/>
    <w:rsid w:val="007A07E8"/>
    <w:rsid w:val="007A442B"/>
    <w:rsid w:val="007A4489"/>
    <w:rsid w:val="007A4C74"/>
    <w:rsid w:val="007A553D"/>
    <w:rsid w:val="007B1307"/>
    <w:rsid w:val="007B21F4"/>
    <w:rsid w:val="007B51DD"/>
    <w:rsid w:val="007B7CC0"/>
    <w:rsid w:val="007C0E96"/>
    <w:rsid w:val="007C1D40"/>
    <w:rsid w:val="007C4B87"/>
    <w:rsid w:val="007C62CA"/>
    <w:rsid w:val="007C71F4"/>
    <w:rsid w:val="007D290F"/>
    <w:rsid w:val="007D34CA"/>
    <w:rsid w:val="007D40A4"/>
    <w:rsid w:val="007D4D03"/>
    <w:rsid w:val="007D6395"/>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115D0"/>
    <w:rsid w:val="00821BA6"/>
    <w:rsid w:val="00824BAA"/>
    <w:rsid w:val="00824DF7"/>
    <w:rsid w:val="00827A50"/>
    <w:rsid w:val="008323D0"/>
    <w:rsid w:val="00832DC1"/>
    <w:rsid w:val="0084462A"/>
    <w:rsid w:val="0084712C"/>
    <w:rsid w:val="008525BF"/>
    <w:rsid w:val="00854345"/>
    <w:rsid w:val="00855DA8"/>
    <w:rsid w:val="00856099"/>
    <w:rsid w:val="008618DE"/>
    <w:rsid w:val="008642D5"/>
    <w:rsid w:val="00864645"/>
    <w:rsid w:val="00865384"/>
    <w:rsid w:val="00866773"/>
    <w:rsid w:val="00874515"/>
    <w:rsid w:val="00874692"/>
    <w:rsid w:val="00875635"/>
    <w:rsid w:val="00880CC9"/>
    <w:rsid w:val="0088327C"/>
    <w:rsid w:val="00884A1D"/>
    <w:rsid w:val="008864F6"/>
    <w:rsid w:val="0088762D"/>
    <w:rsid w:val="008877ED"/>
    <w:rsid w:val="00890996"/>
    <w:rsid w:val="00890DB6"/>
    <w:rsid w:val="008933D8"/>
    <w:rsid w:val="008972E2"/>
    <w:rsid w:val="00897326"/>
    <w:rsid w:val="008A0085"/>
    <w:rsid w:val="008A02BA"/>
    <w:rsid w:val="008A0833"/>
    <w:rsid w:val="008A0912"/>
    <w:rsid w:val="008A0DC2"/>
    <w:rsid w:val="008A3E60"/>
    <w:rsid w:val="008A43A5"/>
    <w:rsid w:val="008A7265"/>
    <w:rsid w:val="008B23E9"/>
    <w:rsid w:val="008B3039"/>
    <w:rsid w:val="008C0559"/>
    <w:rsid w:val="008C1207"/>
    <w:rsid w:val="008C3763"/>
    <w:rsid w:val="008C5B20"/>
    <w:rsid w:val="008D038F"/>
    <w:rsid w:val="008D0BA9"/>
    <w:rsid w:val="008D2392"/>
    <w:rsid w:val="008D5BB0"/>
    <w:rsid w:val="008D7117"/>
    <w:rsid w:val="008E185C"/>
    <w:rsid w:val="008E19DD"/>
    <w:rsid w:val="008E1DC7"/>
    <w:rsid w:val="008E5AC0"/>
    <w:rsid w:val="008E6244"/>
    <w:rsid w:val="008F2A38"/>
    <w:rsid w:val="008F3E64"/>
    <w:rsid w:val="008F5DAC"/>
    <w:rsid w:val="008F7654"/>
    <w:rsid w:val="0090131A"/>
    <w:rsid w:val="00902884"/>
    <w:rsid w:val="00903EAE"/>
    <w:rsid w:val="009069DD"/>
    <w:rsid w:val="00914C1C"/>
    <w:rsid w:val="0091589D"/>
    <w:rsid w:val="00930625"/>
    <w:rsid w:val="00930C6A"/>
    <w:rsid w:val="009312EE"/>
    <w:rsid w:val="00931A46"/>
    <w:rsid w:val="009329EC"/>
    <w:rsid w:val="009342C0"/>
    <w:rsid w:val="0094287C"/>
    <w:rsid w:val="00944373"/>
    <w:rsid w:val="00944463"/>
    <w:rsid w:val="0094548B"/>
    <w:rsid w:val="00947358"/>
    <w:rsid w:val="00951504"/>
    <w:rsid w:val="00955AC5"/>
    <w:rsid w:val="0095602C"/>
    <w:rsid w:val="00956834"/>
    <w:rsid w:val="00957ABA"/>
    <w:rsid w:val="0096299F"/>
    <w:rsid w:val="00966595"/>
    <w:rsid w:val="00966B8B"/>
    <w:rsid w:val="00971B1A"/>
    <w:rsid w:val="00972562"/>
    <w:rsid w:val="0097383F"/>
    <w:rsid w:val="00981A37"/>
    <w:rsid w:val="00981DD0"/>
    <w:rsid w:val="00986E47"/>
    <w:rsid w:val="00990649"/>
    <w:rsid w:val="009912B8"/>
    <w:rsid w:val="00993121"/>
    <w:rsid w:val="0099370B"/>
    <w:rsid w:val="00993BA5"/>
    <w:rsid w:val="009A2E39"/>
    <w:rsid w:val="009A4C0F"/>
    <w:rsid w:val="009A5957"/>
    <w:rsid w:val="009A5B4C"/>
    <w:rsid w:val="009A75A0"/>
    <w:rsid w:val="009B08B2"/>
    <w:rsid w:val="009B13A1"/>
    <w:rsid w:val="009B1546"/>
    <w:rsid w:val="009B1644"/>
    <w:rsid w:val="009B70B0"/>
    <w:rsid w:val="009C414E"/>
    <w:rsid w:val="009D0425"/>
    <w:rsid w:val="009D1CC1"/>
    <w:rsid w:val="009D2402"/>
    <w:rsid w:val="009D385D"/>
    <w:rsid w:val="009D5D56"/>
    <w:rsid w:val="009D5DA2"/>
    <w:rsid w:val="009E0273"/>
    <w:rsid w:val="009E1CE4"/>
    <w:rsid w:val="009E2103"/>
    <w:rsid w:val="009E21DC"/>
    <w:rsid w:val="009E60FD"/>
    <w:rsid w:val="009E7450"/>
    <w:rsid w:val="009F372D"/>
    <w:rsid w:val="009F3879"/>
    <w:rsid w:val="009F3A74"/>
    <w:rsid w:val="009F48CB"/>
    <w:rsid w:val="009F5A99"/>
    <w:rsid w:val="009F6DAD"/>
    <w:rsid w:val="009F708A"/>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2269"/>
    <w:rsid w:val="00A36699"/>
    <w:rsid w:val="00A41D1F"/>
    <w:rsid w:val="00A45774"/>
    <w:rsid w:val="00A47EC0"/>
    <w:rsid w:val="00A537CF"/>
    <w:rsid w:val="00A5494C"/>
    <w:rsid w:val="00A55ECC"/>
    <w:rsid w:val="00A57A39"/>
    <w:rsid w:val="00A60570"/>
    <w:rsid w:val="00A608B1"/>
    <w:rsid w:val="00A61478"/>
    <w:rsid w:val="00A641DF"/>
    <w:rsid w:val="00A65BF5"/>
    <w:rsid w:val="00A71233"/>
    <w:rsid w:val="00A7187B"/>
    <w:rsid w:val="00A72386"/>
    <w:rsid w:val="00A728DB"/>
    <w:rsid w:val="00A73C0C"/>
    <w:rsid w:val="00A80312"/>
    <w:rsid w:val="00A8134F"/>
    <w:rsid w:val="00A81BDC"/>
    <w:rsid w:val="00A82727"/>
    <w:rsid w:val="00A8454A"/>
    <w:rsid w:val="00A84B88"/>
    <w:rsid w:val="00A94CD2"/>
    <w:rsid w:val="00A95EC1"/>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B7D63"/>
    <w:rsid w:val="00AC0479"/>
    <w:rsid w:val="00AC1993"/>
    <w:rsid w:val="00AC5873"/>
    <w:rsid w:val="00AC6677"/>
    <w:rsid w:val="00AD0D44"/>
    <w:rsid w:val="00AD1E23"/>
    <w:rsid w:val="00AD2225"/>
    <w:rsid w:val="00AD5CC0"/>
    <w:rsid w:val="00AD5EAB"/>
    <w:rsid w:val="00AD5EAF"/>
    <w:rsid w:val="00AE0B75"/>
    <w:rsid w:val="00AE2154"/>
    <w:rsid w:val="00AE57ED"/>
    <w:rsid w:val="00AF2DB3"/>
    <w:rsid w:val="00AF35EB"/>
    <w:rsid w:val="00AF42F0"/>
    <w:rsid w:val="00AF5B58"/>
    <w:rsid w:val="00B0128A"/>
    <w:rsid w:val="00B01BD5"/>
    <w:rsid w:val="00B029DC"/>
    <w:rsid w:val="00B02AB8"/>
    <w:rsid w:val="00B03943"/>
    <w:rsid w:val="00B05870"/>
    <w:rsid w:val="00B105A8"/>
    <w:rsid w:val="00B11074"/>
    <w:rsid w:val="00B142D1"/>
    <w:rsid w:val="00B14E33"/>
    <w:rsid w:val="00B1527C"/>
    <w:rsid w:val="00B153D1"/>
    <w:rsid w:val="00B1598F"/>
    <w:rsid w:val="00B15FDC"/>
    <w:rsid w:val="00B16B84"/>
    <w:rsid w:val="00B17B7E"/>
    <w:rsid w:val="00B21D03"/>
    <w:rsid w:val="00B23100"/>
    <w:rsid w:val="00B407CC"/>
    <w:rsid w:val="00B5270D"/>
    <w:rsid w:val="00B54F76"/>
    <w:rsid w:val="00B555A0"/>
    <w:rsid w:val="00B60FD0"/>
    <w:rsid w:val="00B621B6"/>
    <w:rsid w:val="00B63555"/>
    <w:rsid w:val="00B6443A"/>
    <w:rsid w:val="00B71990"/>
    <w:rsid w:val="00B71D61"/>
    <w:rsid w:val="00B828A5"/>
    <w:rsid w:val="00B82C46"/>
    <w:rsid w:val="00B85594"/>
    <w:rsid w:val="00B873B5"/>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32A4"/>
    <w:rsid w:val="00BC590E"/>
    <w:rsid w:val="00BD047B"/>
    <w:rsid w:val="00BD2B44"/>
    <w:rsid w:val="00BD2C00"/>
    <w:rsid w:val="00BD5DD4"/>
    <w:rsid w:val="00BE1391"/>
    <w:rsid w:val="00BE5918"/>
    <w:rsid w:val="00BE71B8"/>
    <w:rsid w:val="00BE7723"/>
    <w:rsid w:val="00BE7D5F"/>
    <w:rsid w:val="00BF25BF"/>
    <w:rsid w:val="00BF59C3"/>
    <w:rsid w:val="00BF618D"/>
    <w:rsid w:val="00BF79D3"/>
    <w:rsid w:val="00BF7C7C"/>
    <w:rsid w:val="00C02243"/>
    <w:rsid w:val="00C02729"/>
    <w:rsid w:val="00C03394"/>
    <w:rsid w:val="00C03D88"/>
    <w:rsid w:val="00C03F77"/>
    <w:rsid w:val="00C04FF1"/>
    <w:rsid w:val="00C1093F"/>
    <w:rsid w:val="00C12329"/>
    <w:rsid w:val="00C12651"/>
    <w:rsid w:val="00C13E44"/>
    <w:rsid w:val="00C20C1A"/>
    <w:rsid w:val="00C21CA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55738"/>
    <w:rsid w:val="00C57204"/>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4155"/>
    <w:rsid w:val="00CB5202"/>
    <w:rsid w:val="00CB556E"/>
    <w:rsid w:val="00CB6136"/>
    <w:rsid w:val="00CB634F"/>
    <w:rsid w:val="00CB7F80"/>
    <w:rsid w:val="00CC0329"/>
    <w:rsid w:val="00CC1325"/>
    <w:rsid w:val="00CC1B04"/>
    <w:rsid w:val="00CC6D62"/>
    <w:rsid w:val="00CC7A0A"/>
    <w:rsid w:val="00CD3BEC"/>
    <w:rsid w:val="00CD41B4"/>
    <w:rsid w:val="00CD472A"/>
    <w:rsid w:val="00CD5754"/>
    <w:rsid w:val="00CD6756"/>
    <w:rsid w:val="00CE0218"/>
    <w:rsid w:val="00CE2985"/>
    <w:rsid w:val="00CF094D"/>
    <w:rsid w:val="00CF1679"/>
    <w:rsid w:val="00CF26C4"/>
    <w:rsid w:val="00CF2987"/>
    <w:rsid w:val="00CF3458"/>
    <w:rsid w:val="00CF76E8"/>
    <w:rsid w:val="00CF7CE4"/>
    <w:rsid w:val="00D00D00"/>
    <w:rsid w:val="00D01D91"/>
    <w:rsid w:val="00D01EDD"/>
    <w:rsid w:val="00D10561"/>
    <w:rsid w:val="00D1271C"/>
    <w:rsid w:val="00D1311C"/>
    <w:rsid w:val="00D14B39"/>
    <w:rsid w:val="00D15DC7"/>
    <w:rsid w:val="00D162B5"/>
    <w:rsid w:val="00D22960"/>
    <w:rsid w:val="00D2734D"/>
    <w:rsid w:val="00D40FB2"/>
    <w:rsid w:val="00D426E7"/>
    <w:rsid w:val="00D4314E"/>
    <w:rsid w:val="00D4479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839E5"/>
    <w:rsid w:val="00D91A6D"/>
    <w:rsid w:val="00D91D80"/>
    <w:rsid w:val="00D94CCC"/>
    <w:rsid w:val="00D95631"/>
    <w:rsid w:val="00D96B64"/>
    <w:rsid w:val="00D9777E"/>
    <w:rsid w:val="00D97A1D"/>
    <w:rsid w:val="00D97E0B"/>
    <w:rsid w:val="00D97F9A"/>
    <w:rsid w:val="00DA0588"/>
    <w:rsid w:val="00DA0EB6"/>
    <w:rsid w:val="00DA3638"/>
    <w:rsid w:val="00DA4644"/>
    <w:rsid w:val="00DA65BE"/>
    <w:rsid w:val="00DA73FE"/>
    <w:rsid w:val="00DB3E79"/>
    <w:rsid w:val="00DB70C4"/>
    <w:rsid w:val="00DB7968"/>
    <w:rsid w:val="00DB7D4C"/>
    <w:rsid w:val="00DC332A"/>
    <w:rsid w:val="00DC3F21"/>
    <w:rsid w:val="00DC3F78"/>
    <w:rsid w:val="00DC41DE"/>
    <w:rsid w:val="00DC728C"/>
    <w:rsid w:val="00DD2AC4"/>
    <w:rsid w:val="00DD3F35"/>
    <w:rsid w:val="00DE2A7B"/>
    <w:rsid w:val="00DE66BD"/>
    <w:rsid w:val="00DF40ED"/>
    <w:rsid w:val="00E01CEC"/>
    <w:rsid w:val="00E0391A"/>
    <w:rsid w:val="00E03A9E"/>
    <w:rsid w:val="00E07172"/>
    <w:rsid w:val="00E11054"/>
    <w:rsid w:val="00E120D0"/>
    <w:rsid w:val="00E22774"/>
    <w:rsid w:val="00E229A3"/>
    <w:rsid w:val="00E26BA3"/>
    <w:rsid w:val="00E31EF1"/>
    <w:rsid w:val="00E33ABF"/>
    <w:rsid w:val="00E3682A"/>
    <w:rsid w:val="00E41098"/>
    <w:rsid w:val="00E47782"/>
    <w:rsid w:val="00E50EEB"/>
    <w:rsid w:val="00E51BC9"/>
    <w:rsid w:val="00E548F9"/>
    <w:rsid w:val="00E55AAB"/>
    <w:rsid w:val="00E564E8"/>
    <w:rsid w:val="00E63DEA"/>
    <w:rsid w:val="00E65FE2"/>
    <w:rsid w:val="00E71056"/>
    <w:rsid w:val="00E718BD"/>
    <w:rsid w:val="00E722AF"/>
    <w:rsid w:val="00E76B9D"/>
    <w:rsid w:val="00E80CEE"/>
    <w:rsid w:val="00E82C12"/>
    <w:rsid w:val="00E85916"/>
    <w:rsid w:val="00E94FF9"/>
    <w:rsid w:val="00E95529"/>
    <w:rsid w:val="00EA01AC"/>
    <w:rsid w:val="00EA08D1"/>
    <w:rsid w:val="00EA0B33"/>
    <w:rsid w:val="00EA100C"/>
    <w:rsid w:val="00EA2846"/>
    <w:rsid w:val="00EA5777"/>
    <w:rsid w:val="00EB2966"/>
    <w:rsid w:val="00EB4DF2"/>
    <w:rsid w:val="00EB5C29"/>
    <w:rsid w:val="00EC10FD"/>
    <w:rsid w:val="00EC14FC"/>
    <w:rsid w:val="00EC4686"/>
    <w:rsid w:val="00EC5966"/>
    <w:rsid w:val="00ED07DF"/>
    <w:rsid w:val="00ED0B9A"/>
    <w:rsid w:val="00ED0D88"/>
    <w:rsid w:val="00ED3D74"/>
    <w:rsid w:val="00ED7B90"/>
    <w:rsid w:val="00EE073C"/>
    <w:rsid w:val="00EE1282"/>
    <w:rsid w:val="00EE2D47"/>
    <w:rsid w:val="00EE37D3"/>
    <w:rsid w:val="00EE58E9"/>
    <w:rsid w:val="00EF0350"/>
    <w:rsid w:val="00EF0F77"/>
    <w:rsid w:val="00EF6EED"/>
    <w:rsid w:val="00F00E4D"/>
    <w:rsid w:val="00F02AE8"/>
    <w:rsid w:val="00F056ED"/>
    <w:rsid w:val="00F07436"/>
    <w:rsid w:val="00F078AC"/>
    <w:rsid w:val="00F10AF7"/>
    <w:rsid w:val="00F12497"/>
    <w:rsid w:val="00F21E75"/>
    <w:rsid w:val="00F228E6"/>
    <w:rsid w:val="00F266D3"/>
    <w:rsid w:val="00F26C6C"/>
    <w:rsid w:val="00F26E96"/>
    <w:rsid w:val="00F2739F"/>
    <w:rsid w:val="00F30797"/>
    <w:rsid w:val="00F30E6C"/>
    <w:rsid w:val="00F347FB"/>
    <w:rsid w:val="00F35A52"/>
    <w:rsid w:val="00F41CD5"/>
    <w:rsid w:val="00F43570"/>
    <w:rsid w:val="00F45A80"/>
    <w:rsid w:val="00F4720B"/>
    <w:rsid w:val="00F47CA4"/>
    <w:rsid w:val="00F53BD0"/>
    <w:rsid w:val="00F54766"/>
    <w:rsid w:val="00F65883"/>
    <w:rsid w:val="00F74F1B"/>
    <w:rsid w:val="00F775A7"/>
    <w:rsid w:val="00F777B4"/>
    <w:rsid w:val="00F81AB7"/>
    <w:rsid w:val="00F83718"/>
    <w:rsid w:val="00F84042"/>
    <w:rsid w:val="00F842E4"/>
    <w:rsid w:val="00F84D28"/>
    <w:rsid w:val="00F855FA"/>
    <w:rsid w:val="00F85C7F"/>
    <w:rsid w:val="00F9092C"/>
    <w:rsid w:val="00F93BC7"/>
    <w:rsid w:val="00F94421"/>
    <w:rsid w:val="00F946ED"/>
    <w:rsid w:val="00F965BC"/>
    <w:rsid w:val="00FA2A4F"/>
    <w:rsid w:val="00FA2CCF"/>
    <w:rsid w:val="00FA3740"/>
    <w:rsid w:val="00FA3A1B"/>
    <w:rsid w:val="00FA3EB5"/>
    <w:rsid w:val="00FB0857"/>
    <w:rsid w:val="00FB13A9"/>
    <w:rsid w:val="00FB265C"/>
    <w:rsid w:val="00FB556D"/>
    <w:rsid w:val="00FC033B"/>
    <w:rsid w:val="00FC0B62"/>
    <w:rsid w:val="00FC2011"/>
    <w:rsid w:val="00FC2B90"/>
    <w:rsid w:val="00FC3ACB"/>
    <w:rsid w:val="00FC4A2E"/>
    <w:rsid w:val="00FC53B1"/>
    <w:rsid w:val="00FC6726"/>
    <w:rsid w:val="00FD4385"/>
    <w:rsid w:val="00FD5FBD"/>
    <w:rsid w:val="00FE2CB7"/>
    <w:rsid w:val="00FE4969"/>
    <w:rsid w:val="00FE5B14"/>
    <w:rsid w:val="00FE773A"/>
    <w:rsid w:val="00FF07C1"/>
    <w:rsid w:val="00FF2B51"/>
    <w:rsid w:val="00FF2D1F"/>
    <w:rsid w:val="00FF3F05"/>
    <w:rsid w:val="00FF40F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162B5"/>
  <w15:docId w15:val="{8A0BF0F1-7414-4C10-82B2-934BAFB0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099"/>
    <w:rPr>
      <w:rFonts w:ascii="Arial" w:hAnsi="Arial" w:cs="Arial"/>
      <w:sz w:val="22"/>
    </w:rPr>
  </w:style>
  <w:style w:type="paragraph" w:styleId="Heading1">
    <w:name w:val="heading 1"/>
    <w:basedOn w:val="Normal"/>
    <w:next w:val="Normal"/>
    <w:link w:val="Heading1Char"/>
    <w:qFormat/>
    <w:rsid w:val="00856099"/>
    <w:pPr>
      <w:tabs>
        <w:tab w:val="center" w:pos="4153"/>
      </w:tabs>
      <w:spacing w:line="240" w:lineRule="exact"/>
      <w:ind w:right="-680"/>
      <w:jc w:val="right"/>
      <w:outlineLvl w:val="0"/>
    </w:pPr>
    <w:rPr>
      <w:rFonts w:cs="Times New Roman"/>
      <w:sz w:val="18"/>
      <w:szCs w:val="18"/>
      <w:lang w:val="x-none" w:eastAsia="x-none"/>
    </w:rPr>
  </w:style>
  <w:style w:type="paragraph" w:styleId="Heading2">
    <w:name w:val="heading 2"/>
    <w:basedOn w:val="Heading1"/>
    <w:next w:val="Normal"/>
    <w:link w:val="Heading2Char"/>
    <w:qFormat/>
    <w:rsid w:val="00856099"/>
    <w:pPr>
      <w:outlineLvl w:val="1"/>
    </w:pPr>
    <w:rPr>
      <w:b/>
    </w:rPr>
  </w:style>
  <w:style w:type="paragraph" w:styleId="Heading4">
    <w:name w:val="heading 4"/>
    <w:basedOn w:val="Normal"/>
    <w:next w:val="Normal"/>
    <w:qFormat/>
    <w:rsid w:val="0085609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56099"/>
    <w:pPr>
      <w:spacing w:before="240" w:after="60"/>
      <w:outlineLvl w:val="4"/>
    </w:pPr>
    <w:rPr>
      <w:b/>
      <w:bCs/>
      <w:i/>
      <w:iCs/>
      <w:sz w:val="26"/>
      <w:szCs w:val="26"/>
    </w:rPr>
  </w:style>
  <w:style w:type="paragraph" w:styleId="Heading6">
    <w:name w:val="heading 6"/>
    <w:basedOn w:val="Normal"/>
    <w:next w:val="Normal"/>
    <w:qFormat/>
    <w:rsid w:val="00856099"/>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56099"/>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56099"/>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56099"/>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856099"/>
    <w:rPr>
      <w:rFonts w:ascii="Arial" w:eastAsia="Times New Roman" w:hAnsi="Arial"/>
      <w:sz w:val="18"/>
      <w:szCs w:val="18"/>
    </w:rPr>
  </w:style>
  <w:style w:type="character" w:customStyle="1" w:styleId="Heading2Char">
    <w:name w:val="Heading 2 Char"/>
    <w:link w:val="Heading2"/>
    <w:rsid w:val="00856099"/>
    <w:rPr>
      <w:rFonts w:ascii="Arial" w:eastAsia="Times New Roman" w:hAnsi="Arial"/>
      <w:b/>
      <w:sz w:val="18"/>
      <w:szCs w:val="18"/>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364D5F"/>
    <w:pPr>
      <w:pBdr>
        <w:bottom w:val="single" w:sz="4" w:space="1" w:color="auto"/>
      </w:pBdr>
      <w:spacing w:before="360" w:after="120"/>
    </w:pPr>
    <w:rPr>
      <w:rFonts w:cs="Times New Roman"/>
      <w:b/>
      <w:bCs/>
    </w:rPr>
  </w:style>
  <w:style w:type="numbering" w:customStyle="1" w:styleId="Text">
    <w:name w:val="Text"/>
    <w:rsid w:val="00545D20"/>
    <w:pPr>
      <w:numPr>
        <w:numId w:val="46"/>
      </w:numPr>
    </w:pPr>
  </w:style>
  <w:style w:type="character" w:styleId="Hyperlink">
    <w:name w:val="Hyperlink"/>
    <w:rsid w:val="00545D20"/>
    <w:rPr>
      <w:color w:val="0000FF"/>
      <w:u w:val="single"/>
    </w:rPr>
  </w:style>
  <w:style w:type="paragraph" w:styleId="BlockText">
    <w:name w:val="Block Text"/>
    <w:basedOn w:val="ListNumber"/>
    <w:link w:val="BlockTextChar"/>
    <w:rsid w:val="002C5206"/>
    <w:pPr>
      <w:numPr>
        <w:numId w:val="3"/>
      </w:numPr>
      <w:spacing w:after="120"/>
      <w:jc w:val="both"/>
    </w:pPr>
    <w:rPr>
      <w:rFonts w:cs="Times New Roman"/>
      <w:lang w:val="x-none" w:eastAsia="x-none"/>
    </w:rPr>
  </w:style>
  <w:style w:type="paragraph" w:customStyle="1" w:styleId="HeadingThree">
    <w:name w:val="Heading Three"/>
    <w:basedOn w:val="HeadingTwo"/>
    <w:link w:val="HeadingThreeChar"/>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customStyle="1" w:styleId="Subheading1">
    <w:name w:val="Subheading 1"/>
    <w:basedOn w:val="Normal"/>
    <w:autoRedefine/>
    <w:rsid w:val="00DE66BD"/>
    <w:pPr>
      <w:spacing w:before="240" w:line="300" w:lineRule="exact"/>
      <w:jc w:val="both"/>
    </w:pPr>
    <w:rPr>
      <w:rFonts w:cs="Times New Roman"/>
      <w:b/>
      <w:sz w:val="24"/>
      <w:szCs w:val="24"/>
    </w:rPr>
  </w:style>
  <w:style w:type="paragraph" w:styleId="ListNumber">
    <w:name w:val="List Number"/>
    <w:basedOn w:val="Normal"/>
    <w:rsid w:val="00890996"/>
    <w:pPr>
      <w:numPr>
        <w:numId w:val="8"/>
      </w:numPr>
    </w:pPr>
  </w:style>
  <w:style w:type="paragraph" w:customStyle="1" w:styleId="BodyText">
    <w:name w:val="Body Text."/>
    <w:basedOn w:val="Normal"/>
    <w:autoRedefine/>
    <w:rsid w:val="00DE66BD"/>
    <w:pPr>
      <w:numPr>
        <w:numId w:val="26"/>
      </w:numPr>
      <w:jc w:val="both"/>
    </w:pPr>
    <w:rPr>
      <w:rFonts w:cs="Times New Roman"/>
      <w:sz w:val="24"/>
      <w:szCs w:val="24"/>
    </w:rPr>
  </w:style>
  <w:style w:type="paragraph" w:styleId="FootnoteText">
    <w:name w:val="footnote text"/>
    <w:basedOn w:val="Normal"/>
    <w:semiHidden/>
    <w:rsid w:val="0094287C"/>
    <w:rPr>
      <w:rFonts w:cs="Times New Roman"/>
      <w:sz w:val="16"/>
    </w:rPr>
  </w:style>
  <w:style w:type="character" w:styleId="FootnoteReference">
    <w:name w:val="footnote reference"/>
    <w:semiHidden/>
    <w:rsid w:val="00DE66BD"/>
    <w:rPr>
      <w:vertAlign w:val="superscript"/>
    </w:rPr>
  </w:style>
  <w:style w:type="paragraph" w:styleId="ListParagraph">
    <w:name w:val="List Paragraph"/>
    <w:basedOn w:val="Normal"/>
    <w:qFormat/>
    <w:rsid w:val="00856099"/>
    <w:pPr>
      <w:ind w:left="720"/>
    </w:pPr>
    <w:rPr>
      <w:rFonts w:ascii="Times New Roman" w:hAnsi="Times New Roman"/>
      <w:sz w:val="24"/>
      <w:szCs w:val="24"/>
    </w:rPr>
  </w:style>
  <w:style w:type="character" w:customStyle="1" w:styleId="HeadingTwoChar">
    <w:name w:val="Heading Two Char"/>
    <w:link w:val="HeadingTwo"/>
    <w:rsid w:val="00DE66BD"/>
    <w:rPr>
      <w:rFonts w:ascii="Arial" w:hAnsi="Arial"/>
      <w:b/>
      <w:bCs/>
      <w:sz w:val="22"/>
      <w:lang w:val="en-AU" w:eastAsia="en-AU" w:bidi="ar-SA"/>
    </w:rPr>
  </w:style>
  <w:style w:type="character" w:customStyle="1" w:styleId="HeadingThreeChar">
    <w:name w:val="Heading Three Char"/>
    <w:link w:val="HeadingThree"/>
    <w:rsid w:val="00DE66BD"/>
    <w:rPr>
      <w:rFonts w:ascii="Arial" w:hAnsi="Arial"/>
      <w:b/>
      <w:bCs/>
      <w:i/>
      <w:iCs/>
      <w:sz w:val="22"/>
      <w:lang w:val="en-AU" w:eastAsia="en-AU" w:bidi="ar-SA"/>
    </w:rPr>
  </w:style>
  <w:style w:type="character" w:customStyle="1" w:styleId="BlockTextChar">
    <w:name w:val="Block Text Char"/>
    <w:link w:val="BlockText"/>
    <w:rsid w:val="002C5206"/>
    <w:rPr>
      <w:rFonts w:ascii="Arial" w:hAnsi="Arial" w:cs="Arial"/>
      <w:sz w:val="22"/>
    </w:rPr>
  </w:style>
  <w:style w:type="paragraph" w:customStyle="1" w:styleId="ExampleText">
    <w:name w:val="Example Text"/>
    <w:basedOn w:val="BlockText"/>
    <w:rsid w:val="00102E5F"/>
    <w:pPr>
      <w:keepLines/>
      <w:numPr>
        <w:numId w:val="0"/>
      </w:numPr>
      <w:pBdr>
        <w:top w:val="single" w:sz="4" w:space="1" w:color="auto"/>
        <w:left w:val="single" w:sz="4" w:space="4" w:color="auto"/>
        <w:bottom w:val="single" w:sz="4" w:space="1" w:color="auto"/>
        <w:right w:val="single" w:sz="4" w:space="4" w:color="auto"/>
      </w:pBdr>
      <w:shd w:val="clear" w:color="auto" w:fill="F3F3F3"/>
    </w:pPr>
  </w:style>
  <w:style w:type="paragraph" w:customStyle="1" w:styleId="StyleHeadingThreeNotBoldUnderlineJustified">
    <w:name w:val="Style Heading Three + Not Bold Underline Justified"/>
    <w:basedOn w:val="HeadingThree"/>
    <w:rsid w:val="002C5206"/>
    <w:pPr>
      <w:keepNext/>
      <w:jc w:val="both"/>
    </w:pPr>
    <w:rPr>
      <w:b w:val="0"/>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7941">
      <w:bodyDiv w:val="1"/>
      <w:marLeft w:val="0"/>
      <w:marRight w:val="0"/>
      <w:marTop w:val="0"/>
      <w:marBottom w:val="0"/>
      <w:divBdr>
        <w:top w:val="none" w:sz="0" w:space="0" w:color="auto"/>
        <w:left w:val="none" w:sz="0" w:space="0" w:color="auto"/>
        <w:bottom w:val="none" w:sz="0" w:space="0" w:color="auto"/>
        <w:right w:val="none" w:sz="0" w:space="0" w:color="auto"/>
      </w:divBdr>
    </w:div>
    <w:div w:id="969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venue.nt.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trevenue@nt.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 xsi:nil="true"/>
    <Publication_x0020_Title xmlns="378e824e-6e02-4c0d-8321-dd86fba681ee">Capital Recognition Deductions</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RG-MRA-006</Identifier>
    <Notify xmlns="378e824e-6e02-4c0d-8321-dd86fba681ee">true</Notify>
    <Publication_x0020_Type xmlns="378e824e-6e02-4c0d-8321-dd86fba681ee">Royalty Guideline (RG)</Publication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0A339-72B8-4C22-B589-126D4C90F375}">
  <ds:schemaRefs>
    <ds:schemaRef ds:uri="http://schemas.microsoft.com/sharepoint/v3/contenttype/forms"/>
  </ds:schemaRefs>
</ds:datastoreItem>
</file>

<file path=customXml/itemProps2.xml><?xml version="1.0" encoding="utf-8"?>
<ds:datastoreItem xmlns:ds="http://schemas.openxmlformats.org/officeDocument/2006/customXml" ds:itemID="{F8B06BCB-71E7-4F85-ABCC-251610A9A6DB}">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DF504997-4436-4CCF-92CB-345F7F22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3122</Words>
  <Characters>17797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Capital Recognition Deductions</vt:lpstr>
    </vt:vector>
  </TitlesOfParts>
  <Company>Northern Territory Government</Company>
  <LinksUpToDate>false</LinksUpToDate>
  <CharactersWithSpaces>20878</CharactersWithSpaces>
  <SharedDoc>false</SharedDoc>
  <HLinks>
    <vt:vector size="60" baseType="variant">
      <vt:variant>
        <vt:i4>5242895</vt:i4>
      </vt:variant>
      <vt:variant>
        <vt:i4>27</vt:i4>
      </vt:variant>
      <vt:variant>
        <vt:i4>0</vt:i4>
      </vt:variant>
      <vt:variant>
        <vt:i4>5</vt:i4>
      </vt:variant>
      <vt:variant>
        <vt:lpwstr>http://www.revenue.nt.gov.au/</vt:lpwstr>
      </vt:variant>
      <vt:variant>
        <vt:lpwstr/>
      </vt:variant>
      <vt:variant>
        <vt:i4>7143509</vt:i4>
      </vt:variant>
      <vt:variant>
        <vt:i4>24</vt:i4>
      </vt:variant>
      <vt:variant>
        <vt:i4>0</vt:i4>
      </vt:variant>
      <vt:variant>
        <vt:i4>5</vt:i4>
      </vt:variant>
      <vt:variant>
        <vt:lpwstr>mailto:ntrevenue.ntt@nt.gov.au</vt:lpwstr>
      </vt:variant>
      <vt:variant>
        <vt:lpwstr/>
      </vt:variant>
      <vt:variant>
        <vt:i4>2031643</vt:i4>
      </vt:variant>
      <vt:variant>
        <vt:i4>21</vt:i4>
      </vt:variant>
      <vt:variant>
        <vt:i4>0</vt:i4>
      </vt:variant>
      <vt:variant>
        <vt:i4>5</vt:i4>
      </vt:variant>
      <vt:variant>
        <vt:lpwstr>http://www.treasury.nt.gov.au/PMS/Publications/TaxesRoyaltiesGrants/Royalties/RG-MRA-001.pdf</vt:lpwstr>
      </vt:variant>
      <vt:variant>
        <vt:lpwstr/>
      </vt:variant>
      <vt:variant>
        <vt:i4>786558</vt:i4>
      </vt:variant>
      <vt:variant>
        <vt:i4>18</vt:i4>
      </vt:variant>
      <vt:variant>
        <vt:i4>0</vt:i4>
      </vt:variant>
      <vt:variant>
        <vt:i4>5</vt:i4>
      </vt:variant>
      <vt:variant>
        <vt:lpwstr>http://www.treasury.nt.gov.au/Static Publications/Taxes Royalties and Grants/Payroll Tax/MRA_overview.pdf</vt:lpwstr>
      </vt:variant>
      <vt:variant>
        <vt:lpwstr/>
      </vt:variant>
      <vt:variant>
        <vt:i4>1703963</vt:i4>
      </vt:variant>
      <vt:variant>
        <vt:i4>15</vt:i4>
      </vt:variant>
      <vt:variant>
        <vt:i4>0</vt:i4>
      </vt:variant>
      <vt:variant>
        <vt:i4>5</vt:i4>
      </vt:variant>
      <vt:variant>
        <vt:lpwstr>http://www.treasury.nt.gov.au/PMS/Publications/TaxesRoyaltiesGrants/Royalties/RG-MRA-004.pdf</vt:lpwstr>
      </vt:variant>
      <vt:variant>
        <vt:lpwstr/>
      </vt:variant>
      <vt:variant>
        <vt:i4>1703963</vt:i4>
      </vt:variant>
      <vt:variant>
        <vt:i4>12</vt:i4>
      </vt:variant>
      <vt:variant>
        <vt:i4>0</vt:i4>
      </vt:variant>
      <vt:variant>
        <vt:i4>5</vt:i4>
      </vt:variant>
      <vt:variant>
        <vt:lpwstr>http://www.treasury.nt.gov.au/PMS/Publications/TaxesRoyaltiesGrants/Royalties/RG-MRA-004.pdf</vt:lpwstr>
      </vt:variant>
      <vt:variant>
        <vt:lpwstr/>
      </vt:variant>
      <vt:variant>
        <vt:i4>1638427</vt:i4>
      </vt:variant>
      <vt:variant>
        <vt:i4>9</vt:i4>
      </vt:variant>
      <vt:variant>
        <vt:i4>0</vt:i4>
      </vt:variant>
      <vt:variant>
        <vt:i4>5</vt:i4>
      </vt:variant>
      <vt:variant>
        <vt:lpwstr>http://www.treasury.nt.gov.au/PMS/Publications/TaxesRoyaltiesGrants/Royalties/RG-MRA-007.pdf</vt:lpwstr>
      </vt:variant>
      <vt:variant>
        <vt:lpwstr/>
      </vt:variant>
      <vt:variant>
        <vt:i4>1638427</vt:i4>
      </vt:variant>
      <vt:variant>
        <vt:i4>6</vt:i4>
      </vt:variant>
      <vt:variant>
        <vt:i4>0</vt:i4>
      </vt:variant>
      <vt:variant>
        <vt:i4>5</vt:i4>
      </vt:variant>
      <vt:variant>
        <vt:lpwstr>http://www.treasury.nt.gov.au/PMS/Publications/TaxesRoyaltiesGrants/Royalties/RG-MRA-007.pdf</vt:lpwstr>
      </vt:variant>
      <vt:variant>
        <vt:lpwstr/>
      </vt:variant>
      <vt:variant>
        <vt:i4>1835035</vt:i4>
      </vt:variant>
      <vt:variant>
        <vt:i4>3</vt:i4>
      </vt:variant>
      <vt:variant>
        <vt:i4>0</vt:i4>
      </vt:variant>
      <vt:variant>
        <vt:i4>5</vt:i4>
      </vt:variant>
      <vt:variant>
        <vt:lpwstr>http://www.treasury.nt.gov.au/PMS/Publications/TaxesRoyaltiesGrants/Royalties/RG-MRA-002.pdf</vt:lpwstr>
      </vt:variant>
      <vt:variant>
        <vt:lpwstr/>
      </vt:variant>
      <vt:variant>
        <vt:i4>1769499</vt:i4>
      </vt:variant>
      <vt:variant>
        <vt:i4>0</vt:i4>
      </vt:variant>
      <vt:variant>
        <vt:i4>0</vt:i4>
      </vt:variant>
      <vt:variant>
        <vt:i4>5</vt:i4>
      </vt:variant>
      <vt:variant>
        <vt:lpwstr>http://www.treasury.nt.gov.au/PMS/Publications/TaxesRoyaltiesGrants/Royalties/RG-MRA-005.pdf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Recognition Deductions</dc:title>
  <dc:subject/>
  <dc:creator>sschu</dc:creator>
  <cp:keywords/>
  <dc:description/>
  <cp:lastModifiedBy>Jessica Symonds</cp:lastModifiedBy>
  <cp:revision>4</cp:revision>
  <cp:lastPrinted>2011-05-04T22:29:00Z</cp:lastPrinted>
  <dcterms:created xsi:type="dcterms:W3CDTF">2019-07-04T00:58:00Z</dcterms:created>
  <dcterms:modified xsi:type="dcterms:W3CDTF">2021-09-14T06:43:00Z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