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6CB" w:rsidRPr="00C27A0A" w:rsidRDefault="00C27A0A" w:rsidP="00C27A0A">
      <w:pPr>
        <w:pStyle w:val="HeadingOne"/>
      </w:pPr>
      <w:r w:rsidRPr="00C27A0A">
        <w:t>MINERAL ROYALTY ACT</w:t>
      </w:r>
      <w:r w:rsidR="008054FB">
        <w:t xml:space="preserve"> </w:t>
      </w:r>
    </w:p>
    <w:p w:rsidR="00C27A0A" w:rsidRPr="00C27A0A" w:rsidRDefault="00C27A0A" w:rsidP="00C27A0A">
      <w:pPr>
        <w:pStyle w:val="HeadingOne"/>
      </w:pPr>
      <w:r w:rsidRPr="00C27A0A">
        <w:t>Royal</w:t>
      </w:r>
      <w:r>
        <w:t>t</w:t>
      </w:r>
      <w:r w:rsidRPr="00C27A0A">
        <w:t>y Guideline</w:t>
      </w:r>
    </w:p>
    <w:p w:rsidR="00C27A0A" w:rsidRPr="00C27A0A" w:rsidRDefault="00C27A0A" w:rsidP="00C27A0A">
      <w:pPr>
        <w:pStyle w:val="HeadingOne"/>
      </w:pPr>
      <w:r w:rsidRPr="00C27A0A">
        <w:t>RG-MRA-</w:t>
      </w:r>
      <w:r w:rsidR="002C1012">
        <w:t>004</w:t>
      </w:r>
      <w:r w:rsidRPr="00C27A0A">
        <w:t xml:space="preserve">: </w:t>
      </w:r>
      <w:r w:rsidR="002C1012">
        <w:t>Gross Realization</w:t>
      </w:r>
    </w:p>
    <w:p w:rsidR="00C27A0A" w:rsidRDefault="00C27A0A" w:rsidP="00C27A0A">
      <w:pPr>
        <w:rPr>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877"/>
        <w:gridCol w:w="1969"/>
        <w:gridCol w:w="2104"/>
        <w:gridCol w:w="2105"/>
      </w:tblGrid>
      <w:tr w:rsidR="00C27A0A" w:rsidRPr="008E7052" w:rsidTr="00334188">
        <w:trPr>
          <w:jc w:val="center"/>
        </w:trPr>
        <w:tc>
          <w:tcPr>
            <w:tcW w:w="877" w:type="dxa"/>
          </w:tcPr>
          <w:p w:rsidR="00C27A0A" w:rsidRPr="008E7052" w:rsidRDefault="00C27A0A" w:rsidP="008E7052">
            <w:pPr>
              <w:jc w:val="center"/>
              <w:rPr>
                <w:b/>
                <w:sz w:val="18"/>
                <w:szCs w:val="18"/>
              </w:rPr>
            </w:pPr>
            <w:bookmarkStart w:id="0" w:name="OLE_LINK1"/>
            <w:bookmarkStart w:id="1" w:name="OLE_LINK2"/>
            <w:r w:rsidRPr="008E7052">
              <w:rPr>
                <w:b/>
                <w:sz w:val="18"/>
                <w:szCs w:val="18"/>
              </w:rPr>
              <w:t>Version</w:t>
            </w:r>
          </w:p>
        </w:tc>
        <w:tc>
          <w:tcPr>
            <w:tcW w:w="1969" w:type="dxa"/>
          </w:tcPr>
          <w:p w:rsidR="00C27A0A" w:rsidRPr="008E7052" w:rsidRDefault="00C27A0A" w:rsidP="008E7052">
            <w:pPr>
              <w:jc w:val="center"/>
              <w:rPr>
                <w:b/>
                <w:sz w:val="18"/>
                <w:szCs w:val="18"/>
              </w:rPr>
            </w:pPr>
            <w:r w:rsidRPr="008E7052">
              <w:rPr>
                <w:b/>
                <w:sz w:val="18"/>
                <w:szCs w:val="18"/>
              </w:rPr>
              <w:t>Issued</w:t>
            </w:r>
          </w:p>
        </w:tc>
        <w:tc>
          <w:tcPr>
            <w:tcW w:w="4209" w:type="dxa"/>
            <w:gridSpan w:val="2"/>
          </w:tcPr>
          <w:p w:rsidR="00C27A0A" w:rsidRPr="008E7052" w:rsidRDefault="00C27A0A" w:rsidP="008E7052">
            <w:pPr>
              <w:jc w:val="center"/>
              <w:rPr>
                <w:b/>
                <w:sz w:val="18"/>
                <w:szCs w:val="18"/>
              </w:rPr>
            </w:pPr>
            <w:r w:rsidRPr="008E7052">
              <w:rPr>
                <w:b/>
                <w:sz w:val="18"/>
                <w:szCs w:val="18"/>
              </w:rPr>
              <w:t>Dates of Effect</w:t>
            </w:r>
          </w:p>
        </w:tc>
      </w:tr>
      <w:tr w:rsidR="00C27A0A" w:rsidRPr="008E7052" w:rsidTr="00334188">
        <w:trPr>
          <w:jc w:val="center"/>
        </w:trPr>
        <w:tc>
          <w:tcPr>
            <w:tcW w:w="877" w:type="dxa"/>
          </w:tcPr>
          <w:p w:rsidR="00C27A0A" w:rsidRPr="008E7052" w:rsidRDefault="00334188" w:rsidP="008E7052">
            <w:pPr>
              <w:jc w:val="center"/>
              <w:rPr>
                <w:sz w:val="18"/>
                <w:szCs w:val="18"/>
              </w:rPr>
            </w:pPr>
            <w:r>
              <w:rPr>
                <w:sz w:val="18"/>
                <w:szCs w:val="18"/>
              </w:rPr>
              <w:t>1</w:t>
            </w:r>
          </w:p>
        </w:tc>
        <w:tc>
          <w:tcPr>
            <w:tcW w:w="1969" w:type="dxa"/>
          </w:tcPr>
          <w:p w:rsidR="00C27A0A" w:rsidRPr="008E7052" w:rsidRDefault="00334188" w:rsidP="008E7052">
            <w:pPr>
              <w:jc w:val="center"/>
              <w:rPr>
                <w:sz w:val="18"/>
                <w:szCs w:val="18"/>
              </w:rPr>
            </w:pPr>
            <w:r>
              <w:rPr>
                <w:sz w:val="18"/>
                <w:szCs w:val="18"/>
              </w:rPr>
              <w:t>29 August 2011</w:t>
            </w:r>
          </w:p>
        </w:tc>
        <w:tc>
          <w:tcPr>
            <w:tcW w:w="2104" w:type="dxa"/>
          </w:tcPr>
          <w:p w:rsidR="00C27A0A" w:rsidRPr="008E7052" w:rsidRDefault="00334188" w:rsidP="00AD2225">
            <w:pPr>
              <w:rPr>
                <w:sz w:val="18"/>
                <w:szCs w:val="18"/>
              </w:rPr>
            </w:pPr>
            <w:r>
              <w:rPr>
                <w:sz w:val="18"/>
                <w:szCs w:val="18"/>
              </w:rPr>
              <w:t>From: 29 August 2011</w:t>
            </w:r>
          </w:p>
        </w:tc>
        <w:tc>
          <w:tcPr>
            <w:tcW w:w="2105" w:type="dxa"/>
          </w:tcPr>
          <w:p w:rsidR="00C27A0A" w:rsidRPr="008E7052" w:rsidRDefault="009D6C8B" w:rsidP="00AD2225">
            <w:pPr>
              <w:rPr>
                <w:sz w:val="18"/>
                <w:szCs w:val="18"/>
              </w:rPr>
            </w:pPr>
            <w:r>
              <w:rPr>
                <w:sz w:val="18"/>
                <w:szCs w:val="18"/>
              </w:rPr>
              <w:t>To: 30 June 2013</w:t>
            </w:r>
          </w:p>
        </w:tc>
      </w:tr>
      <w:bookmarkEnd w:id="0"/>
      <w:bookmarkEnd w:id="1"/>
    </w:tbl>
    <w:p w:rsidR="00C27A0A" w:rsidRDefault="00C27A0A" w:rsidP="00C27A0A">
      <w:pPr>
        <w:rPr>
          <w:szCs w:val="22"/>
        </w:rPr>
      </w:pPr>
    </w:p>
    <w:p w:rsidR="00C27A0A" w:rsidRDefault="00BC590E" w:rsidP="0059377F">
      <w:pPr>
        <w:pStyle w:val="HeadingTwo"/>
        <w:jc w:val="both"/>
      </w:pPr>
      <w:r>
        <w:t xml:space="preserve">Purpose </w:t>
      </w:r>
    </w:p>
    <w:p w:rsidR="0066768C" w:rsidRDefault="0066768C" w:rsidP="0059377F">
      <w:pPr>
        <w:pStyle w:val="BlockText"/>
        <w:jc w:val="both"/>
      </w:pPr>
      <w:r>
        <w:t xml:space="preserve">This </w:t>
      </w:r>
      <w:r w:rsidR="006A6E06">
        <w:t>G</w:t>
      </w:r>
      <w:r>
        <w:t xml:space="preserve">uideline </w:t>
      </w:r>
      <w:r w:rsidR="006A6E06">
        <w:t xml:space="preserve">explains </w:t>
      </w:r>
      <w:r>
        <w:t>the accepted method</w:t>
      </w:r>
      <w:r w:rsidR="006A6E06">
        <w:t>s</w:t>
      </w:r>
      <w:r>
        <w:t xml:space="preserve"> for determining </w:t>
      </w:r>
      <w:r w:rsidR="00DC7FB1">
        <w:t xml:space="preserve">gross realization </w:t>
      </w:r>
      <w:r>
        <w:t xml:space="preserve">for the purpose of calculating royalty </w:t>
      </w:r>
      <w:r w:rsidR="0043127D">
        <w:t xml:space="preserve">liability </w:t>
      </w:r>
      <w:r>
        <w:t xml:space="preserve">under the </w:t>
      </w:r>
      <w:r w:rsidRPr="00C055F7">
        <w:rPr>
          <w:i/>
        </w:rPr>
        <w:t>Mineral Royalty Act</w:t>
      </w:r>
      <w:r>
        <w:t xml:space="preserve"> </w:t>
      </w:r>
      <w:r w:rsidR="006A6E06" w:rsidRPr="006A6E06">
        <w:rPr>
          <w:i/>
        </w:rPr>
        <w:t>1982</w:t>
      </w:r>
      <w:r w:rsidR="006A6E06">
        <w:t xml:space="preserve"> (NT) </w:t>
      </w:r>
      <w:r>
        <w:t>(</w:t>
      </w:r>
      <w:r w:rsidR="006A6E06">
        <w:t xml:space="preserve">the </w:t>
      </w:r>
      <w:r>
        <w:t xml:space="preserve">MRA). </w:t>
      </w:r>
    </w:p>
    <w:p w:rsidR="00C055F7" w:rsidRDefault="00C055F7" w:rsidP="0059377F">
      <w:pPr>
        <w:pStyle w:val="BlockText"/>
        <w:tabs>
          <w:tab w:val="clear" w:pos="851"/>
          <w:tab w:val="clear" w:pos="1276"/>
          <w:tab w:val="clear" w:pos="1701"/>
        </w:tabs>
        <w:jc w:val="both"/>
      </w:pPr>
      <w:r>
        <w:t>T</w:t>
      </w:r>
      <w:r w:rsidRPr="00972C1A">
        <w:t xml:space="preserve">his </w:t>
      </w:r>
      <w:r w:rsidR="00A90B00" w:rsidRPr="00972C1A">
        <w:t>Guideline</w:t>
      </w:r>
      <w:r w:rsidR="00A90B00" w:rsidRPr="00FA235B">
        <w:t xml:space="preserve"> </w:t>
      </w:r>
      <w:r w:rsidR="00A90B00">
        <w:t>is issued by the Secretary under section 4E of the MRA</w:t>
      </w:r>
      <w:r>
        <w:t>.</w:t>
      </w:r>
    </w:p>
    <w:p w:rsidR="00C27A0A" w:rsidRDefault="00BC590E" w:rsidP="0059377F">
      <w:pPr>
        <w:pStyle w:val="HeadingTwo"/>
        <w:jc w:val="both"/>
      </w:pPr>
      <w:r>
        <w:t xml:space="preserve">Introduction </w:t>
      </w:r>
    </w:p>
    <w:p w:rsidR="008E3590" w:rsidRDefault="0066768C" w:rsidP="008E3590">
      <w:pPr>
        <w:pStyle w:val="BlockText"/>
        <w:jc w:val="both"/>
      </w:pPr>
      <w:r>
        <w:t>The MRA establishes a regime where royalties are calculated on a production unit’s profit</w:t>
      </w:r>
      <w:r w:rsidR="00F3297D">
        <w:t>. It is different to</w:t>
      </w:r>
      <w:r>
        <w:t xml:space="preserve"> an ad valorem regime where royalties are calculated on mine output. </w:t>
      </w:r>
      <w:r w:rsidR="008E3590">
        <w:t>Under the regime, royalty applies to profits derived from the production of a saleable mineral commodity within the boundaries of a production unit.</w:t>
      </w:r>
      <w:r w:rsidR="0077354E">
        <w:t xml:space="preserve"> </w:t>
      </w:r>
      <w:r w:rsidR="0043127D">
        <w:t>G</w:t>
      </w:r>
      <w:r w:rsidR="008E3590">
        <w:t>enerally, only those expenditures necessary to produce that commodity are allowable as deductions against gross revenue from the sale or value of the saleable mineral commodity.</w:t>
      </w:r>
    </w:p>
    <w:p w:rsidR="0066768C" w:rsidRDefault="0043127D" w:rsidP="0059377F">
      <w:pPr>
        <w:pStyle w:val="BlockText"/>
        <w:jc w:val="both"/>
        <w:rPr>
          <w:b/>
          <w:bCs/>
        </w:rPr>
      </w:pPr>
      <w:r>
        <w:t>A key</w:t>
      </w:r>
      <w:r w:rsidR="00C055F7">
        <w:t xml:space="preserve"> benefit of a</w:t>
      </w:r>
      <w:r w:rsidR="00F3297D">
        <w:t xml:space="preserve"> profit</w:t>
      </w:r>
      <w:r w:rsidR="00F934C9">
        <w:t>-</w:t>
      </w:r>
      <w:r w:rsidR="00F3297D">
        <w:t xml:space="preserve">based regime is </w:t>
      </w:r>
      <w:r w:rsidR="00C055F7">
        <w:t xml:space="preserve">that it promotes </w:t>
      </w:r>
      <w:r w:rsidR="00F3297D">
        <w:t>efficien</w:t>
      </w:r>
      <w:r w:rsidR="008E3590">
        <w:t>cy by not distorting</w:t>
      </w:r>
      <w:r w:rsidR="00F3297D">
        <w:t xml:space="preserve"> investment and production</w:t>
      </w:r>
      <w:r w:rsidR="008E3590">
        <w:t xml:space="preserve"> decisions</w:t>
      </w:r>
      <w:r>
        <w:t xml:space="preserve"> made</w:t>
      </w:r>
      <w:r w:rsidR="008E3590">
        <w:t xml:space="preserve"> by industry</w:t>
      </w:r>
      <w:r w:rsidR="007E301C">
        <w:t xml:space="preserve">. Because royalty is based on profits, it </w:t>
      </w:r>
      <w:r>
        <w:t>is</w:t>
      </w:r>
      <w:r w:rsidR="007E301C">
        <w:t xml:space="preserve"> sensitive to changes in prices and costs. This flexibility remove</w:t>
      </w:r>
      <w:r>
        <w:t>s</w:t>
      </w:r>
      <w:r w:rsidR="007E301C">
        <w:t xml:space="preserve"> the need </w:t>
      </w:r>
      <w:r>
        <w:t>to</w:t>
      </w:r>
      <w:r w:rsidR="007E301C">
        <w:t xml:space="preserve"> continuous</w:t>
      </w:r>
      <w:r>
        <w:t>ly</w:t>
      </w:r>
      <w:r w:rsidR="007E301C">
        <w:t xml:space="preserve"> change </w:t>
      </w:r>
      <w:r w:rsidR="000A4350">
        <w:t xml:space="preserve">royalty </w:t>
      </w:r>
      <w:r w:rsidR="007E301C">
        <w:t>rates as production declines or market conditions vary.</w:t>
      </w:r>
      <w:r w:rsidR="0066768C">
        <w:t xml:space="preserve"> Mine output </w:t>
      </w:r>
      <w:r w:rsidR="00F3297D">
        <w:t>continues to be</w:t>
      </w:r>
      <w:r w:rsidR="0066768C">
        <w:t xml:space="preserve"> a part of overall royalty calculation as it is a </w:t>
      </w:r>
      <w:r w:rsidR="0066768C" w:rsidRPr="00ED232A">
        <w:rPr>
          <w:bCs/>
        </w:rPr>
        <w:t xml:space="preserve">component of </w:t>
      </w:r>
      <w:r w:rsidR="00DC7FB1">
        <w:rPr>
          <w:bCs/>
        </w:rPr>
        <w:t>g</w:t>
      </w:r>
      <w:r w:rsidR="00DC7FB1" w:rsidRPr="00ED232A">
        <w:rPr>
          <w:bCs/>
        </w:rPr>
        <w:t xml:space="preserve">ross </w:t>
      </w:r>
      <w:r w:rsidR="00DC7FB1">
        <w:rPr>
          <w:bCs/>
        </w:rPr>
        <w:t>r</w:t>
      </w:r>
      <w:r w:rsidR="00DC7FB1" w:rsidRPr="00ED232A">
        <w:rPr>
          <w:bCs/>
        </w:rPr>
        <w:t>ealization</w:t>
      </w:r>
      <w:r w:rsidR="0066768C" w:rsidRPr="00ED232A">
        <w:rPr>
          <w:bCs/>
        </w:rPr>
        <w:t>.</w:t>
      </w:r>
      <w:r w:rsidR="0066768C" w:rsidRPr="00ED232A">
        <w:rPr>
          <w:b/>
          <w:bCs/>
        </w:rPr>
        <w:t xml:space="preserve"> </w:t>
      </w:r>
    </w:p>
    <w:p w:rsidR="008F2821" w:rsidRDefault="008F2821" w:rsidP="0059377F">
      <w:pPr>
        <w:pStyle w:val="BlockText"/>
        <w:tabs>
          <w:tab w:val="clear" w:pos="851"/>
          <w:tab w:val="clear" w:pos="1276"/>
          <w:tab w:val="clear" w:pos="1701"/>
        </w:tabs>
        <w:jc w:val="both"/>
      </w:pPr>
      <w:r w:rsidRPr="00DA6625">
        <w:t xml:space="preserve">Section 10 of the MRA sets out the formula for calculating the net value </w:t>
      </w:r>
      <w:r>
        <w:t>of a saleable mineral commodity sold or removed without sale from a production unit. The rate of royalty is applied to the net value to establish liability for the relevant royalty year.</w:t>
      </w:r>
    </w:p>
    <w:p w:rsidR="008F2821" w:rsidRPr="00DA6625" w:rsidRDefault="008F2821" w:rsidP="0059377F">
      <w:pPr>
        <w:pStyle w:val="BlockText"/>
        <w:tabs>
          <w:tab w:val="clear" w:pos="851"/>
          <w:tab w:val="clear" w:pos="1276"/>
          <w:tab w:val="clear" w:pos="1701"/>
        </w:tabs>
        <w:jc w:val="both"/>
      </w:pPr>
      <w:r>
        <w:t>Under the formula, net value is calculated in accordance with the formula</w:t>
      </w:r>
      <w:r w:rsidRPr="00DA6625">
        <w:t>:</w:t>
      </w:r>
    </w:p>
    <w:p w:rsidR="008F2821" w:rsidRPr="003B5F3C" w:rsidRDefault="008F2821" w:rsidP="0059377F">
      <w:pPr>
        <w:spacing w:after="120"/>
        <w:ind w:left="425"/>
        <w:jc w:val="both"/>
        <w:rPr>
          <w:b/>
        </w:rPr>
      </w:pPr>
      <w:r w:rsidRPr="003B5F3C">
        <w:rPr>
          <w:b/>
        </w:rPr>
        <w:t>GR – (OC + CRD + EEE + AD)</w:t>
      </w:r>
    </w:p>
    <w:p w:rsidR="008F2821" w:rsidRDefault="006A6E06" w:rsidP="0059377F">
      <w:pPr>
        <w:spacing w:after="120"/>
        <w:ind w:left="425"/>
        <w:jc w:val="both"/>
      </w:pPr>
      <w:r>
        <w:t xml:space="preserve">where - </w:t>
      </w:r>
    </w:p>
    <w:p w:rsidR="008F2821" w:rsidRPr="00DE66BD" w:rsidRDefault="008F2821" w:rsidP="0059377F">
      <w:pPr>
        <w:spacing w:after="120"/>
        <w:ind w:left="425"/>
        <w:jc w:val="both"/>
      </w:pPr>
      <w:r w:rsidRPr="00DE66BD">
        <w:t>GR is the gross realization from the production unit in the royalty year</w:t>
      </w:r>
      <w:r w:rsidR="006A6E06">
        <w:t>;</w:t>
      </w:r>
    </w:p>
    <w:p w:rsidR="008F2821" w:rsidRPr="00DE66BD" w:rsidRDefault="008F2821" w:rsidP="0059377F">
      <w:pPr>
        <w:spacing w:after="120"/>
        <w:ind w:left="425"/>
        <w:jc w:val="both"/>
      </w:pPr>
      <w:r w:rsidRPr="00DE66BD">
        <w:t>OC is the operating costs of the production unit for the royalty year</w:t>
      </w:r>
      <w:r w:rsidR="006A6E06">
        <w:t>;</w:t>
      </w:r>
    </w:p>
    <w:p w:rsidR="008F2821" w:rsidRPr="00DE66BD" w:rsidRDefault="008F2821" w:rsidP="0059377F">
      <w:pPr>
        <w:spacing w:after="120"/>
        <w:ind w:left="425"/>
        <w:jc w:val="both"/>
      </w:pPr>
      <w:r w:rsidRPr="00DE66BD">
        <w:t>CRD is the capital recognition deduction</w:t>
      </w:r>
      <w:r w:rsidR="006A6E06">
        <w:t>;</w:t>
      </w:r>
    </w:p>
    <w:p w:rsidR="008F2821" w:rsidRPr="00DE66BD" w:rsidRDefault="008F2821" w:rsidP="0059377F">
      <w:pPr>
        <w:spacing w:after="120"/>
        <w:ind w:left="425"/>
        <w:jc w:val="both"/>
      </w:pPr>
      <w:r w:rsidRPr="00DE66BD">
        <w:t xml:space="preserve">EEE is </w:t>
      </w:r>
      <w:r w:rsidR="006A6E06">
        <w:t>the</w:t>
      </w:r>
      <w:r w:rsidRPr="00DE66BD">
        <w:t xml:space="preserve"> eligible exploration expenditure</w:t>
      </w:r>
      <w:r w:rsidR="006A6E06">
        <w:t>, if any; and</w:t>
      </w:r>
    </w:p>
    <w:p w:rsidR="007E301C" w:rsidRDefault="008F2821" w:rsidP="0043127D">
      <w:pPr>
        <w:spacing w:after="120"/>
        <w:ind w:left="425"/>
        <w:jc w:val="both"/>
      </w:pPr>
      <w:r w:rsidRPr="00DE66BD">
        <w:t>AD is any additional deduction</w:t>
      </w:r>
      <w:r w:rsidR="008E3590">
        <w:t>.</w:t>
      </w:r>
    </w:p>
    <w:p w:rsidR="00ED232A" w:rsidRPr="00ED232A" w:rsidRDefault="006A6E06" w:rsidP="0059377F">
      <w:pPr>
        <w:pStyle w:val="HeadingTwo"/>
        <w:jc w:val="both"/>
      </w:pPr>
      <w:r>
        <w:t>Trigger for royalty l</w:t>
      </w:r>
      <w:r w:rsidR="00ED232A" w:rsidRPr="00ED232A">
        <w:t>iability</w:t>
      </w:r>
    </w:p>
    <w:p w:rsidR="006A6E06" w:rsidRDefault="0043127D" w:rsidP="006A6E06">
      <w:pPr>
        <w:pStyle w:val="BlockText"/>
        <w:jc w:val="both"/>
      </w:pPr>
      <w:r>
        <w:t xml:space="preserve">Under section 10(2) of the MRA, the </w:t>
      </w:r>
      <w:r w:rsidR="006A6E06">
        <w:t>concept of a production unit is a key feature of the net value formula. The concept fixes the boundary,</w:t>
      </w:r>
      <w:r>
        <w:t xml:space="preserve"> </w:t>
      </w:r>
      <w:r w:rsidR="006A6E06">
        <w:t xml:space="preserve">that is the geographical area, where the production of an identified saleable mineral commodity for any available market occurs and the </w:t>
      </w:r>
      <w:r w:rsidR="006A6E06">
        <w:lastRenderedPageBreak/>
        <w:t xml:space="preserve">precise time at which the gross </w:t>
      </w:r>
      <w:r w:rsidR="00DC7FB1">
        <w:t xml:space="preserve">value </w:t>
      </w:r>
      <w:r w:rsidR="006A6E06">
        <w:t>of that commodity is to be fixed. The boundary does not extend beyond the production stage to downstream activities</w:t>
      </w:r>
      <w:r w:rsidR="006A6E06" w:rsidRPr="007E301C">
        <w:t xml:space="preserve"> </w:t>
      </w:r>
      <w:r w:rsidR="006A6E06">
        <w:t>such as manufacturing. This means that value adding to products through downstream processes is not taken into account for the purposes of calculating royalty.</w:t>
      </w:r>
    </w:p>
    <w:p w:rsidR="006A6E06" w:rsidRPr="007E301C" w:rsidRDefault="006A6E06" w:rsidP="0059377F">
      <w:pPr>
        <w:pStyle w:val="BlockText"/>
        <w:spacing w:before="120"/>
        <w:jc w:val="both"/>
      </w:pPr>
      <w:r>
        <w:t xml:space="preserve">As it is difficult to </w:t>
      </w:r>
      <w:r w:rsidR="0043127D">
        <w:t xml:space="preserve">provide </w:t>
      </w:r>
      <w:r>
        <w:t xml:space="preserve">an exhaustive and technical definition of </w:t>
      </w:r>
      <w:r w:rsidR="0043127D">
        <w:t xml:space="preserve">the </w:t>
      </w:r>
      <w:r>
        <w:t xml:space="preserve">mineral commodities likely to be marketed from a production unit, the MRA defines the point at which mineral commodities become saleable or marketable in general terms recognising </w:t>
      </w:r>
      <w:r w:rsidR="0043127D">
        <w:t xml:space="preserve">that </w:t>
      </w:r>
      <w:r>
        <w:t>the point varies from production unit to production u</w:t>
      </w:r>
      <w:r w:rsidR="000A4350">
        <w:t>nit,</w:t>
      </w:r>
      <w:r>
        <w:t xml:space="preserve"> and even</w:t>
      </w:r>
      <w:r w:rsidR="0043127D">
        <w:t>,</w:t>
      </w:r>
      <w:r>
        <w:t xml:space="preserve"> over time</w:t>
      </w:r>
      <w:r w:rsidR="0043127D">
        <w:t>,</w:t>
      </w:r>
      <w:r>
        <w:t xml:space="preserve"> </w:t>
      </w:r>
      <w:r w:rsidR="000A4350">
        <w:t>within the same production unit.</w:t>
      </w:r>
    </w:p>
    <w:p w:rsidR="00ED232A" w:rsidRDefault="00ED232A" w:rsidP="0059377F">
      <w:pPr>
        <w:pStyle w:val="BlockText"/>
        <w:spacing w:before="120"/>
        <w:jc w:val="both"/>
      </w:pPr>
      <w:r>
        <w:t xml:space="preserve">Section 10 of the MRA contemplates that royalty is to be paid on the net value of the saleable mineral commodity </w:t>
      </w:r>
      <w:r w:rsidR="00781FEF">
        <w:t>either:</w:t>
      </w:r>
    </w:p>
    <w:p w:rsidR="00781FEF" w:rsidRDefault="00781FEF" w:rsidP="00805829">
      <w:pPr>
        <w:pStyle w:val="BlockText"/>
        <w:numPr>
          <w:ilvl w:val="0"/>
          <w:numId w:val="13"/>
        </w:numPr>
        <w:spacing w:before="120"/>
        <w:ind w:left="851" w:hanging="425"/>
        <w:jc w:val="both"/>
      </w:pPr>
      <w:r>
        <w:t>sold in accordance with an enforceable sale contract</w:t>
      </w:r>
      <w:r w:rsidR="006A6E06">
        <w:t xml:space="preserve"> or, as a consequence of a Ministerial declaration,</w:t>
      </w:r>
      <w:r w:rsidR="00F75AB2">
        <w:t xml:space="preserve"> a deemed sale by virtue of section 4AA of the MRA,</w:t>
      </w:r>
      <w:r>
        <w:t xml:space="preserve"> prior to removal from the production unit; or</w:t>
      </w:r>
    </w:p>
    <w:p w:rsidR="00781FEF" w:rsidRDefault="00781FEF" w:rsidP="00805829">
      <w:pPr>
        <w:pStyle w:val="BlockText"/>
        <w:numPr>
          <w:ilvl w:val="0"/>
          <w:numId w:val="13"/>
        </w:numPr>
        <w:spacing w:before="120"/>
        <w:ind w:left="1276" w:hanging="850"/>
        <w:jc w:val="both"/>
      </w:pPr>
      <w:r>
        <w:t>removed from the production unit without sale,</w:t>
      </w:r>
    </w:p>
    <w:p w:rsidR="00781FEF" w:rsidRDefault="00781FEF" w:rsidP="0059377F">
      <w:pPr>
        <w:pStyle w:val="BlockText"/>
        <w:numPr>
          <w:ilvl w:val="0"/>
          <w:numId w:val="0"/>
        </w:numPr>
        <w:spacing w:before="120"/>
        <w:ind w:left="425" w:hanging="425"/>
        <w:jc w:val="both"/>
      </w:pPr>
      <w:r>
        <w:tab/>
        <w:t>whichever event occurs first.</w:t>
      </w:r>
    </w:p>
    <w:p w:rsidR="00781FEF" w:rsidRPr="00ED232A" w:rsidRDefault="00781FEF" w:rsidP="0059377F">
      <w:pPr>
        <w:pStyle w:val="BlockText"/>
        <w:spacing w:before="120"/>
        <w:jc w:val="both"/>
      </w:pPr>
      <w:r>
        <w:t>In o</w:t>
      </w:r>
      <w:r w:rsidR="00D01BA9">
        <w:t>rder to calculate the net value</w:t>
      </w:r>
      <w:r w:rsidR="00013AA4">
        <w:t>,</w:t>
      </w:r>
      <w:r w:rsidR="00D01BA9">
        <w:t xml:space="preserve"> the royalty payer</w:t>
      </w:r>
      <w:r w:rsidR="006A6E06">
        <w:t xml:space="preserve"> must</w:t>
      </w:r>
      <w:r w:rsidR="00D01BA9">
        <w:t xml:space="preserve">, amongst other things, </w:t>
      </w:r>
      <w:r w:rsidR="006A6E06">
        <w:t>determine</w:t>
      </w:r>
      <w:r w:rsidR="00325FA3">
        <w:t xml:space="preserve"> the </w:t>
      </w:r>
      <w:r w:rsidR="00DC7FB1">
        <w:t xml:space="preserve">gross realization </w:t>
      </w:r>
      <w:r w:rsidR="00D01BA9">
        <w:t>from the production unit in a royalty year.</w:t>
      </w:r>
      <w:r w:rsidR="00D01BA9" w:rsidRPr="00D01BA9">
        <w:t xml:space="preserve"> </w:t>
      </w:r>
      <w:r w:rsidR="0077354E">
        <w:t xml:space="preserve">Guideline </w:t>
      </w:r>
      <w:r w:rsidR="0077354E" w:rsidRPr="005F4E30">
        <w:t>RG-MRA-002</w:t>
      </w:r>
      <w:r w:rsidR="0077354E" w:rsidRPr="00D01BA9">
        <w:rPr>
          <w:i/>
        </w:rPr>
        <w:t>: Production Unit</w:t>
      </w:r>
      <w:r w:rsidR="0077354E">
        <w:t xml:space="preserve"> provides further information on</w:t>
      </w:r>
      <w:r w:rsidR="00D01BA9">
        <w:t xml:space="preserve"> </w:t>
      </w:r>
      <w:r w:rsidR="006A6E06">
        <w:t>the key concept of</w:t>
      </w:r>
      <w:r w:rsidR="00D01BA9">
        <w:t xml:space="preserve"> production unit.</w:t>
      </w:r>
    </w:p>
    <w:p w:rsidR="0066768C" w:rsidRDefault="0066768C" w:rsidP="0059377F">
      <w:pPr>
        <w:pStyle w:val="HeadingTwo"/>
        <w:jc w:val="both"/>
      </w:pPr>
      <w:r>
        <w:t xml:space="preserve">What is </w:t>
      </w:r>
      <w:r w:rsidR="00DC7FB1">
        <w:t>gross realization</w:t>
      </w:r>
    </w:p>
    <w:p w:rsidR="0066768C" w:rsidRDefault="0066768C" w:rsidP="0059377F">
      <w:pPr>
        <w:pStyle w:val="BlockText"/>
        <w:jc w:val="both"/>
      </w:pPr>
      <w:r>
        <w:t>The term “</w:t>
      </w:r>
      <w:r w:rsidR="00DC7FB1">
        <w:t>gross realization</w:t>
      </w:r>
      <w:r>
        <w:t>” is defined in section</w:t>
      </w:r>
      <w:r w:rsidR="00ED232A">
        <w:t>s 4 and</w:t>
      </w:r>
      <w:r>
        <w:t xml:space="preserve"> 4A of the MRA</w:t>
      </w:r>
      <w:r w:rsidR="00F3297D">
        <w:t xml:space="preserve"> and is comprised of a range of elements</w:t>
      </w:r>
      <w:r w:rsidR="006A6E06">
        <w:t xml:space="preserve"> or variables</w:t>
      </w:r>
      <w:r w:rsidR="007C25F2">
        <w:t xml:space="preserve">. </w:t>
      </w:r>
      <w:r w:rsidR="00826CC4">
        <w:t>G</w:t>
      </w:r>
      <w:r w:rsidR="00DC7FB1">
        <w:t xml:space="preserve">ross realization </w:t>
      </w:r>
      <w:r w:rsidR="007C25F2">
        <w:t xml:space="preserve">is determined </w:t>
      </w:r>
      <w:r w:rsidR="00941D3B">
        <w:t>based on</w:t>
      </w:r>
      <w:r>
        <w:t xml:space="preserve">: </w:t>
      </w:r>
    </w:p>
    <w:p w:rsidR="0066768C" w:rsidRDefault="0066768C" w:rsidP="0059377F">
      <w:pPr>
        <w:pStyle w:val="BlockText"/>
        <w:numPr>
          <w:ilvl w:val="1"/>
          <w:numId w:val="3"/>
        </w:numPr>
        <w:tabs>
          <w:tab w:val="left" w:pos="851"/>
        </w:tabs>
        <w:jc w:val="both"/>
      </w:pPr>
      <w:r>
        <w:t xml:space="preserve">the sum of - </w:t>
      </w:r>
    </w:p>
    <w:p w:rsidR="0066768C" w:rsidRDefault="00D01BA9" w:rsidP="0059377F">
      <w:pPr>
        <w:pStyle w:val="BlockText"/>
        <w:numPr>
          <w:ilvl w:val="2"/>
          <w:numId w:val="3"/>
        </w:numPr>
        <w:tabs>
          <w:tab w:val="left" w:pos="1276"/>
        </w:tabs>
        <w:jc w:val="both"/>
      </w:pPr>
      <w:r>
        <w:t xml:space="preserve">subject to paragraphs </w:t>
      </w:r>
      <w:r w:rsidR="00927908">
        <w:t>5</w:t>
      </w:r>
      <w:r w:rsidR="000A4350">
        <w:t>2</w:t>
      </w:r>
      <w:r w:rsidR="00927908">
        <w:t xml:space="preserve"> and 5</w:t>
      </w:r>
      <w:r w:rsidR="000A4350">
        <w:t>3</w:t>
      </w:r>
      <w:r w:rsidR="006A6E06">
        <w:t xml:space="preserve"> below</w:t>
      </w:r>
      <w:r>
        <w:t xml:space="preserve">, </w:t>
      </w:r>
      <w:r w:rsidR="0066768C">
        <w:t xml:space="preserve">the gross values of saleable mineral commodities produced </w:t>
      </w:r>
      <w:r w:rsidR="007C25F2">
        <w:t xml:space="preserve">and </w:t>
      </w:r>
      <w:r w:rsidR="0066768C">
        <w:t xml:space="preserve">sold or removed without sale from </w:t>
      </w:r>
      <w:r w:rsidR="007C25F2">
        <w:t xml:space="preserve">the </w:t>
      </w:r>
      <w:r w:rsidR="0066768C">
        <w:t>production unit</w:t>
      </w:r>
      <w:r w:rsidR="007C25F2">
        <w:t xml:space="preserve"> in a royalty year</w:t>
      </w:r>
      <w:r w:rsidR="0066768C">
        <w:t>;</w:t>
      </w:r>
    </w:p>
    <w:p w:rsidR="0066768C" w:rsidRDefault="0066768C" w:rsidP="0059377F">
      <w:pPr>
        <w:pStyle w:val="BlockText"/>
        <w:numPr>
          <w:ilvl w:val="2"/>
          <w:numId w:val="3"/>
        </w:numPr>
        <w:tabs>
          <w:tab w:val="left" w:pos="1276"/>
        </w:tabs>
        <w:jc w:val="both"/>
      </w:pPr>
      <w:r>
        <w:t xml:space="preserve">any amount received </w:t>
      </w:r>
      <w:r w:rsidR="00D01BA9">
        <w:t>by way of insurance, indemnity or guarantee</w:t>
      </w:r>
      <w:r w:rsidR="007C25F2">
        <w:t xml:space="preserve"> for the loss of a saleable mineral commodity which value would otherwise have been taken into account for determining gross </w:t>
      </w:r>
      <w:r w:rsidR="00D01BA9">
        <w:t>realization</w:t>
      </w:r>
      <w:r>
        <w:t>;</w:t>
      </w:r>
    </w:p>
    <w:p w:rsidR="0066768C" w:rsidRDefault="0066768C" w:rsidP="0059377F">
      <w:pPr>
        <w:pStyle w:val="BlockText"/>
        <w:numPr>
          <w:ilvl w:val="2"/>
          <w:numId w:val="3"/>
        </w:numPr>
        <w:tabs>
          <w:tab w:val="left" w:pos="1276"/>
        </w:tabs>
        <w:jc w:val="both"/>
      </w:pPr>
      <w:r>
        <w:t>any amount received as the price or compensation for a saleable mineral commodity wh</w:t>
      </w:r>
      <w:r w:rsidR="00B5228C">
        <w:t>ere</w:t>
      </w:r>
      <w:r>
        <w:t xml:space="preserve"> sale or disposition</w:t>
      </w:r>
      <w:r w:rsidR="00B5228C">
        <w:t xml:space="preserve"> of the saleable mineral commodity</w:t>
      </w:r>
      <w:r>
        <w:t xml:space="preserve"> </w:t>
      </w:r>
      <w:r w:rsidR="00AC2340">
        <w:t xml:space="preserve">is </w:t>
      </w:r>
      <w:r w:rsidR="00D01BA9">
        <w:t>not permitted or authorised</w:t>
      </w:r>
      <w:r w:rsidR="00325FA3">
        <w:t xml:space="preserve"> by law</w:t>
      </w:r>
      <w:r>
        <w:t>;</w:t>
      </w:r>
      <w:r w:rsidR="00B5228C">
        <w:t xml:space="preserve"> and</w:t>
      </w:r>
    </w:p>
    <w:p w:rsidR="0066768C" w:rsidRDefault="0066768C" w:rsidP="0059377F">
      <w:pPr>
        <w:pStyle w:val="BlockText"/>
        <w:numPr>
          <w:ilvl w:val="2"/>
          <w:numId w:val="3"/>
        </w:numPr>
        <w:tabs>
          <w:tab w:val="left" w:pos="1276"/>
        </w:tabs>
        <w:jc w:val="both"/>
      </w:pPr>
      <w:r>
        <w:t xml:space="preserve">any gain </w:t>
      </w:r>
      <w:r w:rsidR="00325FA3">
        <w:t xml:space="preserve">realized </w:t>
      </w:r>
      <w:r>
        <w:t>on the sale of assets of the production unit;</w:t>
      </w:r>
    </w:p>
    <w:p w:rsidR="0066768C" w:rsidRDefault="006A6E06" w:rsidP="006A6E06">
      <w:pPr>
        <w:pStyle w:val="BlockText"/>
        <w:numPr>
          <w:ilvl w:val="0"/>
          <w:numId w:val="0"/>
        </w:numPr>
        <w:ind w:left="851"/>
        <w:jc w:val="both"/>
      </w:pPr>
      <w:r>
        <w:t xml:space="preserve">less - </w:t>
      </w:r>
    </w:p>
    <w:p w:rsidR="0066768C" w:rsidRDefault="0066768C" w:rsidP="0059377F">
      <w:pPr>
        <w:pStyle w:val="BlockText"/>
        <w:numPr>
          <w:ilvl w:val="2"/>
          <w:numId w:val="3"/>
        </w:numPr>
        <w:jc w:val="both"/>
      </w:pPr>
      <w:r>
        <w:t>any loss incurred on the sale of assets of the production unit; and</w:t>
      </w:r>
    </w:p>
    <w:p w:rsidR="00AF1B91" w:rsidRDefault="0066768C" w:rsidP="0059377F">
      <w:pPr>
        <w:pStyle w:val="BlockText"/>
        <w:numPr>
          <w:ilvl w:val="2"/>
          <w:numId w:val="3"/>
        </w:numPr>
        <w:jc w:val="both"/>
      </w:pPr>
      <w:r>
        <w:t>any</w:t>
      </w:r>
      <w:r w:rsidR="00AC2340">
        <w:t xml:space="preserve"> approved</w:t>
      </w:r>
      <w:r>
        <w:t xml:space="preserve"> negative net value </w:t>
      </w:r>
      <w:r w:rsidR="00AC2340">
        <w:t xml:space="preserve">brought forward </w:t>
      </w:r>
      <w:r>
        <w:t>from previous royalty year</w:t>
      </w:r>
      <w:r w:rsidR="00325FA3">
        <w:t>s</w:t>
      </w:r>
      <w:r w:rsidR="006A6E06">
        <w:t>;</w:t>
      </w:r>
      <w:r w:rsidR="00D974BA">
        <w:t xml:space="preserve"> </w:t>
      </w:r>
    </w:p>
    <w:p w:rsidR="0066768C" w:rsidRDefault="00AF1B91" w:rsidP="00AF1B91">
      <w:pPr>
        <w:pStyle w:val="BlockText"/>
        <w:numPr>
          <w:ilvl w:val="0"/>
          <w:numId w:val="0"/>
        </w:numPr>
        <w:tabs>
          <w:tab w:val="clear" w:pos="1276"/>
        </w:tabs>
        <w:ind w:left="425" w:hanging="425"/>
        <w:jc w:val="both"/>
      </w:pPr>
      <w:r>
        <w:tab/>
      </w:r>
      <w:r w:rsidR="00D974BA">
        <w:t>and disregarding</w:t>
      </w:r>
      <w:r>
        <w:t xml:space="preserve"> -</w:t>
      </w:r>
    </w:p>
    <w:p w:rsidR="00325FA3" w:rsidRDefault="00D974BA" w:rsidP="0059377F">
      <w:pPr>
        <w:pStyle w:val="BlockText"/>
        <w:numPr>
          <w:ilvl w:val="1"/>
          <w:numId w:val="3"/>
        </w:numPr>
        <w:tabs>
          <w:tab w:val="clear" w:pos="1276"/>
        </w:tabs>
        <w:jc w:val="both"/>
      </w:pPr>
      <w:r>
        <w:t>a</w:t>
      </w:r>
      <w:r w:rsidR="00325FA3">
        <w:t xml:space="preserve">ny interest earned which is referable to the operations of the production unit </w:t>
      </w:r>
      <w:r w:rsidR="00F934C9">
        <w:t xml:space="preserve">which </w:t>
      </w:r>
      <w:r w:rsidR="00325FA3">
        <w:t xml:space="preserve">is not to be included in the </w:t>
      </w:r>
      <w:r w:rsidR="00DC7FB1">
        <w:t xml:space="preserve">gross realization </w:t>
      </w:r>
      <w:r w:rsidR="00325FA3">
        <w:t>amount.</w:t>
      </w:r>
    </w:p>
    <w:p w:rsidR="0066768C" w:rsidRDefault="00325FA3" w:rsidP="0059377F">
      <w:pPr>
        <w:pStyle w:val="HeadingThree"/>
        <w:jc w:val="both"/>
      </w:pPr>
      <w:r>
        <w:t>Determining gross value of the saleable mineral commodity</w:t>
      </w:r>
    </w:p>
    <w:p w:rsidR="00325FA3" w:rsidRDefault="00325FA3" w:rsidP="0059377F">
      <w:pPr>
        <w:pStyle w:val="BlockText"/>
        <w:jc w:val="both"/>
      </w:pPr>
      <w:r>
        <w:t>The two triggers</w:t>
      </w:r>
      <w:r w:rsidR="00AF1B91">
        <w:t>, outlined in paragraph 9 above,</w:t>
      </w:r>
      <w:r>
        <w:t xml:space="preserve"> </w:t>
      </w:r>
      <w:r w:rsidR="00883C89">
        <w:t>fix the precise time</w:t>
      </w:r>
      <w:r>
        <w:t xml:space="preserve"> at which the </w:t>
      </w:r>
      <w:r w:rsidR="00D974BA">
        <w:t>g</w:t>
      </w:r>
      <w:r w:rsidR="00883C89">
        <w:t xml:space="preserve">ross </w:t>
      </w:r>
      <w:r w:rsidR="00D974BA">
        <w:t>value</w:t>
      </w:r>
      <w:r w:rsidR="00883C89">
        <w:t xml:space="preserve"> of </w:t>
      </w:r>
      <w:r>
        <w:t>saleab</w:t>
      </w:r>
      <w:r w:rsidR="00883C89">
        <w:t>le mineral commodities must be determined.</w:t>
      </w:r>
      <w:r>
        <w:t xml:space="preserve"> </w:t>
      </w:r>
      <w:r w:rsidR="00883C89">
        <w:t>That is</w:t>
      </w:r>
      <w:r w:rsidR="00013AA4">
        <w:t>,</w:t>
      </w:r>
      <w:r>
        <w:t xml:space="preserve"> the valuation of the commodities </w:t>
      </w:r>
      <w:r w:rsidR="00013AA4">
        <w:t xml:space="preserve">has to occur </w:t>
      </w:r>
      <w:r>
        <w:t xml:space="preserve">when they are either sold </w:t>
      </w:r>
      <w:r w:rsidR="00883C89">
        <w:t xml:space="preserve">(or deemed to be sold) </w:t>
      </w:r>
      <w:r>
        <w:t>from the production unit or when they are removed from the production unit without sale</w:t>
      </w:r>
      <w:r w:rsidR="00D974BA">
        <w:t xml:space="preserve"> (whichever triggering event first occurs)</w:t>
      </w:r>
      <w:r>
        <w:t>.</w:t>
      </w:r>
    </w:p>
    <w:p w:rsidR="00325FA3" w:rsidRDefault="00325FA3" w:rsidP="0059377F">
      <w:pPr>
        <w:pStyle w:val="BlockText"/>
        <w:jc w:val="both"/>
      </w:pPr>
      <w:r>
        <w:lastRenderedPageBreak/>
        <w:t xml:space="preserve">As a general rule, a saleable mineral commodity is </w:t>
      </w:r>
      <w:r w:rsidR="00D974BA">
        <w:t>considered</w:t>
      </w:r>
      <w:r>
        <w:t xml:space="preserve"> to have been produced where the mineral commodity is at a stage </w:t>
      </w:r>
      <w:r w:rsidR="00D974BA">
        <w:t xml:space="preserve">in processing </w:t>
      </w:r>
      <w:r>
        <w:t xml:space="preserve">where it is first capable of being sold into </w:t>
      </w:r>
      <w:r w:rsidR="007F7259">
        <w:t>any available</w:t>
      </w:r>
      <w:r>
        <w:t xml:space="preserve"> market</w:t>
      </w:r>
      <w:r w:rsidR="007F7259">
        <w:t>, whether or not the royalty payer chooses to sell it</w:t>
      </w:r>
      <w:r w:rsidR="005169D1">
        <w:t>.</w:t>
      </w:r>
      <w:r>
        <w:t xml:space="preserve"> The subsequent processing and enhancement of the saleable mineral commodity </w:t>
      </w:r>
      <w:r w:rsidR="00F75AB2">
        <w:t>is</w:t>
      </w:r>
      <w:r>
        <w:t xml:space="preserve"> considered to be a </w:t>
      </w:r>
      <w:r w:rsidR="00D974BA">
        <w:t xml:space="preserve">downstream </w:t>
      </w:r>
      <w:r>
        <w:t xml:space="preserve">process </w:t>
      </w:r>
      <w:r w:rsidR="00D974BA">
        <w:t>which is</w:t>
      </w:r>
      <w:r w:rsidR="00F75AB2">
        <w:t xml:space="preserve"> </w:t>
      </w:r>
      <w:r>
        <w:t xml:space="preserve">not relevant </w:t>
      </w:r>
      <w:r w:rsidR="00D974BA">
        <w:t>in</w:t>
      </w:r>
      <w:r>
        <w:t xml:space="preserve"> determining the gross value of the saleable mineral commodity. </w:t>
      </w:r>
    </w:p>
    <w:p w:rsidR="00325FA3" w:rsidRDefault="00D974BA" w:rsidP="0059377F">
      <w:pPr>
        <w:pStyle w:val="BlockText"/>
        <w:jc w:val="both"/>
      </w:pPr>
      <w:r>
        <w:t>Generally</w:t>
      </w:r>
      <w:r w:rsidR="00AF1B91">
        <w:t>,</w:t>
      </w:r>
      <w:r>
        <w:t xml:space="preserve"> the Secretary considers that a</w:t>
      </w:r>
      <w:r w:rsidR="00325FA3">
        <w:t xml:space="preserve"> reasonable valuation basis is the free on board (FOB) arm’s length price obtained on the sale of th</w:t>
      </w:r>
      <w:r>
        <w:t>e saleable mineral commodities.</w:t>
      </w:r>
      <w:r w:rsidR="00325FA3">
        <w:t xml:space="preserve"> </w:t>
      </w:r>
      <w:r w:rsidR="00AF1B91">
        <w:t>E</w:t>
      </w:r>
      <w:r w:rsidR="00325FA3">
        <w:t>xception</w:t>
      </w:r>
      <w:r w:rsidR="00AF1B91">
        <w:t>s</w:t>
      </w:r>
      <w:r w:rsidR="00325FA3">
        <w:t xml:space="preserve"> to this </w:t>
      </w:r>
      <w:r w:rsidR="00AF1B91">
        <w:t xml:space="preserve">are </w:t>
      </w:r>
      <w:r w:rsidR="00325FA3">
        <w:t>where the sale or transaction is between related parties or where the sale or transaction is not conducted at arm’s length. In such situations, a price</w:t>
      </w:r>
      <w:r w:rsidR="000A4350">
        <w:t>,</w:t>
      </w:r>
      <w:r w:rsidR="00325FA3">
        <w:t xml:space="preserve"> other than the FOB arm’s length price, which the royalty payer can establish and </w:t>
      </w:r>
      <w:r w:rsidR="009831E4">
        <w:t>substantiate</w:t>
      </w:r>
      <w:r w:rsidR="00325FA3">
        <w:t xml:space="preserve"> to be an appropriate gross value, may be accepted as the gross value.</w:t>
      </w:r>
    </w:p>
    <w:p w:rsidR="009831E4" w:rsidRPr="006A5A5D" w:rsidRDefault="009831E4" w:rsidP="0059377F">
      <w:pPr>
        <w:pStyle w:val="BlockText"/>
        <w:numPr>
          <w:ilvl w:val="0"/>
          <w:numId w:val="0"/>
        </w:numPr>
        <w:spacing w:before="360"/>
        <w:jc w:val="both"/>
        <w:rPr>
          <w:bCs/>
          <w:i/>
          <w:iCs/>
          <w:u w:val="single"/>
        </w:rPr>
      </w:pPr>
      <w:smartTag w:uri="urn:schemas-microsoft-com:office:smarttags" w:element="City">
        <w:smartTag w:uri="urn:schemas-microsoft-com:office:smarttags" w:element="place">
          <w:r w:rsidRPr="006A5A5D">
            <w:rPr>
              <w:bCs/>
              <w:i/>
              <w:iCs/>
              <w:u w:val="single"/>
            </w:rPr>
            <w:t>Sale</w:t>
          </w:r>
        </w:smartTag>
      </w:smartTag>
      <w:r w:rsidR="00D974BA">
        <w:rPr>
          <w:bCs/>
          <w:i/>
          <w:iCs/>
          <w:u w:val="single"/>
        </w:rPr>
        <w:t xml:space="preserve"> prior to r</w:t>
      </w:r>
      <w:r w:rsidRPr="006A5A5D">
        <w:rPr>
          <w:bCs/>
          <w:i/>
          <w:iCs/>
          <w:u w:val="single"/>
        </w:rPr>
        <w:t>emoval</w:t>
      </w:r>
    </w:p>
    <w:p w:rsidR="009831E4" w:rsidRDefault="009831E4" w:rsidP="0059377F">
      <w:pPr>
        <w:pStyle w:val="BlockText"/>
        <w:jc w:val="both"/>
      </w:pPr>
      <w:r>
        <w:t xml:space="preserve">The words ‘sale’ and ‘sold’ in sections 4A and 10 of the MRA are considered to have the same meaning as they have in the </w:t>
      </w:r>
      <w:r w:rsidRPr="009831E4">
        <w:rPr>
          <w:i/>
        </w:rPr>
        <w:t>Sale of Goods Act (NT)</w:t>
      </w:r>
      <w:r w:rsidR="0077354E">
        <w:t xml:space="preserve">. </w:t>
      </w:r>
      <w:r>
        <w:t>A contract of sale of a mineral commodity is a contract where the seller transfers the property in the mineral commodity to the buyer for a price (or mone</w:t>
      </w:r>
      <w:r w:rsidR="00AF1B91">
        <w:t>tary</w:t>
      </w:r>
      <w:r>
        <w:t xml:space="preserve"> consideration). That is, a sale occurs </w:t>
      </w:r>
      <w:r w:rsidR="00DC7FB1">
        <w:t xml:space="preserve">when </w:t>
      </w:r>
      <w:r>
        <w:t>the ownership of the mineral commodity is transferred to the buyer at the time of the contract.</w:t>
      </w:r>
    </w:p>
    <w:p w:rsidR="009831E4" w:rsidRDefault="009831E4" w:rsidP="0059377F">
      <w:pPr>
        <w:pStyle w:val="BlockText"/>
        <w:jc w:val="both"/>
      </w:pPr>
      <w:r>
        <w:t>A sale does not include an ‘agreement to sell’. An agreement to sell arise</w:t>
      </w:r>
      <w:r w:rsidR="006A5A5D">
        <w:t>s</w:t>
      </w:r>
      <w:r>
        <w:t xml:space="preserve"> when the ownership of the mineral commodity is to be transferred at a future time, or subject to some condition. An agreement to sel</w:t>
      </w:r>
      <w:r w:rsidR="006A5A5D">
        <w:t>l becomes a sale when the time e</w:t>
      </w:r>
      <w:r>
        <w:t>lapses or the conditions are fulfilled</w:t>
      </w:r>
      <w:r w:rsidR="006A5A5D">
        <w:t>.</w:t>
      </w:r>
    </w:p>
    <w:p w:rsidR="006A5A5D" w:rsidRPr="006A5A5D" w:rsidRDefault="00D974BA" w:rsidP="0059377F">
      <w:pPr>
        <w:pStyle w:val="BlockText"/>
        <w:numPr>
          <w:ilvl w:val="0"/>
          <w:numId w:val="0"/>
        </w:numPr>
        <w:spacing w:before="360"/>
        <w:jc w:val="both"/>
        <w:rPr>
          <w:bCs/>
          <w:i/>
          <w:iCs/>
          <w:u w:val="single"/>
        </w:rPr>
      </w:pPr>
      <w:r>
        <w:rPr>
          <w:bCs/>
          <w:i/>
          <w:iCs/>
          <w:u w:val="single"/>
        </w:rPr>
        <w:t>Arm’s length s</w:t>
      </w:r>
      <w:r w:rsidR="006A5A5D" w:rsidRPr="006A5A5D">
        <w:rPr>
          <w:bCs/>
          <w:i/>
          <w:iCs/>
          <w:u w:val="single"/>
        </w:rPr>
        <w:t>ales</w:t>
      </w:r>
    </w:p>
    <w:p w:rsidR="006A5A5D" w:rsidRDefault="006A5A5D" w:rsidP="0059377F">
      <w:pPr>
        <w:pStyle w:val="BlockText"/>
        <w:jc w:val="both"/>
      </w:pPr>
      <w:r>
        <w:t>In determining whether there is an arm’s length sale</w:t>
      </w:r>
      <w:r w:rsidR="00EF3BDC">
        <w:t xml:space="preserve">, the </w:t>
      </w:r>
      <w:r w:rsidR="00AF1B91">
        <w:t>substance of</w:t>
      </w:r>
      <w:r w:rsidR="00EF3BDC">
        <w:t xml:space="preserve"> the dealing and the relationship between the parties</w:t>
      </w:r>
      <w:r w:rsidR="00AF1B91">
        <w:t xml:space="preserve"> are considered</w:t>
      </w:r>
      <w:r w:rsidR="00EF3BDC">
        <w:t xml:space="preserve">. </w:t>
      </w:r>
      <w:r w:rsidR="00AF1B91">
        <w:t>A</w:t>
      </w:r>
      <w:r w:rsidR="00EF3BDC">
        <w:t>n arm’s length transaction</w:t>
      </w:r>
      <w:r w:rsidR="00AF1B91">
        <w:t xml:space="preserve"> is taken </w:t>
      </w:r>
      <w:r w:rsidR="00EF3BDC">
        <w:t>to</w:t>
      </w:r>
      <w:r w:rsidR="00AF1B91">
        <w:t xml:space="preserve"> have occurred</w:t>
      </w:r>
      <w:r w:rsidR="00EF3BDC">
        <w:t xml:space="preserve"> </w:t>
      </w:r>
      <w:r w:rsidR="00AF1B91">
        <w:t>where</w:t>
      </w:r>
      <w:r w:rsidR="0050791F">
        <w:t xml:space="preserve"> the parties to a transaction have</w:t>
      </w:r>
      <w:r w:rsidR="00EF3BDC">
        <w:t xml:space="preserve"> acted</w:t>
      </w:r>
      <w:r w:rsidR="00D56B75">
        <w:t xml:space="preserve"> severally and independently</w:t>
      </w:r>
      <w:r w:rsidR="0050791F">
        <w:t xml:space="preserve"> to form their bargain.</w:t>
      </w:r>
    </w:p>
    <w:p w:rsidR="009819DF" w:rsidRDefault="009819DF" w:rsidP="0059377F">
      <w:pPr>
        <w:pStyle w:val="BlockText"/>
        <w:jc w:val="both"/>
      </w:pPr>
      <w:r>
        <w:t xml:space="preserve">Where the royalty is triggered by a sale and the transaction is at arm's length, generally the FOB price obtained for the saleable mineral commodities </w:t>
      </w:r>
      <w:r w:rsidR="003E6C1D">
        <w:t>is</w:t>
      </w:r>
      <w:r>
        <w:t xml:space="preserve"> taken as the gross value for gross realization purposes.</w:t>
      </w:r>
    </w:p>
    <w:p w:rsidR="009819DF" w:rsidRDefault="009819DF" w:rsidP="0059377F">
      <w:pPr>
        <w:pStyle w:val="BlockText"/>
        <w:jc w:val="both"/>
      </w:pPr>
      <w:r>
        <w:t>Where the sale contract is negotiated on a Cost, Insurance and Freight (CIF) basis, the value for royalty purposes is the value calculated by deducting from the CIF price, the amounts relating to insurance and freight. As the insurance and freight amounts are not costs incurred in the production of a saleable mineral commodity, they cannot be claimed as operating costs for the purposes of calculating the profit on which royalty is payable.</w:t>
      </w:r>
      <w:r w:rsidR="008F2821">
        <w:t xml:space="preserve"> </w:t>
      </w:r>
      <w:r w:rsidR="0077354E">
        <w:t xml:space="preserve">Guideline </w:t>
      </w:r>
      <w:r w:rsidR="0077354E" w:rsidRPr="005F4E30">
        <w:t>RG-MR</w:t>
      </w:r>
      <w:bookmarkStart w:id="2" w:name="_GoBack"/>
      <w:bookmarkEnd w:id="2"/>
      <w:r w:rsidR="0077354E" w:rsidRPr="005F4E30">
        <w:t>A-005</w:t>
      </w:r>
      <w:r w:rsidR="0077354E" w:rsidRPr="008F2821">
        <w:rPr>
          <w:i/>
        </w:rPr>
        <w:t>: Operating Costs</w:t>
      </w:r>
      <w:r w:rsidR="0077354E">
        <w:t xml:space="preserve"> provides further</w:t>
      </w:r>
      <w:r w:rsidR="008F2821">
        <w:t xml:space="preserve"> information.</w:t>
      </w:r>
    </w:p>
    <w:p w:rsidR="009819DF" w:rsidRDefault="009819DF" w:rsidP="0059377F">
      <w:pPr>
        <w:pStyle w:val="BlockText"/>
        <w:jc w:val="both"/>
      </w:pPr>
      <w:r>
        <w:t xml:space="preserve">In some instances, the final price and/or quantity of saleable mineral commodities </w:t>
      </w:r>
      <w:r w:rsidR="003E6C1D">
        <w:t xml:space="preserve">is </w:t>
      </w:r>
      <w:r>
        <w:t xml:space="preserve">not known at the time that </w:t>
      </w:r>
      <w:r w:rsidR="008F2821">
        <w:t xml:space="preserve">the sale contract is executed. </w:t>
      </w:r>
      <w:r>
        <w:t xml:space="preserve">When this occurs, </w:t>
      </w:r>
      <w:r w:rsidR="008F2821">
        <w:t>in conformity with current administrative practice</w:t>
      </w:r>
      <w:r>
        <w:t>, the initial or provisional arm’s length price or quantity may be accepted but with adjustments to be made once the price and/or quantity is confirmed.</w:t>
      </w:r>
    </w:p>
    <w:p w:rsidR="009819DF" w:rsidRDefault="009819DF" w:rsidP="0059377F">
      <w:pPr>
        <w:pStyle w:val="BlockText"/>
        <w:jc w:val="both"/>
      </w:pPr>
      <w:r>
        <w:t xml:space="preserve">Where the final price and/or quantity is ascertained in a subsequent royalty year, any difference between the provisional invoice (that has been included in the previous royalty year) and the final invoice </w:t>
      </w:r>
      <w:r w:rsidR="003E6C1D">
        <w:t>is</w:t>
      </w:r>
      <w:r>
        <w:t xml:space="preserve"> included in the </w:t>
      </w:r>
      <w:r w:rsidR="00E630FD">
        <w:t>gross realization</w:t>
      </w:r>
      <w:r>
        <w:t xml:space="preserve"> for the year in which the final price and/or quantity is </w:t>
      </w:r>
      <w:r w:rsidR="00B667D3">
        <w:t>determined</w:t>
      </w:r>
      <w:r>
        <w:t>.</w:t>
      </w:r>
    </w:p>
    <w:p w:rsidR="009819DF" w:rsidRDefault="009819DF" w:rsidP="0059377F">
      <w:pPr>
        <w:pStyle w:val="HeadingFour"/>
        <w:jc w:val="both"/>
      </w:pPr>
      <w:r>
        <w:t>Example 1</w:t>
      </w:r>
    </w:p>
    <w:p w:rsidR="009819DF" w:rsidRDefault="000A4350" w:rsidP="002F7654">
      <w:pPr>
        <w:pStyle w:val="Example"/>
      </w:pPr>
      <w:r>
        <w:t xml:space="preserve">A provisional invoice of $100 000 is issued for the sale of 2 </w:t>
      </w:r>
      <w:r w:rsidR="009819DF">
        <w:t>00</w:t>
      </w:r>
      <w:r>
        <w:t>0 tonnes of manganese. The $100 </w:t>
      </w:r>
      <w:r w:rsidR="009819DF">
        <w:t>000 is to be included for royalty purposes at the time that the m</w:t>
      </w:r>
      <w:r w:rsidR="0023065C">
        <w:t xml:space="preserve">anganese is sold pursuant to a </w:t>
      </w:r>
      <w:r w:rsidR="009819DF">
        <w:t>sales contract. In the same royalty year, a fina</w:t>
      </w:r>
      <w:r>
        <w:t xml:space="preserve">l invoice of $90 </w:t>
      </w:r>
      <w:r w:rsidR="009819DF">
        <w:t xml:space="preserve">000 is issued, with the change in final price due to quantity </w:t>
      </w:r>
      <w:r>
        <w:t xml:space="preserve">and grade differences. The $100 </w:t>
      </w:r>
      <w:r w:rsidR="009819DF">
        <w:t xml:space="preserve">000 amount is to be adjusted in </w:t>
      </w:r>
      <w:r w:rsidR="0023065C">
        <w:t xml:space="preserve">the </w:t>
      </w:r>
      <w:r w:rsidR="009819DF">
        <w:lastRenderedPageBreak/>
        <w:t>same royalty year to refl</w:t>
      </w:r>
      <w:r>
        <w:t xml:space="preserve">ect the final amount (being $90 </w:t>
      </w:r>
      <w:r w:rsidR="009819DF">
        <w:t>000) received or receivable for royalty purposes.</w:t>
      </w:r>
    </w:p>
    <w:p w:rsidR="009819DF" w:rsidRDefault="009819DF" w:rsidP="0059377F">
      <w:pPr>
        <w:pStyle w:val="HeadingFour"/>
        <w:jc w:val="both"/>
      </w:pPr>
      <w:r>
        <w:t>Example 2</w:t>
      </w:r>
    </w:p>
    <w:p w:rsidR="009819DF" w:rsidRDefault="009819DF" w:rsidP="002F7654">
      <w:pPr>
        <w:pStyle w:val="Example"/>
      </w:pPr>
      <w:r>
        <w:t>In year 1</w:t>
      </w:r>
      <w:r w:rsidR="000A4350">
        <w:t xml:space="preserve">, a provisional invoice of $100 000 is issued for the sale of 2 </w:t>
      </w:r>
      <w:r>
        <w:t>00</w:t>
      </w:r>
      <w:r w:rsidR="000A4350">
        <w:t>0 tonnes of manganese. The $100</w:t>
      </w:r>
      <w:r w:rsidR="003E6C1D">
        <w:t> </w:t>
      </w:r>
      <w:r>
        <w:t xml:space="preserve">000 is to be included for royalty purposes at the time that the </w:t>
      </w:r>
      <w:r w:rsidR="0023065C">
        <w:t>manganese is sold pursuant to a</w:t>
      </w:r>
      <w:r>
        <w:t xml:space="preserve"> sales cont</w:t>
      </w:r>
      <w:r w:rsidR="0023065C">
        <w:t>ract.</w:t>
      </w:r>
      <w:r>
        <w:t xml:space="preserve"> In year 2, a final invoice of</w:t>
      </w:r>
      <w:r w:rsidR="000A4350">
        <w:t xml:space="preserve"> $90 </w:t>
      </w:r>
      <w:r>
        <w:t>000 is issued, with the change in final price due to quantity and grade differences. Because the pro</w:t>
      </w:r>
      <w:r w:rsidR="000A4350">
        <w:t xml:space="preserve">visional invoice amount of $100 </w:t>
      </w:r>
      <w:r>
        <w:t xml:space="preserve">000 has already been included in the </w:t>
      </w:r>
      <w:r w:rsidR="00E630FD">
        <w:t>gross realization</w:t>
      </w:r>
      <w:r w:rsidR="000A4350">
        <w:t xml:space="preserve"> for year 1, the $10 </w:t>
      </w:r>
      <w:r>
        <w:t xml:space="preserve">000 difference may be </w:t>
      </w:r>
      <w:r w:rsidR="0023065C">
        <w:t>offset against</w:t>
      </w:r>
      <w:r>
        <w:t xml:space="preserve"> the gross </w:t>
      </w:r>
      <w:r w:rsidR="0023065C">
        <w:t>value</w:t>
      </w:r>
      <w:r>
        <w:t xml:space="preserve"> for year 2.</w:t>
      </w:r>
    </w:p>
    <w:p w:rsidR="008F2821" w:rsidRPr="006A5A5D" w:rsidRDefault="008F2821" w:rsidP="0059377F">
      <w:pPr>
        <w:pStyle w:val="BlockText"/>
        <w:numPr>
          <w:ilvl w:val="0"/>
          <w:numId w:val="0"/>
        </w:numPr>
        <w:spacing w:before="360"/>
        <w:jc w:val="both"/>
        <w:rPr>
          <w:bCs/>
          <w:i/>
          <w:iCs/>
          <w:u w:val="single"/>
        </w:rPr>
      </w:pPr>
      <w:r>
        <w:rPr>
          <w:bCs/>
          <w:i/>
          <w:iCs/>
          <w:u w:val="single"/>
        </w:rPr>
        <w:t>Non-</w:t>
      </w:r>
      <w:r w:rsidR="0083061E">
        <w:rPr>
          <w:bCs/>
          <w:i/>
          <w:iCs/>
          <w:u w:val="single"/>
        </w:rPr>
        <w:t>arm’s length s</w:t>
      </w:r>
      <w:r w:rsidRPr="006A5A5D">
        <w:rPr>
          <w:bCs/>
          <w:i/>
          <w:iCs/>
          <w:u w:val="single"/>
        </w:rPr>
        <w:t>ales</w:t>
      </w:r>
    </w:p>
    <w:p w:rsidR="00B667D3" w:rsidRDefault="00B667D3" w:rsidP="00B667D3">
      <w:pPr>
        <w:pStyle w:val="BlockText"/>
        <w:jc w:val="both"/>
      </w:pPr>
      <w:r>
        <w:t xml:space="preserve">A </w:t>
      </w:r>
      <w:r w:rsidR="00A90B00">
        <w:t>complication of</w:t>
      </w:r>
      <w:r>
        <w:t xml:space="preserve"> a profit</w:t>
      </w:r>
      <w:r w:rsidR="00F934C9">
        <w:t>-</w:t>
      </w:r>
      <w:r>
        <w:t xml:space="preserve">based royalty regime </w:t>
      </w:r>
      <w:r w:rsidR="00A90B00">
        <w:t xml:space="preserve">is </w:t>
      </w:r>
      <w:r>
        <w:t xml:space="preserve">that </w:t>
      </w:r>
      <w:r w:rsidR="003668F9">
        <w:t>the regime’s</w:t>
      </w:r>
      <w:r>
        <w:t xml:space="preserve"> effectiveness </w:t>
      </w:r>
      <w:r w:rsidR="003668F9">
        <w:t>can</w:t>
      </w:r>
      <w:r>
        <w:t xml:space="preserve"> be compromised by transfer pricing transactions between related companies </w:t>
      </w:r>
      <w:r w:rsidR="00A90B00">
        <w:t>which can</w:t>
      </w:r>
      <w:r>
        <w:t xml:space="preserve"> avoid or reduce the amount of royalties otherwise payable. </w:t>
      </w:r>
    </w:p>
    <w:p w:rsidR="008F2821" w:rsidRDefault="003668F9" w:rsidP="0059377F">
      <w:pPr>
        <w:pStyle w:val="BlockText"/>
        <w:jc w:val="both"/>
      </w:pPr>
      <w:r>
        <w:t xml:space="preserve">For this reason, where </w:t>
      </w:r>
      <w:r w:rsidR="008F2821">
        <w:t xml:space="preserve">a non-arm’s length sale of a mineral commodity has taken place, the value of the sale for royalty purposes </w:t>
      </w:r>
      <w:r w:rsidR="00D748DE">
        <w:t xml:space="preserve">may be </w:t>
      </w:r>
      <w:r w:rsidR="008F2821">
        <w:t>determined on the following basis:</w:t>
      </w:r>
    </w:p>
    <w:p w:rsidR="008F2821" w:rsidRDefault="008F2821" w:rsidP="0059377F">
      <w:pPr>
        <w:pStyle w:val="BlockText"/>
        <w:numPr>
          <w:ilvl w:val="1"/>
          <w:numId w:val="3"/>
        </w:numPr>
        <w:tabs>
          <w:tab w:val="left" w:pos="851"/>
        </w:tabs>
        <w:jc w:val="both"/>
      </w:pPr>
      <w:r>
        <w:t xml:space="preserve">Where </w:t>
      </w:r>
      <w:r w:rsidR="0023065C">
        <w:t>a royalty payer has made</w:t>
      </w:r>
      <w:r>
        <w:t xml:space="preserve"> comparable arm’s length sales of the same </w:t>
      </w:r>
      <w:r w:rsidR="0023065C">
        <w:t xml:space="preserve">or substantially similar </w:t>
      </w:r>
      <w:r>
        <w:t>mineral commodity</w:t>
      </w:r>
      <w:r w:rsidR="00D748DE">
        <w:t xml:space="preserve"> (including quantity and quality)</w:t>
      </w:r>
      <w:r>
        <w:t xml:space="preserve"> over the royalty year, </w:t>
      </w:r>
      <w:r w:rsidR="0023065C">
        <w:t xml:space="preserve">for </w:t>
      </w:r>
      <w:r w:rsidR="00DC7FB1">
        <w:t xml:space="preserve">gross realization </w:t>
      </w:r>
      <w:r w:rsidR="0023065C">
        <w:t xml:space="preserve">purposes, </w:t>
      </w:r>
      <w:r>
        <w:t xml:space="preserve">the non-arm’s length sales may be valued by applying the weighted average </w:t>
      </w:r>
      <w:r w:rsidR="00E630FD">
        <w:t xml:space="preserve">FOB </w:t>
      </w:r>
      <w:r>
        <w:t xml:space="preserve">arm’s length price obtained for the same </w:t>
      </w:r>
      <w:r w:rsidR="003668F9">
        <w:t xml:space="preserve">or substantially similar </w:t>
      </w:r>
      <w:r>
        <w:t xml:space="preserve">mineral commodity over the royalty year. </w:t>
      </w:r>
    </w:p>
    <w:p w:rsidR="008F2821" w:rsidRDefault="008F2821" w:rsidP="0059377F">
      <w:pPr>
        <w:pStyle w:val="BlockText"/>
        <w:numPr>
          <w:ilvl w:val="1"/>
          <w:numId w:val="3"/>
        </w:numPr>
        <w:tabs>
          <w:tab w:val="left" w:pos="851"/>
        </w:tabs>
        <w:jc w:val="both"/>
      </w:pPr>
      <w:r>
        <w:t xml:space="preserve">Where there are no comparable arm’s length sales of the same </w:t>
      </w:r>
      <w:r w:rsidR="003668F9">
        <w:t xml:space="preserve">or substantially similar </w:t>
      </w:r>
      <w:r>
        <w:t xml:space="preserve">mineral commodity </w:t>
      </w:r>
      <w:r w:rsidR="00D748DE">
        <w:t xml:space="preserve">(including quantity and quality) </w:t>
      </w:r>
      <w:r>
        <w:t xml:space="preserve">over the royalty year, </w:t>
      </w:r>
      <w:r w:rsidR="0023065C">
        <w:t xml:space="preserve">for </w:t>
      </w:r>
      <w:r w:rsidR="00DC7FB1">
        <w:t xml:space="preserve">gross realization </w:t>
      </w:r>
      <w:r w:rsidR="0023065C">
        <w:t xml:space="preserve">purposes, </w:t>
      </w:r>
      <w:r>
        <w:t xml:space="preserve">the non-arm’s length sales may be </w:t>
      </w:r>
      <w:r w:rsidR="0023065C">
        <w:t>valued</w:t>
      </w:r>
      <w:r>
        <w:t xml:space="preserve"> by one of the following methods:</w:t>
      </w:r>
    </w:p>
    <w:p w:rsidR="008F2821" w:rsidRDefault="0023065C" w:rsidP="00805829">
      <w:pPr>
        <w:pStyle w:val="BlockText"/>
        <w:numPr>
          <w:ilvl w:val="2"/>
          <w:numId w:val="3"/>
        </w:numPr>
        <w:jc w:val="both"/>
      </w:pPr>
      <w:r>
        <w:t>t</w:t>
      </w:r>
      <w:r w:rsidR="008F2821">
        <w:t xml:space="preserve">he open market price (refer </w:t>
      </w:r>
      <w:r w:rsidR="0077354E">
        <w:t xml:space="preserve">to </w:t>
      </w:r>
      <w:r w:rsidR="008F2821">
        <w:t>paragraph</w:t>
      </w:r>
      <w:r w:rsidR="0077354E">
        <w:t>s</w:t>
      </w:r>
      <w:r w:rsidR="008F2821">
        <w:t xml:space="preserve"> </w:t>
      </w:r>
      <w:r w:rsidR="0077354E">
        <w:t>30 and 31</w:t>
      </w:r>
      <w:r w:rsidR="008F2821">
        <w:t xml:space="preserve"> below). The FOB equivalent price published by a recognised commodities exchange will generally be accepted. </w:t>
      </w:r>
    </w:p>
    <w:p w:rsidR="002E56E3" w:rsidRDefault="00A138CD" w:rsidP="0059377F">
      <w:pPr>
        <w:numPr>
          <w:ilvl w:val="2"/>
          <w:numId w:val="3"/>
        </w:numPr>
        <w:autoSpaceDE w:val="0"/>
        <w:autoSpaceDN w:val="0"/>
        <w:adjustRightInd w:val="0"/>
        <w:spacing w:before="120" w:after="60"/>
        <w:jc w:val="both"/>
      </w:pPr>
      <w:r>
        <w:t>having regard to the particular circumstances of the given case, one of the methodologies acceptable to the Australian Taxation Office (ATO) (in the sense described in Taxation Ruling TR</w:t>
      </w:r>
      <w:r w:rsidR="00E630FD">
        <w:t xml:space="preserve"> 97</w:t>
      </w:r>
      <w:r>
        <w:t>/20: Arm’s Length Transfer Pricing Methodologies for International Dealings (or successor ruling))</w:t>
      </w:r>
      <w:r w:rsidR="000A4350">
        <w:t>.</w:t>
      </w:r>
      <w:r>
        <w:t xml:space="preserve"> </w:t>
      </w:r>
      <w:r w:rsidR="003668F9">
        <w:t>The Secretary will consider a methodology acceptable to the ATO i</w:t>
      </w:r>
      <w:r w:rsidR="00013AA4">
        <w:t>f</w:t>
      </w:r>
      <w:r w:rsidR="002E56E3">
        <w:t>:</w:t>
      </w:r>
      <w:r w:rsidR="00013AA4">
        <w:t xml:space="preserve"> </w:t>
      </w:r>
    </w:p>
    <w:p w:rsidR="00B33E0F" w:rsidRPr="00B33E0F" w:rsidRDefault="00B33E0F" w:rsidP="00B33E0F">
      <w:pPr>
        <w:spacing w:before="120" w:after="60"/>
        <w:ind w:left="1616" w:hanging="357"/>
      </w:pPr>
      <w:r>
        <w:t>(i)</w:t>
      </w:r>
      <w:r>
        <w:tab/>
      </w:r>
      <w:r w:rsidR="00A138CD" w:rsidRPr="00B33E0F">
        <w:t>the ATO ha</w:t>
      </w:r>
      <w:r w:rsidR="000A4350" w:rsidRPr="00B33E0F">
        <w:t>s</w:t>
      </w:r>
      <w:r w:rsidR="00A138CD" w:rsidRPr="00B33E0F">
        <w:t xml:space="preserve"> undertaken a transfer pricing record review and audit of the royalty payer</w:t>
      </w:r>
      <w:r w:rsidR="004F7B02" w:rsidRPr="00B33E0F">
        <w:t>; and</w:t>
      </w:r>
      <w:r w:rsidR="00A138CD" w:rsidRPr="00B33E0F">
        <w:t xml:space="preserve"> </w:t>
      </w:r>
    </w:p>
    <w:p w:rsidR="00A138CD" w:rsidRPr="00B33E0F" w:rsidRDefault="00B33E0F" w:rsidP="00B33E0F">
      <w:pPr>
        <w:spacing w:before="120" w:after="60"/>
        <w:ind w:left="1616" w:hanging="357"/>
      </w:pPr>
      <w:r>
        <w:t>(ii)</w:t>
      </w:r>
      <w:r>
        <w:tab/>
      </w:r>
      <w:r w:rsidR="00A138CD" w:rsidRPr="00B33E0F">
        <w:t xml:space="preserve">there </w:t>
      </w:r>
      <w:r w:rsidR="004F7B02" w:rsidRPr="00B33E0F">
        <w:t xml:space="preserve">have </w:t>
      </w:r>
      <w:r w:rsidR="00A138CD" w:rsidRPr="00B33E0F">
        <w:t>been no adjustments or determinations made under Division 13 of Part III of the Income Tax Assessment Act 1936 (Cth)</w:t>
      </w:r>
      <w:r w:rsidR="003668F9" w:rsidRPr="00B33E0F">
        <w:t>,</w:t>
      </w:r>
      <w:r w:rsidR="00A138CD" w:rsidRPr="00B33E0F">
        <w:t xml:space="preserve"> or subsequent issuance of an assessment or amended assessment to give effect to the adjustment </w:t>
      </w:r>
      <w:r w:rsidR="003E6316" w:rsidRPr="00B33E0F">
        <w:t xml:space="preserve">or </w:t>
      </w:r>
      <w:r w:rsidR="00A138CD" w:rsidRPr="00B33E0F">
        <w:t xml:space="preserve">determination for the relevant period of time. </w:t>
      </w:r>
    </w:p>
    <w:p w:rsidR="00A902C4" w:rsidRPr="005572F5" w:rsidRDefault="00A902C4" w:rsidP="005572F5">
      <w:pPr>
        <w:tabs>
          <w:tab w:val="left" w:pos="1260"/>
          <w:tab w:val="left" w:pos="1701"/>
        </w:tabs>
        <w:autoSpaceDE w:val="0"/>
        <w:autoSpaceDN w:val="0"/>
        <w:adjustRightInd w:val="0"/>
        <w:spacing w:after="120"/>
        <w:ind w:left="1260" w:hanging="360"/>
        <w:jc w:val="both"/>
        <w:rPr>
          <w:szCs w:val="22"/>
        </w:rPr>
      </w:pPr>
      <w:r w:rsidRPr="00A902C4">
        <w:t xml:space="preserve">(c) in accordance with the terms of an advance transfer pricing agreement (whether unilateral, bilateral or multilateral) whereby the future transfer pricing methodology to be used to determine the arm’s length price is agreed between the relevant parties (refer to the ATO’s  Practice Statement Law Administration  PS LA 2011/1). </w:t>
      </w:r>
    </w:p>
    <w:p w:rsidR="00A138CD" w:rsidRDefault="003E6316" w:rsidP="0059377F">
      <w:pPr>
        <w:autoSpaceDE w:val="0"/>
        <w:autoSpaceDN w:val="0"/>
        <w:adjustRightInd w:val="0"/>
        <w:spacing w:before="120" w:after="60"/>
        <w:ind w:left="1276"/>
        <w:jc w:val="both"/>
      </w:pPr>
      <w:r>
        <w:t>T</w:t>
      </w:r>
      <w:r w:rsidR="00A138CD">
        <w:t>he ATO generally follows the OECD Report “Transfer Pricing Guidelines for Multinational Enterprises and Tax Administrations” (1995), which was a revision of the OECD Report “Transfer Pricing and Multinational Enterprises” (1979), in applying transfer pricing methodologies (see paragraph</w:t>
      </w:r>
      <w:r w:rsidR="00A938D6">
        <w:t>s 1.13 and</w:t>
      </w:r>
      <w:r w:rsidR="00A138CD">
        <w:t xml:space="preserve"> 3.1 of the</w:t>
      </w:r>
      <w:r w:rsidR="00A138CD" w:rsidRPr="003B4F81">
        <w:t xml:space="preserve"> </w:t>
      </w:r>
      <w:r w:rsidR="00A138CD">
        <w:t>Taxation Ruling TR</w:t>
      </w:r>
      <w:r w:rsidR="00E630FD">
        <w:t xml:space="preserve"> 97</w:t>
      </w:r>
      <w:r w:rsidR="00A138CD">
        <w:t>/20: Arm’s Length Transfer Pricing Methodologies for International Dealings).</w:t>
      </w:r>
    </w:p>
    <w:p w:rsidR="0023065C" w:rsidRDefault="0023065C" w:rsidP="0059377F">
      <w:pPr>
        <w:pStyle w:val="BlockText"/>
        <w:jc w:val="both"/>
      </w:pPr>
      <w:r>
        <w:t>To avoid uncertainty, a royalty payer that has entered into or i</w:t>
      </w:r>
      <w:r w:rsidR="00013AA4">
        <w:t>s intending to enter into a non</w:t>
      </w:r>
      <w:r w:rsidR="00013AA4">
        <w:noBreakHyphen/>
      </w:r>
      <w:r>
        <w:t xml:space="preserve">arm’s length arrangement </w:t>
      </w:r>
      <w:r w:rsidR="003E6316">
        <w:t xml:space="preserve">can obtain, from the </w:t>
      </w:r>
      <w:r>
        <w:t>Secretary</w:t>
      </w:r>
      <w:r w:rsidR="003E6316">
        <w:t>,</w:t>
      </w:r>
      <w:r>
        <w:t xml:space="preserve"> confirmation of an acceptable valuation arrangement.   </w:t>
      </w:r>
    </w:p>
    <w:p w:rsidR="0023065C" w:rsidRPr="00D87BF2" w:rsidRDefault="0083061E" w:rsidP="0059377F">
      <w:pPr>
        <w:pStyle w:val="BlockText"/>
        <w:numPr>
          <w:ilvl w:val="0"/>
          <w:numId w:val="0"/>
        </w:numPr>
        <w:spacing w:before="360"/>
        <w:jc w:val="both"/>
        <w:rPr>
          <w:bCs/>
          <w:i/>
          <w:iCs/>
          <w:u w:val="single"/>
        </w:rPr>
      </w:pPr>
      <w:r>
        <w:rPr>
          <w:bCs/>
          <w:i/>
          <w:iCs/>
          <w:u w:val="single"/>
        </w:rPr>
        <w:lastRenderedPageBreak/>
        <w:t>Removal without sale from the production u</w:t>
      </w:r>
      <w:r w:rsidR="0023065C" w:rsidRPr="00D87BF2">
        <w:rPr>
          <w:bCs/>
          <w:i/>
          <w:iCs/>
          <w:u w:val="single"/>
        </w:rPr>
        <w:t xml:space="preserve">nit </w:t>
      </w:r>
    </w:p>
    <w:p w:rsidR="00D87BF2" w:rsidRDefault="00D87BF2" w:rsidP="0059377F">
      <w:pPr>
        <w:pStyle w:val="BlockText"/>
        <w:jc w:val="both"/>
      </w:pPr>
      <w:r>
        <w:t>Subject to a contrary Guideline or A</w:t>
      </w:r>
      <w:r w:rsidR="00013AA4">
        <w:t>dvance</w:t>
      </w:r>
      <w:r>
        <w:t xml:space="preserve"> Opinion, where liability for royalty is triggered by the removal of saleable mineral commodities without sale (for example, removal to a stockpile </w:t>
      </w:r>
      <w:r w:rsidR="0083061E">
        <w:t xml:space="preserve">facility outside the production unit </w:t>
      </w:r>
      <w:r>
        <w:t xml:space="preserve">or removal for further </w:t>
      </w:r>
      <w:r w:rsidR="0083061E">
        <w:t xml:space="preserve">downstream </w:t>
      </w:r>
      <w:r>
        <w:t>processing), the value is generally determined as follows:</w:t>
      </w:r>
    </w:p>
    <w:p w:rsidR="00D87BF2" w:rsidRDefault="00D87BF2" w:rsidP="0059377F">
      <w:pPr>
        <w:pStyle w:val="BlockText"/>
        <w:numPr>
          <w:ilvl w:val="1"/>
          <w:numId w:val="3"/>
        </w:numPr>
        <w:tabs>
          <w:tab w:val="left" w:pos="851"/>
        </w:tabs>
        <w:jc w:val="both"/>
      </w:pPr>
      <w:r>
        <w:t>the open market price for the mineral commodities</w:t>
      </w:r>
      <w:r w:rsidR="00560D34">
        <w:t xml:space="preserve"> (see paragraphs 30 and 31 below)</w:t>
      </w:r>
      <w:r>
        <w:t>; or</w:t>
      </w:r>
    </w:p>
    <w:p w:rsidR="00D87BF2" w:rsidRDefault="00D87BF2" w:rsidP="0059377F">
      <w:pPr>
        <w:pStyle w:val="BlockText"/>
        <w:numPr>
          <w:ilvl w:val="1"/>
          <w:numId w:val="3"/>
        </w:numPr>
        <w:tabs>
          <w:tab w:val="left" w:pos="851"/>
        </w:tabs>
        <w:jc w:val="both"/>
      </w:pPr>
      <w:r>
        <w:t>an amount that the royalty payer may establish and substantiate as being the value to the royalty payer</w:t>
      </w:r>
      <w:r w:rsidR="00B44A62">
        <w:t xml:space="preserve"> (see paragraphs 32 to 37 below)</w:t>
      </w:r>
      <w:r>
        <w:t>.</w:t>
      </w:r>
      <w:r w:rsidR="00B44A62">
        <w:t xml:space="preserve"> </w:t>
      </w:r>
      <w:r>
        <w:t>If the royalty payer does not establish such a value, the</w:t>
      </w:r>
      <w:r w:rsidR="00B44A62">
        <w:t xml:space="preserve"> open market price will be used</w:t>
      </w:r>
      <w:r>
        <w:t>.</w:t>
      </w:r>
    </w:p>
    <w:p w:rsidR="00D87BF2" w:rsidRDefault="00D87BF2" w:rsidP="0083061E">
      <w:pPr>
        <w:pStyle w:val="BlockText"/>
        <w:jc w:val="both"/>
      </w:pPr>
      <w:r>
        <w:t>Irrespective of which valuation method is adopted, the saleable mineral commodities must be valued at the precise time they are removed without sale from the production unit.</w:t>
      </w:r>
      <w:r w:rsidR="0083061E">
        <w:t xml:space="preserve"> However,</w:t>
      </w:r>
      <w:r w:rsidR="0083061E" w:rsidRPr="0083061E">
        <w:t xml:space="preserve"> </w:t>
      </w:r>
      <w:r w:rsidR="0083061E">
        <w:t>if the removal and subsequent sale of the saleable mineral commodity occur within a short timeframe (for example, one month or a reasonable period accepted by the Secretary), in conformity with current administrative practice, the arm’s length sale price may be accepted as the gross value of the saleable mineral commodity.</w:t>
      </w:r>
    </w:p>
    <w:p w:rsidR="00CD0367" w:rsidRDefault="00CD0367" w:rsidP="0059377F">
      <w:pPr>
        <w:pStyle w:val="BlockText"/>
        <w:autoSpaceDE w:val="0"/>
        <w:autoSpaceDN w:val="0"/>
        <w:adjustRightInd w:val="0"/>
        <w:spacing w:before="120" w:after="60"/>
        <w:jc w:val="both"/>
      </w:pPr>
      <w:r w:rsidRPr="004608AA">
        <w:t>In most cases ‘va</w:t>
      </w:r>
      <w:r>
        <w:t>lue to the royalty payer’</w:t>
      </w:r>
      <w:r w:rsidRPr="004608AA">
        <w:t xml:space="preserve"> i</w:t>
      </w:r>
      <w:r>
        <w:t>s</w:t>
      </w:r>
      <w:r w:rsidRPr="004608AA">
        <w:t xml:space="preserve"> no more or less than the value which the mineral commodity will yield in the open (or wide and general) market.</w:t>
      </w:r>
    </w:p>
    <w:p w:rsidR="00CD0367" w:rsidRPr="004608AA" w:rsidRDefault="00CD0367" w:rsidP="0059377F">
      <w:pPr>
        <w:pStyle w:val="BlockText"/>
        <w:autoSpaceDE w:val="0"/>
        <w:autoSpaceDN w:val="0"/>
        <w:adjustRightInd w:val="0"/>
        <w:spacing w:before="120" w:after="60"/>
        <w:jc w:val="both"/>
      </w:pPr>
      <w:r w:rsidRPr="004608AA">
        <w:t xml:space="preserve">Unless the royalty payer </w:t>
      </w:r>
      <w:r>
        <w:t>establishes that</w:t>
      </w:r>
      <w:r w:rsidRPr="004608AA">
        <w:t xml:space="preserve"> another method of determining the value of the mineral commodity should be adopted, the generally accepted approach is to apply the open (or market) value approach or process described in </w:t>
      </w:r>
      <w:r w:rsidRPr="00CD0367">
        <w:rPr>
          <w:i/>
          <w:iCs/>
        </w:rPr>
        <w:t>Walker Corporation Pty Ltd v Sydney Harbour Foreshore Authority</w:t>
      </w:r>
      <w:r w:rsidRPr="004608AA">
        <w:t xml:space="preserve"> (20</w:t>
      </w:r>
      <w:r>
        <w:t>08) 233 CLR 259 at</w:t>
      </w:r>
      <w:r w:rsidRPr="004608AA">
        <w:t xml:space="preserve"> [51]</w:t>
      </w:r>
      <w:r w:rsidR="003E6316">
        <w:t xml:space="preserve"> (refer to paragraph 30 below)</w:t>
      </w:r>
      <w:r>
        <w:t>.</w:t>
      </w:r>
    </w:p>
    <w:p w:rsidR="00805829" w:rsidRPr="004608AA" w:rsidRDefault="00CD0367" w:rsidP="0077354E">
      <w:pPr>
        <w:pStyle w:val="BlockText"/>
        <w:autoSpaceDE w:val="0"/>
        <w:autoSpaceDN w:val="0"/>
        <w:adjustRightInd w:val="0"/>
        <w:spacing w:before="120" w:after="60"/>
        <w:jc w:val="both"/>
      </w:pPr>
      <w:r w:rsidRPr="004608AA">
        <w:t xml:space="preserve">Where a claim for </w:t>
      </w:r>
      <w:r w:rsidR="003E6316">
        <w:t xml:space="preserve">the value to be set at the </w:t>
      </w:r>
      <w:r>
        <w:t xml:space="preserve">value to the </w:t>
      </w:r>
      <w:r w:rsidRPr="004608AA">
        <w:t xml:space="preserve">royalty payer is </w:t>
      </w:r>
      <w:r w:rsidR="003E6316">
        <w:t>made</w:t>
      </w:r>
      <w:r w:rsidRPr="004608AA">
        <w:t xml:space="preserve">, </w:t>
      </w:r>
      <w:r>
        <w:t>t</w:t>
      </w:r>
      <w:r w:rsidRPr="004608AA">
        <w:t xml:space="preserve">he royalty payer must establish and substantiate </w:t>
      </w:r>
      <w:r>
        <w:t>that</w:t>
      </w:r>
      <w:r w:rsidRPr="004608AA">
        <w:t xml:space="preserve"> value </w:t>
      </w:r>
      <w:r>
        <w:t>(see paragraph</w:t>
      </w:r>
      <w:r w:rsidR="00805829">
        <w:t>s</w:t>
      </w:r>
      <w:r>
        <w:t xml:space="preserve"> </w:t>
      </w:r>
      <w:r w:rsidR="0083061E">
        <w:t>32 to 37</w:t>
      </w:r>
      <w:r>
        <w:t xml:space="preserve"> below)</w:t>
      </w:r>
      <w:r w:rsidR="00805829">
        <w:t>.</w:t>
      </w:r>
    </w:p>
    <w:p w:rsidR="008F2821" w:rsidRPr="00CD0367" w:rsidRDefault="0083061E" w:rsidP="0059377F">
      <w:pPr>
        <w:pStyle w:val="BlockText"/>
        <w:numPr>
          <w:ilvl w:val="0"/>
          <w:numId w:val="0"/>
        </w:numPr>
        <w:spacing w:before="360"/>
        <w:jc w:val="both"/>
        <w:rPr>
          <w:i/>
        </w:rPr>
      </w:pPr>
      <w:r>
        <w:rPr>
          <w:i/>
        </w:rPr>
        <w:t>Open market p</w:t>
      </w:r>
      <w:r w:rsidR="00CD0367" w:rsidRPr="00CD0367">
        <w:rPr>
          <w:i/>
        </w:rPr>
        <w:t>rice</w:t>
      </w:r>
    </w:p>
    <w:p w:rsidR="00CD0367" w:rsidRDefault="00CD0367" w:rsidP="0059377F">
      <w:pPr>
        <w:pStyle w:val="BlockText"/>
        <w:jc w:val="both"/>
      </w:pPr>
      <w:r>
        <w:t xml:space="preserve">The open market price is the price that would be negotiated at the </w:t>
      </w:r>
      <w:r w:rsidR="00B44A62">
        <w:t>trigger</w:t>
      </w:r>
      <w:r>
        <w:t xml:space="preserve"> date</w:t>
      </w:r>
      <w:r w:rsidR="00B44A62">
        <w:t xml:space="preserve"> for valuation</w:t>
      </w:r>
      <w:r>
        <w:t xml:space="preserve"> in an open and unrestricted market between a knowledgeable, willing but not anxious buyer and a knowledgeable, willing but not anxious seller, acting at arm’s length.</w:t>
      </w:r>
    </w:p>
    <w:p w:rsidR="00CD0367" w:rsidRDefault="00CD0367" w:rsidP="0059377F">
      <w:pPr>
        <w:pStyle w:val="BlockText"/>
        <w:jc w:val="both"/>
      </w:pPr>
      <w:r>
        <w:t>The following valuation methods will be accepted as a fair representation of the open market price:</w:t>
      </w:r>
    </w:p>
    <w:p w:rsidR="00CD0367" w:rsidRDefault="0083061E" w:rsidP="0059377F">
      <w:pPr>
        <w:pStyle w:val="BlockText"/>
        <w:numPr>
          <w:ilvl w:val="1"/>
          <w:numId w:val="3"/>
        </w:numPr>
        <w:tabs>
          <w:tab w:val="left" w:pos="851"/>
        </w:tabs>
        <w:jc w:val="both"/>
      </w:pPr>
      <w:r>
        <w:t>t</w:t>
      </w:r>
      <w:r w:rsidR="00CD0367">
        <w:t>he price published by a recognised commodities exchange (for example the London M</w:t>
      </w:r>
      <w:r>
        <w:t>etals Exchange, Perth Mint etc); or</w:t>
      </w:r>
    </w:p>
    <w:p w:rsidR="00CD0367" w:rsidRDefault="00CD0367" w:rsidP="0059377F">
      <w:pPr>
        <w:pStyle w:val="BlockText"/>
        <w:numPr>
          <w:ilvl w:val="1"/>
          <w:numId w:val="3"/>
        </w:numPr>
        <w:tabs>
          <w:tab w:val="left" w:pos="851"/>
        </w:tabs>
        <w:jc w:val="both"/>
      </w:pPr>
      <w:r>
        <w:t xml:space="preserve">the price received from </w:t>
      </w:r>
      <w:r w:rsidR="00536D97">
        <w:t>comparable arm’s length</w:t>
      </w:r>
      <w:r>
        <w:t xml:space="preserve"> sales of the same or substantially similar saleable mineral commodity </w:t>
      </w:r>
      <w:r w:rsidR="00D748DE">
        <w:t xml:space="preserve">(including quantity and quality) </w:t>
      </w:r>
      <w:r w:rsidR="00536D97">
        <w:t>at the time</w:t>
      </w:r>
      <w:r>
        <w:t xml:space="preserve"> of removal</w:t>
      </w:r>
      <w:r w:rsidR="00F87CCD">
        <w:t xml:space="preserve"> of the saleable mineral commodity to be valued</w:t>
      </w:r>
      <w:r>
        <w:t>.</w:t>
      </w:r>
    </w:p>
    <w:p w:rsidR="00536D97" w:rsidRPr="00536D97" w:rsidRDefault="0083061E" w:rsidP="0059377F">
      <w:pPr>
        <w:pStyle w:val="HeadingThree"/>
        <w:jc w:val="both"/>
        <w:rPr>
          <w:b w:val="0"/>
        </w:rPr>
      </w:pPr>
      <w:r>
        <w:rPr>
          <w:b w:val="0"/>
        </w:rPr>
        <w:t>Value to the royalty p</w:t>
      </w:r>
      <w:r w:rsidR="00536D97" w:rsidRPr="00536D97">
        <w:rPr>
          <w:b w:val="0"/>
        </w:rPr>
        <w:t>ayer</w:t>
      </w:r>
    </w:p>
    <w:p w:rsidR="00536D97" w:rsidRDefault="00536D97" w:rsidP="0059377F">
      <w:pPr>
        <w:pStyle w:val="BlockText"/>
        <w:jc w:val="both"/>
      </w:pPr>
      <w:r>
        <w:t>In certain instances, the application of the open market price for a saleable mineral commodity may not result in a fair and equitable outcome</w:t>
      </w:r>
      <w:r w:rsidR="00105154">
        <w:t>,</w:t>
      </w:r>
      <w:r>
        <w:t xml:space="preserve"> in that it results in the gross value being determined solely by reference to the prices obtained for the end product in its ultimate refined state without allowing all of the direct costs incurred</w:t>
      </w:r>
      <w:r w:rsidR="00105154">
        <w:t xml:space="preserve"> to be deducted</w:t>
      </w:r>
      <w:r>
        <w:t>. This may be the case where a saleable mineral commodity</w:t>
      </w:r>
      <w:r w:rsidR="00105154">
        <w:t xml:space="preserve"> (such as gold and silver)</w:t>
      </w:r>
      <w:r>
        <w:t xml:space="preserve"> is subject to further treatment outside of the production unit but the further treatment costs are not deductible for royalty purposes.  </w:t>
      </w:r>
    </w:p>
    <w:p w:rsidR="00105154" w:rsidRDefault="00105154" w:rsidP="0059377F">
      <w:pPr>
        <w:pStyle w:val="BlockText"/>
        <w:spacing w:before="120" w:after="60"/>
        <w:jc w:val="both"/>
      </w:pPr>
      <w:r>
        <w:t>Section 4A(3)(c)(ii) of the MRA permits a royalty payer to establish and substantiate another amount as being the gross value of the saleable mineral commodity (“the value to the royalty payer”). The onus rests upon the royalty payer to</w:t>
      </w:r>
      <w:r w:rsidRPr="00540179">
        <w:t xml:space="preserve"> </w:t>
      </w:r>
      <w:r>
        <w:t xml:space="preserve">establish and substantiate the claim.  </w:t>
      </w:r>
    </w:p>
    <w:p w:rsidR="00105154" w:rsidRDefault="00105154" w:rsidP="0059377F">
      <w:pPr>
        <w:pStyle w:val="BlockText"/>
        <w:spacing w:before="120" w:after="60"/>
        <w:jc w:val="both"/>
      </w:pPr>
      <w:r w:rsidRPr="00105154">
        <w:rPr>
          <w:color w:val="000000"/>
        </w:rPr>
        <w:t xml:space="preserve">A written application or claim should be made to the Secretary setting out a statement of reasons to establish and substantiate the </w:t>
      </w:r>
      <w:r>
        <w:t>value to the royalty payer</w:t>
      </w:r>
      <w:r w:rsidRPr="00105154">
        <w:rPr>
          <w:color w:val="000000"/>
        </w:rPr>
        <w:t xml:space="preserve">. The reasons </w:t>
      </w:r>
      <w:r w:rsidRPr="006E5C22">
        <w:t xml:space="preserve">should be sufficiently explicit to </w:t>
      </w:r>
      <w:r>
        <w:t xml:space="preserve">identify and </w:t>
      </w:r>
      <w:r w:rsidRPr="006E5C22">
        <w:t xml:space="preserve">direct the </w:t>
      </w:r>
      <w:r>
        <w:t>Secretary</w:t>
      </w:r>
      <w:r w:rsidRPr="006E5C22">
        <w:t xml:space="preserve">’s attention to the particular aspects upon </w:t>
      </w:r>
      <w:r w:rsidRPr="006E5C22">
        <w:lastRenderedPageBreak/>
        <w:t>which it is contended that</w:t>
      </w:r>
      <w:r>
        <w:t xml:space="preserve"> the amount should be determined as</w:t>
      </w:r>
      <w:r w:rsidRPr="006E5C22">
        <w:t xml:space="preserve"> the </w:t>
      </w:r>
      <w:r>
        <w:t>gross value of the saleable mineral commodity for the purposes of the MRA.</w:t>
      </w:r>
    </w:p>
    <w:p w:rsidR="00105154" w:rsidRPr="00105154" w:rsidRDefault="00105154" w:rsidP="0059377F">
      <w:pPr>
        <w:pStyle w:val="BlockText"/>
        <w:spacing w:before="120" w:after="60"/>
        <w:jc w:val="both"/>
        <w:rPr>
          <w:b/>
        </w:rPr>
      </w:pPr>
      <w:r w:rsidRPr="00DB2242">
        <w:t xml:space="preserve">In support of </w:t>
      </w:r>
      <w:r>
        <w:t>the</w:t>
      </w:r>
      <w:r w:rsidRPr="00DB2242">
        <w:t xml:space="preserve"> application, clear and cogent </w:t>
      </w:r>
      <w:r>
        <w:t>information</w:t>
      </w:r>
      <w:r w:rsidRPr="00DB2242">
        <w:t xml:space="preserve"> </w:t>
      </w:r>
      <w:r>
        <w:t>must be provided to the Secretary</w:t>
      </w:r>
      <w:r w:rsidRPr="00DB2242">
        <w:t>.</w:t>
      </w:r>
      <w:r w:rsidRPr="00105154">
        <w:rPr>
          <w:b/>
        </w:rPr>
        <w:t xml:space="preserve">  </w:t>
      </w:r>
      <w:r w:rsidR="003E6316">
        <w:t>Such information is to include, at a minimum</w:t>
      </w:r>
      <w:r w:rsidRPr="00DB2242">
        <w:t>:</w:t>
      </w:r>
    </w:p>
    <w:p w:rsidR="00105154" w:rsidRPr="00DB2242" w:rsidRDefault="00105154" w:rsidP="00805829">
      <w:pPr>
        <w:numPr>
          <w:ilvl w:val="0"/>
          <w:numId w:val="17"/>
        </w:numPr>
        <w:tabs>
          <w:tab w:val="clear" w:pos="1260"/>
          <w:tab w:val="num" w:pos="851"/>
          <w:tab w:val="left" w:pos="1418"/>
        </w:tabs>
        <w:spacing w:before="120" w:after="60"/>
        <w:ind w:left="851" w:hanging="425"/>
        <w:jc w:val="both"/>
      </w:pPr>
      <w:r>
        <w:t>any forward selling contracts relating to the saleable mineral commodity</w:t>
      </w:r>
      <w:r w:rsidRPr="00DB2242">
        <w:t>;</w:t>
      </w:r>
    </w:p>
    <w:p w:rsidR="00105154" w:rsidRDefault="00105154" w:rsidP="00805829">
      <w:pPr>
        <w:numPr>
          <w:ilvl w:val="0"/>
          <w:numId w:val="17"/>
        </w:numPr>
        <w:tabs>
          <w:tab w:val="clear" w:pos="1260"/>
          <w:tab w:val="num" w:pos="851"/>
          <w:tab w:val="left" w:pos="1418"/>
        </w:tabs>
        <w:spacing w:before="120" w:after="60"/>
        <w:ind w:left="851" w:hanging="425"/>
        <w:jc w:val="both"/>
      </w:pPr>
      <w:r>
        <w:t>identification and description of the actual condition of the saleable mineral commodity at the precise time it was removed from the production unit with all its existing advantages and possibilities;</w:t>
      </w:r>
    </w:p>
    <w:p w:rsidR="00105154" w:rsidRDefault="00105154" w:rsidP="00805829">
      <w:pPr>
        <w:numPr>
          <w:ilvl w:val="0"/>
          <w:numId w:val="17"/>
        </w:numPr>
        <w:tabs>
          <w:tab w:val="clear" w:pos="1260"/>
          <w:tab w:val="num" w:pos="851"/>
          <w:tab w:val="left" w:pos="1418"/>
        </w:tabs>
        <w:spacing w:before="120" w:after="60"/>
        <w:ind w:left="851" w:hanging="425"/>
        <w:jc w:val="both"/>
      </w:pPr>
      <w:r>
        <w:t xml:space="preserve">in relation to dore (being an alloy, amalgam or mixture of gold and silver as well as other impurities), the amount or price the royalty payer receives from the subsequent sale of the saleable mineral commodities (being the end product in its refined state, that is gold and silver) and the direct costs incurred (outside the </w:t>
      </w:r>
      <w:r w:rsidR="006F4F19">
        <w:t>production unit</w:t>
      </w:r>
      <w:r>
        <w:t xml:space="preserve">) in </w:t>
      </w:r>
      <w:r w:rsidR="00963F1E">
        <w:t>processing</w:t>
      </w:r>
      <w:r>
        <w:t xml:space="preserve"> dore into the refined saleable mineral commodities; </w:t>
      </w:r>
    </w:p>
    <w:p w:rsidR="00105154" w:rsidRPr="00DB2242" w:rsidRDefault="00105154" w:rsidP="00805829">
      <w:pPr>
        <w:numPr>
          <w:ilvl w:val="0"/>
          <w:numId w:val="17"/>
        </w:numPr>
        <w:tabs>
          <w:tab w:val="clear" w:pos="1260"/>
          <w:tab w:val="num" w:pos="851"/>
          <w:tab w:val="left" w:pos="1418"/>
        </w:tabs>
        <w:spacing w:before="120" w:after="60"/>
        <w:ind w:left="851" w:hanging="425"/>
        <w:jc w:val="both"/>
      </w:pPr>
      <w:r>
        <w:t xml:space="preserve">in relation to cross-border related </w:t>
      </w:r>
      <w:r w:rsidR="006F4F19">
        <w:t xml:space="preserve">party </w:t>
      </w:r>
      <w:r>
        <w:t>dealing</w:t>
      </w:r>
      <w:r w:rsidR="006F4F19">
        <w:t>s</w:t>
      </w:r>
      <w:r>
        <w:t xml:space="preserve">, information </w:t>
      </w:r>
      <w:r w:rsidR="003371A0">
        <w:t>regarding the matters</w:t>
      </w:r>
      <w:r w:rsidR="00D748DE">
        <w:rPr>
          <w:szCs w:val="22"/>
        </w:rPr>
        <w:t xml:space="preserve"> set out in paragraph</w:t>
      </w:r>
      <w:r w:rsidR="003371A0">
        <w:rPr>
          <w:szCs w:val="22"/>
        </w:rPr>
        <w:t>s</w:t>
      </w:r>
      <w:r w:rsidR="00D748DE">
        <w:rPr>
          <w:szCs w:val="22"/>
        </w:rPr>
        <w:t xml:space="preserve"> 23(2)(b)</w:t>
      </w:r>
      <w:r w:rsidR="003371A0">
        <w:rPr>
          <w:szCs w:val="22"/>
        </w:rPr>
        <w:t xml:space="preserve"> and (c)</w:t>
      </w:r>
      <w:r w:rsidR="00D748DE">
        <w:rPr>
          <w:szCs w:val="22"/>
        </w:rPr>
        <w:t xml:space="preserve"> above</w:t>
      </w:r>
      <w:r>
        <w:t xml:space="preserve">; and  </w:t>
      </w:r>
    </w:p>
    <w:p w:rsidR="00105154" w:rsidRPr="00DB2242" w:rsidRDefault="00105154" w:rsidP="00805829">
      <w:pPr>
        <w:numPr>
          <w:ilvl w:val="0"/>
          <w:numId w:val="17"/>
        </w:numPr>
        <w:tabs>
          <w:tab w:val="clear" w:pos="1260"/>
          <w:tab w:val="num" w:pos="851"/>
          <w:tab w:val="left" w:pos="1418"/>
        </w:tabs>
        <w:spacing w:before="120" w:after="120"/>
        <w:ind w:left="850" w:hanging="425"/>
        <w:jc w:val="both"/>
      </w:pPr>
      <w:r w:rsidRPr="00DB2242">
        <w:t xml:space="preserve">any other relevant information or documentation supporting </w:t>
      </w:r>
      <w:r>
        <w:t>the</w:t>
      </w:r>
      <w:r w:rsidRPr="00DB2242">
        <w:t xml:space="preserve"> claim.</w:t>
      </w:r>
    </w:p>
    <w:p w:rsidR="00105154" w:rsidRDefault="00105154" w:rsidP="00805829">
      <w:pPr>
        <w:pStyle w:val="BlockText"/>
        <w:jc w:val="both"/>
      </w:pPr>
      <w:r w:rsidRPr="00963899">
        <w:t xml:space="preserve">Upon receipt of </w:t>
      </w:r>
      <w:r>
        <w:t>the</w:t>
      </w:r>
      <w:r w:rsidRPr="00963899">
        <w:t xml:space="preserve"> application</w:t>
      </w:r>
      <w:r>
        <w:t xml:space="preserve"> or claim</w:t>
      </w:r>
      <w:r w:rsidRPr="00963899">
        <w:t xml:space="preserve"> </w:t>
      </w:r>
      <w:r>
        <w:t>coupled with supporting information</w:t>
      </w:r>
      <w:r w:rsidRPr="00963899">
        <w:t xml:space="preserve">, the </w:t>
      </w:r>
      <w:r>
        <w:t>Secretary</w:t>
      </w:r>
      <w:r w:rsidRPr="00963899">
        <w:t xml:space="preserve"> </w:t>
      </w:r>
      <w:r>
        <w:t>will</w:t>
      </w:r>
      <w:r w:rsidRPr="00963899">
        <w:t xml:space="preserve"> determine, as soon as practicable, </w:t>
      </w:r>
      <w:r>
        <w:t xml:space="preserve">whether, in his or her opinion, the royalty payer has established and substantiated </w:t>
      </w:r>
      <w:r w:rsidR="00963F1E">
        <w:t xml:space="preserve">the </w:t>
      </w:r>
      <w:r>
        <w:t>claim</w:t>
      </w:r>
      <w:r w:rsidRPr="00963899">
        <w:t>.</w:t>
      </w:r>
    </w:p>
    <w:p w:rsidR="00536D97" w:rsidRDefault="00536D97" w:rsidP="0059377F">
      <w:pPr>
        <w:pStyle w:val="BlockText"/>
        <w:jc w:val="both"/>
      </w:pPr>
      <w:r>
        <w:t>As a general rule, an amount that closely approximates the price that would be received for the mineral commodity in an arm’s length</w:t>
      </w:r>
      <w:r w:rsidR="00105154">
        <w:t xml:space="preserve"> transaction will be accepted. </w:t>
      </w:r>
    </w:p>
    <w:p w:rsidR="00963F1E" w:rsidRDefault="00963F1E" w:rsidP="0059377F">
      <w:pPr>
        <w:pStyle w:val="HeadingFour"/>
        <w:jc w:val="both"/>
      </w:pPr>
      <w:r>
        <w:t>Example</w:t>
      </w:r>
    </w:p>
    <w:p w:rsidR="00536D97" w:rsidRDefault="000A42EB" w:rsidP="003371A0">
      <w:pPr>
        <w:pStyle w:val="Example"/>
        <w:pBdr>
          <w:bottom w:val="none" w:sz="0" w:space="0" w:color="auto"/>
        </w:pBdr>
      </w:pPr>
      <w:r>
        <w:t>Removal for Further Processing – Gold and Silver</w:t>
      </w:r>
    </w:p>
    <w:p w:rsidR="0066768C" w:rsidRDefault="0066768C" w:rsidP="003371A0">
      <w:pPr>
        <w:pStyle w:val="Example"/>
        <w:pBdr>
          <w:bottom w:val="none" w:sz="0" w:space="0" w:color="auto"/>
        </w:pBdr>
      </w:pPr>
      <w:r>
        <w:t xml:space="preserve">The </w:t>
      </w:r>
      <w:r w:rsidR="00963F1E">
        <w:t>effect of section 4A(3)(c)(ii) is best outlined by way of brief explanation and specific example</w:t>
      </w:r>
      <w:r w:rsidR="000A42EB">
        <w:t>.</w:t>
      </w:r>
    </w:p>
    <w:p w:rsidR="0066768C" w:rsidRDefault="0066768C" w:rsidP="003371A0">
      <w:pPr>
        <w:pStyle w:val="Example"/>
        <w:pBdr>
          <w:bottom w:val="none" w:sz="0" w:space="0" w:color="auto"/>
        </w:pBdr>
      </w:pPr>
      <w:r>
        <w:t>Under normal circumstances, gold or silver is removed from a production unit in a concentrated state known as dore</w:t>
      </w:r>
      <w:r w:rsidR="000A42EB">
        <w:t xml:space="preserve"> (being an alloy, amalgam or mixture of gold and silver as well as other impurities)</w:t>
      </w:r>
      <w:r>
        <w:t xml:space="preserve"> for treatment and processing </w:t>
      </w:r>
      <w:r w:rsidR="004B4E97">
        <w:t xml:space="preserve">in </w:t>
      </w:r>
      <w:r>
        <w:t xml:space="preserve">a refinery that is usually some distance away from the production unit. </w:t>
      </w:r>
    </w:p>
    <w:p w:rsidR="0066768C" w:rsidRDefault="0066768C" w:rsidP="003371A0">
      <w:pPr>
        <w:pStyle w:val="Example"/>
        <w:pBdr>
          <w:bottom w:val="none" w:sz="0" w:space="0" w:color="auto"/>
        </w:pBdr>
      </w:pPr>
      <w:r>
        <w:t xml:space="preserve">Dore is </w:t>
      </w:r>
      <w:r w:rsidR="004B4E97">
        <w:t xml:space="preserve">taken to be </w:t>
      </w:r>
      <w:r>
        <w:t xml:space="preserve">partially processed gold, gold ore, gold nuggets, gold concentrates, gold contained as part of a concentrate, or gold extracted from a mining lease in any form whatsoever. The relevant minerals for the purposes of determining the gross </w:t>
      </w:r>
      <w:r w:rsidR="000A42EB">
        <w:t xml:space="preserve">value </w:t>
      </w:r>
      <w:r w:rsidR="003541ED">
        <w:t xml:space="preserve">amount </w:t>
      </w:r>
      <w:r>
        <w:t xml:space="preserve">are the gold and silver content </w:t>
      </w:r>
      <w:r w:rsidR="000A42EB">
        <w:t>in</w:t>
      </w:r>
      <w:r>
        <w:t xml:space="preserve"> the dore.</w:t>
      </w:r>
    </w:p>
    <w:p w:rsidR="0066768C" w:rsidRDefault="0066768C" w:rsidP="003371A0">
      <w:pPr>
        <w:pStyle w:val="Example"/>
        <w:pBdr>
          <w:bottom w:val="none" w:sz="0" w:space="0" w:color="auto"/>
        </w:pBdr>
      </w:pPr>
      <w:r>
        <w:t>When dore is transported from the production unit for further refining, the gold and silver are considered to have been removed from the production unit without sale. Accordingly, they are to be valued at th</w:t>
      </w:r>
      <w:r w:rsidR="00E248FB">
        <w:t>e</w:t>
      </w:r>
      <w:r>
        <w:t xml:space="preserve"> </w:t>
      </w:r>
      <w:r w:rsidR="00E248FB">
        <w:t>p</w:t>
      </w:r>
      <w:r w:rsidR="000A42EB">
        <w:t>recise time</w:t>
      </w:r>
      <w:r w:rsidR="00E248FB">
        <w:t xml:space="preserve"> of removal</w:t>
      </w:r>
      <w:r w:rsidR="000A42EB">
        <w:t xml:space="preserve"> from the production unit</w:t>
      </w:r>
      <w:r>
        <w:t xml:space="preserve">.  </w:t>
      </w:r>
    </w:p>
    <w:p w:rsidR="006F4F19" w:rsidRDefault="0066768C" w:rsidP="003371A0">
      <w:pPr>
        <w:pStyle w:val="Example"/>
        <w:pBdr>
          <w:bottom w:val="none" w:sz="0" w:space="0" w:color="auto"/>
        </w:pBdr>
      </w:pPr>
      <w:r>
        <w:t xml:space="preserve">The quantity of gold and silver </w:t>
      </w:r>
      <w:r w:rsidRPr="00F46464">
        <w:t xml:space="preserve">removed can be confirmed from the refinery’s memorandum of outturn statement. </w:t>
      </w:r>
      <w:r w:rsidR="00013AA4" w:rsidRPr="00F46464">
        <w:t xml:space="preserve">The </w:t>
      </w:r>
      <w:r w:rsidR="003541ED" w:rsidRPr="00F46464">
        <w:t xml:space="preserve">gold and silver </w:t>
      </w:r>
      <w:r w:rsidR="00013AA4" w:rsidRPr="00F46464">
        <w:t xml:space="preserve">is </w:t>
      </w:r>
      <w:r w:rsidRPr="00F46464">
        <w:t xml:space="preserve">valued at the spot price </w:t>
      </w:r>
      <w:r w:rsidR="00E248FB" w:rsidRPr="00F46464">
        <w:t xml:space="preserve">of gold and silver prevailing </w:t>
      </w:r>
      <w:r w:rsidRPr="00F46464">
        <w:t>on the date the dore is removed from the production unit less any</w:t>
      </w:r>
      <w:r w:rsidR="00E248FB" w:rsidRPr="00F46464">
        <w:t xml:space="preserve"> dore</w:t>
      </w:r>
      <w:r w:rsidRPr="00F46464">
        <w:t xml:space="preserve"> refining and transport charges incurred by </w:t>
      </w:r>
      <w:r w:rsidR="00E248FB" w:rsidRPr="00F46464">
        <w:t xml:space="preserve">the </w:t>
      </w:r>
      <w:r w:rsidRPr="00F46464">
        <w:t>royalty payer.</w:t>
      </w:r>
    </w:p>
    <w:p w:rsidR="006F4F19" w:rsidRDefault="0066768C" w:rsidP="003371A0">
      <w:pPr>
        <w:pStyle w:val="Example"/>
        <w:pBdr>
          <w:bottom w:val="none" w:sz="0" w:space="0" w:color="auto"/>
        </w:pBdr>
      </w:pPr>
      <w:r>
        <w:t xml:space="preserve">The daily 8am gold </w:t>
      </w:r>
      <w:r w:rsidR="00704B26">
        <w:t xml:space="preserve">or silver </w:t>
      </w:r>
      <w:r>
        <w:t>spot buying price</w:t>
      </w:r>
      <w:r w:rsidR="00704B26">
        <w:t>s</w:t>
      </w:r>
      <w:r>
        <w:t xml:space="preserve"> as published by the Australian Gold Refineries (Perth Mint) </w:t>
      </w:r>
      <w:r w:rsidR="00704B26">
        <w:t xml:space="preserve">are </w:t>
      </w:r>
      <w:r>
        <w:t>acceptable for valuing gold and silver for royalty purposes. The 8am price will be accepted on any given day, regardless of any intraday fluctuations in price. Where dore is removed from the production unit on</w:t>
      </w:r>
      <w:r w:rsidR="00013AA4">
        <w:t xml:space="preserve"> a</w:t>
      </w:r>
      <w:r>
        <w:t xml:space="preserve"> public holiday or weekend, then the next available published spot rate is to be used. </w:t>
      </w:r>
    </w:p>
    <w:p w:rsidR="009160DD" w:rsidRDefault="00D748DE" w:rsidP="003371A0">
      <w:pPr>
        <w:pStyle w:val="Example"/>
        <w:pBdr>
          <w:top w:val="none" w:sz="0" w:space="0" w:color="auto"/>
        </w:pBdr>
      </w:pPr>
      <w:r>
        <w:rPr>
          <w:szCs w:val="22"/>
        </w:rPr>
        <w:lastRenderedPageBreak/>
        <w:t>All costs incurred subsequent to the removal without sale from a production unit of the saleable mineral commodity such as refining and transportation cannot be claimed as operating costs for the purposes of calculating the royalty payable because the connection between the item of expenditure and the production unit is not sufficient. However, as can be seen from the calculation below, these costs can be taken into account when determining the gross value of the gold and silver</w:t>
      </w:r>
      <w:r w:rsidR="00B44A62">
        <w:t>.</w:t>
      </w:r>
    </w:p>
    <w:p w:rsidR="009160DD" w:rsidRDefault="0066768C" w:rsidP="003371A0">
      <w:pPr>
        <w:pStyle w:val="Example"/>
        <w:pBdr>
          <w:top w:val="none" w:sz="0" w:space="0" w:color="auto"/>
        </w:pBdr>
      </w:pPr>
      <w:r>
        <w:t>A</w:t>
      </w:r>
      <w:r w:rsidR="0083061E">
        <w:t>ssume that a</w:t>
      </w:r>
      <w:r>
        <w:t xml:space="preserve"> production unit produces 500oz of dore. The dore was removed without sale from the production unit on 1 July 2010 to Perth Mint for refining. The dore was received at the refinery on 3 July 2010. Transportation and refining costs amounted to $2</w:t>
      </w:r>
      <w:r w:rsidR="006F4F19">
        <w:t xml:space="preserve"> </w:t>
      </w:r>
      <w:r>
        <w:t xml:space="preserve">000 and the 8am gold </w:t>
      </w:r>
      <w:r w:rsidR="00704B26">
        <w:t xml:space="preserve">and silver </w:t>
      </w:r>
      <w:r>
        <w:t>spot buying price</w:t>
      </w:r>
      <w:r w:rsidR="00704B26">
        <w:t>s</w:t>
      </w:r>
      <w:r>
        <w:t xml:space="preserve"> (per ounce) quoted by Perth Mint for 1 July 2010 </w:t>
      </w:r>
      <w:r w:rsidR="00704B26">
        <w:t xml:space="preserve">were </w:t>
      </w:r>
      <w:r>
        <w:t>$1</w:t>
      </w:r>
      <w:r w:rsidR="006F4F19">
        <w:t> </w:t>
      </w:r>
      <w:r w:rsidR="00013AA4">
        <w:t xml:space="preserve">460.02 </w:t>
      </w:r>
      <w:r>
        <w:t>for gold and $</w:t>
      </w:r>
      <w:r w:rsidR="00013AA4">
        <w:t xml:space="preserve">20.54 </w:t>
      </w:r>
      <w:r>
        <w:t>for silver. The Memorandum of Outturn from the Perth Mint indicated 430oz of gold and 20oz of silver were refined from the dore.</w:t>
      </w:r>
    </w:p>
    <w:p w:rsidR="009160DD" w:rsidRDefault="0066768C" w:rsidP="003371A0">
      <w:pPr>
        <w:pStyle w:val="Example"/>
        <w:pBdr>
          <w:top w:val="none" w:sz="0" w:space="0" w:color="auto"/>
        </w:pBdr>
      </w:pPr>
      <w:r>
        <w:t xml:space="preserve">The gross </w:t>
      </w:r>
      <w:r w:rsidR="005309A7">
        <w:t xml:space="preserve">value </w:t>
      </w:r>
      <w:r>
        <w:t xml:space="preserve">for gold and silver </w:t>
      </w:r>
      <w:r w:rsidR="00F46464">
        <w:t>is equal to</w:t>
      </w:r>
      <w:r>
        <w:t>:</w:t>
      </w:r>
    </w:p>
    <w:p w:rsidR="0066768C" w:rsidRPr="003F6521" w:rsidRDefault="0066768C" w:rsidP="003371A0">
      <w:pPr>
        <w:pStyle w:val="Example"/>
        <w:pBdr>
          <w:top w:val="none" w:sz="0" w:space="0" w:color="auto"/>
        </w:pBdr>
      </w:pPr>
      <w:r w:rsidRPr="003F6521">
        <w:t>(430 x $1</w:t>
      </w:r>
      <w:r w:rsidR="00013AA4">
        <w:t> 46</w:t>
      </w:r>
      <w:r w:rsidRPr="003F6521">
        <w:t>0</w:t>
      </w:r>
      <w:r w:rsidR="006667F9">
        <w:t>.02</w:t>
      </w:r>
      <w:r w:rsidR="005309A7">
        <w:t>)</w:t>
      </w:r>
      <w:r w:rsidRPr="003F6521">
        <w:t xml:space="preserve"> + </w:t>
      </w:r>
      <w:r w:rsidR="005309A7">
        <w:t>(</w:t>
      </w:r>
      <w:r w:rsidRPr="003F6521">
        <w:t>20 x $</w:t>
      </w:r>
      <w:r w:rsidR="006667F9">
        <w:t>20.54</w:t>
      </w:r>
      <w:r w:rsidRPr="003F6521">
        <w:t>) - $2</w:t>
      </w:r>
      <w:r w:rsidR="006667F9">
        <w:t> </w:t>
      </w:r>
      <w:r w:rsidRPr="003F6521">
        <w:t xml:space="preserve">000 = </w:t>
      </w:r>
      <w:r w:rsidR="006667F9">
        <w:t>$626 219.40</w:t>
      </w:r>
    </w:p>
    <w:p w:rsidR="0066768C" w:rsidRPr="003D4E9C" w:rsidRDefault="0066768C" w:rsidP="0059377F">
      <w:pPr>
        <w:pStyle w:val="HeadingThree"/>
        <w:jc w:val="both"/>
        <w:rPr>
          <w:b w:val="0"/>
        </w:rPr>
      </w:pPr>
      <w:r w:rsidRPr="003D4E9C">
        <w:rPr>
          <w:b w:val="0"/>
        </w:rPr>
        <w:t xml:space="preserve">Removal without </w:t>
      </w:r>
      <w:r w:rsidR="0083061E">
        <w:rPr>
          <w:b w:val="0"/>
        </w:rPr>
        <w:t>s</w:t>
      </w:r>
      <w:r w:rsidRPr="003D4E9C">
        <w:rPr>
          <w:b w:val="0"/>
        </w:rPr>
        <w:t xml:space="preserve">ale to </w:t>
      </w:r>
      <w:r w:rsidR="0083061E">
        <w:rPr>
          <w:b w:val="0"/>
        </w:rPr>
        <w:t>s</w:t>
      </w:r>
      <w:r w:rsidRPr="003D4E9C">
        <w:rPr>
          <w:b w:val="0"/>
        </w:rPr>
        <w:t xml:space="preserve">tockpile </w:t>
      </w:r>
    </w:p>
    <w:p w:rsidR="005309A7" w:rsidRDefault="0066768C" w:rsidP="0059377F">
      <w:pPr>
        <w:pStyle w:val="BlockText"/>
        <w:jc w:val="both"/>
      </w:pPr>
      <w:r>
        <w:t xml:space="preserve">Saleable mineral commodities that have been removed without sale to a stockpile outside the production unit at the end of a royalty year (closing inventory) shall be included for royalty </w:t>
      </w:r>
      <w:r w:rsidR="006F4F19">
        <w:t xml:space="preserve">calculation purposes </w:t>
      </w:r>
      <w:r>
        <w:t>in the year the saleable mineral commodities are removed without sale.</w:t>
      </w:r>
      <w:r w:rsidR="003D4E9C">
        <w:t xml:space="preserve"> </w:t>
      </w:r>
      <w:r w:rsidR="0083061E">
        <w:t>Whil</w:t>
      </w:r>
      <w:r w:rsidR="00F46464">
        <w:t>e</w:t>
      </w:r>
      <w:r w:rsidR="0083061E">
        <w:t xml:space="preserve"> s</w:t>
      </w:r>
      <w:r w:rsidR="003D4E9C">
        <w:t xml:space="preserve">aleable mineral commodities removed without sale must be valued at the precise time they </w:t>
      </w:r>
      <w:r w:rsidR="0083061E">
        <w:t>are removed from</w:t>
      </w:r>
      <w:r w:rsidR="003D4E9C">
        <w:t xml:space="preserve"> the production unit, the Secretary may</w:t>
      </w:r>
      <w:r w:rsidR="0083061E">
        <w:t>, in conformity with current administrative practice,</w:t>
      </w:r>
      <w:r w:rsidR="003D4E9C">
        <w:t xml:space="preserve"> accept t</w:t>
      </w:r>
      <w:r>
        <w:t xml:space="preserve">he closing </w:t>
      </w:r>
      <w:r w:rsidR="00F46464">
        <w:t>inventory</w:t>
      </w:r>
      <w:r w:rsidR="003D4E9C">
        <w:t xml:space="preserve"> being</w:t>
      </w:r>
      <w:r>
        <w:t xml:space="preserve"> valued using the </w:t>
      </w:r>
      <w:r w:rsidRPr="003D4E9C">
        <w:t>weighted average</w:t>
      </w:r>
      <w:r>
        <w:t xml:space="preserve"> price </w:t>
      </w:r>
      <w:r w:rsidR="004A4A2C">
        <w:t xml:space="preserve">obtained </w:t>
      </w:r>
      <w:r>
        <w:t>for</w:t>
      </w:r>
      <w:r w:rsidR="004A4A2C">
        <w:t xml:space="preserve"> same or substantially similar</w:t>
      </w:r>
      <w:r>
        <w:t xml:space="preserve"> saleable mineral commodities</w:t>
      </w:r>
      <w:r w:rsidR="004A4A2C">
        <w:t xml:space="preserve"> (including quantity and quality)</w:t>
      </w:r>
      <w:r>
        <w:t xml:space="preserve"> removed and sold during the royalty year. </w:t>
      </w:r>
    </w:p>
    <w:p w:rsidR="0066768C" w:rsidRPr="003D4E9C" w:rsidRDefault="0066768C" w:rsidP="0066768C">
      <w:pPr>
        <w:pStyle w:val="BlockText"/>
        <w:rPr>
          <w:szCs w:val="22"/>
        </w:rPr>
      </w:pPr>
      <w:r w:rsidRPr="003D4E9C">
        <w:rPr>
          <w:szCs w:val="22"/>
        </w:rPr>
        <w:t xml:space="preserve">The treatment of closing </w:t>
      </w:r>
      <w:r w:rsidR="003D4E9C" w:rsidRPr="003D4E9C">
        <w:rPr>
          <w:szCs w:val="22"/>
        </w:rPr>
        <w:t xml:space="preserve">inventory </w:t>
      </w:r>
      <w:r w:rsidRPr="003D4E9C">
        <w:rPr>
          <w:szCs w:val="22"/>
        </w:rPr>
        <w:t>is illustrate</w:t>
      </w:r>
      <w:r w:rsidR="00CA65BB" w:rsidRPr="003D4E9C">
        <w:rPr>
          <w:szCs w:val="22"/>
        </w:rPr>
        <w:t>d in the following example:</w:t>
      </w:r>
    </w:p>
    <w:tbl>
      <w:tblPr>
        <w:tblW w:w="8911" w:type="dxa"/>
        <w:tblInd w:w="108" w:type="dxa"/>
        <w:tblLook w:val="04A0" w:firstRow="1" w:lastRow="0" w:firstColumn="1" w:lastColumn="0" w:noHBand="0" w:noVBand="1"/>
      </w:tblPr>
      <w:tblGrid>
        <w:gridCol w:w="3910"/>
        <w:gridCol w:w="1085"/>
        <w:gridCol w:w="665"/>
        <w:gridCol w:w="1251"/>
        <w:gridCol w:w="749"/>
        <w:gridCol w:w="1251"/>
      </w:tblGrid>
      <w:tr w:rsidR="000A4350" w:rsidRPr="000A4350" w:rsidTr="000A4350">
        <w:trPr>
          <w:trHeight w:val="253"/>
        </w:trPr>
        <w:tc>
          <w:tcPr>
            <w:tcW w:w="3910" w:type="dxa"/>
            <w:tcBorders>
              <w:top w:val="single" w:sz="4" w:space="0" w:color="auto"/>
              <w:left w:val="nil"/>
              <w:bottom w:val="single" w:sz="4" w:space="0" w:color="auto"/>
              <w:right w:val="nil"/>
            </w:tcBorders>
            <w:shd w:val="clear" w:color="auto" w:fill="auto"/>
            <w:vAlign w:val="bottom"/>
          </w:tcPr>
          <w:p w:rsidR="000A4350" w:rsidRPr="000A4350" w:rsidRDefault="000A4350" w:rsidP="000A4350">
            <w:pPr>
              <w:rPr>
                <w:b/>
                <w:bCs/>
                <w:sz w:val="20"/>
              </w:rPr>
            </w:pPr>
            <w:r w:rsidRPr="000A4350">
              <w:rPr>
                <w:b/>
                <w:bCs/>
                <w:sz w:val="20"/>
              </w:rPr>
              <w:t>Quantity (Unit)</w:t>
            </w:r>
          </w:p>
        </w:tc>
        <w:tc>
          <w:tcPr>
            <w:tcW w:w="1085" w:type="dxa"/>
            <w:tcBorders>
              <w:top w:val="single" w:sz="4" w:space="0" w:color="auto"/>
              <w:left w:val="nil"/>
              <w:bottom w:val="single" w:sz="4" w:space="0" w:color="auto"/>
              <w:right w:val="nil"/>
            </w:tcBorders>
            <w:shd w:val="clear" w:color="auto" w:fill="auto"/>
            <w:noWrap/>
            <w:vAlign w:val="bottom"/>
          </w:tcPr>
          <w:p w:rsidR="000A4350" w:rsidRPr="000A4350" w:rsidRDefault="000A4350" w:rsidP="00EA772C">
            <w:pPr>
              <w:jc w:val="center"/>
              <w:rPr>
                <w:sz w:val="20"/>
              </w:rPr>
            </w:pPr>
            <w:r w:rsidRPr="000A4350">
              <w:rPr>
                <w:sz w:val="20"/>
              </w:rPr>
              <w:t>Year1</w:t>
            </w:r>
          </w:p>
        </w:tc>
        <w:tc>
          <w:tcPr>
            <w:tcW w:w="665" w:type="dxa"/>
            <w:tcBorders>
              <w:top w:val="single" w:sz="4" w:space="0" w:color="auto"/>
              <w:left w:val="nil"/>
              <w:bottom w:val="single" w:sz="4" w:space="0" w:color="auto"/>
              <w:right w:val="nil"/>
            </w:tcBorders>
            <w:shd w:val="clear" w:color="auto" w:fill="auto"/>
            <w:noWrap/>
            <w:vAlign w:val="bottom"/>
          </w:tcPr>
          <w:p w:rsidR="000A4350" w:rsidRPr="000A4350" w:rsidRDefault="000A4350" w:rsidP="00EA772C">
            <w:pPr>
              <w:jc w:val="center"/>
              <w:rPr>
                <w:sz w:val="20"/>
              </w:rPr>
            </w:pPr>
          </w:p>
        </w:tc>
        <w:tc>
          <w:tcPr>
            <w:tcW w:w="1251" w:type="dxa"/>
            <w:tcBorders>
              <w:top w:val="single" w:sz="4" w:space="0" w:color="auto"/>
              <w:left w:val="nil"/>
              <w:bottom w:val="single" w:sz="4" w:space="0" w:color="auto"/>
              <w:right w:val="nil"/>
            </w:tcBorders>
            <w:shd w:val="clear" w:color="auto" w:fill="auto"/>
            <w:noWrap/>
            <w:vAlign w:val="bottom"/>
          </w:tcPr>
          <w:p w:rsidR="000A4350" w:rsidRPr="000A4350" w:rsidRDefault="000A4350" w:rsidP="00EA772C">
            <w:pPr>
              <w:jc w:val="center"/>
              <w:rPr>
                <w:sz w:val="20"/>
              </w:rPr>
            </w:pPr>
            <w:r w:rsidRPr="000A4350">
              <w:rPr>
                <w:sz w:val="20"/>
              </w:rPr>
              <w:t>Year 2</w:t>
            </w:r>
          </w:p>
        </w:tc>
        <w:tc>
          <w:tcPr>
            <w:tcW w:w="749" w:type="dxa"/>
            <w:tcBorders>
              <w:top w:val="single" w:sz="4" w:space="0" w:color="auto"/>
              <w:left w:val="nil"/>
              <w:bottom w:val="single" w:sz="4" w:space="0" w:color="auto"/>
              <w:right w:val="nil"/>
            </w:tcBorders>
            <w:shd w:val="clear" w:color="auto" w:fill="auto"/>
            <w:noWrap/>
            <w:vAlign w:val="bottom"/>
          </w:tcPr>
          <w:p w:rsidR="000A4350" w:rsidRPr="000A4350" w:rsidRDefault="000A4350" w:rsidP="00EA772C">
            <w:pPr>
              <w:jc w:val="center"/>
              <w:rPr>
                <w:sz w:val="20"/>
              </w:rPr>
            </w:pPr>
          </w:p>
        </w:tc>
        <w:tc>
          <w:tcPr>
            <w:tcW w:w="1251" w:type="dxa"/>
            <w:tcBorders>
              <w:top w:val="single" w:sz="4" w:space="0" w:color="auto"/>
              <w:left w:val="nil"/>
              <w:bottom w:val="single" w:sz="4" w:space="0" w:color="auto"/>
              <w:right w:val="nil"/>
            </w:tcBorders>
            <w:shd w:val="clear" w:color="auto" w:fill="auto"/>
            <w:noWrap/>
            <w:vAlign w:val="bottom"/>
          </w:tcPr>
          <w:p w:rsidR="000A4350" w:rsidRPr="000A4350" w:rsidRDefault="000A4350" w:rsidP="00EA772C">
            <w:pPr>
              <w:jc w:val="center"/>
              <w:rPr>
                <w:sz w:val="20"/>
              </w:rPr>
            </w:pPr>
            <w:r w:rsidRPr="000A4350">
              <w:rPr>
                <w:sz w:val="20"/>
              </w:rPr>
              <w:t>Year 3</w:t>
            </w:r>
          </w:p>
        </w:tc>
      </w:tr>
      <w:tr w:rsidR="000A4350" w:rsidRPr="000A4350" w:rsidTr="000A4350">
        <w:trPr>
          <w:trHeight w:val="253"/>
        </w:trPr>
        <w:tc>
          <w:tcPr>
            <w:tcW w:w="3910" w:type="dxa"/>
            <w:tcBorders>
              <w:top w:val="nil"/>
              <w:left w:val="nil"/>
              <w:bottom w:val="nil"/>
              <w:right w:val="nil"/>
            </w:tcBorders>
            <w:shd w:val="clear" w:color="auto" w:fill="auto"/>
            <w:vAlign w:val="bottom"/>
          </w:tcPr>
          <w:p w:rsidR="000A4350" w:rsidRPr="000A4350" w:rsidRDefault="000A4350" w:rsidP="000A4350">
            <w:pPr>
              <w:rPr>
                <w:sz w:val="20"/>
              </w:rPr>
            </w:pPr>
            <w:r w:rsidRPr="000A4350">
              <w:rPr>
                <w:sz w:val="20"/>
              </w:rPr>
              <w:t>Opening Inventory</w:t>
            </w:r>
          </w:p>
        </w:tc>
        <w:tc>
          <w:tcPr>
            <w:tcW w:w="1085" w:type="dxa"/>
            <w:tcBorders>
              <w:top w:val="nil"/>
              <w:left w:val="nil"/>
              <w:bottom w:val="nil"/>
              <w:right w:val="nil"/>
            </w:tcBorders>
            <w:shd w:val="clear" w:color="auto" w:fill="auto"/>
            <w:noWrap/>
            <w:vAlign w:val="bottom"/>
          </w:tcPr>
          <w:p w:rsidR="000A4350" w:rsidRPr="000A4350" w:rsidRDefault="000A4350" w:rsidP="00EA772C">
            <w:pPr>
              <w:jc w:val="center"/>
              <w:rPr>
                <w:sz w:val="20"/>
              </w:rPr>
            </w:pPr>
            <w:r w:rsidRPr="000A4350">
              <w:rPr>
                <w:sz w:val="20"/>
              </w:rPr>
              <w:t>0</w:t>
            </w:r>
          </w:p>
        </w:tc>
        <w:tc>
          <w:tcPr>
            <w:tcW w:w="665" w:type="dxa"/>
            <w:tcBorders>
              <w:top w:val="nil"/>
              <w:left w:val="nil"/>
              <w:bottom w:val="nil"/>
              <w:right w:val="nil"/>
            </w:tcBorders>
            <w:shd w:val="clear" w:color="auto" w:fill="auto"/>
            <w:noWrap/>
            <w:vAlign w:val="bottom"/>
          </w:tcPr>
          <w:p w:rsidR="000A4350" w:rsidRPr="000A4350" w:rsidRDefault="000A4350" w:rsidP="00EA772C">
            <w:pPr>
              <w:jc w:val="center"/>
              <w:rPr>
                <w:sz w:val="20"/>
              </w:rPr>
            </w:pPr>
          </w:p>
        </w:tc>
        <w:tc>
          <w:tcPr>
            <w:tcW w:w="1251" w:type="dxa"/>
            <w:tcBorders>
              <w:top w:val="nil"/>
              <w:left w:val="nil"/>
              <w:bottom w:val="nil"/>
              <w:right w:val="nil"/>
            </w:tcBorders>
            <w:shd w:val="clear" w:color="auto" w:fill="auto"/>
            <w:noWrap/>
            <w:vAlign w:val="bottom"/>
          </w:tcPr>
          <w:p w:rsidR="000A4350" w:rsidRPr="000A4350" w:rsidRDefault="000A4350" w:rsidP="00EA772C">
            <w:pPr>
              <w:jc w:val="center"/>
              <w:rPr>
                <w:sz w:val="20"/>
              </w:rPr>
            </w:pPr>
            <w:r w:rsidRPr="000A4350">
              <w:rPr>
                <w:sz w:val="20"/>
              </w:rPr>
              <w:t>50</w:t>
            </w:r>
          </w:p>
        </w:tc>
        <w:tc>
          <w:tcPr>
            <w:tcW w:w="749" w:type="dxa"/>
            <w:tcBorders>
              <w:top w:val="nil"/>
              <w:left w:val="nil"/>
              <w:bottom w:val="nil"/>
              <w:right w:val="nil"/>
            </w:tcBorders>
            <w:shd w:val="clear" w:color="auto" w:fill="auto"/>
            <w:noWrap/>
            <w:vAlign w:val="bottom"/>
          </w:tcPr>
          <w:p w:rsidR="000A4350" w:rsidRPr="000A4350" w:rsidRDefault="000A4350" w:rsidP="00EA772C">
            <w:pPr>
              <w:jc w:val="center"/>
              <w:rPr>
                <w:sz w:val="20"/>
              </w:rPr>
            </w:pPr>
          </w:p>
        </w:tc>
        <w:tc>
          <w:tcPr>
            <w:tcW w:w="1251" w:type="dxa"/>
            <w:tcBorders>
              <w:top w:val="nil"/>
              <w:left w:val="nil"/>
              <w:bottom w:val="nil"/>
              <w:right w:val="nil"/>
            </w:tcBorders>
            <w:shd w:val="clear" w:color="auto" w:fill="auto"/>
            <w:noWrap/>
            <w:vAlign w:val="bottom"/>
          </w:tcPr>
          <w:p w:rsidR="000A4350" w:rsidRPr="000A4350" w:rsidRDefault="000A4350" w:rsidP="00EA772C">
            <w:pPr>
              <w:jc w:val="center"/>
              <w:rPr>
                <w:sz w:val="20"/>
              </w:rPr>
            </w:pPr>
            <w:r w:rsidRPr="000A4350">
              <w:rPr>
                <w:sz w:val="20"/>
              </w:rPr>
              <w:t>100</w:t>
            </w:r>
          </w:p>
        </w:tc>
      </w:tr>
      <w:tr w:rsidR="000A4350" w:rsidRPr="000A4350" w:rsidTr="000A4350">
        <w:trPr>
          <w:trHeight w:val="253"/>
        </w:trPr>
        <w:tc>
          <w:tcPr>
            <w:tcW w:w="3910" w:type="dxa"/>
            <w:tcBorders>
              <w:top w:val="nil"/>
              <w:left w:val="nil"/>
              <w:bottom w:val="nil"/>
              <w:right w:val="nil"/>
            </w:tcBorders>
            <w:shd w:val="clear" w:color="auto" w:fill="auto"/>
            <w:vAlign w:val="bottom"/>
          </w:tcPr>
          <w:p w:rsidR="000A4350" w:rsidRPr="000A4350" w:rsidRDefault="000A4350" w:rsidP="000A4350">
            <w:pPr>
              <w:rPr>
                <w:sz w:val="20"/>
              </w:rPr>
            </w:pPr>
            <w:r w:rsidRPr="000A4350">
              <w:rPr>
                <w:sz w:val="20"/>
              </w:rPr>
              <w:t>Add: Production</w:t>
            </w:r>
          </w:p>
        </w:tc>
        <w:tc>
          <w:tcPr>
            <w:tcW w:w="1085" w:type="dxa"/>
            <w:tcBorders>
              <w:top w:val="nil"/>
              <w:left w:val="nil"/>
              <w:bottom w:val="nil"/>
              <w:right w:val="nil"/>
            </w:tcBorders>
            <w:shd w:val="clear" w:color="auto" w:fill="auto"/>
            <w:noWrap/>
            <w:vAlign w:val="bottom"/>
          </w:tcPr>
          <w:p w:rsidR="000A4350" w:rsidRPr="000A4350" w:rsidRDefault="000A4350" w:rsidP="00EA772C">
            <w:pPr>
              <w:jc w:val="center"/>
              <w:rPr>
                <w:sz w:val="20"/>
              </w:rPr>
            </w:pPr>
            <w:r w:rsidRPr="000A4350">
              <w:rPr>
                <w:sz w:val="20"/>
              </w:rPr>
              <w:t>100</w:t>
            </w:r>
          </w:p>
        </w:tc>
        <w:tc>
          <w:tcPr>
            <w:tcW w:w="665" w:type="dxa"/>
            <w:tcBorders>
              <w:top w:val="nil"/>
              <w:left w:val="nil"/>
              <w:bottom w:val="nil"/>
              <w:right w:val="nil"/>
            </w:tcBorders>
            <w:shd w:val="clear" w:color="auto" w:fill="auto"/>
            <w:noWrap/>
            <w:vAlign w:val="bottom"/>
          </w:tcPr>
          <w:p w:rsidR="000A4350" w:rsidRPr="000A4350" w:rsidRDefault="000A4350" w:rsidP="00EA772C">
            <w:pPr>
              <w:jc w:val="center"/>
              <w:rPr>
                <w:sz w:val="20"/>
              </w:rPr>
            </w:pPr>
          </w:p>
        </w:tc>
        <w:tc>
          <w:tcPr>
            <w:tcW w:w="1251" w:type="dxa"/>
            <w:tcBorders>
              <w:top w:val="nil"/>
              <w:left w:val="nil"/>
              <w:bottom w:val="nil"/>
              <w:right w:val="nil"/>
            </w:tcBorders>
            <w:shd w:val="clear" w:color="auto" w:fill="auto"/>
            <w:noWrap/>
            <w:vAlign w:val="bottom"/>
          </w:tcPr>
          <w:p w:rsidR="000A4350" w:rsidRPr="000A4350" w:rsidRDefault="000A4350" w:rsidP="00EA772C">
            <w:pPr>
              <w:jc w:val="center"/>
              <w:rPr>
                <w:sz w:val="20"/>
              </w:rPr>
            </w:pPr>
            <w:r w:rsidRPr="000A4350">
              <w:rPr>
                <w:sz w:val="20"/>
              </w:rPr>
              <w:t>250</w:t>
            </w:r>
          </w:p>
        </w:tc>
        <w:tc>
          <w:tcPr>
            <w:tcW w:w="749" w:type="dxa"/>
            <w:tcBorders>
              <w:top w:val="nil"/>
              <w:left w:val="nil"/>
              <w:bottom w:val="nil"/>
              <w:right w:val="nil"/>
            </w:tcBorders>
            <w:shd w:val="clear" w:color="auto" w:fill="auto"/>
            <w:noWrap/>
            <w:vAlign w:val="bottom"/>
          </w:tcPr>
          <w:p w:rsidR="000A4350" w:rsidRPr="000A4350" w:rsidRDefault="000A4350" w:rsidP="00EA772C">
            <w:pPr>
              <w:jc w:val="center"/>
              <w:rPr>
                <w:sz w:val="20"/>
              </w:rPr>
            </w:pPr>
          </w:p>
        </w:tc>
        <w:tc>
          <w:tcPr>
            <w:tcW w:w="1251" w:type="dxa"/>
            <w:tcBorders>
              <w:top w:val="nil"/>
              <w:left w:val="nil"/>
              <w:bottom w:val="nil"/>
              <w:right w:val="nil"/>
            </w:tcBorders>
            <w:shd w:val="clear" w:color="auto" w:fill="auto"/>
            <w:noWrap/>
            <w:vAlign w:val="bottom"/>
          </w:tcPr>
          <w:p w:rsidR="000A4350" w:rsidRPr="000A4350" w:rsidRDefault="000A4350" w:rsidP="00EA772C">
            <w:pPr>
              <w:jc w:val="center"/>
              <w:rPr>
                <w:sz w:val="20"/>
              </w:rPr>
            </w:pPr>
            <w:r w:rsidRPr="000A4350">
              <w:rPr>
                <w:sz w:val="20"/>
              </w:rPr>
              <w:t>60</w:t>
            </w:r>
          </w:p>
        </w:tc>
      </w:tr>
      <w:tr w:rsidR="000A4350" w:rsidRPr="000A4350" w:rsidTr="000A4350">
        <w:trPr>
          <w:trHeight w:val="253"/>
        </w:trPr>
        <w:tc>
          <w:tcPr>
            <w:tcW w:w="3910" w:type="dxa"/>
            <w:tcBorders>
              <w:top w:val="nil"/>
              <w:left w:val="nil"/>
              <w:bottom w:val="nil"/>
              <w:right w:val="nil"/>
            </w:tcBorders>
            <w:shd w:val="clear" w:color="auto" w:fill="auto"/>
            <w:vAlign w:val="bottom"/>
          </w:tcPr>
          <w:p w:rsidR="000A4350" w:rsidRPr="000A4350" w:rsidRDefault="000A4350" w:rsidP="000A4350">
            <w:pPr>
              <w:rPr>
                <w:sz w:val="20"/>
              </w:rPr>
            </w:pPr>
            <w:r w:rsidRPr="000A4350">
              <w:rPr>
                <w:sz w:val="20"/>
              </w:rPr>
              <w:t>Less: Quantity Sold</w:t>
            </w:r>
          </w:p>
        </w:tc>
        <w:tc>
          <w:tcPr>
            <w:tcW w:w="1085" w:type="dxa"/>
            <w:tcBorders>
              <w:top w:val="nil"/>
              <w:left w:val="nil"/>
              <w:bottom w:val="nil"/>
              <w:right w:val="nil"/>
            </w:tcBorders>
            <w:shd w:val="clear" w:color="auto" w:fill="auto"/>
            <w:noWrap/>
            <w:vAlign w:val="bottom"/>
          </w:tcPr>
          <w:p w:rsidR="000A4350" w:rsidRPr="000A4350" w:rsidRDefault="004A4A2C" w:rsidP="00EA772C">
            <w:pPr>
              <w:jc w:val="center"/>
              <w:rPr>
                <w:sz w:val="20"/>
              </w:rPr>
            </w:pPr>
            <w:r>
              <w:rPr>
                <w:sz w:val="20"/>
              </w:rPr>
              <w:t>(</w:t>
            </w:r>
            <w:r w:rsidR="000A4350" w:rsidRPr="000A4350">
              <w:rPr>
                <w:sz w:val="20"/>
              </w:rPr>
              <w:t>50</w:t>
            </w:r>
            <w:r>
              <w:rPr>
                <w:sz w:val="20"/>
              </w:rPr>
              <w:t>)</w:t>
            </w:r>
          </w:p>
        </w:tc>
        <w:tc>
          <w:tcPr>
            <w:tcW w:w="665" w:type="dxa"/>
            <w:tcBorders>
              <w:top w:val="nil"/>
              <w:left w:val="nil"/>
              <w:bottom w:val="nil"/>
              <w:right w:val="nil"/>
            </w:tcBorders>
            <w:shd w:val="clear" w:color="auto" w:fill="auto"/>
            <w:noWrap/>
            <w:vAlign w:val="bottom"/>
          </w:tcPr>
          <w:p w:rsidR="000A4350" w:rsidRPr="000A4350" w:rsidRDefault="000A4350" w:rsidP="00EA772C">
            <w:pPr>
              <w:jc w:val="center"/>
              <w:rPr>
                <w:sz w:val="20"/>
              </w:rPr>
            </w:pPr>
          </w:p>
        </w:tc>
        <w:tc>
          <w:tcPr>
            <w:tcW w:w="1251" w:type="dxa"/>
            <w:tcBorders>
              <w:top w:val="nil"/>
              <w:left w:val="nil"/>
              <w:bottom w:val="nil"/>
              <w:right w:val="nil"/>
            </w:tcBorders>
            <w:shd w:val="clear" w:color="auto" w:fill="auto"/>
            <w:noWrap/>
            <w:vAlign w:val="bottom"/>
          </w:tcPr>
          <w:p w:rsidR="000A4350" w:rsidRPr="000A4350" w:rsidRDefault="004A4A2C" w:rsidP="00EA772C">
            <w:pPr>
              <w:jc w:val="center"/>
              <w:rPr>
                <w:sz w:val="20"/>
              </w:rPr>
            </w:pPr>
            <w:r>
              <w:rPr>
                <w:sz w:val="20"/>
              </w:rPr>
              <w:t>(</w:t>
            </w:r>
            <w:r w:rsidR="000A4350" w:rsidRPr="000A4350">
              <w:rPr>
                <w:sz w:val="20"/>
              </w:rPr>
              <w:t>200</w:t>
            </w:r>
            <w:r>
              <w:rPr>
                <w:sz w:val="20"/>
              </w:rPr>
              <w:t>)</w:t>
            </w:r>
          </w:p>
        </w:tc>
        <w:tc>
          <w:tcPr>
            <w:tcW w:w="749" w:type="dxa"/>
            <w:tcBorders>
              <w:top w:val="nil"/>
              <w:left w:val="nil"/>
              <w:bottom w:val="nil"/>
              <w:right w:val="nil"/>
            </w:tcBorders>
            <w:shd w:val="clear" w:color="auto" w:fill="auto"/>
            <w:noWrap/>
            <w:vAlign w:val="bottom"/>
          </w:tcPr>
          <w:p w:rsidR="000A4350" w:rsidRPr="000A4350" w:rsidRDefault="000A4350" w:rsidP="00EA772C">
            <w:pPr>
              <w:jc w:val="center"/>
              <w:rPr>
                <w:sz w:val="20"/>
              </w:rPr>
            </w:pPr>
          </w:p>
        </w:tc>
        <w:tc>
          <w:tcPr>
            <w:tcW w:w="1251" w:type="dxa"/>
            <w:tcBorders>
              <w:top w:val="nil"/>
              <w:left w:val="nil"/>
              <w:bottom w:val="nil"/>
              <w:right w:val="nil"/>
            </w:tcBorders>
            <w:shd w:val="clear" w:color="auto" w:fill="auto"/>
            <w:noWrap/>
            <w:vAlign w:val="bottom"/>
          </w:tcPr>
          <w:p w:rsidR="000A4350" w:rsidRPr="000A4350" w:rsidRDefault="004A4A2C" w:rsidP="00EA772C">
            <w:pPr>
              <w:jc w:val="center"/>
              <w:rPr>
                <w:sz w:val="20"/>
              </w:rPr>
            </w:pPr>
            <w:r>
              <w:rPr>
                <w:sz w:val="20"/>
              </w:rPr>
              <w:t>(</w:t>
            </w:r>
            <w:r w:rsidR="000A4350" w:rsidRPr="000A4350">
              <w:rPr>
                <w:sz w:val="20"/>
              </w:rPr>
              <w:t>100</w:t>
            </w:r>
            <w:r>
              <w:rPr>
                <w:sz w:val="20"/>
              </w:rPr>
              <w:t>)</w:t>
            </w:r>
          </w:p>
        </w:tc>
      </w:tr>
      <w:tr w:rsidR="000A4350" w:rsidRPr="000A4350" w:rsidTr="000A4350">
        <w:trPr>
          <w:trHeight w:val="253"/>
        </w:trPr>
        <w:tc>
          <w:tcPr>
            <w:tcW w:w="3910" w:type="dxa"/>
            <w:tcBorders>
              <w:top w:val="single" w:sz="4" w:space="0" w:color="auto"/>
              <w:left w:val="nil"/>
              <w:bottom w:val="single" w:sz="4" w:space="0" w:color="auto"/>
              <w:right w:val="nil"/>
            </w:tcBorders>
            <w:shd w:val="clear" w:color="auto" w:fill="auto"/>
            <w:vAlign w:val="bottom"/>
          </w:tcPr>
          <w:p w:rsidR="000A4350" w:rsidRPr="000A4350" w:rsidRDefault="000A4350" w:rsidP="000A4350">
            <w:pPr>
              <w:rPr>
                <w:sz w:val="20"/>
              </w:rPr>
            </w:pPr>
            <w:r w:rsidRPr="000A4350">
              <w:rPr>
                <w:sz w:val="20"/>
              </w:rPr>
              <w:t>Closing Inventory</w:t>
            </w:r>
          </w:p>
        </w:tc>
        <w:tc>
          <w:tcPr>
            <w:tcW w:w="1085" w:type="dxa"/>
            <w:tcBorders>
              <w:top w:val="single" w:sz="4" w:space="0" w:color="auto"/>
              <w:left w:val="nil"/>
              <w:bottom w:val="single" w:sz="4" w:space="0" w:color="auto"/>
              <w:right w:val="nil"/>
            </w:tcBorders>
            <w:shd w:val="clear" w:color="auto" w:fill="auto"/>
            <w:noWrap/>
            <w:vAlign w:val="bottom"/>
          </w:tcPr>
          <w:p w:rsidR="000A4350" w:rsidRPr="000A4350" w:rsidRDefault="000A4350" w:rsidP="00EA772C">
            <w:pPr>
              <w:jc w:val="center"/>
              <w:rPr>
                <w:sz w:val="20"/>
              </w:rPr>
            </w:pPr>
            <w:r w:rsidRPr="000A4350">
              <w:rPr>
                <w:sz w:val="20"/>
              </w:rPr>
              <w:t>50</w:t>
            </w:r>
          </w:p>
        </w:tc>
        <w:tc>
          <w:tcPr>
            <w:tcW w:w="665" w:type="dxa"/>
            <w:tcBorders>
              <w:top w:val="single" w:sz="4" w:space="0" w:color="auto"/>
              <w:left w:val="nil"/>
              <w:bottom w:val="single" w:sz="4" w:space="0" w:color="auto"/>
              <w:right w:val="nil"/>
            </w:tcBorders>
            <w:shd w:val="clear" w:color="auto" w:fill="auto"/>
            <w:noWrap/>
            <w:vAlign w:val="bottom"/>
          </w:tcPr>
          <w:p w:rsidR="000A4350" w:rsidRPr="000A4350" w:rsidRDefault="000A4350" w:rsidP="00EA772C">
            <w:pPr>
              <w:jc w:val="center"/>
              <w:rPr>
                <w:sz w:val="20"/>
              </w:rPr>
            </w:pPr>
          </w:p>
        </w:tc>
        <w:tc>
          <w:tcPr>
            <w:tcW w:w="1251" w:type="dxa"/>
            <w:tcBorders>
              <w:top w:val="single" w:sz="4" w:space="0" w:color="auto"/>
              <w:left w:val="nil"/>
              <w:bottom w:val="single" w:sz="4" w:space="0" w:color="auto"/>
              <w:right w:val="nil"/>
            </w:tcBorders>
            <w:shd w:val="clear" w:color="auto" w:fill="auto"/>
            <w:noWrap/>
            <w:vAlign w:val="bottom"/>
          </w:tcPr>
          <w:p w:rsidR="000A4350" w:rsidRPr="000A4350" w:rsidRDefault="000A4350" w:rsidP="00EA772C">
            <w:pPr>
              <w:jc w:val="center"/>
              <w:rPr>
                <w:sz w:val="20"/>
              </w:rPr>
            </w:pPr>
            <w:r w:rsidRPr="000A4350">
              <w:rPr>
                <w:sz w:val="20"/>
              </w:rPr>
              <w:t>100</w:t>
            </w:r>
          </w:p>
        </w:tc>
        <w:tc>
          <w:tcPr>
            <w:tcW w:w="749" w:type="dxa"/>
            <w:tcBorders>
              <w:top w:val="single" w:sz="4" w:space="0" w:color="auto"/>
              <w:left w:val="nil"/>
              <w:bottom w:val="single" w:sz="4" w:space="0" w:color="auto"/>
              <w:right w:val="nil"/>
            </w:tcBorders>
            <w:shd w:val="clear" w:color="auto" w:fill="auto"/>
            <w:noWrap/>
            <w:vAlign w:val="bottom"/>
          </w:tcPr>
          <w:p w:rsidR="000A4350" w:rsidRPr="000A4350" w:rsidRDefault="000A4350" w:rsidP="00EA772C">
            <w:pPr>
              <w:jc w:val="center"/>
              <w:rPr>
                <w:sz w:val="20"/>
              </w:rPr>
            </w:pPr>
          </w:p>
        </w:tc>
        <w:tc>
          <w:tcPr>
            <w:tcW w:w="1251" w:type="dxa"/>
            <w:tcBorders>
              <w:top w:val="single" w:sz="4" w:space="0" w:color="auto"/>
              <w:left w:val="nil"/>
              <w:bottom w:val="single" w:sz="4" w:space="0" w:color="auto"/>
              <w:right w:val="nil"/>
            </w:tcBorders>
            <w:shd w:val="clear" w:color="auto" w:fill="auto"/>
            <w:noWrap/>
            <w:vAlign w:val="bottom"/>
          </w:tcPr>
          <w:p w:rsidR="000A4350" w:rsidRPr="000A4350" w:rsidRDefault="000A4350" w:rsidP="00EA772C">
            <w:pPr>
              <w:jc w:val="center"/>
              <w:rPr>
                <w:sz w:val="20"/>
              </w:rPr>
            </w:pPr>
            <w:r w:rsidRPr="000A4350">
              <w:rPr>
                <w:sz w:val="20"/>
              </w:rPr>
              <w:t>60</w:t>
            </w:r>
          </w:p>
        </w:tc>
      </w:tr>
      <w:tr w:rsidR="000A4350" w:rsidRPr="000A4350" w:rsidTr="000A4350">
        <w:trPr>
          <w:trHeight w:val="253"/>
        </w:trPr>
        <w:tc>
          <w:tcPr>
            <w:tcW w:w="3910" w:type="dxa"/>
            <w:tcBorders>
              <w:top w:val="nil"/>
              <w:left w:val="nil"/>
              <w:bottom w:val="nil"/>
              <w:right w:val="nil"/>
            </w:tcBorders>
            <w:shd w:val="clear" w:color="auto" w:fill="auto"/>
            <w:vAlign w:val="bottom"/>
          </w:tcPr>
          <w:p w:rsidR="000A4350" w:rsidRPr="000A4350" w:rsidRDefault="000A4350" w:rsidP="000A4350">
            <w:pPr>
              <w:rPr>
                <w:sz w:val="20"/>
              </w:rPr>
            </w:pPr>
          </w:p>
        </w:tc>
        <w:tc>
          <w:tcPr>
            <w:tcW w:w="1085" w:type="dxa"/>
            <w:tcBorders>
              <w:top w:val="nil"/>
              <w:left w:val="nil"/>
              <w:bottom w:val="nil"/>
              <w:right w:val="nil"/>
            </w:tcBorders>
            <w:shd w:val="clear" w:color="auto" w:fill="auto"/>
            <w:noWrap/>
            <w:vAlign w:val="bottom"/>
          </w:tcPr>
          <w:p w:rsidR="000A4350" w:rsidRPr="000A4350" w:rsidRDefault="000A4350" w:rsidP="00EA772C">
            <w:pPr>
              <w:jc w:val="center"/>
              <w:rPr>
                <w:sz w:val="20"/>
              </w:rPr>
            </w:pPr>
          </w:p>
        </w:tc>
        <w:tc>
          <w:tcPr>
            <w:tcW w:w="665" w:type="dxa"/>
            <w:tcBorders>
              <w:top w:val="nil"/>
              <w:left w:val="nil"/>
              <w:bottom w:val="nil"/>
              <w:right w:val="nil"/>
            </w:tcBorders>
            <w:shd w:val="clear" w:color="auto" w:fill="auto"/>
            <w:noWrap/>
            <w:vAlign w:val="bottom"/>
          </w:tcPr>
          <w:p w:rsidR="000A4350" w:rsidRPr="000A4350" w:rsidRDefault="000A4350" w:rsidP="00EA772C">
            <w:pPr>
              <w:jc w:val="center"/>
              <w:rPr>
                <w:sz w:val="20"/>
              </w:rPr>
            </w:pPr>
          </w:p>
        </w:tc>
        <w:tc>
          <w:tcPr>
            <w:tcW w:w="1251" w:type="dxa"/>
            <w:tcBorders>
              <w:top w:val="nil"/>
              <w:left w:val="nil"/>
              <w:bottom w:val="nil"/>
              <w:right w:val="nil"/>
            </w:tcBorders>
            <w:shd w:val="clear" w:color="auto" w:fill="auto"/>
            <w:noWrap/>
            <w:vAlign w:val="bottom"/>
          </w:tcPr>
          <w:p w:rsidR="000A4350" w:rsidRPr="000A4350" w:rsidRDefault="000A4350" w:rsidP="00EA772C">
            <w:pPr>
              <w:jc w:val="center"/>
              <w:rPr>
                <w:sz w:val="20"/>
              </w:rPr>
            </w:pPr>
          </w:p>
        </w:tc>
        <w:tc>
          <w:tcPr>
            <w:tcW w:w="749" w:type="dxa"/>
            <w:tcBorders>
              <w:top w:val="nil"/>
              <w:left w:val="nil"/>
              <w:bottom w:val="nil"/>
              <w:right w:val="nil"/>
            </w:tcBorders>
            <w:shd w:val="clear" w:color="auto" w:fill="auto"/>
            <w:noWrap/>
            <w:vAlign w:val="bottom"/>
          </w:tcPr>
          <w:p w:rsidR="000A4350" w:rsidRPr="000A4350" w:rsidRDefault="000A4350" w:rsidP="00EA772C">
            <w:pPr>
              <w:jc w:val="center"/>
              <w:rPr>
                <w:sz w:val="20"/>
              </w:rPr>
            </w:pPr>
          </w:p>
        </w:tc>
        <w:tc>
          <w:tcPr>
            <w:tcW w:w="1251" w:type="dxa"/>
            <w:tcBorders>
              <w:top w:val="nil"/>
              <w:left w:val="nil"/>
              <w:bottom w:val="nil"/>
              <w:right w:val="nil"/>
            </w:tcBorders>
            <w:shd w:val="clear" w:color="auto" w:fill="auto"/>
            <w:noWrap/>
            <w:vAlign w:val="bottom"/>
          </w:tcPr>
          <w:p w:rsidR="000A4350" w:rsidRPr="000A4350" w:rsidRDefault="000A4350" w:rsidP="00EA772C">
            <w:pPr>
              <w:jc w:val="center"/>
              <w:rPr>
                <w:sz w:val="20"/>
              </w:rPr>
            </w:pPr>
          </w:p>
        </w:tc>
      </w:tr>
      <w:tr w:rsidR="000A4350" w:rsidRPr="000A4350" w:rsidTr="000A4350">
        <w:trPr>
          <w:trHeight w:val="253"/>
        </w:trPr>
        <w:tc>
          <w:tcPr>
            <w:tcW w:w="3910" w:type="dxa"/>
            <w:tcBorders>
              <w:top w:val="single" w:sz="4" w:space="0" w:color="auto"/>
              <w:left w:val="nil"/>
              <w:bottom w:val="single" w:sz="4" w:space="0" w:color="auto"/>
              <w:right w:val="nil"/>
            </w:tcBorders>
            <w:shd w:val="clear" w:color="auto" w:fill="auto"/>
            <w:vAlign w:val="bottom"/>
          </w:tcPr>
          <w:p w:rsidR="000A4350" w:rsidRPr="000A4350" w:rsidRDefault="000A4350" w:rsidP="000A4350">
            <w:pPr>
              <w:rPr>
                <w:b/>
                <w:bCs/>
                <w:sz w:val="20"/>
              </w:rPr>
            </w:pPr>
            <w:r w:rsidRPr="000A4350">
              <w:rPr>
                <w:b/>
                <w:bCs/>
                <w:sz w:val="20"/>
              </w:rPr>
              <w:t>Weighted Average Value</w:t>
            </w:r>
          </w:p>
        </w:tc>
        <w:tc>
          <w:tcPr>
            <w:tcW w:w="1085" w:type="dxa"/>
            <w:tcBorders>
              <w:top w:val="single" w:sz="4" w:space="0" w:color="auto"/>
              <w:left w:val="nil"/>
              <w:bottom w:val="single" w:sz="4" w:space="0" w:color="auto"/>
              <w:right w:val="nil"/>
            </w:tcBorders>
            <w:shd w:val="clear" w:color="auto" w:fill="auto"/>
            <w:noWrap/>
            <w:vAlign w:val="bottom"/>
          </w:tcPr>
          <w:p w:rsidR="000A4350" w:rsidRPr="000A4350" w:rsidRDefault="000A4350" w:rsidP="00EA772C">
            <w:pPr>
              <w:jc w:val="center"/>
              <w:rPr>
                <w:sz w:val="20"/>
              </w:rPr>
            </w:pPr>
          </w:p>
        </w:tc>
        <w:tc>
          <w:tcPr>
            <w:tcW w:w="665" w:type="dxa"/>
            <w:tcBorders>
              <w:top w:val="single" w:sz="4" w:space="0" w:color="auto"/>
              <w:left w:val="nil"/>
              <w:bottom w:val="single" w:sz="4" w:space="0" w:color="auto"/>
              <w:right w:val="nil"/>
            </w:tcBorders>
            <w:shd w:val="clear" w:color="auto" w:fill="auto"/>
            <w:noWrap/>
            <w:vAlign w:val="bottom"/>
          </w:tcPr>
          <w:p w:rsidR="000A4350" w:rsidRPr="000A4350" w:rsidRDefault="000A4350" w:rsidP="00EA772C">
            <w:pPr>
              <w:jc w:val="center"/>
              <w:rPr>
                <w:sz w:val="20"/>
              </w:rPr>
            </w:pPr>
          </w:p>
        </w:tc>
        <w:tc>
          <w:tcPr>
            <w:tcW w:w="1251" w:type="dxa"/>
            <w:tcBorders>
              <w:top w:val="single" w:sz="4" w:space="0" w:color="auto"/>
              <w:left w:val="nil"/>
              <w:bottom w:val="single" w:sz="4" w:space="0" w:color="auto"/>
              <w:right w:val="nil"/>
            </w:tcBorders>
            <w:shd w:val="clear" w:color="auto" w:fill="auto"/>
            <w:noWrap/>
            <w:vAlign w:val="bottom"/>
          </w:tcPr>
          <w:p w:rsidR="000A4350" w:rsidRPr="000A4350" w:rsidRDefault="000A4350" w:rsidP="00EA772C">
            <w:pPr>
              <w:jc w:val="center"/>
              <w:rPr>
                <w:sz w:val="20"/>
              </w:rPr>
            </w:pPr>
          </w:p>
        </w:tc>
        <w:tc>
          <w:tcPr>
            <w:tcW w:w="749" w:type="dxa"/>
            <w:tcBorders>
              <w:top w:val="single" w:sz="4" w:space="0" w:color="auto"/>
              <w:left w:val="nil"/>
              <w:bottom w:val="single" w:sz="4" w:space="0" w:color="auto"/>
              <w:right w:val="nil"/>
            </w:tcBorders>
            <w:shd w:val="clear" w:color="auto" w:fill="auto"/>
            <w:noWrap/>
            <w:vAlign w:val="bottom"/>
          </w:tcPr>
          <w:p w:rsidR="000A4350" w:rsidRPr="000A4350" w:rsidRDefault="000A4350" w:rsidP="00EA772C">
            <w:pPr>
              <w:jc w:val="center"/>
              <w:rPr>
                <w:sz w:val="20"/>
              </w:rPr>
            </w:pPr>
          </w:p>
        </w:tc>
        <w:tc>
          <w:tcPr>
            <w:tcW w:w="1251" w:type="dxa"/>
            <w:tcBorders>
              <w:top w:val="single" w:sz="4" w:space="0" w:color="auto"/>
              <w:left w:val="nil"/>
              <w:bottom w:val="single" w:sz="4" w:space="0" w:color="auto"/>
              <w:right w:val="nil"/>
            </w:tcBorders>
            <w:shd w:val="clear" w:color="auto" w:fill="auto"/>
            <w:noWrap/>
            <w:vAlign w:val="bottom"/>
          </w:tcPr>
          <w:p w:rsidR="000A4350" w:rsidRPr="000A4350" w:rsidRDefault="000A4350" w:rsidP="00EA772C">
            <w:pPr>
              <w:jc w:val="center"/>
              <w:rPr>
                <w:sz w:val="20"/>
              </w:rPr>
            </w:pPr>
          </w:p>
        </w:tc>
      </w:tr>
      <w:tr w:rsidR="000A4350" w:rsidRPr="000A4350" w:rsidTr="000A4350">
        <w:trPr>
          <w:trHeight w:val="253"/>
        </w:trPr>
        <w:tc>
          <w:tcPr>
            <w:tcW w:w="3910" w:type="dxa"/>
            <w:tcBorders>
              <w:top w:val="nil"/>
              <w:left w:val="nil"/>
              <w:bottom w:val="single" w:sz="4" w:space="0" w:color="auto"/>
              <w:right w:val="nil"/>
            </w:tcBorders>
            <w:shd w:val="clear" w:color="auto" w:fill="auto"/>
            <w:vAlign w:val="bottom"/>
          </w:tcPr>
          <w:p w:rsidR="000A4350" w:rsidRPr="000A4350" w:rsidRDefault="000A4350" w:rsidP="000A4350">
            <w:pPr>
              <w:rPr>
                <w:sz w:val="20"/>
              </w:rPr>
            </w:pPr>
            <w:r w:rsidRPr="000A4350">
              <w:rPr>
                <w:sz w:val="20"/>
              </w:rPr>
              <w:t>Invoice Price</w:t>
            </w:r>
          </w:p>
        </w:tc>
        <w:tc>
          <w:tcPr>
            <w:tcW w:w="1085" w:type="dxa"/>
            <w:tcBorders>
              <w:top w:val="nil"/>
              <w:left w:val="nil"/>
              <w:bottom w:val="single" w:sz="4" w:space="0" w:color="auto"/>
              <w:right w:val="nil"/>
            </w:tcBorders>
            <w:shd w:val="clear" w:color="auto" w:fill="auto"/>
            <w:noWrap/>
            <w:vAlign w:val="bottom"/>
          </w:tcPr>
          <w:p w:rsidR="000A4350" w:rsidRPr="000A4350" w:rsidRDefault="00EA772C" w:rsidP="00EA772C">
            <w:pPr>
              <w:jc w:val="center"/>
              <w:rPr>
                <w:sz w:val="20"/>
              </w:rPr>
            </w:pPr>
            <w:r>
              <w:rPr>
                <w:sz w:val="20"/>
              </w:rPr>
              <w:t>$</w:t>
            </w:r>
            <w:r w:rsidR="000A4350" w:rsidRPr="000A4350">
              <w:rPr>
                <w:sz w:val="20"/>
              </w:rPr>
              <w:t>5</w:t>
            </w:r>
          </w:p>
        </w:tc>
        <w:tc>
          <w:tcPr>
            <w:tcW w:w="665" w:type="dxa"/>
            <w:tcBorders>
              <w:top w:val="nil"/>
              <w:left w:val="nil"/>
              <w:bottom w:val="single" w:sz="4" w:space="0" w:color="auto"/>
              <w:right w:val="nil"/>
            </w:tcBorders>
            <w:shd w:val="clear" w:color="auto" w:fill="auto"/>
            <w:noWrap/>
            <w:vAlign w:val="bottom"/>
          </w:tcPr>
          <w:p w:rsidR="000A4350" w:rsidRPr="000A4350" w:rsidRDefault="000A4350" w:rsidP="00EA772C">
            <w:pPr>
              <w:jc w:val="center"/>
              <w:rPr>
                <w:sz w:val="20"/>
              </w:rPr>
            </w:pPr>
          </w:p>
        </w:tc>
        <w:tc>
          <w:tcPr>
            <w:tcW w:w="1251" w:type="dxa"/>
            <w:tcBorders>
              <w:top w:val="nil"/>
              <w:left w:val="nil"/>
              <w:bottom w:val="single" w:sz="4" w:space="0" w:color="auto"/>
              <w:right w:val="nil"/>
            </w:tcBorders>
            <w:shd w:val="clear" w:color="auto" w:fill="auto"/>
            <w:noWrap/>
            <w:vAlign w:val="bottom"/>
          </w:tcPr>
          <w:p w:rsidR="000A4350" w:rsidRPr="000A4350" w:rsidRDefault="000A4350" w:rsidP="00EA772C">
            <w:pPr>
              <w:jc w:val="center"/>
              <w:rPr>
                <w:sz w:val="20"/>
              </w:rPr>
            </w:pPr>
            <w:r w:rsidRPr="000A4350">
              <w:rPr>
                <w:sz w:val="20"/>
              </w:rPr>
              <w:t>$10</w:t>
            </w:r>
          </w:p>
        </w:tc>
        <w:tc>
          <w:tcPr>
            <w:tcW w:w="749" w:type="dxa"/>
            <w:tcBorders>
              <w:top w:val="nil"/>
              <w:left w:val="nil"/>
              <w:bottom w:val="single" w:sz="4" w:space="0" w:color="auto"/>
              <w:right w:val="nil"/>
            </w:tcBorders>
            <w:shd w:val="clear" w:color="auto" w:fill="auto"/>
            <w:noWrap/>
            <w:vAlign w:val="bottom"/>
          </w:tcPr>
          <w:p w:rsidR="000A4350" w:rsidRPr="000A4350" w:rsidRDefault="000A4350" w:rsidP="00EA772C">
            <w:pPr>
              <w:jc w:val="center"/>
              <w:rPr>
                <w:sz w:val="20"/>
              </w:rPr>
            </w:pPr>
          </w:p>
        </w:tc>
        <w:tc>
          <w:tcPr>
            <w:tcW w:w="1251" w:type="dxa"/>
            <w:tcBorders>
              <w:top w:val="nil"/>
              <w:left w:val="nil"/>
              <w:bottom w:val="single" w:sz="4" w:space="0" w:color="auto"/>
              <w:right w:val="nil"/>
            </w:tcBorders>
            <w:shd w:val="clear" w:color="auto" w:fill="auto"/>
            <w:noWrap/>
            <w:vAlign w:val="bottom"/>
          </w:tcPr>
          <w:p w:rsidR="000A4350" w:rsidRPr="000A4350" w:rsidRDefault="000A4350" w:rsidP="00EA772C">
            <w:pPr>
              <w:jc w:val="center"/>
              <w:rPr>
                <w:sz w:val="20"/>
              </w:rPr>
            </w:pPr>
            <w:r w:rsidRPr="000A4350">
              <w:rPr>
                <w:sz w:val="20"/>
              </w:rPr>
              <w:t>$15</w:t>
            </w:r>
          </w:p>
        </w:tc>
      </w:tr>
      <w:tr w:rsidR="000A4350" w:rsidRPr="000A4350" w:rsidTr="000A4350">
        <w:trPr>
          <w:trHeight w:val="506"/>
        </w:trPr>
        <w:tc>
          <w:tcPr>
            <w:tcW w:w="3910" w:type="dxa"/>
            <w:tcBorders>
              <w:top w:val="nil"/>
              <w:left w:val="nil"/>
              <w:bottom w:val="single" w:sz="4" w:space="0" w:color="auto"/>
              <w:right w:val="nil"/>
            </w:tcBorders>
            <w:shd w:val="clear" w:color="auto" w:fill="auto"/>
            <w:vAlign w:val="bottom"/>
          </w:tcPr>
          <w:p w:rsidR="000A4350" w:rsidRPr="000A4350" w:rsidRDefault="000A4350" w:rsidP="000A4350">
            <w:pPr>
              <w:rPr>
                <w:sz w:val="20"/>
              </w:rPr>
            </w:pPr>
            <w:r w:rsidRPr="000A4350">
              <w:rPr>
                <w:sz w:val="20"/>
              </w:rPr>
              <w:t>Weighted Average Value of Closing Inventory (Closing Inventory Invoice Price)</w:t>
            </w:r>
          </w:p>
        </w:tc>
        <w:tc>
          <w:tcPr>
            <w:tcW w:w="1085" w:type="dxa"/>
            <w:tcBorders>
              <w:top w:val="nil"/>
              <w:left w:val="nil"/>
              <w:bottom w:val="single" w:sz="4" w:space="0" w:color="auto"/>
              <w:right w:val="nil"/>
            </w:tcBorders>
            <w:shd w:val="clear" w:color="auto" w:fill="auto"/>
            <w:noWrap/>
            <w:vAlign w:val="bottom"/>
          </w:tcPr>
          <w:p w:rsidR="000A4350" w:rsidRPr="000A4350" w:rsidRDefault="00334188" w:rsidP="00EA772C">
            <w:pPr>
              <w:jc w:val="center"/>
              <w:rPr>
                <w:sz w:val="20"/>
              </w:rPr>
            </w:pPr>
            <w:r>
              <w:rPr>
                <w:sz w:val="20"/>
              </w:rPr>
              <w:t>$</w:t>
            </w:r>
            <w:r w:rsidR="000A4350" w:rsidRPr="000A4350">
              <w:rPr>
                <w:sz w:val="20"/>
              </w:rPr>
              <w:t>250</w:t>
            </w:r>
          </w:p>
        </w:tc>
        <w:tc>
          <w:tcPr>
            <w:tcW w:w="665" w:type="dxa"/>
            <w:tcBorders>
              <w:top w:val="nil"/>
              <w:left w:val="nil"/>
              <w:bottom w:val="single" w:sz="4" w:space="0" w:color="auto"/>
              <w:right w:val="nil"/>
            </w:tcBorders>
            <w:shd w:val="clear" w:color="auto" w:fill="auto"/>
            <w:noWrap/>
            <w:vAlign w:val="bottom"/>
          </w:tcPr>
          <w:p w:rsidR="000A4350" w:rsidRPr="000A4350" w:rsidRDefault="000A4350" w:rsidP="00EA772C">
            <w:pPr>
              <w:jc w:val="center"/>
              <w:rPr>
                <w:sz w:val="20"/>
              </w:rPr>
            </w:pPr>
          </w:p>
        </w:tc>
        <w:tc>
          <w:tcPr>
            <w:tcW w:w="1251" w:type="dxa"/>
            <w:tcBorders>
              <w:top w:val="nil"/>
              <w:left w:val="nil"/>
              <w:bottom w:val="single" w:sz="4" w:space="0" w:color="auto"/>
              <w:right w:val="nil"/>
            </w:tcBorders>
            <w:shd w:val="clear" w:color="auto" w:fill="auto"/>
            <w:noWrap/>
            <w:vAlign w:val="bottom"/>
          </w:tcPr>
          <w:p w:rsidR="000A4350" w:rsidRPr="000A4350" w:rsidRDefault="00334188" w:rsidP="00EA772C">
            <w:pPr>
              <w:jc w:val="center"/>
              <w:rPr>
                <w:sz w:val="20"/>
              </w:rPr>
            </w:pPr>
            <w:r>
              <w:rPr>
                <w:sz w:val="20"/>
              </w:rPr>
              <w:t>$</w:t>
            </w:r>
            <w:r w:rsidR="000A4350">
              <w:rPr>
                <w:sz w:val="20"/>
              </w:rPr>
              <w:t xml:space="preserve">1 </w:t>
            </w:r>
            <w:r w:rsidR="000A4350" w:rsidRPr="000A4350">
              <w:rPr>
                <w:sz w:val="20"/>
              </w:rPr>
              <w:t>000</w:t>
            </w:r>
          </w:p>
        </w:tc>
        <w:tc>
          <w:tcPr>
            <w:tcW w:w="749" w:type="dxa"/>
            <w:tcBorders>
              <w:top w:val="nil"/>
              <w:left w:val="nil"/>
              <w:bottom w:val="single" w:sz="4" w:space="0" w:color="auto"/>
              <w:right w:val="nil"/>
            </w:tcBorders>
            <w:shd w:val="clear" w:color="auto" w:fill="auto"/>
            <w:noWrap/>
            <w:vAlign w:val="bottom"/>
          </w:tcPr>
          <w:p w:rsidR="000A4350" w:rsidRPr="000A4350" w:rsidRDefault="000A4350" w:rsidP="00EA772C">
            <w:pPr>
              <w:jc w:val="center"/>
              <w:rPr>
                <w:sz w:val="20"/>
              </w:rPr>
            </w:pPr>
          </w:p>
        </w:tc>
        <w:tc>
          <w:tcPr>
            <w:tcW w:w="1251" w:type="dxa"/>
            <w:tcBorders>
              <w:top w:val="nil"/>
              <w:left w:val="nil"/>
              <w:bottom w:val="single" w:sz="4" w:space="0" w:color="auto"/>
              <w:right w:val="nil"/>
            </w:tcBorders>
            <w:shd w:val="clear" w:color="auto" w:fill="auto"/>
            <w:noWrap/>
            <w:vAlign w:val="bottom"/>
          </w:tcPr>
          <w:p w:rsidR="000A4350" w:rsidRPr="000A4350" w:rsidRDefault="00334188" w:rsidP="00EA772C">
            <w:pPr>
              <w:jc w:val="center"/>
              <w:rPr>
                <w:sz w:val="20"/>
              </w:rPr>
            </w:pPr>
            <w:r>
              <w:rPr>
                <w:sz w:val="20"/>
              </w:rPr>
              <w:t>$</w:t>
            </w:r>
            <w:r w:rsidR="000A4350" w:rsidRPr="000A4350">
              <w:rPr>
                <w:sz w:val="20"/>
              </w:rPr>
              <w:t>900</w:t>
            </w:r>
          </w:p>
        </w:tc>
      </w:tr>
      <w:tr w:rsidR="000A4350" w:rsidRPr="000A4350" w:rsidTr="000A4350">
        <w:trPr>
          <w:trHeight w:val="253"/>
        </w:trPr>
        <w:tc>
          <w:tcPr>
            <w:tcW w:w="3910" w:type="dxa"/>
            <w:tcBorders>
              <w:top w:val="nil"/>
              <w:left w:val="nil"/>
              <w:bottom w:val="nil"/>
              <w:right w:val="nil"/>
            </w:tcBorders>
            <w:shd w:val="clear" w:color="auto" w:fill="auto"/>
            <w:vAlign w:val="bottom"/>
          </w:tcPr>
          <w:p w:rsidR="000A4350" w:rsidRPr="000A4350" w:rsidRDefault="000A4350" w:rsidP="000A4350">
            <w:pPr>
              <w:rPr>
                <w:sz w:val="20"/>
              </w:rPr>
            </w:pPr>
          </w:p>
        </w:tc>
        <w:tc>
          <w:tcPr>
            <w:tcW w:w="1085" w:type="dxa"/>
            <w:tcBorders>
              <w:top w:val="nil"/>
              <w:left w:val="nil"/>
              <w:bottom w:val="nil"/>
              <w:right w:val="nil"/>
            </w:tcBorders>
            <w:shd w:val="clear" w:color="auto" w:fill="auto"/>
            <w:noWrap/>
            <w:vAlign w:val="bottom"/>
          </w:tcPr>
          <w:p w:rsidR="000A4350" w:rsidRPr="000A4350" w:rsidRDefault="000A4350" w:rsidP="00EA772C">
            <w:pPr>
              <w:jc w:val="center"/>
              <w:rPr>
                <w:sz w:val="20"/>
              </w:rPr>
            </w:pPr>
          </w:p>
        </w:tc>
        <w:tc>
          <w:tcPr>
            <w:tcW w:w="665" w:type="dxa"/>
            <w:tcBorders>
              <w:top w:val="nil"/>
              <w:left w:val="nil"/>
              <w:bottom w:val="nil"/>
              <w:right w:val="nil"/>
            </w:tcBorders>
            <w:shd w:val="clear" w:color="auto" w:fill="auto"/>
            <w:noWrap/>
            <w:vAlign w:val="bottom"/>
          </w:tcPr>
          <w:p w:rsidR="000A4350" w:rsidRPr="000A4350" w:rsidRDefault="000A4350" w:rsidP="00EA772C">
            <w:pPr>
              <w:jc w:val="center"/>
              <w:rPr>
                <w:sz w:val="20"/>
              </w:rPr>
            </w:pPr>
          </w:p>
        </w:tc>
        <w:tc>
          <w:tcPr>
            <w:tcW w:w="1251" w:type="dxa"/>
            <w:tcBorders>
              <w:top w:val="nil"/>
              <w:left w:val="nil"/>
              <w:bottom w:val="nil"/>
              <w:right w:val="nil"/>
            </w:tcBorders>
            <w:shd w:val="clear" w:color="auto" w:fill="auto"/>
            <w:noWrap/>
            <w:vAlign w:val="bottom"/>
          </w:tcPr>
          <w:p w:rsidR="000A4350" w:rsidRPr="000A4350" w:rsidRDefault="000A4350" w:rsidP="00EA772C">
            <w:pPr>
              <w:jc w:val="center"/>
              <w:rPr>
                <w:sz w:val="20"/>
              </w:rPr>
            </w:pPr>
          </w:p>
        </w:tc>
        <w:tc>
          <w:tcPr>
            <w:tcW w:w="749" w:type="dxa"/>
            <w:tcBorders>
              <w:top w:val="nil"/>
              <w:left w:val="nil"/>
              <w:bottom w:val="nil"/>
              <w:right w:val="nil"/>
            </w:tcBorders>
            <w:shd w:val="clear" w:color="auto" w:fill="auto"/>
            <w:noWrap/>
            <w:vAlign w:val="bottom"/>
          </w:tcPr>
          <w:p w:rsidR="000A4350" w:rsidRPr="000A4350" w:rsidRDefault="000A4350" w:rsidP="00EA772C">
            <w:pPr>
              <w:jc w:val="center"/>
              <w:rPr>
                <w:sz w:val="20"/>
              </w:rPr>
            </w:pPr>
          </w:p>
        </w:tc>
        <w:tc>
          <w:tcPr>
            <w:tcW w:w="1251" w:type="dxa"/>
            <w:tcBorders>
              <w:top w:val="nil"/>
              <w:left w:val="nil"/>
              <w:bottom w:val="nil"/>
              <w:right w:val="nil"/>
            </w:tcBorders>
            <w:shd w:val="clear" w:color="auto" w:fill="auto"/>
            <w:noWrap/>
            <w:vAlign w:val="bottom"/>
          </w:tcPr>
          <w:p w:rsidR="000A4350" w:rsidRPr="000A4350" w:rsidRDefault="000A4350" w:rsidP="00EA772C">
            <w:pPr>
              <w:jc w:val="center"/>
              <w:rPr>
                <w:sz w:val="20"/>
              </w:rPr>
            </w:pPr>
          </w:p>
        </w:tc>
      </w:tr>
      <w:tr w:rsidR="000A4350" w:rsidRPr="000A4350" w:rsidTr="000A4350">
        <w:trPr>
          <w:trHeight w:val="253"/>
        </w:trPr>
        <w:tc>
          <w:tcPr>
            <w:tcW w:w="3910" w:type="dxa"/>
            <w:tcBorders>
              <w:top w:val="single" w:sz="4" w:space="0" w:color="auto"/>
              <w:left w:val="nil"/>
              <w:bottom w:val="single" w:sz="4" w:space="0" w:color="auto"/>
              <w:right w:val="nil"/>
            </w:tcBorders>
            <w:shd w:val="clear" w:color="auto" w:fill="auto"/>
            <w:vAlign w:val="bottom"/>
          </w:tcPr>
          <w:p w:rsidR="000A4350" w:rsidRPr="000A4350" w:rsidRDefault="000A4350" w:rsidP="000A4350">
            <w:pPr>
              <w:rPr>
                <w:b/>
                <w:bCs/>
                <w:sz w:val="20"/>
              </w:rPr>
            </w:pPr>
            <w:r w:rsidRPr="000A4350">
              <w:rPr>
                <w:b/>
                <w:bCs/>
                <w:sz w:val="20"/>
              </w:rPr>
              <w:t>For Royalty Calculations</w:t>
            </w:r>
          </w:p>
        </w:tc>
        <w:tc>
          <w:tcPr>
            <w:tcW w:w="1085" w:type="dxa"/>
            <w:tcBorders>
              <w:top w:val="single" w:sz="4" w:space="0" w:color="auto"/>
              <w:left w:val="nil"/>
              <w:bottom w:val="single" w:sz="4" w:space="0" w:color="auto"/>
              <w:right w:val="nil"/>
            </w:tcBorders>
            <w:shd w:val="clear" w:color="auto" w:fill="auto"/>
            <w:noWrap/>
            <w:vAlign w:val="bottom"/>
          </w:tcPr>
          <w:p w:rsidR="000A4350" w:rsidRPr="000A4350" w:rsidRDefault="000A4350" w:rsidP="00EA772C">
            <w:pPr>
              <w:jc w:val="center"/>
              <w:rPr>
                <w:sz w:val="20"/>
              </w:rPr>
            </w:pPr>
          </w:p>
        </w:tc>
        <w:tc>
          <w:tcPr>
            <w:tcW w:w="665" w:type="dxa"/>
            <w:tcBorders>
              <w:top w:val="single" w:sz="4" w:space="0" w:color="auto"/>
              <w:left w:val="nil"/>
              <w:bottom w:val="single" w:sz="4" w:space="0" w:color="auto"/>
              <w:right w:val="nil"/>
            </w:tcBorders>
            <w:shd w:val="clear" w:color="auto" w:fill="auto"/>
            <w:noWrap/>
            <w:vAlign w:val="bottom"/>
          </w:tcPr>
          <w:p w:rsidR="000A4350" w:rsidRPr="000A4350" w:rsidRDefault="000A4350" w:rsidP="00EA772C">
            <w:pPr>
              <w:jc w:val="center"/>
              <w:rPr>
                <w:sz w:val="20"/>
              </w:rPr>
            </w:pPr>
          </w:p>
        </w:tc>
        <w:tc>
          <w:tcPr>
            <w:tcW w:w="1251" w:type="dxa"/>
            <w:tcBorders>
              <w:top w:val="single" w:sz="4" w:space="0" w:color="auto"/>
              <w:left w:val="nil"/>
              <w:bottom w:val="single" w:sz="4" w:space="0" w:color="auto"/>
              <w:right w:val="nil"/>
            </w:tcBorders>
            <w:shd w:val="clear" w:color="auto" w:fill="auto"/>
            <w:noWrap/>
            <w:vAlign w:val="bottom"/>
          </w:tcPr>
          <w:p w:rsidR="000A4350" w:rsidRPr="000A4350" w:rsidRDefault="000A4350" w:rsidP="00EA772C">
            <w:pPr>
              <w:jc w:val="center"/>
              <w:rPr>
                <w:sz w:val="20"/>
              </w:rPr>
            </w:pPr>
          </w:p>
        </w:tc>
        <w:tc>
          <w:tcPr>
            <w:tcW w:w="749" w:type="dxa"/>
            <w:tcBorders>
              <w:top w:val="single" w:sz="4" w:space="0" w:color="auto"/>
              <w:left w:val="nil"/>
              <w:bottom w:val="single" w:sz="4" w:space="0" w:color="auto"/>
              <w:right w:val="nil"/>
            </w:tcBorders>
            <w:shd w:val="clear" w:color="auto" w:fill="auto"/>
            <w:noWrap/>
            <w:vAlign w:val="bottom"/>
          </w:tcPr>
          <w:p w:rsidR="000A4350" w:rsidRPr="000A4350" w:rsidRDefault="000A4350" w:rsidP="00EA772C">
            <w:pPr>
              <w:jc w:val="center"/>
              <w:rPr>
                <w:sz w:val="20"/>
              </w:rPr>
            </w:pPr>
          </w:p>
        </w:tc>
        <w:tc>
          <w:tcPr>
            <w:tcW w:w="1251" w:type="dxa"/>
            <w:tcBorders>
              <w:top w:val="single" w:sz="4" w:space="0" w:color="auto"/>
              <w:left w:val="nil"/>
              <w:bottom w:val="single" w:sz="4" w:space="0" w:color="auto"/>
              <w:right w:val="nil"/>
            </w:tcBorders>
            <w:shd w:val="clear" w:color="auto" w:fill="auto"/>
            <w:noWrap/>
            <w:vAlign w:val="bottom"/>
          </w:tcPr>
          <w:p w:rsidR="000A4350" w:rsidRPr="000A4350" w:rsidRDefault="000A4350" w:rsidP="00EA772C">
            <w:pPr>
              <w:jc w:val="center"/>
              <w:rPr>
                <w:sz w:val="20"/>
              </w:rPr>
            </w:pPr>
          </w:p>
        </w:tc>
      </w:tr>
      <w:tr w:rsidR="000A4350" w:rsidRPr="000A4350" w:rsidTr="00F83DCF">
        <w:trPr>
          <w:trHeight w:val="253"/>
        </w:trPr>
        <w:tc>
          <w:tcPr>
            <w:tcW w:w="3910" w:type="dxa"/>
            <w:tcBorders>
              <w:top w:val="nil"/>
              <w:left w:val="nil"/>
              <w:right w:val="nil"/>
            </w:tcBorders>
            <w:shd w:val="clear" w:color="auto" w:fill="auto"/>
            <w:vAlign w:val="bottom"/>
          </w:tcPr>
          <w:p w:rsidR="000A4350" w:rsidRPr="000A4350" w:rsidRDefault="000A4350" w:rsidP="006F4F19">
            <w:pPr>
              <w:rPr>
                <w:sz w:val="20"/>
              </w:rPr>
            </w:pPr>
            <w:r w:rsidRPr="000A4350">
              <w:rPr>
                <w:sz w:val="20"/>
              </w:rPr>
              <w:t>Value of Sales</w:t>
            </w:r>
          </w:p>
        </w:tc>
        <w:tc>
          <w:tcPr>
            <w:tcW w:w="1085" w:type="dxa"/>
            <w:tcBorders>
              <w:top w:val="nil"/>
              <w:left w:val="nil"/>
              <w:right w:val="nil"/>
            </w:tcBorders>
            <w:shd w:val="clear" w:color="auto" w:fill="auto"/>
            <w:noWrap/>
            <w:vAlign w:val="bottom"/>
          </w:tcPr>
          <w:p w:rsidR="000A4350" w:rsidRPr="000A4350" w:rsidRDefault="000A4350" w:rsidP="00EA772C">
            <w:pPr>
              <w:jc w:val="center"/>
              <w:rPr>
                <w:sz w:val="20"/>
              </w:rPr>
            </w:pPr>
            <w:r w:rsidRPr="000A4350">
              <w:rPr>
                <w:sz w:val="20"/>
              </w:rPr>
              <w:t>$250</w:t>
            </w:r>
          </w:p>
        </w:tc>
        <w:tc>
          <w:tcPr>
            <w:tcW w:w="665" w:type="dxa"/>
            <w:tcBorders>
              <w:top w:val="nil"/>
              <w:left w:val="nil"/>
              <w:right w:val="nil"/>
            </w:tcBorders>
            <w:shd w:val="clear" w:color="auto" w:fill="auto"/>
            <w:noWrap/>
            <w:vAlign w:val="bottom"/>
          </w:tcPr>
          <w:p w:rsidR="000A4350" w:rsidRPr="000A4350" w:rsidRDefault="000A4350" w:rsidP="00EA772C">
            <w:pPr>
              <w:jc w:val="center"/>
              <w:rPr>
                <w:sz w:val="20"/>
              </w:rPr>
            </w:pPr>
          </w:p>
        </w:tc>
        <w:tc>
          <w:tcPr>
            <w:tcW w:w="1251" w:type="dxa"/>
            <w:tcBorders>
              <w:top w:val="nil"/>
              <w:left w:val="nil"/>
              <w:right w:val="nil"/>
            </w:tcBorders>
            <w:shd w:val="clear" w:color="auto" w:fill="auto"/>
            <w:noWrap/>
            <w:vAlign w:val="bottom"/>
          </w:tcPr>
          <w:p w:rsidR="000A4350" w:rsidRPr="000A4350" w:rsidRDefault="000A4350" w:rsidP="00EA772C">
            <w:pPr>
              <w:jc w:val="center"/>
              <w:rPr>
                <w:sz w:val="20"/>
              </w:rPr>
            </w:pPr>
            <w:r>
              <w:rPr>
                <w:sz w:val="20"/>
              </w:rPr>
              <w:t xml:space="preserve">$2 </w:t>
            </w:r>
            <w:r w:rsidRPr="000A4350">
              <w:rPr>
                <w:sz w:val="20"/>
              </w:rPr>
              <w:t>000</w:t>
            </w:r>
          </w:p>
        </w:tc>
        <w:tc>
          <w:tcPr>
            <w:tcW w:w="749" w:type="dxa"/>
            <w:tcBorders>
              <w:top w:val="nil"/>
              <w:left w:val="nil"/>
              <w:right w:val="nil"/>
            </w:tcBorders>
            <w:shd w:val="clear" w:color="auto" w:fill="auto"/>
            <w:noWrap/>
            <w:vAlign w:val="bottom"/>
          </w:tcPr>
          <w:p w:rsidR="000A4350" w:rsidRPr="000A4350" w:rsidRDefault="000A4350" w:rsidP="00EA772C">
            <w:pPr>
              <w:jc w:val="center"/>
              <w:rPr>
                <w:sz w:val="20"/>
              </w:rPr>
            </w:pPr>
          </w:p>
        </w:tc>
        <w:tc>
          <w:tcPr>
            <w:tcW w:w="1251" w:type="dxa"/>
            <w:tcBorders>
              <w:top w:val="nil"/>
              <w:left w:val="nil"/>
              <w:right w:val="nil"/>
            </w:tcBorders>
            <w:shd w:val="clear" w:color="auto" w:fill="auto"/>
            <w:noWrap/>
            <w:vAlign w:val="bottom"/>
          </w:tcPr>
          <w:p w:rsidR="000A4350" w:rsidRPr="000A4350" w:rsidRDefault="000A4350" w:rsidP="00EA772C">
            <w:pPr>
              <w:jc w:val="center"/>
              <w:rPr>
                <w:sz w:val="20"/>
              </w:rPr>
            </w:pPr>
            <w:r>
              <w:rPr>
                <w:sz w:val="20"/>
              </w:rPr>
              <w:t xml:space="preserve">$1 </w:t>
            </w:r>
            <w:r w:rsidRPr="000A4350">
              <w:rPr>
                <w:sz w:val="20"/>
              </w:rPr>
              <w:t>500</w:t>
            </w:r>
          </w:p>
        </w:tc>
      </w:tr>
      <w:tr w:rsidR="000A4350" w:rsidRPr="000A4350" w:rsidTr="00F83DCF">
        <w:trPr>
          <w:trHeight w:val="506"/>
        </w:trPr>
        <w:tc>
          <w:tcPr>
            <w:tcW w:w="3910" w:type="dxa"/>
            <w:shd w:val="clear" w:color="auto" w:fill="auto"/>
            <w:vAlign w:val="bottom"/>
          </w:tcPr>
          <w:p w:rsidR="000A4350" w:rsidRPr="000A4350" w:rsidRDefault="000A4350" w:rsidP="006F4F19">
            <w:pPr>
              <w:rPr>
                <w:sz w:val="20"/>
              </w:rPr>
            </w:pPr>
            <w:r w:rsidRPr="000A4350">
              <w:rPr>
                <w:sz w:val="20"/>
              </w:rPr>
              <w:t>Less: Weighted Average Value of Opening Inventory</w:t>
            </w:r>
          </w:p>
        </w:tc>
        <w:tc>
          <w:tcPr>
            <w:tcW w:w="1085" w:type="dxa"/>
            <w:shd w:val="clear" w:color="auto" w:fill="auto"/>
            <w:noWrap/>
            <w:vAlign w:val="bottom"/>
          </w:tcPr>
          <w:p w:rsidR="000A4350" w:rsidRPr="000A4350" w:rsidRDefault="00334188" w:rsidP="00EA772C">
            <w:pPr>
              <w:jc w:val="center"/>
              <w:rPr>
                <w:sz w:val="20"/>
              </w:rPr>
            </w:pPr>
            <w:r>
              <w:rPr>
                <w:sz w:val="20"/>
              </w:rPr>
              <w:t>$</w:t>
            </w:r>
            <w:r w:rsidR="004A4A2C">
              <w:rPr>
                <w:sz w:val="20"/>
              </w:rPr>
              <w:t>0</w:t>
            </w:r>
          </w:p>
        </w:tc>
        <w:tc>
          <w:tcPr>
            <w:tcW w:w="665" w:type="dxa"/>
            <w:shd w:val="clear" w:color="auto" w:fill="auto"/>
            <w:noWrap/>
            <w:vAlign w:val="bottom"/>
          </w:tcPr>
          <w:p w:rsidR="000A4350" w:rsidRPr="000A4350" w:rsidRDefault="000A4350" w:rsidP="00EA772C">
            <w:pPr>
              <w:jc w:val="center"/>
              <w:rPr>
                <w:sz w:val="20"/>
              </w:rPr>
            </w:pPr>
          </w:p>
        </w:tc>
        <w:tc>
          <w:tcPr>
            <w:tcW w:w="1251" w:type="dxa"/>
            <w:shd w:val="clear" w:color="auto" w:fill="auto"/>
            <w:noWrap/>
            <w:vAlign w:val="bottom"/>
          </w:tcPr>
          <w:p w:rsidR="000A4350" w:rsidRPr="000A4350" w:rsidRDefault="00334188" w:rsidP="00EA772C">
            <w:pPr>
              <w:jc w:val="center"/>
              <w:rPr>
                <w:sz w:val="20"/>
              </w:rPr>
            </w:pPr>
            <w:r>
              <w:rPr>
                <w:sz w:val="20"/>
              </w:rPr>
              <w:t>$</w:t>
            </w:r>
            <w:r w:rsidR="004A4A2C">
              <w:rPr>
                <w:sz w:val="20"/>
              </w:rPr>
              <w:t>(</w:t>
            </w:r>
            <w:r w:rsidR="000A4350" w:rsidRPr="000A4350">
              <w:rPr>
                <w:sz w:val="20"/>
              </w:rPr>
              <w:t>250</w:t>
            </w:r>
            <w:r w:rsidR="004A4A2C">
              <w:rPr>
                <w:sz w:val="20"/>
              </w:rPr>
              <w:t>)</w:t>
            </w:r>
          </w:p>
        </w:tc>
        <w:tc>
          <w:tcPr>
            <w:tcW w:w="749" w:type="dxa"/>
            <w:shd w:val="clear" w:color="auto" w:fill="auto"/>
            <w:noWrap/>
            <w:vAlign w:val="bottom"/>
          </w:tcPr>
          <w:p w:rsidR="000A4350" w:rsidRPr="000A4350" w:rsidRDefault="000A4350" w:rsidP="00EA772C">
            <w:pPr>
              <w:jc w:val="center"/>
              <w:rPr>
                <w:sz w:val="20"/>
              </w:rPr>
            </w:pPr>
          </w:p>
        </w:tc>
        <w:tc>
          <w:tcPr>
            <w:tcW w:w="1251" w:type="dxa"/>
            <w:shd w:val="clear" w:color="auto" w:fill="auto"/>
            <w:noWrap/>
            <w:vAlign w:val="bottom"/>
          </w:tcPr>
          <w:p w:rsidR="000A4350" w:rsidRPr="000A4350" w:rsidRDefault="00334188" w:rsidP="00EA772C">
            <w:pPr>
              <w:jc w:val="center"/>
              <w:rPr>
                <w:sz w:val="20"/>
              </w:rPr>
            </w:pPr>
            <w:r>
              <w:rPr>
                <w:sz w:val="20"/>
              </w:rPr>
              <w:t>$</w:t>
            </w:r>
            <w:r w:rsidR="004A4A2C">
              <w:rPr>
                <w:sz w:val="20"/>
              </w:rPr>
              <w:t>(</w:t>
            </w:r>
            <w:r w:rsidR="000A4350">
              <w:rPr>
                <w:sz w:val="20"/>
              </w:rPr>
              <w:t xml:space="preserve">1 </w:t>
            </w:r>
            <w:r w:rsidR="000A4350" w:rsidRPr="000A4350">
              <w:rPr>
                <w:sz w:val="20"/>
              </w:rPr>
              <w:t>000</w:t>
            </w:r>
            <w:r w:rsidR="004A4A2C">
              <w:rPr>
                <w:sz w:val="20"/>
              </w:rPr>
              <w:t>)</w:t>
            </w:r>
          </w:p>
        </w:tc>
      </w:tr>
      <w:tr w:rsidR="000A4350" w:rsidRPr="000A4350" w:rsidTr="00F83DCF">
        <w:trPr>
          <w:trHeight w:val="506"/>
        </w:trPr>
        <w:tc>
          <w:tcPr>
            <w:tcW w:w="3910" w:type="dxa"/>
            <w:tcBorders>
              <w:left w:val="nil"/>
              <w:bottom w:val="nil"/>
              <w:right w:val="nil"/>
            </w:tcBorders>
            <w:shd w:val="clear" w:color="auto" w:fill="auto"/>
            <w:vAlign w:val="bottom"/>
          </w:tcPr>
          <w:p w:rsidR="000A4350" w:rsidRPr="000A4350" w:rsidRDefault="000A4350" w:rsidP="000A4350">
            <w:pPr>
              <w:rPr>
                <w:sz w:val="20"/>
              </w:rPr>
            </w:pPr>
            <w:r w:rsidRPr="000A4350">
              <w:rPr>
                <w:sz w:val="20"/>
              </w:rPr>
              <w:t>Add: Weighted Average Value of Closing Inventory</w:t>
            </w:r>
          </w:p>
        </w:tc>
        <w:tc>
          <w:tcPr>
            <w:tcW w:w="1085" w:type="dxa"/>
            <w:tcBorders>
              <w:left w:val="nil"/>
              <w:bottom w:val="nil"/>
              <w:right w:val="nil"/>
            </w:tcBorders>
            <w:shd w:val="clear" w:color="auto" w:fill="auto"/>
            <w:noWrap/>
            <w:vAlign w:val="bottom"/>
          </w:tcPr>
          <w:p w:rsidR="000A4350" w:rsidRPr="000A4350" w:rsidRDefault="00334188" w:rsidP="00EA772C">
            <w:pPr>
              <w:jc w:val="center"/>
              <w:rPr>
                <w:sz w:val="20"/>
              </w:rPr>
            </w:pPr>
            <w:r>
              <w:rPr>
                <w:sz w:val="20"/>
              </w:rPr>
              <w:t>$</w:t>
            </w:r>
            <w:r w:rsidR="000A4350" w:rsidRPr="000A4350">
              <w:rPr>
                <w:sz w:val="20"/>
              </w:rPr>
              <w:t>250</w:t>
            </w:r>
          </w:p>
        </w:tc>
        <w:tc>
          <w:tcPr>
            <w:tcW w:w="665" w:type="dxa"/>
            <w:tcBorders>
              <w:left w:val="nil"/>
              <w:bottom w:val="nil"/>
              <w:right w:val="nil"/>
            </w:tcBorders>
            <w:shd w:val="clear" w:color="auto" w:fill="auto"/>
            <w:noWrap/>
            <w:vAlign w:val="bottom"/>
          </w:tcPr>
          <w:p w:rsidR="000A4350" w:rsidRPr="000A4350" w:rsidRDefault="000A4350" w:rsidP="00EA772C">
            <w:pPr>
              <w:jc w:val="center"/>
              <w:rPr>
                <w:sz w:val="20"/>
              </w:rPr>
            </w:pPr>
          </w:p>
        </w:tc>
        <w:tc>
          <w:tcPr>
            <w:tcW w:w="1251" w:type="dxa"/>
            <w:tcBorders>
              <w:left w:val="nil"/>
              <w:bottom w:val="nil"/>
              <w:right w:val="nil"/>
            </w:tcBorders>
            <w:shd w:val="clear" w:color="auto" w:fill="auto"/>
            <w:noWrap/>
            <w:vAlign w:val="bottom"/>
          </w:tcPr>
          <w:p w:rsidR="000A4350" w:rsidRPr="000A4350" w:rsidRDefault="00334188" w:rsidP="00EA772C">
            <w:pPr>
              <w:jc w:val="center"/>
              <w:rPr>
                <w:sz w:val="20"/>
              </w:rPr>
            </w:pPr>
            <w:r>
              <w:rPr>
                <w:sz w:val="20"/>
              </w:rPr>
              <w:t>$</w:t>
            </w:r>
            <w:r w:rsidR="000A4350">
              <w:rPr>
                <w:sz w:val="20"/>
              </w:rPr>
              <w:t xml:space="preserve">1 </w:t>
            </w:r>
            <w:r w:rsidR="000A4350" w:rsidRPr="000A4350">
              <w:rPr>
                <w:sz w:val="20"/>
              </w:rPr>
              <w:t>000</w:t>
            </w:r>
          </w:p>
        </w:tc>
        <w:tc>
          <w:tcPr>
            <w:tcW w:w="749" w:type="dxa"/>
            <w:tcBorders>
              <w:left w:val="nil"/>
              <w:bottom w:val="nil"/>
              <w:right w:val="nil"/>
            </w:tcBorders>
            <w:shd w:val="clear" w:color="auto" w:fill="auto"/>
            <w:noWrap/>
            <w:vAlign w:val="bottom"/>
          </w:tcPr>
          <w:p w:rsidR="000A4350" w:rsidRPr="000A4350" w:rsidRDefault="000A4350" w:rsidP="00EA772C">
            <w:pPr>
              <w:jc w:val="center"/>
              <w:rPr>
                <w:sz w:val="20"/>
              </w:rPr>
            </w:pPr>
          </w:p>
        </w:tc>
        <w:tc>
          <w:tcPr>
            <w:tcW w:w="1251" w:type="dxa"/>
            <w:tcBorders>
              <w:left w:val="nil"/>
              <w:bottom w:val="nil"/>
              <w:right w:val="nil"/>
            </w:tcBorders>
            <w:shd w:val="clear" w:color="auto" w:fill="auto"/>
            <w:noWrap/>
            <w:vAlign w:val="bottom"/>
          </w:tcPr>
          <w:p w:rsidR="000A4350" w:rsidRPr="000A4350" w:rsidRDefault="00334188" w:rsidP="00EA772C">
            <w:pPr>
              <w:jc w:val="center"/>
              <w:rPr>
                <w:sz w:val="20"/>
              </w:rPr>
            </w:pPr>
            <w:r>
              <w:rPr>
                <w:sz w:val="20"/>
              </w:rPr>
              <w:t>$</w:t>
            </w:r>
            <w:r w:rsidR="000A4350" w:rsidRPr="000A4350">
              <w:rPr>
                <w:sz w:val="20"/>
              </w:rPr>
              <w:t>900</w:t>
            </w:r>
          </w:p>
        </w:tc>
      </w:tr>
      <w:tr w:rsidR="000A4350" w:rsidRPr="000A4350" w:rsidTr="000A4350">
        <w:trPr>
          <w:trHeight w:val="253"/>
        </w:trPr>
        <w:tc>
          <w:tcPr>
            <w:tcW w:w="3910" w:type="dxa"/>
            <w:tcBorders>
              <w:top w:val="single" w:sz="4" w:space="0" w:color="auto"/>
              <w:left w:val="nil"/>
              <w:bottom w:val="single" w:sz="4" w:space="0" w:color="auto"/>
              <w:right w:val="nil"/>
            </w:tcBorders>
            <w:shd w:val="clear" w:color="auto" w:fill="auto"/>
            <w:vAlign w:val="bottom"/>
          </w:tcPr>
          <w:p w:rsidR="000A4350" w:rsidRPr="000A4350" w:rsidRDefault="000A4350" w:rsidP="000A4350">
            <w:pPr>
              <w:rPr>
                <w:sz w:val="20"/>
              </w:rPr>
            </w:pPr>
            <w:r w:rsidRPr="000A4350">
              <w:rPr>
                <w:sz w:val="20"/>
              </w:rPr>
              <w:t>Gross Value</w:t>
            </w:r>
          </w:p>
        </w:tc>
        <w:tc>
          <w:tcPr>
            <w:tcW w:w="1085" w:type="dxa"/>
            <w:tcBorders>
              <w:top w:val="single" w:sz="4" w:space="0" w:color="auto"/>
              <w:left w:val="nil"/>
              <w:bottom w:val="single" w:sz="4" w:space="0" w:color="auto"/>
              <w:right w:val="nil"/>
            </w:tcBorders>
            <w:shd w:val="clear" w:color="auto" w:fill="auto"/>
            <w:noWrap/>
            <w:vAlign w:val="bottom"/>
          </w:tcPr>
          <w:p w:rsidR="000A4350" w:rsidRPr="000A4350" w:rsidRDefault="00334188" w:rsidP="00EA772C">
            <w:pPr>
              <w:jc w:val="center"/>
              <w:rPr>
                <w:sz w:val="20"/>
              </w:rPr>
            </w:pPr>
            <w:r>
              <w:rPr>
                <w:sz w:val="20"/>
              </w:rPr>
              <w:t>$</w:t>
            </w:r>
            <w:r w:rsidR="000A4350" w:rsidRPr="000A4350">
              <w:rPr>
                <w:sz w:val="20"/>
              </w:rPr>
              <w:t>500</w:t>
            </w:r>
          </w:p>
        </w:tc>
        <w:tc>
          <w:tcPr>
            <w:tcW w:w="665" w:type="dxa"/>
            <w:tcBorders>
              <w:top w:val="single" w:sz="4" w:space="0" w:color="auto"/>
              <w:left w:val="nil"/>
              <w:bottom w:val="single" w:sz="4" w:space="0" w:color="auto"/>
              <w:right w:val="nil"/>
            </w:tcBorders>
            <w:shd w:val="clear" w:color="auto" w:fill="auto"/>
            <w:noWrap/>
            <w:vAlign w:val="bottom"/>
          </w:tcPr>
          <w:p w:rsidR="000A4350" w:rsidRPr="000A4350" w:rsidRDefault="000A4350" w:rsidP="00EA772C">
            <w:pPr>
              <w:jc w:val="center"/>
              <w:rPr>
                <w:sz w:val="20"/>
              </w:rPr>
            </w:pPr>
          </w:p>
        </w:tc>
        <w:tc>
          <w:tcPr>
            <w:tcW w:w="1251" w:type="dxa"/>
            <w:tcBorders>
              <w:top w:val="single" w:sz="4" w:space="0" w:color="auto"/>
              <w:left w:val="nil"/>
              <w:bottom w:val="single" w:sz="4" w:space="0" w:color="auto"/>
              <w:right w:val="nil"/>
            </w:tcBorders>
            <w:shd w:val="clear" w:color="auto" w:fill="auto"/>
            <w:noWrap/>
            <w:vAlign w:val="bottom"/>
          </w:tcPr>
          <w:p w:rsidR="000A4350" w:rsidRPr="000A4350" w:rsidRDefault="00334188" w:rsidP="00EA772C">
            <w:pPr>
              <w:jc w:val="center"/>
              <w:rPr>
                <w:sz w:val="20"/>
              </w:rPr>
            </w:pPr>
            <w:r>
              <w:rPr>
                <w:sz w:val="20"/>
              </w:rPr>
              <w:t>$</w:t>
            </w:r>
            <w:r w:rsidR="000A4350">
              <w:rPr>
                <w:sz w:val="20"/>
              </w:rPr>
              <w:t xml:space="preserve">2 </w:t>
            </w:r>
            <w:r w:rsidR="000A4350" w:rsidRPr="000A4350">
              <w:rPr>
                <w:sz w:val="20"/>
              </w:rPr>
              <w:t>750</w:t>
            </w:r>
          </w:p>
        </w:tc>
        <w:tc>
          <w:tcPr>
            <w:tcW w:w="749" w:type="dxa"/>
            <w:tcBorders>
              <w:top w:val="single" w:sz="4" w:space="0" w:color="auto"/>
              <w:left w:val="nil"/>
              <w:bottom w:val="single" w:sz="4" w:space="0" w:color="auto"/>
              <w:right w:val="nil"/>
            </w:tcBorders>
            <w:shd w:val="clear" w:color="auto" w:fill="auto"/>
            <w:noWrap/>
            <w:vAlign w:val="bottom"/>
          </w:tcPr>
          <w:p w:rsidR="000A4350" w:rsidRPr="000A4350" w:rsidRDefault="000A4350" w:rsidP="00EA772C">
            <w:pPr>
              <w:jc w:val="center"/>
              <w:rPr>
                <w:sz w:val="20"/>
              </w:rPr>
            </w:pPr>
          </w:p>
        </w:tc>
        <w:tc>
          <w:tcPr>
            <w:tcW w:w="1251" w:type="dxa"/>
            <w:tcBorders>
              <w:top w:val="single" w:sz="4" w:space="0" w:color="auto"/>
              <w:left w:val="nil"/>
              <w:bottom w:val="single" w:sz="4" w:space="0" w:color="auto"/>
              <w:right w:val="nil"/>
            </w:tcBorders>
            <w:shd w:val="clear" w:color="auto" w:fill="auto"/>
            <w:noWrap/>
            <w:vAlign w:val="bottom"/>
          </w:tcPr>
          <w:p w:rsidR="000A4350" w:rsidRPr="000A4350" w:rsidRDefault="00334188" w:rsidP="00EA772C">
            <w:pPr>
              <w:jc w:val="center"/>
              <w:rPr>
                <w:sz w:val="20"/>
              </w:rPr>
            </w:pPr>
            <w:r>
              <w:rPr>
                <w:sz w:val="20"/>
              </w:rPr>
              <w:t>$</w:t>
            </w:r>
            <w:r w:rsidR="000A4350">
              <w:rPr>
                <w:sz w:val="20"/>
              </w:rPr>
              <w:t xml:space="preserve">1 </w:t>
            </w:r>
            <w:r w:rsidR="000A4350" w:rsidRPr="000A4350">
              <w:rPr>
                <w:sz w:val="20"/>
              </w:rPr>
              <w:t>400</w:t>
            </w:r>
          </w:p>
        </w:tc>
      </w:tr>
    </w:tbl>
    <w:p w:rsidR="005F79B0" w:rsidRPr="003D4E9C" w:rsidRDefault="005F79B0" w:rsidP="005F79B0">
      <w:pPr>
        <w:rPr>
          <w:szCs w:val="22"/>
        </w:rPr>
      </w:pPr>
    </w:p>
    <w:p w:rsidR="0066768C" w:rsidRDefault="0066768C" w:rsidP="0059377F">
      <w:pPr>
        <w:pStyle w:val="BlockText"/>
        <w:jc w:val="both"/>
      </w:pPr>
      <w:r>
        <w:t xml:space="preserve">The closing </w:t>
      </w:r>
      <w:r w:rsidR="006667F9">
        <w:t>inventory</w:t>
      </w:r>
      <w:r w:rsidR="00167656">
        <w:t xml:space="preserve"> </w:t>
      </w:r>
      <w:r>
        <w:t xml:space="preserve">is </w:t>
      </w:r>
      <w:r w:rsidR="003541ED">
        <w:t xml:space="preserve">likely </w:t>
      </w:r>
      <w:r>
        <w:t>to be sold in the following year</w:t>
      </w:r>
      <w:r w:rsidR="008C1F12">
        <w:t>.</w:t>
      </w:r>
      <w:r>
        <w:t xml:space="preserve"> </w:t>
      </w:r>
      <w:r w:rsidR="008C1F12">
        <w:t xml:space="preserve">To </w:t>
      </w:r>
      <w:r>
        <w:t>eliminate double counting, an adjustment needs to be made to reverse the value of closing inventory included for royalty in the preceding royalty year. No reversal may be made in respect of any closing inventory not sold but utilised for internal processing</w:t>
      </w:r>
      <w:r w:rsidR="0009308F">
        <w:t>.</w:t>
      </w:r>
      <w:r>
        <w:t xml:space="preserve"> </w:t>
      </w:r>
    </w:p>
    <w:p w:rsidR="0066768C" w:rsidRDefault="0066768C" w:rsidP="005F79B0">
      <w:pPr>
        <w:pStyle w:val="HeadingFour"/>
      </w:pPr>
      <w:r>
        <w:lastRenderedPageBreak/>
        <w:t>Example</w:t>
      </w:r>
    </w:p>
    <w:p w:rsidR="009160DD" w:rsidRDefault="0066768C" w:rsidP="009160DD">
      <w:pPr>
        <w:pStyle w:val="Example"/>
        <w:spacing w:after="0"/>
      </w:pPr>
      <w:r>
        <w:t>A royalty payer removed a total of 70</w:t>
      </w:r>
      <w:r w:rsidR="00F46464">
        <w:t xml:space="preserve"> </w:t>
      </w:r>
      <w:r>
        <w:t>000 tonnes of mineral commodity to a stockpile</w:t>
      </w:r>
      <w:r w:rsidR="0083061E">
        <w:t xml:space="preserve"> </w:t>
      </w:r>
      <w:r w:rsidR="006667F9">
        <w:t xml:space="preserve">located </w:t>
      </w:r>
      <w:r w:rsidR="0083061E">
        <w:t>outside the production unit</w:t>
      </w:r>
      <w:r>
        <w:t>. During the year, the royalty payer sold 50</w:t>
      </w:r>
      <w:r w:rsidR="00F46464">
        <w:t xml:space="preserve"> </w:t>
      </w:r>
      <w:r>
        <w:t>000 tonnes of the same product by way of consignment at an average price of $110 per tonne yielding $5</w:t>
      </w:r>
      <w:r w:rsidR="00F46464">
        <w:t xml:space="preserve"> </w:t>
      </w:r>
      <w:r>
        <w:t>500</w:t>
      </w:r>
      <w:r w:rsidR="00F46464">
        <w:t xml:space="preserve"> </w:t>
      </w:r>
      <w:r>
        <w:t>000. All sales throughout the year were at arm's length. A total of 20</w:t>
      </w:r>
      <w:r w:rsidR="00F46464">
        <w:t xml:space="preserve"> </w:t>
      </w:r>
      <w:r>
        <w:t>000 tonnes remained on hand at the end of the royalty year. There was no opening inventory at the commencement of the royalty year.</w:t>
      </w:r>
    </w:p>
    <w:p w:rsidR="009160DD" w:rsidRDefault="00F46464" w:rsidP="009160DD">
      <w:pPr>
        <w:pStyle w:val="Example"/>
        <w:spacing w:after="0"/>
      </w:pPr>
      <w:r>
        <w:t xml:space="preserve">In the following year 70 </w:t>
      </w:r>
      <w:r w:rsidR="0009308F">
        <w:t>000 tonnes of product was removed from t</w:t>
      </w:r>
      <w:r>
        <w:t>he production unit, of which 30 </w:t>
      </w:r>
      <w:r w:rsidR="0009308F">
        <w:t>000 ton</w:t>
      </w:r>
      <w:r>
        <w:t>ne</w:t>
      </w:r>
      <w:r w:rsidR="0009308F">
        <w:t>s was sold at an average pric</w:t>
      </w:r>
      <w:r>
        <w:t>e of $100 per tonne yielding $3 000 000. A total of 60</w:t>
      </w:r>
      <w:r w:rsidR="007C0763">
        <w:t> </w:t>
      </w:r>
      <w:r w:rsidR="0009308F">
        <w:t>000 tonnes of product remained on hand at the stockpile at the end of the royalty year.</w:t>
      </w:r>
    </w:p>
    <w:p w:rsidR="009160DD" w:rsidRDefault="0009308F" w:rsidP="009160DD">
      <w:pPr>
        <w:pStyle w:val="Example"/>
        <w:spacing w:after="0"/>
      </w:pPr>
      <w:r>
        <w:t>Year 1:</w:t>
      </w:r>
    </w:p>
    <w:p w:rsidR="009160DD" w:rsidRDefault="0066768C" w:rsidP="009160DD">
      <w:pPr>
        <w:pStyle w:val="Example"/>
        <w:spacing w:after="0"/>
      </w:pPr>
      <w:r w:rsidRPr="005F79B0">
        <w:t xml:space="preserve">Actual sales </w:t>
      </w:r>
      <w:r w:rsidR="00F46464">
        <w:t>–</w:t>
      </w:r>
      <w:r w:rsidRPr="005F79B0">
        <w:t xml:space="preserve"> 50</w:t>
      </w:r>
      <w:r w:rsidR="00F46464">
        <w:t xml:space="preserve"> </w:t>
      </w:r>
      <w:r w:rsidRPr="005F79B0">
        <w:t>000t @ $110</w:t>
      </w:r>
      <w:r w:rsidRPr="005F79B0">
        <w:tab/>
      </w:r>
      <w:r w:rsidR="004E12A2">
        <w:t xml:space="preserve"> </w:t>
      </w:r>
      <w:r w:rsidR="004E12A2">
        <w:tab/>
      </w:r>
      <w:r w:rsidRPr="005F79B0">
        <w:t>$5</w:t>
      </w:r>
      <w:r w:rsidR="00F46464">
        <w:t xml:space="preserve"> </w:t>
      </w:r>
      <w:r w:rsidRPr="005F79B0">
        <w:t>500</w:t>
      </w:r>
      <w:r w:rsidR="00F46464">
        <w:t xml:space="preserve"> </w:t>
      </w:r>
      <w:r w:rsidRPr="005F79B0">
        <w:t>000</w:t>
      </w:r>
    </w:p>
    <w:p w:rsidR="009160DD" w:rsidRDefault="0066768C" w:rsidP="009160DD">
      <w:pPr>
        <w:pStyle w:val="Example"/>
        <w:spacing w:after="0"/>
      </w:pPr>
      <w:r w:rsidRPr="005F79B0">
        <w:t xml:space="preserve">Less opening stock </w:t>
      </w:r>
      <w:r w:rsidRPr="005F79B0">
        <w:tab/>
      </w:r>
      <w:r w:rsidR="004E12A2">
        <w:t xml:space="preserve"> </w:t>
      </w:r>
      <w:r w:rsidR="004E12A2">
        <w:tab/>
      </w:r>
      <w:r w:rsidR="004E12A2">
        <w:tab/>
      </w:r>
      <w:r w:rsidR="004E12A2">
        <w:tab/>
      </w:r>
      <w:r w:rsidRPr="004E12A2">
        <w:rPr>
          <w:u w:val="single"/>
        </w:rPr>
        <w:t xml:space="preserve">(     </w:t>
      </w:r>
      <w:r w:rsidR="006667F9">
        <w:rPr>
          <w:u w:val="single"/>
        </w:rPr>
        <w:t xml:space="preserve">    </w:t>
      </w:r>
      <w:r w:rsidRPr="004E12A2">
        <w:rPr>
          <w:u w:val="single"/>
        </w:rPr>
        <w:t xml:space="preserve"> </w:t>
      </w:r>
      <w:r w:rsidR="006667F9">
        <w:rPr>
          <w:u w:val="single"/>
        </w:rPr>
        <w:t xml:space="preserve">   </w:t>
      </w:r>
      <w:r w:rsidRPr="004E12A2">
        <w:rPr>
          <w:u w:val="single"/>
        </w:rPr>
        <w:t>$0</w:t>
      </w:r>
      <w:r w:rsidRPr="006667F9">
        <w:t xml:space="preserve">) </w:t>
      </w:r>
      <w:r w:rsidRPr="005F79B0">
        <w:t xml:space="preserve">      </w:t>
      </w:r>
    </w:p>
    <w:p w:rsidR="009160DD" w:rsidRDefault="0066768C" w:rsidP="009160DD">
      <w:pPr>
        <w:pStyle w:val="Example"/>
        <w:spacing w:after="0"/>
      </w:pPr>
      <w:r w:rsidRPr="005F79B0">
        <w:tab/>
      </w:r>
      <w:r w:rsidR="004E12A2">
        <w:t xml:space="preserve"> </w:t>
      </w:r>
      <w:r w:rsidR="004E12A2">
        <w:tab/>
      </w:r>
      <w:r w:rsidR="004E12A2">
        <w:tab/>
      </w:r>
      <w:r w:rsidR="004E12A2">
        <w:tab/>
      </w:r>
      <w:r w:rsidR="004E12A2">
        <w:tab/>
      </w:r>
      <w:r w:rsidR="004E12A2">
        <w:tab/>
      </w:r>
      <w:r w:rsidRPr="005F79B0">
        <w:t>$5</w:t>
      </w:r>
      <w:r w:rsidR="00F46464">
        <w:t xml:space="preserve"> </w:t>
      </w:r>
      <w:r w:rsidRPr="005F79B0">
        <w:t>500</w:t>
      </w:r>
      <w:r w:rsidR="00F46464">
        <w:t xml:space="preserve"> </w:t>
      </w:r>
      <w:r w:rsidRPr="005F79B0">
        <w:t>000</w:t>
      </w:r>
    </w:p>
    <w:p w:rsidR="009160DD" w:rsidRDefault="0066768C" w:rsidP="009160DD">
      <w:pPr>
        <w:pStyle w:val="Example"/>
        <w:spacing w:after="0"/>
      </w:pPr>
      <w:r w:rsidRPr="005F79B0">
        <w:t xml:space="preserve">Add closing stock </w:t>
      </w:r>
      <w:r w:rsidR="00F46464">
        <w:t>–</w:t>
      </w:r>
      <w:r w:rsidRPr="005F79B0">
        <w:t xml:space="preserve"> 20</w:t>
      </w:r>
      <w:r w:rsidR="00F46464">
        <w:t xml:space="preserve"> </w:t>
      </w:r>
      <w:r w:rsidRPr="005F79B0">
        <w:t>000t @ $110</w:t>
      </w:r>
      <w:r w:rsidRPr="005F79B0">
        <w:tab/>
      </w:r>
      <w:r w:rsidR="004E12A2">
        <w:t xml:space="preserve"> </w:t>
      </w:r>
      <w:r w:rsidR="004E12A2">
        <w:tab/>
      </w:r>
      <w:r w:rsidRPr="004E12A2">
        <w:rPr>
          <w:u w:val="single"/>
        </w:rPr>
        <w:t>$2</w:t>
      </w:r>
      <w:r w:rsidR="00F46464">
        <w:rPr>
          <w:u w:val="single"/>
        </w:rPr>
        <w:t xml:space="preserve"> </w:t>
      </w:r>
      <w:r w:rsidRPr="004E12A2">
        <w:rPr>
          <w:u w:val="single"/>
        </w:rPr>
        <w:t>200</w:t>
      </w:r>
      <w:r w:rsidR="00F46464">
        <w:rPr>
          <w:u w:val="single"/>
        </w:rPr>
        <w:t xml:space="preserve"> </w:t>
      </w:r>
      <w:r w:rsidRPr="004E12A2">
        <w:rPr>
          <w:u w:val="single"/>
        </w:rPr>
        <w:t>000</w:t>
      </w:r>
    </w:p>
    <w:p w:rsidR="009160DD" w:rsidRDefault="006667F9" w:rsidP="009160DD">
      <w:pPr>
        <w:pStyle w:val="Example"/>
        <w:spacing w:after="0"/>
      </w:pPr>
      <w:r>
        <w:t xml:space="preserve">Gross </w:t>
      </w:r>
      <w:r w:rsidR="0066768C" w:rsidRPr="005F79B0">
        <w:t xml:space="preserve">value </w:t>
      </w:r>
      <w:r w:rsidR="0066768C" w:rsidRPr="005F79B0">
        <w:tab/>
      </w:r>
      <w:r w:rsidR="004E12A2">
        <w:t xml:space="preserve"> </w:t>
      </w:r>
      <w:r w:rsidR="004E12A2">
        <w:tab/>
      </w:r>
      <w:r w:rsidR="004E12A2">
        <w:tab/>
      </w:r>
      <w:r w:rsidR="004E12A2">
        <w:tab/>
      </w:r>
      <w:r w:rsidR="004E12A2">
        <w:tab/>
      </w:r>
      <w:r w:rsidR="0066768C" w:rsidRPr="004E12A2">
        <w:rPr>
          <w:u w:val="single"/>
        </w:rPr>
        <w:t>$7</w:t>
      </w:r>
      <w:r w:rsidR="00F46464">
        <w:rPr>
          <w:u w:val="single"/>
        </w:rPr>
        <w:t xml:space="preserve"> </w:t>
      </w:r>
      <w:r w:rsidR="0066768C" w:rsidRPr="004E12A2">
        <w:rPr>
          <w:u w:val="single"/>
        </w:rPr>
        <w:t>700</w:t>
      </w:r>
      <w:r w:rsidR="00F46464">
        <w:rPr>
          <w:u w:val="single"/>
        </w:rPr>
        <w:t xml:space="preserve"> </w:t>
      </w:r>
      <w:r w:rsidR="0066768C" w:rsidRPr="004E12A2">
        <w:rPr>
          <w:u w:val="single"/>
        </w:rPr>
        <w:t>000</w:t>
      </w:r>
    </w:p>
    <w:p w:rsidR="0066768C" w:rsidRDefault="0066768C" w:rsidP="009160DD">
      <w:pPr>
        <w:pStyle w:val="Example"/>
        <w:spacing w:after="0"/>
      </w:pPr>
      <w:r>
        <w:t>Year 2:</w:t>
      </w:r>
    </w:p>
    <w:p w:rsidR="0066768C" w:rsidRDefault="0066768C" w:rsidP="009160DD">
      <w:pPr>
        <w:pStyle w:val="Example"/>
        <w:spacing w:after="0"/>
      </w:pPr>
      <w:r>
        <w:t xml:space="preserve">Actual sales </w:t>
      </w:r>
      <w:r w:rsidR="00F46464">
        <w:t>–</w:t>
      </w:r>
      <w:r>
        <w:t xml:space="preserve"> 30</w:t>
      </w:r>
      <w:r w:rsidR="00F46464">
        <w:t xml:space="preserve"> </w:t>
      </w:r>
      <w:r>
        <w:t>000t @ $100</w:t>
      </w:r>
      <w:r>
        <w:tab/>
      </w:r>
      <w:r w:rsidR="0009308F">
        <w:t xml:space="preserve">  </w:t>
      </w:r>
      <w:r w:rsidR="004E12A2">
        <w:tab/>
      </w:r>
      <w:r>
        <w:t>$3</w:t>
      </w:r>
      <w:r w:rsidR="00F46464">
        <w:t xml:space="preserve"> </w:t>
      </w:r>
      <w:r>
        <w:t>000</w:t>
      </w:r>
      <w:r w:rsidR="00F46464">
        <w:t xml:space="preserve"> </w:t>
      </w:r>
      <w:r>
        <w:t>000</w:t>
      </w:r>
    </w:p>
    <w:p w:rsidR="0066768C" w:rsidRDefault="0066768C" w:rsidP="009160DD">
      <w:pPr>
        <w:pStyle w:val="Example"/>
        <w:spacing w:after="0"/>
      </w:pPr>
      <w:r>
        <w:t xml:space="preserve">Less opening stock </w:t>
      </w:r>
      <w:r w:rsidR="00F46464">
        <w:t>–</w:t>
      </w:r>
      <w:r>
        <w:t xml:space="preserve"> 20</w:t>
      </w:r>
      <w:r w:rsidR="00F46464">
        <w:t xml:space="preserve"> </w:t>
      </w:r>
      <w:r>
        <w:t>000t @ $110</w:t>
      </w:r>
      <w:r w:rsidR="004E12A2">
        <w:t xml:space="preserve">         </w:t>
      </w:r>
      <w:r w:rsidRPr="007C0763">
        <w:t>(</w:t>
      </w:r>
      <w:r w:rsidRPr="004E12A2">
        <w:rPr>
          <w:u w:val="single"/>
        </w:rPr>
        <w:t>$2</w:t>
      </w:r>
      <w:r w:rsidR="00F46464">
        <w:rPr>
          <w:u w:val="single"/>
        </w:rPr>
        <w:t xml:space="preserve"> </w:t>
      </w:r>
      <w:r w:rsidRPr="004E12A2">
        <w:rPr>
          <w:u w:val="single"/>
        </w:rPr>
        <w:t>200</w:t>
      </w:r>
      <w:r w:rsidR="00F46464">
        <w:rPr>
          <w:u w:val="single"/>
        </w:rPr>
        <w:t xml:space="preserve"> </w:t>
      </w:r>
      <w:r w:rsidRPr="004E12A2">
        <w:rPr>
          <w:u w:val="single"/>
        </w:rPr>
        <w:t>000</w:t>
      </w:r>
      <w:r w:rsidRPr="007C0763">
        <w:t>)</w:t>
      </w:r>
    </w:p>
    <w:p w:rsidR="0066768C" w:rsidRDefault="0066768C" w:rsidP="009160DD">
      <w:pPr>
        <w:pStyle w:val="Example"/>
        <w:spacing w:after="0"/>
      </w:pPr>
      <w:r>
        <w:tab/>
      </w:r>
      <w:r w:rsidR="0009308F">
        <w:t xml:space="preserve">     </w:t>
      </w:r>
      <w:r w:rsidR="004E12A2">
        <w:tab/>
      </w:r>
      <w:r w:rsidR="004E12A2">
        <w:tab/>
      </w:r>
      <w:r w:rsidR="004E12A2">
        <w:tab/>
      </w:r>
      <w:r w:rsidR="004E12A2">
        <w:tab/>
      </w:r>
      <w:r w:rsidR="004E12A2">
        <w:tab/>
        <w:t xml:space="preserve">   </w:t>
      </w:r>
      <w:r>
        <w:t>$800</w:t>
      </w:r>
      <w:r w:rsidR="00F46464">
        <w:t xml:space="preserve"> </w:t>
      </w:r>
      <w:r>
        <w:t xml:space="preserve">000 </w:t>
      </w:r>
    </w:p>
    <w:p w:rsidR="0066768C" w:rsidRDefault="0066768C" w:rsidP="009160DD">
      <w:pPr>
        <w:pStyle w:val="Example"/>
        <w:spacing w:after="0"/>
      </w:pPr>
      <w:r>
        <w:t xml:space="preserve">Add closing stock </w:t>
      </w:r>
      <w:r w:rsidR="00F46464">
        <w:t>–</w:t>
      </w:r>
      <w:r>
        <w:t xml:space="preserve"> 60</w:t>
      </w:r>
      <w:r w:rsidR="00F46464">
        <w:t xml:space="preserve"> </w:t>
      </w:r>
      <w:r>
        <w:t xml:space="preserve">000t @ $100 </w:t>
      </w:r>
      <w:r>
        <w:tab/>
      </w:r>
      <w:r w:rsidR="0009308F">
        <w:t xml:space="preserve">  </w:t>
      </w:r>
      <w:r w:rsidR="004E12A2">
        <w:tab/>
      </w:r>
      <w:r w:rsidRPr="004E12A2">
        <w:rPr>
          <w:u w:val="single"/>
        </w:rPr>
        <w:t>$6</w:t>
      </w:r>
      <w:r w:rsidR="00F46464">
        <w:rPr>
          <w:u w:val="single"/>
        </w:rPr>
        <w:t xml:space="preserve"> </w:t>
      </w:r>
      <w:r w:rsidRPr="004E12A2">
        <w:rPr>
          <w:u w:val="single"/>
        </w:rPr>
        <w:t>000</w:t>
      </w:r>
      <w:r w:rsidR="00F46464">
        <w:rPr>
          <w:u w:val="single"/>
        </w:rPr>
        <w:t xml:space="preserve"> </w:t>
      </w:r>
      <w:r w:rsidRPr="004E12A2">
        <w:rPr>
          <w:u w:val="single"/>
        </w:rPr>
        <w:t>000</w:t>
      </w:r>
    </w:p>
    <w:p w:rsidR="0066768C" w:rsidRDefault="006667F9" w:rsidP="009160DD">
      <w:pPr>
        <w:pStyle w:val="Example"/>
        <w:spacing w:after="0"/>
      </w:pPr>
      <w:r>
        <w:t xml:space="preserve">Gross </w:t>
      </w:r>
      <w:r w:rsidR="0066768C">
        <w:t xml:space="preserve">value </w:t>
      </w:r>
      <w:r w:rsidR="0066768C">
        <w:tab/>
      </w:r>
      <w:r w:rsidR="0009308F">
        <w:t xml:space="preserve">  </w:t>
      </w:r>
      <w:r w:rsidR="004E12A2">
        <w:tab/>
      </w:r>
      <w:r w:rsidR="004E12A2">
        <w:tab/>
      </w:r>
      <w:r w:rsidR="004E12A2">
        <w:tab/>
      </w:r>
      <w:r w:rsidR="004E12A2">
        <w:tab/>
      </w:r>
      <w:r w:rsidR="0066768C" w:rsidRPr="004E12A2">
        <w:rPr>
          <w:u w:val="single"/>
        </w:rPr>
        <w:t>$6</w:t>
      </w:r>
      <w:r w:rsidR="00F46464">
        <w:rPr>
          <w:u w:val="single"/>
        </w:rPr>
        <w:t xml:space="preserve"> </w:t>
      </w:r>
      <w:r w:rsidR="0066768C" w:rsidRPr="004E12A2">
        <w:rPr>
          <w:u w:val="single"/>
        </w:rPr>
        <w:t>800</w:t>
      </w:r>
      <w:r w:rsidR="00F46464">
        <w:rPr>
          <w:u w:val="single"/>
        </w:rPr>
        <w:t xml:space="preserve"> </w:t>
      </w:r>
      <w:r w:rsidR="0066768C" w:rsidRPr="004E12A2">
        <w:rPr>
          <w:u w:val="single"/>
        </w:rPr>
        <w:t>000</w:t>
      </w:r>
    </w:p>
    <w:p w:rsidR="004E12A2" w:rsidRPr="004E12A2" w:rsidRDefault="00927908" w:rsidP="0059377F">
      <w:pPr>
        <w:pStyle w:val="HeadingThree"/>
        <w:jc w:val="both"/>
        <w:rPr>
          <w:b w:val="0"/>
        </w:rPr>
      </w:pPr>
      <w:r>
        <w:rPr>
          <w:b w:val="0"/>
        </w:rPr>
        <w:t>Conversion of saleable mineral commodity before sale or removal without sale from a production u</w:t>
      </w:r>
      <w:r w:rsidR="004E12A2" w:rsidRPr="004E12A2">
        <w:rPr>
          <w:b w:val="0"/>
        </w:rPr>
        <w:t xml:space="preserve">nit  </w:t>
      </w:r>
    </w:p>
    <w:p w:rsidR="004E12A2" w:rsidRDefault="004E12A2" w:rsidP="0059377F">
      <w:pPr>
        <w:pStyle w:val="BlockText"/>
        <w:jc w:val="both"/>
      </w:pPr>
      <w:r>
        <w:t>Where a saleable mineral commodity produced on a production unit is further processed to a stage where, by virtue of the Minister’s d</w:t>
      </w:r>
      <w:r w:rsidR="00927908">
        <w:t>eclaration</w:t>
      </w:r>
      <w:r w:rsidR="00C76E16">
        <w:t>,</w:t>
      </w:r>
      <w:r>
        <w:t xml:space="preserve"> it ceases to be a saleable mineral commodity, the saleable mineral commodity used </w:t>
      </w:r>
      <w:r w:rsidR="00C76E16">
        <w:t>in that further process</w:t>
      </w:r>
      <w:r>
        <w:t xml:space="preserve"> shall be taken to have been sold immediately before </w:t>
      </w:r>
      <w:r w:rsidR="00C76E16">
        <w:t>the further process commenced</w:t>
      </w:r>
      <w:r>
        <w:t xml:space="preserve"> and liability for royalty is triggered.  </w:t>
      </w:r>
    </w:p>
    <w:p w:rsidR="004E12A2" w:rsidRDefault="004E12A2" w:rsidP="0059377F">
      <w:pPr>
        <w:pStyle w:val="BlockText"/>
        <w:jc w:val="both"/>
      </w:pPr>
      <w:r>
        <w:t xml:space="preserve">The saleable mineral commodity </w:t>
      </w:r>
      <w:r w:rsidR="00B131D7">
        <w:t xml:space="preserve">may </w:t>
      </w:r>
      <w:r>
        <w:t>be valued using the valuation methods applicable for a mineral commodity removed without sale</w:t>
      </w:r>
      <w:r w:rsidR="00B131D7">
        <w:t xml:space="preserve"> to estimate or approximate the value of the saleable mineral commodity deemed to be sold from the production unit</w:t>
      </w:r>
      <w:r>
        <w:t>.</w:t>
      </w:r>
    </w:p>
    <w:p w:rsidR="004E12A2" w:rsidRDefault="004E12A2" w:rsidP="0059377F">
      <w:pPr>
        <w:pStyle w:val="BlockText"/>
        <w:jc w:val="both"/>
      </w:pPr>
      <w:r>
        <w:t xml:space="preserve">Any costs or capital assets incurred or used in the </w:t>
      </w:r>
      <w:r w:rsidR="00C76E16">
        <w:t>further processing</w:t>
      </w:r>
      <w:r>
        <w:t xml:space="preserve"> cannot be recognised for royalty purposes. </w:t>
      </w:r>
      <w:r w:rsidR="0077354E">
        <w:t>Guidelines</w:t>
      </w:r>
      <w:r w:rsidR="0077354E" w:rsidRPr="005F4E30">
        <w:t xml:space="preserve"> RG-MRA-005</w:t>
      </w:r>
      <w:r w:rsidR="0077354E" w:rsidRPr="00C76E16">
        <w:rPr>
          <w:i/>
        </w:rPr>
        <w:t>: Operating Costs</w:t>
      </w:r>
      <w:r w:rsidR="0077354E">
        <w:t xml:space="preserve"> and </w:t>
      </w:r>
      <w:r w:rsidR="0077354E" w:rsidRPr="005F4E30">
        <w:t>RG-MRA-006</w:t>
      </w:r>
      <w:r w:rsidR="0077354E" w:rsidRPr="00C76E16">
        <w:rPr>
          <w:i/>
        </w:rPr>
        <w:t>: Capital Recognition Deduction</w:t>
      </w:r>
      <w:r w:rsidR="0077354E">
        <w:t xml:space="preserve"> provide </w:t>
      </w:r>
      <w:r w:rsidR="00C76E16">
        <w:t>further information</w:t>
      </w:r>
      <w:r w:rsidR="0077354E">
        <w:t>.</w:t>
      </w:r>
    </w:p>
    <w:p w:rsidR="004E12A2" w:rsidRDefault="004E12A2" w:rsidP="0059377F">
      <w:pPr>
        <w:pStyle w:val="HeadingFour"/>
        <w:jc w:val="both"/>
      </w:pPr>
      <w:r>
        <w:t>Example</w:t>
      </w:r>
    </w:p>
    <w:p w:rsidR="004E12A2" w:rsidRDefault="004E12A2" w:rsidP="0059377F">
      <w:pPr>
        <w:pStyle w:val="Example"/>
      </w:pPr>
      <w:r>
        <w:t>Iron ore produced by a production unit is used on the produc</w:t>
      </w:r>
      <w:r w:rsidR="00C76E16">
        <w:t>tion unit to produce pig iron. The M</w:t>
      </w:r>
      <w:r>
        <w:t>inister issue</w:t>
      </w:r>
      <w:r w:rsidR="00F63E94">
        <w:t>s</w:t>
      </w:r>
      <w:r>
        <w:t xml:space="preserve"> a written </w:t>
      </w:r>
      <w:r w:rsidR="00C76E16">
        <w:t>declaration</w:t>
      </w:r>
      <w:r>
        <w:t xml:space="preserve"> to the royalty payer </w:t>
      </w:r>
      <w:r w:rsidR="00C76E16">
        <w:t>stating</w:t>
      </w:r>
      <w:r>
        <w:t xml:space="preserve"> that </w:t>
      </w:r>
      <w:r w:rsidR="00C76E16">
        <w:t>the iron ore at the commencement of the process to convert it into pig iron ceases to be</w:t>
      </w:r>
      <w:r>
        <w:t xml:space="preserve"> a saleable mineral commodit</w:t>
      </w:r>
      <w:r w:rsidR="00C76E16">
        <w:t>y.</w:t>
      </w:r>
      <w:r>
        <w:t xml:space="preserve"> As pig iron is no longer a saleable mineral commodity, the iron ore (being the saleable mineral commodity) is deemed to have been sold immediately before it was used</w:t>
      </w:r>
      <w:r w:rsidR="00C76E16">
        <w:t xml:space="preserve"> to produce pig iron. </w:t>
      </w:r>
      <w:r>
        <w:t xml:space="preserve">Accordingly, the iron ore shall be valued at this point </w:t>
      </w:r>
      <w:r w:rsidR="00C76E16">
        <w:t>to determine the gross value.</w:t>
      </w:r>
    </w:p>
    <w:p w:rsidR="0066768C" w:rsidRDefault="0066768C" w:rsidP="0059377F">
      <w:pPr>
        <w:pStyle w:val="HeadingThree"/>
        <w:jc w:val="both"/>
      </w:pPr>
      <w:r>
        <w:t xml:space="preserve">Payments for </w:t>
      </w:r>
      <w:r w:rsidR="00927908">
        <w:t>l</w:t>
      </w:r>
      <w:r>
        <w:t xml:space="preserve">oss of </w:t>
      </w:r>
      <w:r w:rsidR="00927908">
        <w:t>s</w:t>
      </w:r>
      <w:r>
        <w:t xml:space="preserve">aleable </w:t>
      </w:r>
      <w:r w:rsidR="00927908">
        <w:t>m</w:t>
      </w:r>
      <w:r>
        <w:t xml:space="preserve">ineral </w:t>
      </w:r>
      <w:r w:rsidR="00927908">
        <w:t>c</w:t>
      </w:r>
      <w:r>
        <w:t>ommodities</w:t>
      </w:r>
      <w:r w:rsidR="009864E4">
        <w:t xml:space="preserve"> or </w:t>
      </w:r>
      <w:r w:rsidR="00927908">
        <w:t>d</w:t>
      </w:r>
      <w:r w:rsidR="009864E4">
        <w:t xml:space="preserve">isposition where </w:t>
      </w:r>
      <w:r w:rsidR="00927908">
        <w:t>s</w:t>
      </w:r>
      <w:r w:rsidR="009864E4">
        <w:t xml:space="preserve">ale is </w:t>
      </w:r>
      <w:r w:rsidR="00927908">
        <w:t>not p</w:t>
      </w:r>
      <w:r w:rsidR="0094283A">
        <w:t>ermitted</w:t>
      </w:r>
    </w:p>
    <w:p w:rsidR="0066768C" w:rsidRDefault="0066768C" w:rsidP="0059377F">
      <w:pPr>
        <w:pStyle w:val="BlockText"/>
        <w:jc w:val="both"/>
      </w:pPr>
      <w:r>
        <w:t xml:space="preserve">Any payments received </w:t>
      </w:r>
      <w:r w:rsidR="0094283A">
        <w:t>by way of insurance, indemnity or guarantee</w:t>
      </w:r>
      <w:r w:rsidR="00226794">
        <w:t xml:space="preserve"> </w:t>
      </w:r>
      <w:r>
        <w:t>in respect of the loss of a saleable mineral commodity are to be included in the calculation of gross realization.</w:t>
      </w:r>
    </w:p>
    <w:p w:rsidR="0066768C" w:rsidRDefault="0066768C" w:rsidP="0059377F">
      <w:pPr>
        <w:pStyle w:val="BlockText"/>
        <w:jc w:val="both"/>
      </w:pPr>
      <w:r>
        <w:t xml:space="preserve">Similarly, </w:t>
      </w:r>
      <w:r w:rsidR="00226794">
        <w:t>payments</w:t>
      </w:r>
      <w:r>
        <w:t xml:space="preserve"> received for a saleable mineral commodity where its sale or disposition </w:t>
      </w:r>
      <w:r w:rsidR="00226794">
        <w:t>is not permitted or authorised</w:t>
      </w:r>
      <w:r>
        <w:t xml:space="preserve"> by a law in force </w:t>
      </w:r>
      <w:r w:rsidR="006667F9">
        <w:t xml:space="preserve">in </w:t>
      </w:r>
      <w:r>
        <w:t xml:space="preserve">the Territory </w:t>
      </w:r>
      <w:r w:rsidR="00F46464">
        <w:t xml:space="preserve">are </w:t>
      </w:r>
      <w:r>
        <w:t>to be included</w:t>
      </w:r>
      <w:r w:rsidR="00F46464">
        <w:t xml:space="preserve"> in the calculation of gross realization</w:t>
      </w:r>
      <w:r>
        <w:t>.</w:t>
      </w:r>
    </w:p>
    <w:p w:rsidR="0066768C" w:rsidRDefault="0066768C" w:rsidP="0059377F">
      <w:pPr>
        <w:pStyle w:val="HeadingThree"/>
        <w:jc w:val="both"/>
      </w:pPr>
      <w:r>
        <w:lastRenderedPageBreak/>
        <w:t>Gain/</w:t>
      </w:r>
      <w:r w:rsidR="00927908">
        <w:t>l</w:t>
      </w:r>
      <w:r>
        <w:t xml:space="preserve">oss on </w:t>
      </w:r>
      <w:r w:rsidR="00927908">
        <w:t>s</w:t>
      </w:r>
      <w:r>
        <w:t xml:space="preserve">ale of </w:t>
      </w:r>
      <w:r w:rsidR="00927908">
        <w:t>a</w:t>
      </w:r>
      <w:r>
        <w:t>ssets</w:t>
      </w:r>
    </w:p>
    <w:p w:rsidR="0066768C" w:rsidRDefault="0066768C" w:rsidP="0059377F">
      <w:pPr>
        <w:pStyle w:val="BlockText"/>
        <w:jc w:val="both"/>
      </w:pPr>
      <w:r>
        <w:t xml:space="preserve">The gain or loss incurred on the sale of all eligible capital assets used in relation to the production unit must be included in gross realization in the royalty year during which they </w:t>
      </w:r>
      <w:r w:rsidR="006C7522">
        <w:t xml:space="preserve">are </w:t>
      </w:r>
      <w:r>
        <w:t xml:space="preserve">sold.  </w:t>
      </w:r>
    </w:p>
    <w:p w:rsidR="0066768C" w:rsidRDefault="0066768C" w:rsidP="0059377F">
      <w:pPr>
        <w:pStyle w:val="BlockText"/>
        <w:jc w:val="both"/>
      </w:pPr>
      <w:r>
        <w:t>T</w:t>
      </w:r>
      <w:r w:rsidR="004E7998">
        <w:t>o determine t</w:t>
      </w:r>
      <w:r>
        <w:t xml:space="preserve">he profit or loss </w:t>
      </w:r>
      <w:r w:rsidR="004E7998">
        <w:t xml:space="preserve">on sale </w:t>
      </w:r>
      <w:r>
        <w:t>amount</w:t>
      </w:r>
      <w:r w:rsidR="004E7998">
        <w:t>,</w:t>
      </w:r>
      <w:r w:rsidR="00793101">
        <w:t xml:space="preserve"> the standard</w:t>
      </w:r>
      <w:r>
        <w:t xml:space="preserve"> accounting practice of </w:t>
      </w:r>
      <w:r w:rsidR="004E7998">
        <w:t xml:space="preserve">comparing </w:t>
      </w:r>
      <w:r>
        <w:t>the assets</w:t>
      </w:r>
      <w:r w:rsidR="004E7998">
        <w:t>’</w:t>
      </w:r>
      <w:r>
        <w:t xml:space="preserve"> original cost less accumulated depreciation </w:t>
      </w:r>
      <w:r w:rsidR="004E7998">
        <w:t xml:space="preserve">to the </w:t>
      </w:r>
      <w:r>
        <w:t xml:space="preserve">sale proceeds to give a figure representing a gain or loss </w:t>
      </w:r>
      <w:r w:rsidR="004E7998">
        <w:t>on sale is acceptable</w:t>
      </w:r>
      <w:r>
        <w:t>.</w:t>
      </w:r>
    </w:p>
    <w:p w:rsidR="0066768C" w:rsidRDefault="0066768C" w:rsidP="0059377F">
      <w:pPr>
        <w:pStyle w:val="HeadingThree"/>
        <w:jc w:val="both"/>
      </w:pPr>
      <w:r>
        <w:t xml:space="preserve">Negative </w:t>
      </w:r>
      <w:r w:rsidR="00927908">
        <w:t>n</w:t>
      </w:r>
      <w:r>
        <w:t xml:space="preserve">et </w:t>
      </w:r>
      <w:r w:rsidR="00927908">
        <w:t>v</w:t>
      </w:r>
      <w:r>
        <w:t>alue</w:t>
      </w:r>
    </w:p>
    <w:p w:rsidR="00BC0A74" w:rsidRDefault="006C7522" w:rsidP="0059377F">
      <w:pPr>
        <w:pStyle w:val="BlockText"/>
        <w:jc w:val="both"/>
      </w:pPr>
      <w:r>
        <w:t>The net value calculation, on which the royalty rate is applied to determine the royalty liability</w:t>
      </w:r>
      <w:r w:rsidR="00DC7FB1">
        <w:t>,</w:t>
      </w:r>
      <w:r>
        <w:t xml:space="preserve"> is based on the </w:t>
      </w:r>
      <w:r w:rsidR="0066768C">
        <w:t>formula provided in section 10(2) of the MRA</w:t>
      </w:r>
      <w:r w:rsidR="00532BD3">
        <w:t xml:space="preserve"> (refer to paragraph 6 above)</w:t>
      </w:r>
      <w:r w:rsidR="004E7998">
        <w:t>. The net value calculation</w:t>
      </w:r>
      <w:r w:rsidR="0066768C">
        <w:t xml:space="preserve"> can result in a negative value</w:t>
      </w:r>
      <w:r w:rsidR="004E7998">
        <w:t xml:space="preserve"> being established</w:t>
      </w:r>
      <w:r w:rsidR="00226794">
        <w:t xml:space="preserve">, which is </w:t>
      </w:r>
      <w:r w:rsidR="00927908">
        <w:t>commonly known as a negative net v</w:t>
      </w:r>
      <w:r w:rsidR="00226794">
        <w:t>alue (NNV).</w:t>
      </w:r>
      <w:r w:rsidR="004E7998">
        <w:t xml:space="preserve"> </w:t>
      </w:r>
    </w:p>
    <w:p w:rsidR="0066768C" w:rsidRDefault="0066768C" w:rsidP="0059377F">
      <w:pPr>
        <w:pStyle w:val="BlockText"/>
        <w:jc w:val="both"/>
      </w:pPr>
      <w:r>
        <w:t>T</w:t>
      </w:r>
      <w:r w:rsidR="00BC0A74">
        <w:t xml:space="preserve">o establish the </w:t>
      </w:r>
      <w:r w:rsidR="00DC7FB1">
        <w:t xml:space="preserve">gross realization </w:t>
      </w:r>
      <w:r>
        <w:t>from the production unit</w:t>
      </w:r>
      <w:r w:rsidR="00BC0A74">
        <w:t>, any NNV approved</w:t>
      </w:r>
      <w:r>
        <w:t xml:space="preserve"> </w:t>
      </w:r>
      <w:r w:rsidR="00BC0A74">
        <w:t xml:space="preserve">to be brought forward into a later </w:t>
      </w:r>
      <w:r>
        <w:t>royalty year</w:t>
      </w:r>
      <w:r w:rsidR="00BC0A74">
        <w:t xml:space="preserve"> can be deducted</w:t>
      </w:r>
      <w:r>
        <w:t>.</w:t>
      </w:r>
    </w:p>
    <w:p w:rsidR="0066768C" w:rsidRDefault="0066768C" w:rsidP="0059377F">
      <w:pPr>
        <w:pStyle w:val="BlockText"/>
        <w:jc w:val="both"/>
      </w:pPr>
      <w:r>
        <w:t>The right to bring forward NNV is dependent on the Secretary's approval.</w:t>
      </w:r>
    </w:p>
    <w:p w:rsidR="0066768C" w:rsidRDefault="00927908" w:rsidP="0059377F">
      <w:pPr>
        <w:pStyle w:val="BlockText"/>
        <w:jc w:val="both"/>
      </w:pPr>
      <w:r>
        <w:t>G</w:t>
      </w:r>
      <w:r w:rsidR="0066768C">
        <w:t xml:space="preserve">uideline </w:t>
      </w:r>
      <w:r w:rsidR="0066768C" w:rsidRPr="005F4E30">
        <w:t>RG-MRA-003</w:t>
      </w:r>
      <w:r w:rsidR="0066768C" w:rsidRPr="004F3D64">
        <w:rPr>
          <w:i/>
        </w:rPr>
        <w:t>: Negative Net Value</w:t>
      </w:r>
      <w:r w:rsidR="007D1969" w:rsidRPr="007D1969">
        <w:t xml:space="preserve"> </w:t>
      </w:r>
      <w:r w:rsidR="007D1969">
        <w:t xml:space="preserve">provides further information on NNV. </w:t>
      </w:r>
    </w:p>
    <w:p w:rsidR="0066768C" w:rsidRDefault="0066768C" w:rsidP="0059377F">
      <w:pPr>
        <w:pStyle w:val="HeadingThree"/>
        <w:jc w:val="both"/>
      </w:pPr>
      <w:r>
        <w:t xml:space="preserve">Interest </w:t>
      </w:r>
      <w:r w:rsidR="00927908">
        <w:t>i</w:t>
      </w:r>
      <w:r>
        <w:t>ncome</w:t>
      </w:r>
      <w:r w:rsidR="00BC0A74">
        <w:t xml:space="preserve"> and </w:t>
      </w:r>
      <w:r w:rsidR="00927908">
        <w:t>p</w:t>
      </w:r>
      <w:r w:rsidR="00BC0A74">
        <w:t xml:space="preserve">repaid </w:t>
      </w:r>
      <w:r w:rsidR="00927908">
        <w:t>r</w:t>
      </w:r>
      <w:r w:rsidR="00BC0A74">
        <w:t>evenue</w:t>
      </w:r>
    </w:p>
    <w:p w:rsidR="00E46B66" w:rsidRDefault="00927908" w:rsidP="0059377F">
      <w:pPr>
        <w:pStyle w:val="BlockText"/>
        <w:jc w:val="both"/>
      </w:pPr>
      <w:r>
        <w:t>Subject to paragraph 53</w:t>
      </w:r>
      <w:r w:rsidR="00F46464">
        <w:t xml:space="preserve"> below</w:t>
      </w:r>
      <w:r w:rsidR="00226794">
        <w:t>, a</w:t>
      </w:r>
      <w:r w:rsidR="0066768C">
        <w:t xml:space="preserve">ny interest earned which is referable to the operations of the production unit is not to be included </w:t>
      </w:r>
      <w:r w:rsidR="00E46B66">
        <w:t xml:space="preserve">in the </w:t>
      </w:r>
      <w:r w:rsidR="00DC7FB1">
        <w:t xml:space="preserve">gross realization </w:t>
      </w:r>
      <w:r w:rsidR="00E46B66">
        <w:t>amount</w:t>
      </w:r>
      <w:r w:rsidR="0066768C">
        <w:t xml:space="preserve">.  </w:t>
      </w:r>
    </w:p>
    <w:p w:rsidR="00E46B66" w:rsidRDefault="00E46B66" w:rsidP="0059377F">
      <w:pPr>
        <w:pStyle w:val="BlockText"/>
        <w:jc w:val="both"/>
      </w:pPr>
      <w:r>
        <w:t xml:space="preserve">An exception to </w:t>
      </w:r>
      <w:r w:rsidR="00F46464">
        <w:t xml:space="preserve">paragraph 52 above </w:t>
      </w:r>
      <w:r>
        <w:t xml:space="preserve">is </w:t>
      </w:r>
      <w:r w:rsidR="0066768C">
        <w:t xml:space="preserve">where the sale price for saleable mineral commodities </w:t>
      </w:r>
      <w:r>
        <w:t>under</w:t>
      </w:r>
      <w:r w:rsidR="0066768C">
        <w:t xml:space="preserve"> an arm’s length sales contract has been </w:t>
      </w:r>
      <w:r>
        <w:t xml:space="preserve">partially or </w:t>
      </w:r>
      <w:r w:rsidR="0066768C">
        <w:t>fully paid more than 180 days before the purchaser takes physical delivery of the mineral commodities</w:t>
      </w:r>
      <w:r>
        <w:t>. Where there has been prepayment of an amount under these circumstances</w:t>
      </w:r>
      <w:r w:rsidR="0066768C">
        <w:t xml:space="preserve">, the value of those mineral commodities shall be the sale price </w:t>
      </w:r>
      <w:r>
        <w:t>received</w:t>
      </w:r>
      <w:r w:rsidR="0066768C">
        <w:t xml:space="preserve"> increased by a</w:t>
      </w:r>
      <w:r w:rsidR="00226794">
        <w:t xml:space="preserve"> prescribed</w:t>
      </w:r>
      <w:r w:rsidR="0066768C">
        <w:t xml:space="preserve"> amount </w:t>
      </w:r>
      <w:r w:rsidR="00226794">
        <w:t xml:space="preserve">of </w:t>
      </w:r>
      <w:r w:rsidR="0066768C">
        <w:t xml:space="preserve">interest </w:t>
      </w:r>
      <w:r w:rsidR="00226794">
        <w:t xml:space="preserve">based </w:t>
      </w:r>
      <w:r w:rsidR="0066768C">
        <w:t xml:space="preserve">on the sale price </w:t>
      </w:r>
      <w:r>
        <w:t>received</w:t>
      </w:r>
      <w:r w:rsidR="0066768C">
        <w:t xml:space="preserve">. </w:t>
      </w:r>
    </w:p>
    <w:p w:rsidR="00E46B66" w:rsidRDefault="0066768C" w:rsidP="0059377F">
      <w:pPr>
        <w:pStyle w:val="BlockText"/>
        <w:jc w:val="both"/>
      </w:pPr>
      <w:r>
        <w:t>The interest</w:t>
      </w:r>
      <w:r w:rsidR="00E46B66">
        <w:t xml:space="preserve"> amount</w:t>
      </w:r>
      <w:r>
        <w:t xml:space="preserve"> is to be calculated </w:t>
      </w:r>
      <w:r w:rsidR="00E46B66">
        <w:t>based on:</w:t>
      </w:r>
    </w:p>
    <w:p w:rsidR="00E46B66" w:rsidRDefault="0066768C" w:rsidP="0059377F">
      <w:pPr>
        <w:pStyle w:val="BlockText"/>
        <w:numPr>
          <w:ilvl w:val="1"/>
          <w:numId w:val="3"/>
        </w:numPr>
        <w:jc w:val="both"/>
      </w:pPr>
      <w:r>
        <w:t xml:space="preserve">a rate equivalent to the arithmetic mean of the </w:t>
      </w:r>
      <w:r w:rsidR="00927908">
        <w:t>10 year bond rate for</w:t>
      </w:r>
      <w:r>
        <w:t xml:space="preserve"> Australian Federal </w:t>
      </w:r>
      <w:r w:rsidR="00927908">
        <w:t>Government s</w:t>
      </w:r>
      <w:r>
        <w:t>ecurities plus 2 per cent</w:t>
      </w:r>
      <w:r w:rsidR="00E46B66">
        <w:t>; and</w:t>
      </w:r>
    </w:p>
    <w:p w:rsidR="0066768C" w:rsidRDefault="0066768C" w:rsidP="0059377F">
      <w:pPr>
        <w:pStyle w:val="BlockText"/>
        <w:numPr>
          <w:ilvl w:val="1"/>
          <w:numId w:val="3"/>
        </w:numPr>
        <w:jc w:val="both"/>
      </w:pPr>
      <w:r>
        <w:t>for the period commencing with the receipt of the payment and ending with the delivery of the mineral commodities.</w:t>
      </w:r>
    </w:p>
    <w:p w:rsidR="0066768C" w:rsidRDefault="0066768C" w:rsidP="0059377F">
      <w:pPr>
        <w:pStyle w:val="HeadingTwo"/>
        <w:jc w:val="both"/>
      </w:pPr>
      <w:r>
        <w:t xml:space="preserve">Conversion of </w:t>
      </w:r>
      <w:r w:rsidR="00E96EDF">
        <w:t>f</w:t>
      </w:r>
      <w:r>
        <w:t xml:space="preserve">oreign </w:t>
      </w:r>
      <w:r w:rsidR="00E96EDF">
        <w:t>c</w:t>
      </w:r>
      <w:r>
        <w:t xml:space="preserve">urrency to </w:t>
      </w:r>
      <w:r w:rsidR="00E96EDF">
        <w:t>A</w:t>
      </w:r>
      <w:r>
        <w:t xml:space="preserve">ustralian </w:t>
      </w:r>
      <w:r w:rsidR="00E96EDF">
        <w:t>c</w:t>
      </w:r>
      <w:r>
        <w:t>urrency</w:t>
      </w:r>
    </w:p>
    <w:p w:rsidR="0066768C" w:rsidRDefault="0066768C" w:rsidP="0059377F">
      <w:pPr>
        <w:pStyle w:val="BlockText"/>
        <w:jc w:val="both"/>
      </w:pPr>
      <w:r>
        <w:t>Where the proceeds from the sale of mineral commodities is in a foreign currency, the value for royalty purposes must be converted to an Australian dollar equivalent at the exchange rate current at the time of sale</w:t>
      </w:r>
      <w:r w:rsidR="00F87CCD">
        <w:t xml:space="preserve"> or removal without sale</w:t>
      </w:r>
      <w:r>
        <w:t>.</w:t>
      </w:r>
    </w:p>
    <w:p w:rsidR="0066768C" w:rsidRDefault="0066768C" w:rsidP="0059377F">
      <w:pPr>
        <w:pStyle w:val="BlockText"/>
        <w:jc w:val="both"/>
      </w:pPr>
      <w:r>
        <w:t>Similarly, where the value is the price published by a recognised commodities exchange, the price in foreign currency must be converted to an Australian dollar equivalent at the exchange rate current at the time of sale or removal without sale.</w:t>
      </w:r>
    </w:p>
    <w:p w:rsidR="0066768C" w:rsidRDefault="0066768C" w:rsidP="0059377F">
      <w:pPr>
        <w:pStyle w:val="BlockText"/>
        <w:jc w:val="both"/>
      </w:pPr>
      <w:r>
        <w:t>Where there is an adjustment to an invoice and the adjustment is in a foreign currency (</w:t>
      </w:r>
      <w:r w:rsidR="00EF5609">
        <w:t>for example,</w:t>
      </w:r>
      <w:r>
        <w:t xml:space="preserve"> by way of a final invoice or the issue of a credit note), the adjustment amount may be converted at the exchange rate current at the time the adjustment is made. </w:t>
      </w:r>
      <w:r w:rsidR="00EF5609">
        <w:t xml:space="preserve">In conformity with </w:t>
      </w:r>
      <w:r>
        <w:t xml:space="preserve">administrative </w:t>
      </w:r>
      <w:r w:rsidR="00EF5609">
        <w:t>practice</w:t>
      </w:r>
      <w:r>
        <w:t>, the adjustment is to be included in the royalty year in which the adjustment is made.</w:t>
      </w:r>
    </w:p>
    <w:p w:rsidR="0066768C" w:rsidRDefault="0066768C" w:rsidP="0059377F">
      <w:pPr>
        <w:pStyle w:val="BlockText"/>
        <w:jc w:val="both"/>
      </w:pPr>
      <w:r>
        <w:t xml:space="preserve">Acceptable currency </w:t>
      </w:r>
      <w:r w:rsidR="007D1969">
        <w:t xml:space="preserve">exchange </w:t>
      </w:r>
      <w:r>
        <w:t xml:space="preserve">rates include </w:t>
      </w:r>
      <w:r w:rsidR="00B947FF">
        <w:t xml:space="preserve">the </w:t>
      </w:r>
      <w:r w:rsidR="007C0763">
        <w:t xml:space="preserve">closing </w:t>
      </w:r>
      <w:r>
        <w:t xml:space="preserve">exchange rate for the day </w:t>
      </w:r>
      <w:r w:rsidR="00B947FF">
        <w:t xml:space="preserve">as published </w:t>
      </w:r>
      <w:r>
        <w:t xml:space="preserve">in the Australian Financial Review, the </w:t>
      </w:r>
      <w:r w:rsidR="007C0763">
        <w:t xml:space="preserve">notes/cash </w:t>
      </w:r>
      <w:r>
        <w:t>buy rate of a major Australian bank</w:t>
      </w:r>
      <w:r w:rsidR="00B947FF">
        <w:t xml:space="preserve"> </w:t>
      </w:r>
      <w:r>
        <w:t>or such other rate as approved by the Secretary</w:t>
      </w:r>
      <w:r w:rsidR="007D1969">
        <w:t>.</w:t>
      </w:r>
    </w:p>
    <w:p w:rsidR="0066768C" w:rsidRDefault="00E96EDF" w:rsidP="0059377F">
      <w:pPr>
        <w:pStyle w:val="HeadingThree"/>
        <w:jc w:val="both"/>
      </w:pPr>
      <w:r>
        <w:lastRenderedPageBreak/>
        <w:t>Foreign e</w:t>
      </w:r>
      <w:r w:rsidR="00EF5609">
        <w:t>xchange</w:t>
      </w:r>
      <w:r w:rsidR="0066768C">
        <w:t xml:space="preserve"> </w:t>
      </w:r>
      <w:r>
        <w:t>g</w:t>
      </w:r>
      <w:r w:rsidR="0066768C">
        <w:t>ains/</w:t>
      </w:r>
      <w:r>
        <w:t>l</w:t>
      </w:r>
      <w:r w:rsidR="0066768C">
        <w:t>osses</w:t>
      </w:r>
    </w:p>
    <w:p w:rsidR="0066768C" w:rsidRDefault="004F3D64" w:rsidP="0059377F">
      <w:pPr>
        <w:pStyle w:val="BlockText"/>
        <w:jc w:val="both"/>
      </w:pPr>
      <w:r>
        <w:t>Foreign exchange transactions usually occur where:</w:t>
      </w:r>
    </w:p>
    <w:p w:rsidR="004F3D64" w:rsidRDefault="0017493D" w:rsidP="002F7654">
      <w:pPr>
        <w:pStyle w:val="BlockText"/>
        <w:numPr>
          <w:ilvl w:val="0"/>
          <w:numId w:val="19"/>
        </w:numPr>
        <w:tabs>
          <w:tab w:val="clear" w:pos="1276"/>
          <w:tab w:val="left" w:pos="426"/>
        </w:tabs>
        <w:ind w:left="426" w:firstLine="0"/>
        <w:jc w:val="both"/>
      </w:pPr>
      <w:r>
        <w:t>sales of product are made in foreign currency;</w:t>
      </w:r>
    </w:p>
    <w:p w:rsidR="0017493D" w:rsidRDefault="0017493D" w:rsidP="0059377F">
      <w:pPr>
        <w:pStyle w:val="BlockText"/>
        <w:numPr>
          <w:ilvl w:val="0"/>
          <w:numId w:val="19"/>
        </w:numPr>
        <w:tabs>
          <w:tab w:val="clear" w:pos="1276"/>
          <w:tab w:val="left" w:pos="426"/>
        </w:tabs>
        <w:ind w:left="426" w:firstLine="0"/>
        <w:jc w:val="both"/>
      </w:pPr>
      <w:r>
        <w:t>purchases of equipment are made in foreign currency; or</w:t>
      </w:r>
    </w:p>
    <w:p w:rsidR="0017493D" w:rsidRDefault="0017493D" w:rsidP="0059377F">
      <w:pPr>
        <w:pStyle w:val="BlockText"/>
        <w:numPr>
          <w:ilvl w:val="0"/>
          <w:numId w:val="19"/>
        </w:numPr>
        <w:tabs>
          <w:tab w:val="clear" w:pos="1276"/>
          <w:tab w:val="left" w:pos="426"/>
        </w:tabs>
        <w:ind w:left="426" w:firstLine="0"/>
        <w:jc w:val="both"/>
      </w:pPr>
      <w:r>
        <w:t>money is borrowed in foreign currency.</w:t>
      </w:r>
    </w:p>
    <w:p w:rsidR="00013194" w:rsidRDefault="0017493D" w:rsidP="00013194">
      <w:pPr>
        <w:pStyle w:val="BlockText"/>
        <w:tabs>
          <w:tab w:val="clear" w:pos="1276"/>
        </w:tabs>
        <w:jc w:val="both"/>
      </w:pPr>
      <w:r>
        <w:t xml:space="preserve">Foreign exchange and hedging transactions are treated as business decisions or risks independent from the profitability or operation of the production unit. Any gains or losses arising from these transactions are not to be taken into account for the purposes of determining </w:t>
      </w:r>
      <w:r w:rsidR="00DC7FB1">
        <w:t>gross realization</w:t>
      </w:r>
      <w:r>
        <w:t>.</w:t>
      </w:r>
    </w:p>
    <w:p w:rsidR="00013194" w:rsidRPr="00646719" w:rsidRDefault="00013194" w:rsidP="00013194">
      <w:pPr>
        <w:pStyle w:val="HeadingTwo"/>
        <w:rPr>
          <w:szCs w:val="22"/>
        </w:rPr>
      </w:pPr>
      <w:r w:rsidRPr="00646719">
        <w:rPr>
          <w:szCs w:val="22"/>
        </w:rPr>
        <w:t xml:space="preserve">GST </w:t>
      </w:r>
    </w:p>
    <w:p w:rsidR="00013194" w:rsidRDefault="00013194" w:rsidP="002C0842">
      <w:pPr>
        <w:pStyle w:val="BlockText"/>
        <w:numPr>
          <w:ilvl w:val="0"/>
          <w:numId w:val="15"/>
        </w:numPr>
        <w:tabs>
          <w:tab w:val="clear" w:pos="567"/>
          <w:tab w:val="clear" w:pos="851"/>
          <w:tab w:val="clear" w:pos="1276"/>
          <w:tab w:val="clear" w:pos="1701"/>
        </w:tabs>
        <w:ind w:left="426" w:hanging="426"/>
        <w:jc w:val="both"/>
      </w:pPr>
      <w:r>
        <w:t>Generally, an</w:t>
      </w:r>
      <w:r w:rsidRPr="00646719">
        <w:t xml:space="preserve"> amount </w:t>
      </w:r>
      <w:r w:rsidR="00C303FB">
        <w:t xml:space="preserve">or value </w:t>
      </w:r>
      <w:r>
        <w:t xml:space="preserve">included in the calculation of </w:t>
      </w:r>
      <w:r w:rsidR="00DC7FB1">
        <w:t>gross realization</w:t>
      </w:r>
      <w:r w:rsidR="00DC7FB1" w:rsidRPr="00646719">
        <w:t xml:space="preserve"> </w:t>
      </w:r>
      <w:r w:rsidRPr="00646719">
        <w:t xml:space="preserve">is the amount </w:t>
      </w:r>
      <w:r w:rsidR="00C303FB">
        <w:t xml:space="preserve">or value </w:t>
      </w:r>
      <w:r w:rsidRPr="00646719">
        <w:t xml:space="preserve">exclusive of the GST (if any) payable in relation to that </w:t>
      </w:r>
      <w:r>
        <w:t>amount</w:t>
      </w:r>
      <w:r w:rsidR="00C303FB">
        <w:t xml:space="preserve"> or value</w:t>
      </w:r>
      <w:r w:rsidRPr="00646719">
        <w:t>. Where an amount</w:t>
      </w:r>
      <w:r w:rsidR="00C303FB">
        <w:t xml:space="preserve"> or value</w:t>
      </w:r>
      <w:r w:rsidRPr="00646719">
        <w:t xml:space="preserve"> </w:t>
      </w:r>
      <w:r>
        <w:t xml:space="preserve">included in the calculation of </w:t>
      </w:r>
      <w:r w:rsidR="00DC7FB1">
        <w:t>gross realization</w:t>
      </w:r>
      <w:r w:rsidR="00DC7FB1" w:rsidRPr="00646719">
        <w:t xml:space="preserve"> </w:t>
      </w:r>
      <w:r w:rsidRPr="00646719">
        <w:t xml:space="preserve">is input taxed, the amount </w:t>
      </w:r>
      <w:r w:rsidR="00C303FB">
        <w:t xml:space="preserve">or value </w:t>
      </w:r>
      <w:r w:rsidR="001E1B16">
        <w:t>to be included</w:t>
      </w:r>
      <w:r w:rsidRPr="00646719">
        <w:t xml:space="preserve"> is inclusive of GST.</w:t>
      </w:r>
    </w:p>
    <w:p w:rsidR="0066768C" w:rsidRDefault="0066768C" w:rsidP="0059377F">
      <w:pPr>
        <w:pStyle w:val="HeadingTwo"/>
        <w:jc w:val="both"/>
      </w:pPr>
      <w:r>
        <w:t xml:space="preserve">Record </w:t>
      </w:r>
      <w:r w:rsidR="00013194">
        <w:t>k</w:t>
      </w:r>
      <w:r>
        <w:t xml:space="preserve">eeping </w:t>
      </w:r>
      <w:r w:rsidR="00013194">
        <w:t>r</w:t>
      </w:r>
      <w:r>
        <w:t>equirement</w:t>
      </w:r>
      <w:r w:rsidR="001D7275">
        <w:t>s</w:t>
      </w:r>
    </w:p>
    <w:p w:rsidR="0059377F" w:rsidRDefault="0059377F" w:rsidP="0059377F">
      <w:pPr>
        <w:pStyle w:val="BlockText"/>
        <w:jc w:val="both"/>
      </w:pPr>
      <w:r>
        <w:t xml:space="preserve">For general record keeping requirements, refer to </w:t>
      </w:r>
      <w:r w:rsidR="00C72359" w:rsidRPr="005F4E30">
        <w:t>MRA Overview</w:t>
      </w:r>
      <w:r>
        <w:t xml:space="preserve">. </w:t>
      </w:r>
    </w:p>
    <w:p w:rsidR="00805829" w:rsidRDefault="00805829" w:rsidP="0059377F">
      <w:pPr>
        <w:pStyle w:val="BlockText"/>
        <w:jc w:val="both"/>
      </w:pPr>
      <w:r>
        <w:t xml:space="preserve">In respect of </w:t>
      </w:r>
      <w:r w:rsidR="00DC7FB1">
        <w:t>gross realization</w:t>
      </w:r>
      <w:r w:rsidR="007D1969">
        <w:t>,</w:t>
      </w:r>
      <w:r>
        <w:t xml:space="preserve"> the royalty payer must maintain proper records detailing:</w:t>
      </w:r>
    </w:p>
    <w:p w:rsidR="0066768C" w:rsidRDefault="0066768C" w:rsidP="00805829">
      <w:pPr>
        <w:pStyle w:val="BlockText"/>
        <w:numPr>
          <w:ilvl w:val="1"/>
          <w:numId w:val="3"/>
        </w:numPr>
        <w:jc w:val="both"/>
      </w:pPr>
      <w:r>
        <w:t xml:space="preserve">all sales, transfers and other disposal of assets, being assets the costs of which have been included in calculating eligible capital assets expenditure; </w:t>
      </w:r>
    </w:p>
    <w:p w:rsidR="00B131D7" w:rsidRDefault="0066768C" w:rsidP="0059377F">
      <w:pPr>
        <w:pStyle w:val="BlockText"/>
        <w:numPr>
          <w:ilvl w:val="1"/>
          <w:numId w:val="3"/>
        </w:numPr>
        <w:jc w:val="both"/>
      </w:pPr>
      <w:r>
        <w:t>the mass and grade of a mineral commodity recovered from the production unit and of sales, shipments, transfers and other disposals of a mineral commodity from the production unit, including the time, destination, value and basis of valuation and mass and grade of each sale, shipment, transfer or other disposal</w:t>
      </w:r>
      <w:r w:rsidR="00B131D7">
        <w:t>; and</w:t>
      </w:r>
    </w:p>
    <w:p w:rsidR="0066768C" w:rsidRDefault="00B131D7" w:rsidP="0059377F">
      <w:pPr>
        <w:pStyle w:val="BlockText"/>
        <w:numPr>
          <w:ilvl w:val="1"/>
          <w:numId w:val="3"/>
        </w:numPr>
        <w:jc w:val="both"/>
      </w:pPr>
      <w:r>
        <w:t>any other relevant information.</w:t>
      </w:r>
    </w:p>
    <w:p w:rsidR="006034B6" w:rsidRDefault="006034B6" w:rsidP="0059377F">
      <w:pPr>
        <w:pStyle w:val="HeadingTwo"/>
        <w:jc w:val="both"/>
      </w:pPr>
      <w:r>
        <w:t xml:space="preserve">MRA </w:t>
      </w:r>
      <w:r w:rsidR="00013194">
        <w:t>p</w:t>
      </w:r>
      <w:r>
        <w:t>ublications</w:t>
      </w:r>
    </w:p>
    <w:p w:rsidR="00364D5F" w:rsidRDefault="00364D5F" w:rsidP="002F7654">
      <w:pPr>
        <w:pStyle w:val="BlockText"/>
        <w:jc w:val="both"/>
      </w:pPr>
      <w:r>
        <w:t xml:space="preserve">Guideline </w:t>
      </w:r>
      <w:r w:rsidRPr="005F4E30">
        <w:t>RG-MRA-001</w:t>
      </w:r>
      <w:r w:rsidR="00666B9B">
        <w:rPr>
          <w:i/>
        </w:rPr>
        <w:t>: Guidelines and Advance Opinions</w:t>
      </w:r>
      <w:r>
        <w:t>, which sets out information on the Guideline system, is incorporated into and read as one with this Guideline.</w:t>
      </w:r>
    </w:p>
    <w:p w:rsidR="006034B6" w:rsidRDefault="006034B6" w:rsidP="0059377F">
      <w:pPr>
        <w:jc w:val="both"/>
      </w:pPr>
    </w:p>
    <w:p w:rsidR="005822E4" w:rsidRDefault="005954C3" w:rsidP="0059377F">
      <w:pPr>
        <w:jc w:val="both"/>
      </w:pPr>
      <w:r>
        <w:rPr>
          <w:noProof/>
        </w:rPr>
        <w:drawing>
          <wp:inline distT="0" distB="0" distL="0" distR="0">
            <wp:extent cx="1187450" cy="368300"/>
            <wp:effectExtent l="0" t="0" r="0" b="0"/>
            <wp:docPr id="1" name="Picture 1" descr="Anne signature_tr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ne signature_tran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7450" cy="368300"/>
                    </a:xfrm>
                    <a:prstGeom prst="rect">
                      <a:avLst/>
                    </a:prstGeom>
                    <a:noFill/>
                    <a:ln>
                      <a:noFill/>
                    </a:ln>
                  </pic:spPr>
                </pic:pic>
              </a:graphicData>
            </a:graphic>
          </wp:inline>
        </w:drawing>
      </w:r>
    </w:p>
    <w:p w:rsidR="00364D5F" w:rsidRDefault="00364D5F" w:rsidP="0059377F">
      <w:pPr>
        <w:jc w:val="both"/>
      </w:pPr>
    </w:p>
    <w:p w:rsidR="006034B6" w:rsidRDefault="006034B6" w:rsidP="0059377F">
      <w:pPr>
        <w:jc w:val="both"/>
      </w:pPr>
      <w:r>
        <w:t>Anne Tan</w:t>
      </w:r>
    </w:p>
    <w:p w:rsidR="006034B6" w:rsidRDefault="006034B6" w:rsidP="006034B6">
      <w:r>
        <w:t>Secretary</w:t>
      </w:r>
    </w:p>
    <w:p w:rsidR="006034B6" w:rsidRDefault="006034B6" w:rsidP="006034B6"/>
    <w:p w:rsidR="006034B6" w:rsidRDefault="006034B6" w:rsidP="006034B6">
      <w:r>
        <w:t>Date of Issue:</w:t>
      </w:r>
      <w:r w:rsidR="00334188">
        <w:t xml:space="preserve"> 29 August 2011</w:t>
      </w:r>
    </w:p>
    <w:p w:rsidR="006034B6" w:rsidRDefault="006034B6" w:rsidP="006034B6"/>
    <w:tbl>
      <w:tblPr>
        <w:tblW w:w="0" w:type="auto"/>
        <w:tblBorders>
          <w:top w:val="single" w:sz="4" w:space="0" w:color="auto"/>
          <w:bottom w:val="single" w:sz="4" w:space="0" w:color="auto"/>
          <w:insideH w:val="single" w:sz="4" w:space="0" w:color="auto"/>
        </w:tblBorders>
        <w:tblCellMar>
          <w:top w:w="62" w:type="dxa"/>
          <w:bottom w:w="62" w:type="dxa"/>
        </w:tblCellMar>
        <w:tblLook w:val="01E0" w:firstRow="1" w:lastRow="1" w:firstColumn="1" w:lastColumn="1" w:noHBand="0" w:noVBand="0"/>
      </w:tblPr>
      <w:tblGrid>
        <w:gridCol w:w="4927"/>
        <w:gridCol w:w="4927"/>
      </w:tblGrid>
      <w:tr w:rsidR="006034B6" w:rsidTr="008E7052">
        <w:tc>
          <w:tcPr>
            <w:tcW w:w="9854" w:type="dxa"/>
            <w:gridSpan w:val="2"/>
          </w:tcPr>
          <w:p w:rsidR="006034B6" w:rsidRDefault="006034B6" w:rsidP="006034B6">
            <w:r>
              <w:t>For further information please contact the Territory Revenue Office:</w:t>
            </w:r>
          </w:p>
        </w:tc>
      </w:tr>
      <w:tr w:rsidR="006034B6" w:rsidTr="008E7052">
        <w:tc>
          <w:tcPr>
            <w:tcW w:w="4927" w:type="dxa"/>
          </w:tcPr>
          <w:p w:rsidR="006034B6" w:rsidRDefault="006034B6" w:rsidP="006034B6">
            <w:r>
              <w:t>GPO Box</w:t>
            </w:r>
            <w:r w:rsidR="00945823">
              <w:t xml:space="preserve"> 197</w:t>
            </w:r>
            <w:r>
              <w:t>4</w:t>
            </w:r>
          </w:p>
          <w:p w:rsidR="006034B6" w:rsidRDefault="006034B6" w:rsidP="006034B6">
            <w:smartTag w:uri="urn:schemas-microsoft-com:office:smarttags" w:element="place">
              <w:smartTag w:uri="urn:schemas-microsoft-com:office:smarttags" w:element="City">
                <w:r>
                  <w:t>Darwin</w:t>
                </w:r>
              </w:smartTag>
              <w:r>
                <w:t xml:space="preserve">  </w:t>
              </w:r>
              <w:smartTag w:uri="urn:schemas-microsoft-com:office:smarttags" w:element="State">
                <w:r>
                  <w:t>NT</w:t>
                </w:r>
              </w:smartTag>
            </w:smartTag>
            <w:r>
              <w:t xml:space="preserve">  0801</w:t>
            </w:r>
          </w:p>
          <w:p w:rsidR="006034B6" w:rsidRDefault="006034B6" w:rsidP="006034B6">
            <w:r>
              <w:t xml:space="preserve">Email: </w:t>
            </w:r>
            <w:r w:rsidR="00351584" w:rsidRPr="005F4E30">
              <w:t>ntrevenue.ntt@nt.gov.au</w:t>
            </w:r>
          </w:p>
        </w:tc>
        <w:tc>
          <w:tcPr>
            <w:tcW w:w="4927" w:type="dxa"/>
          </w:tcPr>
          <w:p w:rsidR="006034B6" w:rsidRDefault="006034B6" w:rsidP="006034B6">
            <w:r>
              <w:t>Phone: 1300 305 353</w:t>
            </w:r>
          </w:p>
          <w:p w:rsidR="006034B6" w:rsidRDefault="006034B6" w:rsidP="006034B6">
            <w:r>
              <w:t>Fax: 08 8999 5577</w:t>
            </w:r>
          </w:p>
          <w:p w:rsidR="006034B6" w:rsidRDefault="006034B6" w:rsidP="006034B6">
            <w:r>
              <w:t xml:space="preserve">Website: </w:t>
            </w:r>
            <w:hyperlink r:id="rId11" w:history="1">
              <w:r w:rsidRPr="009369D6">
                <w:rPr>
                  <w:rStyle w:val="Hyperlink"/>
                </w:rPr>
                <w:t>www.revenue.nt.gov.au</w:t>
              </w:r>
            </w:hyperlink>
          </w:p>
        </w:tc>
      </w:tr>
    </w:tbl>
    <w:p w:rsidR="006034B6" w:rsidRPr="00364D5F" w:rsidRDefault="006034B6" w:rsidP="00364D5F">
      <w:pPr>
        <w:tabs>
          <w:tab w:val="left" w:pos="3090"/>
        </w:tabs>
      </w:pPr>
    </w:p>
    <w:sectPr w:rsidR="006034B6" w:rsidRPr="00364D5F" w:rsidSect="00C27A0A">
      <w:headerReference w:type="even" r:id="rId12"/>
      <w:headerReference w:type="default" r:id="rId13"/>
      <w:footerReference w:type="default" r:id="rId14"/>
      <w:headerReference w:type="first" r:id="rId15"/>
      <w:footerReference w:type="first" r:id="rId16"/>
      <w:pgSz w:w="11906" w:h="16838" w:code="9"/>
      <w:pgMar w:top="1134" w:right="1134" w:bottom="567" w:left="1134"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2D18" w:rsidRDefault="00BD2D18">
      <w:r>
        <w:separator/>
      </w:r>
    </w:p>
  </w:endnote>
  <w:endnote w:type="continuationSeparator" w:id="0">
    <w:p w:rsidR="00BD2D18" w:rsidRDefault="00BD2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DD0" w:rsidRDefault="00091DD0" w:rsidP="00364D5F">
    <w:pPr>
      <w:pStyle w:val="Footer"/>
      <w:tabs>
        <w:tab w:val="clear" w:pos="4153"/>
        <w:tab w:val="clear" w:pos="8306"/>
        <w:tab w:val="right" w:pos="9720"/>
      </w:tabs>
      <w:rPr>
        <w:sz w:val="16"/>
        <w:szCs w:val="16"/>
      </w:rPr>
    </w:pPr>
  </w:p>
  <w:p w:rsidR="00091DD0" w:rsidRPr="00364D5F" w:rsidRDefault="00091DD0" w:rsidP="00364D5F">
    <w:pPr>
      <w:pStyle w:val="Footer"/>
      <w:tabs>
        <w:tab w:val="clear" w:pos="4153"/>
        <w:tab w:val="clear" w:pos="8306"/>
        <w:tab w:val="right" w:pos="9720"/>
      </w:tabs>
      <w:rPr>
        <w:sz w:val="16"/>
        <w:szCs w:val="16"/>
      </w:rPr>
    </w:pPr>
    <w:r w:rsidRPr="006034B6">
      <w:rPr>
        <w:sz w:val="16"/>
        <w:szCs w:val="16"/>
      </w:rPr>
      <w:t xml:space="preserve">Page </w:t>
    </w:r>
    <w:r w:rsidRPr="006034B6">
      <w:rPr>
        <w:sz w:val="16"/>
        <w:szCs w:val="16"/>
      </w:rPr>
      <w:fldChar w:fldCharType="begin"/>
    </w:r>
    <w:r w:rsidRPr="006034B6">
      <w:rPr>
        <w:sz w:val="16"/>
        <w:szCs w:val="16"/>
      </w:rPr>
      <w:instrText xml:space="preserve"> PAGE </w:instrText>
    </w:r>
    <w:r w:rsidRPr="006034B6">
      <w:rPr>
        <w:sz w:val="16"/>
        <w:szCs w:val="16"/>
      </w:rPr>
      <w:fldChar w:fldCharType="separate"/>
    </w:r>
    <w:r w:rsidR="00A8111D">
      <w:rPr>
        <w:noProof/>
        <w:sz w:val="16"/>
        <w:szCs w:val="16"/>
      </w:rPr>
      <w:t>4</w:t>
    </w:r>
    <w:r w:rsidRPr="006034B6">
      <w:rPr>
        <w:sz w:val="16"/>
        <w:szCs w:val="16"/>
      </w:rPr>
      <w:fldChar w:fldCharType="end"/>
    </w:r>
    <w:r w:rsidRPr="006034B6">
      <w:rPr>
        <w:sz w:val="16"/>
        <w:szCs w:val="16"/>
      </w:rPr>
      <w:t xml:space="preserve"> of </w:t>
    </w:r>
    <w:r w:rsidRPr="006034B6">
      <w:rPr>
        <w:sz w:val="16"/>
        <w:szCs w:val="16"/>
      </w:rPr>
      <w:fldChar w:fldCharType="begin"/>
    </w:r>
    <w:r w:rsidRPr="006034B6">
      <w:rPr>
        <w:sz w:val="16"/>
        <w:szCs w:val="16"/>
      </w:rPr>
      <w:instrText xml:space="preserve"> NUMPAGES </w:instrText>
    </w:r>
    <w:r w:rsidRPr="006034B6">
      <w:rPr>
        <w:sz w:val="16"/>
        <w:szCs w:val="16"/>
      </w:rPr>
      <w:fldChar w:fldCharType="separate"/>
    </w:r>
    <w:r w:rsidR="00A8111D">
      <w:rPr>
        <w:noProof/>
        <w:sz w:val="16"/>
        <w:szCs w:val="16"/>
      </w:rPr>
      <w:t>10</w:t>
    </w:r>
    <w:r w:rsidRPr="006034B6">
      <w:rPr>
        <w:sz w:val="16"/>
        <w:szCs w:val="16"/>
      </w:rPr>
      <w:fldChar w:fldCharType="end"/>
    </w:r>
    <w:r>
      <w:rPr>
        <w:sz w:val="16"/>
        <w:szCs w:val="16"/>
      </w:rPr>
      <w:tab/>
      <w:t>RG-MRA-004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DD0" w:rsidRDefault="00091DD0" w:rsidP="00364D5F">
    <w:pPr>
      <w:pStyle w:val="Footer"/>
      <w:tabs>
        <w:tab w:val="clear" w:pos="4153"/>
        <w:tab w:val="clear" w:pos="8306"/>
        <w:tab w:val="right" w:pos="9720"/>
      </w:tabs>
      <w:rPr>
        <w:sz w:val="16"/>
        <w:szCs w:val="16"/>
      </w:rPr>
    </w:pPr>
  </w:p>
  <w:p w:rsidR="00091DD0" w:rsidRPr="006034B6" w:rsidRDefault="00091DD0" w:rsidP="00364D5F">
    <w:pPr>
      <w:pStyle w:val="Footer"/>
      <w:tabs>
        <w:tab w:val="clear" w:pos="4153"/>
        <w:tab w:val="clear" w:pos="8306"/>
        <w:tab w:val="right" w:pos="9720"/>
      </w:tabs>
      <w:rPr>
        <w:sz w:val="16"/>
        <w:szCs w:val="16"/>
      </w:rPr>
    </w:pPr>
    <w:r w:rsidRPr="006034B6">
      <w:rPr>
        <w:sz w:val="16"/>
        <w:szCs w:val="16"/>
      </w:rPr>
      <w:t xml:space="preserve">Page </w:t>
    </w:r>
    <w:r w:rsidRPr="006034B6">
      <w:rPr>
        <w:sz w:val="16"/>
        <w:szCs w:val="16"/>
      </w:rPr>
      <w:fldChar w:fldCharType="begin"/>
    </w:r>
    <w:r w:rsidRPr="006034B6">
      <w:rPr>
        <w:sz w:val="16"/>
        <w:szCs w:val="16"/>
      </w:rPr>
      <w:instrText xml:space="preserve"> PAGE </w:instrText>
    </w:r>
    <w:r w:rsidRPr="006034B6">
      <w:rPr>
        <w:sz w:val="16"/>
        <w:szCs w:val="16"/>
      </w:rPr>
      <w:fldChar w:fldCharType="separate"/>
    </w:r>
    <w:r w:rsidR="00A8111D">
      <w:rPr>
        <w:noProof/>
        <w:sz w:val="16"/>
        <w:szCs w:val="16"/>
      </w:rPr>
      <w:t>1</w:t>
    </w:r>
    <w:r w:rsidRPr="006034B6">
      <w:rPr>
        <w:sz w:val="16"/>
        <w:szCs w:val="16"/>
      </w:rPr>
      <w:fldChar w:fldCharType="end"/>
    </w:r>
    <w:r w:rsidRPr="006034B6">
      <w:rPr>
        <w:sz w:val="16"/>
        <w:szCs w:val="16"/>
      </w:rPr>
      <w:t xml:space="preserve"> of </w:t>
    </w:r>
    <w:r w:rsidRPr="006034B6">
      <w:rPr>
        <w:sz w:val="16"/>
        <w:szCs w:val="16"/>
      </w:rPr>
      <w:fldChar w:fldCharType="begin"/>
    </w:r>
    <w:r w:rsidRPr="006034B6">
      <w:rPr>
        <w:sz w:val="16"/>
        <w:szCs w:val="16"/>
      </w:rPr>
      <w:instrText xml:space="preserve"> NUMPAGES </w:instrText>
    </w:r>
    <w:r w:rsidRPr="006034B6">
      <w:rPr>
        <w:sz w:val="16"/>
        <w:szCs w:val="16"/>
      </w:rPr>
      <w:fldChar w:fldCharType="separate"/>
    </w:r>
    <w:r w:rsidR="00A8111D">
      <w:rPr>
        <w:noProof/>
        <w:sz w:val="16"/>
        <w:szCs w:val="16"/>
      </w:rPr>
      <w:t>10</w:t>
    </w:r>
    <w:r w:rsidRPr="006034B6">
      <w:rPr>
        <w:sz w:val="16"/>
        <w:szCs w:val="16"/>
      </w:rPr>
      <w:fldChar w:fldCharType="end"/>
    </w:r>
    <w:r>
      <w:rPr>
        <w:sz w:val="16"/>
        <w:szCs w:val="16"/>
      </w:rPr>
      <w:tab/>
      <w:t>RG-MRA-004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2D18" w:rsidRDefault="00BD2D18">
      <w:r>
        <w:separator/>
      </w:r>
    </w:p>
  </w:footnote>
  <w:footnote w:type="continuationSeparator" w:id="0">
    <w:p w:rsidR="00BD2D18" w:rsidRDefault="00BD2D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DD0" w:rsidRDefault="00091DD0" w:rsidP="00763A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91DD0" w:rsidRDefault="00091D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DD0" w:rsidRPr="003765CD" w:rsidRDefault="00091DD0" w:rsidP="0019571B">
    <w:pPr>
      <w:pStyle w:val="NTTBodyText"/>
      <w:jc w:val="center"/>
      <w:rPr>
        <w:rStyle w:val="Heading2Cha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DD0" w:rsidRDefault="005954C3" w:rsidP="0019571B">
    <w:pPr>
      <w:pStyle w:val="NTTHeaderInfo"/>
      <w:rPr>
        <w:b/>
        <w:noProof/>
      </w:rPr>
    </w:pPr>
    <w:r>
      <w:rPr>
        <w:b/>
        <w:noProof/>
      </w:rPr>
      <w:drawing>
        <wp:anchor distT="0" distB="0" distL="114300" distR="114300" simplePos="0" relativeHeight="251657728" behindDoc="1" locked="0" layoutInCell="0" allowOverlap="1">
          <wp:simplePos x="0" y="0"/>
          <wp:positionH relativeFrom="page">
            <wp:posOffset>180340</wp:posOffset>
          </wp:positionH>
          <wp:positionV relativeFrom="page">
            <wp:posOffset>180340</wp:posOffset>
          </wp:positionV>
          <wp:extent cx="7179945" cy="931545"/>
          <wp:effectExtent l="0" t="0" r="1905" b="1905"/>
          <wp:wrapNone/>
          <wp:docPr id="4" name="Picture 4" descr="200807 tro doc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00807 tro doc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79945" cy="9315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91DD0" w:rsidRDefault="00091DD0" w:rsidP="0019571B">
    <w:pPr>
      <w:pStyle w:val="NTTHeaderInfo"/>
      <w:rPr>
        <w:b/>
        <w:noProof/>
      </w:rPr>
    </w:pPr>
  </w:p>
  <w:p w:rsidR="00091DD0" w:rsidRDefault="00091DD0" w:rsidP="0019571B">
    <w:pPr>
      <w:pStyle w:val="NTTHeaderInfo"/>
      <w:rPr>
        <w:b/>
        <w:noProof/>
      </w:rPr>
    </w:pPr>
  </w:p>
  <w:p w:rsidR="00091DD0" w:rsidRDefault="00091DD0">
    <w:pPr>
      <w:pStyle w:val="Header"/>
    </w:pPr>
  </w:p>
  <w:p w:rsidR="00091DD0" w:rsidRDefault="00091DD0">
    <w:pPr>
      <w:pStyle w:val="Header"/>
    </w:pPr>
  </w:p>
  <w:p w:rsidR="00091DD0" w:rsidRDefault="00091D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310B8"/>
    <w:multiLevelType w:val="multilevel"/>
    <w:tmpl w:val="6DA248D0"/>
    <w:lvl w:ilvl="0">
      <w:start w:val="1"/>
      <w:numFmt w:val="decimal"/>
      <w:lvlText w:val="%1."/>
      <w:lvlJc w:val="left"/>
      <w:pPr>
        <w:tabs>
          <w:tab w:val="num" w:pos="720"/>
        </w:tabs>
        <w:ind w:left="720" w:hanging="360"/>
      </w:pPr>
      <w:rPr>
        <w:rFonts w:ascii="Arial" w:hAnsi="Arial"/>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D593059"/>
    <w:multiLevelType w:val="multilevel"/>
    <w:tmpl w:val="65643FCE"/>
    <w:numStyleLink w:val="Text"/>
  </w:abstractNum>
  <w:abstractNum w:abstractNumId="2" w15:restartNumberingAfterBreak="0">
    <w:nsid w:val="11E40CD2"/>
    <w:multiLevelType w:val="multilevel"/>
    <w:tmpl w:val="F6C0D206"/>
    <w:lvl w:ilvl="0">
      <w:start w:val="1"/>
      <w:numFmt w:val="upperRoman"/>
      <w:pStyle w:val="Heading1"/>
      <w:lvlText w:val="Article %1."/>
      <w:lvlJc w:val="left"/>
      <w:pPr>
        <w:tabs>
          <w:tab w:val="num" w:pos="2160"/>
        </w:tabs>
        <w:ind w:left="0" w:firstLine="0"/>
      </w:pPr>
    </w:lvl>
    <w:lvl w:ilvl="1">
      <w:start w:val="1"/>
      <w:numFmt w:val="decimalZero"/>
      <w:pStyle w:val="Heading2"/>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3" w15:restartNumberingAfterBreak="0">
    <w:nsid w:val="14071695"/>
    <w:multiLevelType w:val="hybridMultilevel"/>
    <w:tmpl w:val="E3223BF2"/>
    <w:lvl w:ilvl="0" w:tplc="01461234">
      <w:numFmt w:val="none"/>
      <w:lvlText w:val=""/>
      <w:lvlJc w:val="left"/>
      <w:pPr>
        <w:tabs>
          <w:tab w:val="num" w:pos="360"/>
        </w:tabs>
      </w:pPr>
    </w:lvl>
    <w:lvl w:ilvl="1" w:tplc="A6965ECC">
      <w:numFmt w:val="none"/>
      <w:lvlText w:val=""/>
      <w:lvlJc w:val="left"/>
      <w:pPr>
        <w:tabs>
          <w:tab w:val="num" w:pos="360"/>
        </w:tabs>
      </w:pPr>
    </w:lvl>
    <w:lvl w:ilvl="2" w:tplc="3D16DA9E">
      <w:numFmt w:val="none"/>
      <w:lvlText w:val=""/>
      <w:lvlJc w:val="left"/>
      <w:pPr>
        <w:tabs>
          <w:tab w:val="num" w:pos="360"/>
        </w:tabs>
      </w:pPr>
    </w:lvl>
    <w:lvl w:ilvl="3" w:tplc="63C035D4">
      <w:numFmt w:val="none"/>
      <w:lvlText w:val=""/>
      <w:lvlJc w:val="left"/>
      <w:pPr>
        <w:tabs>
          <w:tab w:val="num" w:pos="360"/>
        </w:tabs>
      </w:pPr>
    </w:lvl>
    <w:lvl w:ilvl="4" w:tplc="5BBA6D14">
      <w:numFmt w:val="decimal"/>
      <w:lvlText w:val="㷾࣒㶊⼭㻶ƃ㶽헳㶼ॹ㺈ॹ㺈툹㳄ॸ㺈ॹ㺈"/>
      <w:lvlJc w:val="left"/>
    </w:lvl>
    <w:lvl w:ilvl="5" w:tplc="2CE0FA1C" w:tentative="1">
      <w:start w:val="1"/>
      <w:numFmt w:val="lowerRoman"/>
      <w:lvlText w:val="%6."/>
      <w:lvlJc w:val="right"/>
      <w:pPr>
        <w:ind w:left="4820" w:hanging="180"/>
      </w:pPr>
    </w:lvl>
    <w:lvl w:ilvl="6" w:tplc="A52CFE34" w:tentative="1">
      <w:start w:val="1"/>
      <w:numFmt w:val="decimal"/>
      <w:lvlText w:val="%7."/>
      <w:lvlJc w:val="left"/>
      <w:pPr>
        <w:ind w:left="5540" w:hanging="360"/>
      </w:pPr>
    </w:lvl>
    <w:lvl w:ilvl="7" w:tplc="BBF2E8CC" w:tentative="1">
      <w:start w:val="1"/>
      <w:numFmt w:val="lowerLetter"/>
      <w:lvlText w:val="%8."/>
      <w:lvlJc w:val="left"/>
      <w:pPr>
        <w:ind w:left="6260" w:hanging="360"/>
      </w:pPr>
    </w:lvl>
    <w:lvl w:ilvl="8" w:tplc="6D58300A" w:tentative="1">
      <w:start w:val="1"/>
      <w:numFmt w:val="lowerRoman"/>
      <w:lvlText w:val="%9."/>
      <w:lvlJc w:val="right"/>
      <w:pPr>
        <w:ind w:left="6980" w:hanging="180"/>
      </w:pPr>
    </w:lvl>
  </w:abstractNum>
  <w:abstractNum w:abstractNumId="4" w15:restartNumberingAfterBreak="0">
    <w:nsid w:val="16A86332"/>
    <w:multiLevelType w:val="multilevel"/>
    <w:tmpl w:val="0C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5" w15:restartNumberingAfterBreak="0">
    <w:nsid w:val="1E903CE7"/>
    <w:multiLevelType w:val="multilevel"/>
    <w:tmpl w:val="65643FCE"/>
    <w:styleLink w:val="Text"/>
    <w:lvl w:ilvl="0">
      <w:start w:val="1"/>
      <w:numFmt w:val="decimal"/>
      <w:pStyle w:val="BlockText"/>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 w15:restartNumberingAfterBreak="0">
    <w:nsid w:val="37EB7324"/>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F0D1A6E"/>
    <w:multiLevelType w:val="multilevel"/>
    <w:tmpl w:val="74F6A72C"/>
    <w:lvl w:ilvl="0">
      <w:start w:val="1"/>
      <w:numFmt w:val="decimal"/>
      <w:lvlText w:val="%1."/>
      <w:lvlJc w:val="left"/>
      <w:pPr>
        <w:tabs>
          <w:tab w:val="num" w:pos="720"/>
        </w:tabs>
        <w:ind w:left="720" w:hanging="360"/>
      </w:pPr>
      <w:rPr>
        <w:rFonts w:ascii="Arial" w:hAnsi="Arial"/>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39B51DF"/>
    <w:multiLevelType w:val="multilevel"/>
    <w:tmpl w:val="0C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9" w15:restartNumberingAfterBreak="0">
    <w:nsid w:val="493F4882"/>
    <w:multiLevelType w:val="hybridMultilevel"/>
    <w:tmpl w:val="885484CC"/>
    <w:lvl w:ilvl="0" w:tplc="93EEA668">
      <w:start w:val="1"/>
      <w:numFmt w:val="decimal"/>
      <w:lvlText w:val="(%1)"/>
      <w:lvlJc w:val="left"/>
      <w:pPr>
        <w:ind w:left="1215" w:hanging="360"/>
      </w:pPr>
      <w:rPr>
        <w:rFonts w:hint="default"/>
      </w:rPr>
    </w:lvl>
    <w:lvl w:ilvl="1" w:tplc="0C090019" w:tentative="1">
      <w:start w:val="1"/>
      <w:numFmt w:val="lowerLetter"/>
      <w:lvlText w:val="%2."/>
      <w:lvlJc w:val="left"/>
      <w:pPr>
        <w:ind w:left="1935" w:hanging="360"/>
      </w:pPr>
    </w:lvl>
    <w:lvl w:ilvl="2" w:tplc="0C09001B" w:tentative="1">
      <w:start w:val="1"/>
      <w:numFmt w:val="lowerRoman"/>
      <w:lvlText w:val="%3."/>
      <w:lvlJc w:val="right"/>
      <w:pPr>
        <w:ind w:left="2655" w:hanging="180"/>
      </w:pPr>
    </w:lvl>
    <w:lvl w:ilvl="3" w:tplc="0C09000F" w:tentative="1">
      <w:start w:val="1"/>
      <w:numFmt w:val="decimal"/>
      <w:lvlText w:val="%4."/>
      <w:lvlJc w:val="left"/>
      <w:pPr>
        <w:ind w:left="3375" w:hanging="360"/>
      </w:pPr>
    </w:lvl>
    <w:lvl w:ilvl="4" w:tplc="0C090019" w:tentative="1">
      <w:start w:val="1"/>
      <w:numFmt w:val="lowerLetter"/>
      <w:lvlText w:val="%5."/>
      <w:lvlJc w:val="left"/>
      <w:pPr>
        <w:ind w:left="4095" w:hanging="360"/>
      </w:pPr>
    </w:lvl>
    <w:lvl w:ilvl="5" w:tplc="0C09001B" w:tentative="1">
      <w:start w:val="1"/>
      <w:numFmt w:val="lowerRoman"/>
      <w:lvlText w:val="%6."/>
      <w:lvlJc w:val="right"/>
      <w:pPr>
        <w:ind w:left="4815" w:hanging="180"/>
      </w:pPr>
    </w:lvl>
    <w:lvl w:ilvl="6" w:tplc="0C09000F" w:tentative="1">
      <w:start w:val="1"/>
      <w:numFmt w:val="decimal"/>
      <w:lvlText w:val="%7."/>
      <w:lvlJc w:val="left"/>
      <w:pPr>
        <w:ind w:left="5535" w:hanging="360"/>
      </w:pPr>
    </w:lvl>
    <w:lvl w:ilvl="7" w:tplc="0C090019" w:tentative="1">
      <w:start w:val="1"/>
      <w:numFmt w:val="lowerLetter"/>
      <w:lvlText w:val="%8."/>
      <w:lvlJc w:val="left"/>
      <w:pPr>
        <w:ind w:left="6255" w:hanging="360"/>
      </w:pPr>
    </w:lvl>
    <w:lvl w:ilvl="8" w:tplc="0C09001B" w:tentative="1">
      <w:start w:val="1"/>
      <w:numFmt w:val="lowerRoman"/>
      <w:lvlText w:val="%9."/>
      <w:lvlJc w:val="right"/>
      <w:pPr>
        <w:ind w:left="6975" w:hanging="180"/>
      </w:pPr>
    </w:lvl>
  </w:abstractNum>
  <w:abstractNum w:abstractNumId="10" w15:restartNumberingAfterBreak="0">
    <w:nsid w:val="4A167D1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C8D79B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5CBC5114"/>
    <w:multiLevelType w:val="hybridMultilevel"/>
    <w:tmpl w:val="33164B58"/>
    <w:lvl w:ilvl="0" w:tplc="F0C8A91E">
      <w:start w:val="1"/>
      <w:numFmt w:val="decimal"/>
      <w:lvlText w:val="(%1)"/>
      <w:lvlJc w:val="left"/>
      <w:pPr>
        <w:ind w:left="1145" w:hanging="360"/>
      </w:pPr>
      <w:rPr>
        <w:rFonts w:ascii="Arial" w:eastAsia="Times New Roman" w:hAnsi="Arial" w:cs="Arial"/>
      </w:r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13" w15:restartNumberingAfterBreak="0">
    <w:nsid w:val="67FA2C1E"/>
    <w:multiLevelType w:val="hybridMultilevel"/>
    <w:tmpl w:val="878EF78E"/>
    <w:lvl w:ilvl="0" w:tplc="9DC8A068">
      <w:start w:val="1"/>
      <w:numFmt w:val="decimal"/>
      <w:lvlText w:val="(%1)"/>
      <w:lvlJc w:val="left"/>
      <w:pPr>
        <w:tabs>
          <w:tab w:val="num" w:pos="1260"/>
        </w:tabs>
        <w:ind w:left="1260" w:hanging="720"/>
      </w:pPr>
      <w:rPr>
        <w:rFonts w:ascii="Arial" w:eastAsia="Times New Roman" w:hAnsi="Arial" w:cs="Arial"/>
      </w:rPr>
    </w:lvl>
    <w:lvl w:ilvl="1" w:tplc="0C090019" w:tentative="1">
      <w:start w:val="1"/>
      <w:numFmt w:val="lowerLetter"/>
      <w:lvlText w:val="%2."/>
      <w:lvlJc w:val="left"/>
      <w:pPr>
        <w:tabs>
          <w:tab w:val="num" w:pos="1620"/>
        </w:tabs>
        <w:ind w:left="1620" w:hanging="360"/>
      </w:pPr>
    </w:lvl>
    <w:lvl w:ilvl="2" w:tplc="0C09001B" w:tentative="1">
      <w:start w:val="1"/>
      <w:numFmt w:val="lowerRoman"/>
      <w:lvlText w:val="%3."/>
      <w:lvlJc w:val="right"/>
      <w:pPr>
        <w:tabs>
          <w:tab w:val="num" w:pos="2340"/>
        </w:tabs>
        <w:ind w:left="2340" w:hanging="180"/>
      </w:pPr>
    </w:lvl>
    <w:lvl w:ilvl="3" w:tplc="0C09000F" w:tentative="1">
      <w:start w:val="1"/>
      <w:numFmt w:val="decimal"/>
      <w:lvlText w:val="%4."/>
      <w:lvlJc w:val="left"/>
      <w:pPr>
        <w:tabs>
          <w:tab w:val="num" w:pos="3060"/>
        </w:tabs>
        <w:ind w:left="3060" w:hanging="360"/>
      </w:pPr>
    </w:lvl>
    <w:lvl w:ilvl="4" w:tplc="0C090019" w:tentative="1">
      <w:start w:val="1"/>
      <w:numFmt w:val="lowerLetter"/>
      <w:lvlText w:val="%5."/>
      <w:lvlJc w:val="left"/>
      <w:pPr>
        <w:tabs>
          <w:tab w:val="num" w:pos="3780"/>
        </w:tabs>
        <w:ind w:left="3780" w:hanging="360"/>
      </w:pPr>
    </w:lvl>
    <w:lvl w:ilvl="5" w:tplc="0C09001B" w:tentative="1">
      <w:start w:val="1"/>
      <w:numFmt w:val="lowerRoman"/>
      <w:lvlText w:val="%6."/>
      <w:lvlJc w:val="right"/>
      <w:pPr>
        <w:tabs>
          <w:tab w:val="num" w:pos="4500"/>
        </w:tabs>
        <w:ind w:left="4500" w:hanging="180"/>
      </w:pPr>
    </w:lvl>
    <w:lvl w:ilvl="6" w:tplc="0C09000F" w:tentative="1">
      <w:start w:val="1"/>
      <w:numFmt w:val="decimal"/>
      <w:lvlText w:val="%7."/>
      <w:lvlJc w:val="left"/>
      <w:pPr>
        <w:tabs>
          <w:tab w:val="num" w:pos="5220"/>
        </w:tabs>
        <w:ind w:left="5220" w:hanging="360"/>
      </w:pPr>
    </w:lvl>
    <w:lvl w:ilvl="7" w:tplc="0C090019" w:tentative="1">
      <w:start w:val="1"/>
      <w:numFmt w:val="lowerLetter"/>
      <w:lvlText w:val="%8."/>
      <w:lvlJc w:val="left"/>
      <w:pPr>
        <w:tabs>
          <w:tab w:val="num" w:pos="5940"/>
        </w:tabs>
        <w:ind w:left="5940" w:hanging="360"/>
      </w:pPr>
    </w:lvl>
    <w:lvl w:ilvl="8" w:tplc="0C09001B" w:tentative="1">
      <w:start w:val="1"/>
      <w:numFmt w:val="lowerRoman"/>
      <w:lvlText w:val="%9."/>
      <w:lvlJc w:val="right"/>
      <w:pPr>
        <w:tabs>
          <w:tab w:val="num" w:pos="6660"/>
        </w:tabs>
        <w:ind w:left="6660" w:hanging="180"/>
      </w:pPr>
    </w:lvl>
  </w:abstractNum>
  <w:abstractNum w:abstractNumId="14" w15:restartNumberingAfterBreak="0">
    <w:nsid w:val="7294591F"/>
    <w:multiLevelType w:val="multilevel"/>
    <w:tmpl w:val="65643FCE"/>
    <w:numStyleLink w:val="Text"/>
  </w:abstractNum>
  <w:num w:numId="1">
    <w:abstractNumId w:val="14"/>
  </w:num>
  <w:num w:numId="2">
    <w:abstractNumId w:val="7"/>
  </w:num>
  <w:num w:numId="3">
    <w:abstractNumId w:val="5"/>
    <w:lvlOverride w:ilvl="0">
      <w:lvl w:ilvl="0">
        <w:start w:val="1"/>
        <w:numFmt w:val="decimal"/>
        <w:pStyle w:val="BlockText"/>
        <w:lvlText w:val="%1."/>
        <w:lvlJc w:val="left"/>
        <w:pPr>
          <w:tabs>
            <w:tab w:val="num" w:pos="425"/>
          </w:tabs>
          <w:ind w:left="425" w:hanging="425"/>
        </w:pPr>
        <w:rPr>
          <w:rFonts w:hint="default"/>
          <w:b w:val="0"/>
        </w:rPr>
      </w:lvl>
    </w:lvlOverride>
    <w:lvlOverride w:ilvl="1">
      <w:lvl w:ilvl="1">
        <w:start w:val="1"/>
        <w:numFmt w:val="decimal"/>
        <w:lvlRestart w:val="0"/>
        <w:lvlText w:val="(%2)"/>
        <w:lvlJc w:val="left"/>
        <w:pPr>
          <w:tabs>
            <w:tab w:val="num" w:pos="851"/>
          </w:tabs>
          <w:ind w:left="851" w:hanging="426"/>
        </w:pPr>
        <w:rPr>
          <w:rFonts w:ascii="Arial" w:eastAsia="Times New Roman" w:hAnsi="Arial" w:cs="Arial"/>
        </w:rPr>
      </w:lvl>
    </w:lvlOverride>
    <w:lvlOverride w:ilvl="2">
      <w:lvl w:ilvl="2">
        <w:start w:val="1"/>
        <w:numFmt w:val="lowerLetter"/>
        <w:lvlText w:val="(%3)"/>
        <w:lvlJc w:val="left"/>
        <w:pPr>
          <w:tabs>
            <w:tab w:val="num" w:pos="1276"/>
          </w:tabs>
          <w:ind w:left="1276" w:hanging="425"/>
        </w:pPr>
        <w:rPr>
          <w:rFonts w:ascii="Arial" w:eastAsia="Times New Roman" w:hAnsi="Arial" w:cs="Arial"/>
        </w:rPr>
      </w:lvl>
    </w:lvlOverride>
    <w:lvlOverride w:ilvl="3">
      <w:lvl w:ilvl="3">
        <w:start w:val="1"/>
        <w:numFmt w:val="none"/>
        <w:suff w:val="nothing"/>
        <w:lvlText w:val=""/>
        <w:lvlJc w:val="left"/>
        <w:pPr>
          <w:ind w:left="0" w:firstLine="0"/>
        </w:pPr>
        <w:rPr>
          <w:rFonts w:hint="default"/>
        </w:rPr>
      </w:lvl>
    </w:lvlOverride>
    <w:lvlOverride w:ilvl="4">
      <w:lvl w:ilvl="4">
        <w:start w:val="1"/>
        <w:numFmt w:val="none"/>
        <w:suff w:val="nothing"/>
        <w:lvlText w:val=""/>
        <w:lvlJc w:val="left"/>
        <w:pPr>
          <w:ind w:left="0" w:firstLine="0"/>
        </w:pPr>
        <w:rPr>
          <w:rFonts w:hint="default"/>
        </w:rPr>
      </w:lvl>
    </w:lvlOverride>
    <w:lvlOverride w:ilvl="5">
      <w:lvl w:ilvl="5">
        <w:start w:val="1"/>
        <w:numFmt w:val="none"/>
        <w:suff w:val="nothing"/>
        <w:lvlText w:val=""/>
        <w:lvlJc w:val="left"/>
        <w:pPr>
          <w:ind w:left="0" w:firstLine="0"/>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4">
    <w:abstractNumId w:val="0"/>
  </w:num>
  <w:num w:numId="5">
    <w:abstractNumId w:val="1"/>
  </w:num>
  <w:num w:numId="6">
    <w:abstractNumId w:val="8"/>
  </w:num>
  <w:num w:numId="7">
    <w:abstractNumId w:val="10"/>
  </w:num>
  <w:num w:numId="8">
    <w:abstractNumId w:val="6"/>
  </w:num>
  <w:num w:numId="9">
    <w:abstractNumId w:val="4"/>
  </w:num>
  <w:num w:numId="10">
    <w:abstractNumId w:val="2"/>
  </w:num>
  <w:num w:numId="11">
    <w:abstractNumId w:val="11"/>
  </w:num>
  <w:num w:numId="12">
    <w:abstractNumId w:val="5"/>
    <w:lvlOverride w:ilvl="0">
      <w:lvl w:ilvl="0">
        <w:start w:val="1"/>
        <w:numFmt w:val="decimal"/>
        <w:pStyle w:val="BlockText"/>
        <w:lvlText w:val="%1."/>
        <w:lvlJc w:val="left"/>
        <w:pPr>
          <w:tabs>
            <w:tab w:val="num" w:pos="425"/>
          </w:tabs>
          <w:ind w:left="425" w:hanging="425"/>
        </w:pPr>
        <w:rPr>
          <w:rFonts w:hint="default"/>
        </w:rPr>
      </w:lvl>
    </w:lvlOverride>
    <w:lvlOverride w:ilvl="1">
      <w:lvl w:ilvl="1">
        <w:start w:val="1"/>
        <w:numFmt w:val="upperLetter"/>
        <w:lvlText w:val="%2."/>
        <w:lvlJc w:val="left"/>
        <w:pPr>
          <w:tabs>
            <w:tab w:val="num" w:pos="425"/>
          </w:tabs>
          <w:ind w:left="851" w:hanging="426"/>
        </w:pPr>
        <w:rPr>
          <w:rFonts w:hint="default"/>
        </w:rPr>
      </w:lvl>
    </w:lvlOverride>
    <w:lvlOverride w:ilvl="2">
      <w:lvl w:ilvl="2">
        <w:start w:val="1"/>
        <w:numFmt w:val="lowerRoman"/>
        <w:lvlText w:val="%3."/>
        <w:lvlJc w:val="left"/>
        <w:pPr>
          <w:tabs>
            <w:tab w:val="num" w:pos="425"/>
          </w:tabs>
          <w:ind w:left="1276" w:hanging="425"/>
        </w:pPr>
        <w:rPr>
          <w:rFonts w:hint="default"/>
        </w:rPr>
      </w:lvl>
    </w:lvlOverride>
    <w:lvlOverride w:ilvl="3">
      <w:lvl w:ilvl="3">
        <w:start w:val="1"/>
        <w:numFmt w:val="lowerLetter"/>
        <w:lvlText w:val="%4."/>
        <w:lvlJc w:val="left"/>
        <w:pPr>
          <w:tabs>
            <w:tab w:val="num" w:pos="425"/>
          </w:tabs>
          <w:ind w:left="1701" w:hanging="425"/>
        </w:pPr>
        <w:rPr>
          <w:rFonts w:hint="default"/>
        </w:rPr>
      </w:lvl>
    </w:lvlOverride>
    <w:lvlOverride w:ilvl="4">
      <w:lvl w:ilvl="4">
        <w:start w:val="1"/>
        <w:numFmt w:val="lowerLetter"/>
        <w:lvlText w:val="%5."/>
        <w:lvlJc w:val="left"/>
        <w:pPr>
          <w:tabs>
            <w:tab w:val="num" w:pos="3240"/>
          </w:tabs>
          <w:ind w:left="3240" w:hanging="360"/>
        </w:pPr>
        <w:rPr>
          <w:rFonts w:hint="default"/>
        </w:rPr>
      </w:lvl>
    </w:lvlOverride>
    <w:lvlOverride w:ilvl="5">
      <w:lvl w:ilvl="5">
        <w:start w:val="1"/>
        <w:numFmt w:val="lowerRoman"/>
        <w:lvlText w:val="%6."/>
        <w:lvlJc w:val="right"/>
        <w:pPr>
          <w:tabs>
            <w:tab w:val="num" w:pos="3960"/>
          </w:tabs>
          <w:ind w:left="3960" w:hanging="180"/>
        </w:pPr>
        <w:rPr>
          <w:rFonts w:hint="default"/>
        </w:rPr>
      </w:lvl>
    </w:lvlOverride>
    <w:lvlOverride w:ilvl="6">
      <w:lvl w:ilvl="6">
        <w:start w:val="1"/>
        <w:numFmt w:val="decimal"/>
        <w:lvlText w:val="%7."/>
        <w:lvlJc w:val="left"/>
        <w:pPr>
          <w:tabs>
            <w:tab w:val="num" w:pos="4680"/>
          </w:tabs>
          <w:ind w:left="4680" w:hanging="360"/>
        </w:pPr>
        <w:rPr>
          <w:rFonts w:hint="default"/>
        </w:rPr>
      </w:lvl>
    </w:lvlOverride>
    <w:lvlOverride w:ilvl="7">
      <w:lvl w:ilvl="7">
        <w:start w:val="1"/>
        <w:numFmt w:val="lowerLetter"/>
        <w:lvlText w:val="%8."/>
        <w:lvlJc w:val="left"/>
        <w:pPr>
          <w:tabs>
            <w:tab w:val="num" w:pos="5400"/>
          </w:tabs>
          <w:ind w:left="5400" w:hanging="360"/>
        </w:pPr>
        <w:rPr>
          <w:rFonts w:hint="default"/>
        </w:rPr>
      </w:lvl>
    </w:lvlOverride>
    <w:lvlOverride w:ilvl="8">
      <w:lvl w:ilvl="8">
        <w:start w:val="1"/>
        <w:numFmt w:val="lowerRoman"/>
        <w:lvlText w:val="%9."/>
        <w:lvlJc w:val="right"/>
        <w:pPr>
          <w:tabs>
            <w:tab w:val="num" w:pos="6120"/>
          </w:tabs>
          <w:ind w:left="6120" w:hanging="180"/>
        </w:pPr>
        <w:rPr>
          <w:rFonts w:hint="default"/>
        </w:rPr>
      </w:lvl>
    </w:lvlOverride>
  </w:num>
  <w:num w:numId="13">
    <w:abstractNumId w:val="12"/>
  </w:num>
  <w:num w:numId="14">
    <w:abstractNumId w:val="5"/>
    <w:lvlOverride w:ilvl="0">
      <w:lvl w:ilvl="0">
        <w:start w:val="1"/>
        <w:numFmt w:val="decimal"/>
        <w:pStyle w:val="BlockText"/>
        <w:lvlText w:val="%1."/>
        <w:lvlJc w:val="left"/>
        <w:pPr>
          <w:tabs>
            <w:tab w:val="num" w:pos="425"/>
          </w:tabs>
          <w:ind w:left="425" w:hanging="425"/>
        </w:pPr>
        <w:rPr>
          <w:rFonts w:hint="default"/>
          <w:b w:val="0"/>
        </w:rPr>
      </w:lvl>
    </w:lvlOverride>
    <w:lvlOverride w:ilvl="1">
      <w:lvl w:ilvl="1">
        <w:start w:val="1"/>
        <w:numFmt w:val="upperLetter"/>
        <w:lvlRestart w:val="0"/>
        <w:lvlText w:val="%2."/>
        <w:lvlJc w:val="left"/>
        <w:pPr>
          <w:tabs>
            <w:tab w:val="num" w:pos="851"/>
          </w:tabs>
          <w:ind w:left="851" w:hanging="426"/>
        </w:pPr>
        <w:rPr>
          <w:rFonts w:hint="default"/>
        </w:rPr>
      </w:lvl>
    </w:lvlOverride>
    <w:lvlOverride w:ilvl="2">
      <w:lvl w:ilvl="2">
        <w:start w:val="1"/>
        <w:numFmt w:val="lowerRoman"/>
        <w:lvlText w:val="%3."/>
        <w:lvlJc w:val="left"/>
        <w:pPr>
          <w:tabs>
            <w:tab w:val="num" w:pos="1276"/>
          </w:tabs>
          <w:ind w:left="1276" w:hanging="425"/>
        </w:pPr>
        <w:rPr>
          <w:rFonts w:hint="default"/>
        </w:rPr>
      </w:lvl>
    </w:lvlOverride>
    <w:lvlOverride w:ilvl="3">
      <w:lvl w:ilvl="3">
        <w:start w:val="1"/>
        <w:numFmt w:val="none"/>
        <w:suff w:val="nothing"/>
        <w:lvlText w:val=""/>
        <w:lvlJc w:val="left"/>
        <w:pPr>
          <w:ind w:left="0" w:firstLine="0"/>
        </w:pPr>
        <w:rPr>
          <w:rFonts w:hint="default"/>
        </w:rPr>
      </w:lvl>
    </w:lvlOverride>
    <w:lvlOverride w:ilvl="4">
      <w:lvl w:ilvl="4">
        <w:start w:val="1"/>
        <w:numFmt w:val="none"/>
        <w:suff w:val="nothing"/>
        <w:lvlText w:val=""/>
        <w:lvlJc w:val="left"/>
        <w:pPr>
          <w:ind w:left="0" w:firstLine="0"/>
        </w:pPr>
        <w:rPr>
          <w:rFonts w:hint="default"/>
        </w:rPr>
      </w:lvl>
    </w:lvlOverride>
    <w:lvlOverride w:ilvl="5">
      <w:lvl w:ilvl="5">
        <w:start w:val="1"/>
        <w:numFmt w:val="none"/>
        <w:suff w:val="nothing"/>
        <w:lvlText w:val=""/>
        <w:lvlJc w:val="left"/>
        <w:pPr>
          <w:ind w:left="0" w:firstLine="0"/>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15">
    <w:abstractNumId w:val="5"/>
    <w:lvlOverride w:ilvl="0">
      <w:lvl w:ilvl="0">
        <w:start w:val="1"/>
        <w:numFmt w:val="decimal"/>
        <w:pStyle w:val="BlockText"/>
        <w:lvlText w:val="%1."/>
        <w:lvlJc w:val="left"/>
        <w:pPr>
          <w:tabs>
            <w:tab w:val="num" w:pos="567"/>
          </w:tabs>
          <w:ind w:left="567" w:hanging="567"/>
        </w:pPr>
        <w:rPr>
          <w:rFonts w:hint="default"/>
          <w:b w:val="0"/>
        </w:rPr>
      </w:lvl>
    </w:lvlOverride>
    <w:lvlOverride w:ilvl="1">
      <w:lvl w:ilvl="1">
        <w:start w:val="1"/>
        <w:numFmt w:val="decimal"/>
        <w:lvlText w:val="(%2)"/>
        <w:lvlJc w:val="left"/>
        <w:pPr>
          <w:tabs>
            <w:tab w:val="num" w:pos="1134"/>
          </w:tabs>
          <w:ind w:left="1134" w:hanging="567"/>
        </w:pPr>
        <w:rPr>
          <w:rFonts w:hint="default"/>
        </w:rPr>
      </w:lvl>
    </w:lvlOverride>
    <w:lvlOverride w:ilvl="2">
      <w:lvl w:ilvl="2">
        <w:start w:val="1"/>
        <w:numFmt w:val="lowerLetter"/>
        <w:lvlText w:val="(%3)"/>
        <w:lvlJc w:val="left"/>
        <w:pPr>
          <w:tabs>
            <w:tab w:val="num" w:pos="1985"/>
          </w:tabs>
          <w:ind w:left="1985" w:hanging="851"/>
        </w:pPr>
        <w:rPr>
          <w:rFonts w:hint="default"/>
        </w:rPr>
      </w:lvl>
    </w:lvlOverride>
    <w:lvlOverride w:ilvl="3">
      <w:lvl w:ilvl="3">
        <w:start w:val="1"/>
        <w:numFmt w:val="lowerRoman"/>
        <w:lvlText w:val="%1(%2)(%3)(%4)"/>
        <w:lvlJc w:val="left"/>
        <w:pPr>
          <w:tabs>
            <w:tab w:val="num" w:pos="2948"/>
          </w:tabs>
          <w:ind w:left="2948" w:hanging="963"/>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6">
    <w:abstractNumId w:val="5"/>
    <w:lvlOverride w:ilvl="0">
      <w:lvl w:ilvl="0">
        <w:start w:val="1"/>
        <w:numFmt w:val="decimal"/>
        <w:pStyle w:val="BlockText"/>
        <w:lvlText w:val="%1."/>
        <w:lvlJc w:val="left"/>
        <w:pPr>
          <w:tabs>
            <w:tab w:val="num" w:pos="425"/>
          </w:tabs>
          <w:ind w:left="425" w:hanging="425"/>
        </w:pPr>
        <w:rPr>
          <w:rFonts w:hint="default"/>
          <w:b w:val="0"/>
        </w:rPr>
      </w:lvl>
    </w:lvlOverride>
    <w:lvlOverride w:ilvl="1">
      <w:lvl w:ilvl="1">
        <w:start w:val="1"/>
        <w:numFmt w:val="upperLetter"/>
        <w:lvlRestart w:val="0"/>
        <w:lvlText w:val="%2."/>
        <w:lvlJc w:val="left"/>
        <w:pPr>
          <w:tabs>
            <w:tab w:val="num" w:pos="851"/>
          </w:tabs>
          <w:ind w:left="851" w:hanging="426"/>
        </w:pPr>
        <w:rPr>
          <w:rFonts w:hint="default"/>
        </w:rPr>
      </w:lvl>
    </w:lvlOverride>
    <w:lvlOverride w:ilvl="2">
      <w:lvl w:ilvl="2">
        <w:start w:val="1"/>
        <w:numFmt w:val="lowerRoman"/>
        <w:lvlText w:val="%3."/>
        <w:lvlJc w:val="left"/>
        <w:pPr>
          <w:tabs>
            <w:tab w:val="num" w:pos="1276"/>
          </w:tabs>
          <w:ind w:left="1276" w:hanging="425"/>
        </w:pPr>
        <w:rPr>
          <w:rFonts w:hint="default"/>
        </w:rPr>
      </w:lvl>
    </w:lvlOverride>
    <w:lvlOverride w:ilvl="3">
      <w:lvl w:ilvl="3">
        <w:start w:val="1"/>
        <w:numFmt w:val="none"/>
        <w:suff w:val="nothing"/>
        <w:lvlText w:val=""/>
        <w:lvlJc w:val="left"/>
        <w:pPr>
          <w:ind w:left="0" w:firstLine="0"/>
        </w:pPr>
        <w:rPr>
          <w:rFonts w:hint="default"/>
        </w:rPr>
      </w:lvl>
    </w:lvlOverride>
    <w:lvlOverride w:ilvl="4">
      <w:lvl w:ilvl="4">
        <w:start w:val="1"/>
        <w:numFmt w:val="none"/>
        <w:suff w:val="nothing"/>
        <w:lvlText w:val=""/>
        <w:lvlJc w:val="left"/>
        <w:pPr>
          <w:ind w:left="0" w:firstLine="0"/>
        </w:pPr>
        <w:rPr>
          <w:rFonts w:hint="default"/>
        </w:rPr>
      </w:lvl>
    </w:lvlOverride>
    <w:lvlOverride w:ilvl="5">
      <w:lvl w:ilvl="5">
        <w:start w:val="1"/>
        <w:numFmt w:val="none"/>
        <w:suff w:val="nothing"/>
        <w:lvlText w:val=""/>
        <w:lvlJc w:val="left"/>
        <w:pPr>
          <w:ind w:left="0" w:firstLine="0"/>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17">
    <w:abstractNumId w:val="13"/>
  </w:num>
  <w:num w:numId="18">
    <w:abstractNumId w:val="3"/>
  </w:num>
  <w:num w:numId="19">
    <w:abstractNumId w:val="9"/>
  </w:num>
  <w:num w:numId="20">
    <w:abstractNumId w:val="5"/>
    <w:lvlOverride w:ilvl="0">
      <w:lvl w:ilvl="0">
        <w:start w:val="1"/>
        <w:numFmt w:val="decimal"/>
        <w:pStyle w:val="BlockText"/>
        <w:lvlText w:val="%1."/>
        <w:lvlJc w:val="left"/>
        <w:pPr>
          <w:tabs>
            <w:tab w:val="num" w:pos="425"/>
          </w:tabs>
          <w:ind w:left="425" w:hanging="425"/>
        </w:pPr>
        <w:rPr>
          <w:rFonts w:hint="default"/>
          <w:b w:val="0"/>
        </w:rPr>
      </w:lvl>
    </w:lvlOverride>
    <w:lvlOverride w:ilvl="1">
      <w:lvl w:ilvl="1">
        <w:start w:val="1"/>
        <w:numFmt w:val="upperLetter"/>
        <w:lvlRestart w:val="0"/>
        <w:lvlText w:val="%2."/>
        <w:lvlJc w:val="left"/>
        <w:pPr>
          <w:tabs>
            <w:tab w:val="num" w:pos="851"/>
          </w:tabs>
          <w:ind w:left="851" w:hanging="426"/>
        </w:pPr>
        <w:rPr>
          <w:rFonts w:hint="default"/>
        </w:rPr>
      </w:lvl>
    </w:lvlOverride>
    <w:lvlOverride w:ilvl="2">
      <w:lvl w:ilvl="2">
        <w:start w:val="1"/>
        <w:numFmt w:val="lowerRoman"/>
        <w:lvlText w:val="%3."/>
        <w:lvlJc w:val="left"/>
        <w:pPr>
          <w:tabs>
            <w:tab w:val="num" w:pos="1276"/>
          </w:tabs>
          <w:ind w:left="1276" w:hanging="425"/>
        </w:pPr>
        <w:rPr>
          <w:rFonts w:hint="default"/>
        </w:rPr>
      </w:lvl>
    </w:lvlOverride>
    <w:lvlOverride w:ilvl="3">
      <w:lvl w:ilvl="3">
        <w:start w:val="1"/>
        <w:numFmt w:val="none"/>
        <w:suff w:val="nothing"/>
        <w:lvlText w:val=""/>
        <w:lvlJc w:val="left"/>
        <w:pPr>
          <w:ind w:left="0" w:firstLine="0"/>
        </w:pPr>
        <w:rPr>
          <w:rFonts w:hint="default"/>
        </w:rPr>
      </w:lvl>
    </w:lvlOverride>
    <w:lvlOverride w:ilvl="4">
      <w:lvl w:ilvl="4">
        <w:start w:val="1"/>
        <w:numFmt w:val="none"/>
        <w:suff w:val="nothing"/>
        <w:lvlText w:val=""/>
        <w:lvlJc w:val="left"/>
        <w:pPr>
          <w:ind w:left="0" w:firstLine="0"/>
        </w:pPr>
        <w:rPr>
          <w:rFonts w:hint="default"/>
        </w:rPr>
      </w:lvl>
    </w:lvlOverride>
    <w:lvlOverride w:ilvl="5">
      <w:lvl w:ilvl="5">
        <w:start w:val="1"/>
        <w:numFmt w:val="none"/>
        <w:suff w:val="nothing"/>
        <w:lvlText w:val=""/>
        <w:lvlJc w:val="left"/>
        <w:pPr>
          <w:ind w:left="0" w:firstLine="0"/>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21">
    <w:abstractNumId w:val="5"/>
    <w:lvlOverride w:ilvl="0">
      <w:lvl w:ilvl="0">
        <w:start w:val="1"/>
        <w:numFmt w:val="decimal"/>
        <w:pStyle w:val="BlockText"/>
        <w:lvlText w:val="%1."/>
        <w:lvlJc w:val="left"/>
        <w:pPr>
          <w:tabs>
            <w:tab w:val="num" w:pos="425"/>
          </w:tabs>
          <w:ind w:left="425" w:hanging="425"/>
        </w:pPr>
        <w:rPr>
          <w:rFonts w:hint="default"/>
        </w:rPr>
      </w:lvl>
    </w:lvlOverride>
    <w:lvlOverride w:ilvl="1">
      <w:lvl w:ilvl="1">
        <w:start w:val="1"/>
        <w:numFmt w:val="decimal"/>
        <w:lvlRestart w:val="0"/>
        <w:lvlText w:val="(%2)"/>
        <w:lvlJc w:val="left"/>
        <w:pPr>
          <w:tabs>
            <w:tab w:val="num" w:pos="851"/>
          </w:tabs>
          <w:ind w:left="851" w:hanging="426"/>
        </w:pPr>
        <w:rPr>
          <w:rFonts w:hint="default"/>
        </w:rPr>
      </w:lvl>
    </w:lvlOverride>
    <w:lvlOverride w:ilvl="2">
      <w:lvl w:ilvl="2">
        <w:start w:val="1"/>
        <w:numFmt w:val="lowerLetter"/>
        <w:lvlRestart w:val="0"/>
        <w:lvlText w:val="(%3)"/>
        <w:lvlJc w:val="left"/>
        <w:pPr>
          <w:tabs>
            <w:tab w:val="num" w:pos="1276"/>
          </w:tabs>
          <w:ind w:left="1276" w:hanging="425"/>
        </w:pPr>
        <w:rPr>
          <w:rFonts w:hint="default"/>
        </w:rPr>
      </w:lvl>
    </w:lvlOverride>
    <w:lvlOverride w:ilvl="3">
      <w:lvl w:ilvl="3">
        <w:start w:val="1"/>
        <w:numFmt w:val="lowerRoman"/>
        <w:lvlRestart w:val="0"/>
        <w:lvlText w:val="(%4)"/>
        <w:lvlJc w:val="left"/>
        <w:pPr>
          <w:tabs>
            <w:tab w:val="num" w:pos="1701"/>
          </w:tabs>
          <w:ind w:left="1701" w:hanging="425"/>
        </w:pPr>
        <w:rPr>
          <w:rFonts w:hint="default"/>
        </w:rPr>
      </w:lvl>
    </w:lvlOverride>
    <w:lvlOverride w:ilvl="4">
      <w:lvl w:ilvl="4">
        <w:start w:val="1"/>
        <w:numFmt w:val="none"/>
        <w:lvlRestart w:val="0"/>
        <w:suff w:val="nothing"/>
        <w:lvlText w:val=""/>
        <w:lvlJc w:val="left"/>
        <w:pPr>
          <w:ind w:left="0" w:firstLine="0"/>
        </w:pPr>
        <w:rPr>
          <w:rFonts w:hint="default"/>
        </w:rPr>
      </w:lvl>
    </w:lvlOverride>
    <w:lvlOverride w:ilvl="5">
      <w:lvl w:ilvl="5">
        <w:start w:val="1"/>
        <w:numFmt w:val="none"/>
        <w:suff w:val="nothing"/>
        <w:lvlText w:val=""/>
        <w:lvlJc w:val="left"/>
        <w:pPr>
          <w:ind w:left="0" w:firstLine="0"/>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22">
    <w:abstractNumId w:val="5"/>
    <w:lvlOverride w:ilvl="0">
      <w:startOverride w:val="1"/>
      <w:lvl w:ilvl="0">
        <w:start w:val="1"/>
        <w:numFmt w:val="decimal"/>
        <w:pStyle w:val="BlockText"/>
        <w:lvlText w:val="%1."/>
        <w:lvlJc w:val="left"/>
        <w:pPr>
          <w:tabs>
            <w:tab w:val="num" w:pos="425"/>
          </w:tabs>
          <w:ind w:left="425" w:hanging="425"/>
        </w:pPr>
        <w:rPr>
          <w:rFonts w:hint="default"/>
          <w:b w:val="0"/>
        </w:rPr>
      </w:lvl>
    </w:lvlOverride>
    <w:lvlOverride w:ilvl="1">
      <w:startOverride w:val="1"/>
      <w:lvl w:ilvl="1">
        <w:start w:val="1"/>
        <w:numFmt w:val="decimal"/>
        <w:lvlRestart w:val="0"/>
        <w:lvlText w:val="(%2)"/>
        <w:lvlJc w:val="left"/>
        <w:pPr>
          <w:tabs>
            <w:tab w:val="num" w:pos="851"/>
          </w:tabs>
          <w:ind w:left="851" w:hanging="426"/>
        </w:pPr>
        <w:rPr>
          <w:rFonts w:ascii="Arial" w:eastAsia="Times New Roman" w:hAnsi="Arial" w:cs="Arial"/>
        </w:rPr>
      </w:lvl>
    </w:lvlOverride>
    <w:lvlOverride w:ilvl="2">
      <w:startOverride w:val="9"/>
      <w:lvl w:ilvl="2">
        <w:start w:val="9"/>
        <w:numFmt w:val="lowerLetter"/>
        <w:lvlText w:val="(%3)"/>
        <w:lvlJc w:val="left"/>
        <w:pPr>
          <w:tabs>
            <w:tab w:val="num" w:pos="1276"/>
          </w:tabs>
          <w:ind w:left="1276" w:hanging="425"/>
        </w:pPr>
        <w:rPr>
          <w:rFonts w:ascii="Arial" w:eastAsia="Times New Roman" w:hAnsi="Arial" w:cs="Arial"/>
        </w:rPr>
      </w:lvl>
    </w:lvlOverride>
  </w:num>
  <w:num w:numId="23">
    <w:abstractNumId w:val="5"/>
    <w:lvlOverride w:ilvl="0">
      <w:startOverride w:val="1"/>
      <w:lvl w:ilvl="0">
        <w:start w:val="1"/>
        <w:numFmt w:val="decimal"/>
        <w:pStyle w:val="BlockText"/>
        <w:lvlText w:val="%1."/>
        <w:lvlJc w:val="left"/>
        <w:pPr>
          <w:tabs>
            <w:tab w:val="num" w:pos="425"/>
          </w:tabs>
          <w:ind w:left="425" w:hanging="425"/>
        </w:pPr>
        <w:rPr>
          <w:rFonts w:hint="default"/>
          <w:b w:val="0"/>
        </w:rPr>
      </w:lvl>
    </w:lvlOverride>
    <w:lvlOverride w:ilvl="1">
      <w:startOverride w:val="1"/>
      <w:lvl w:ilvl="1">
        <w:start w:val="1"/>
        <w:numFmt w:val="decimal"/>
        <w:lvlRestart w:val="0"/>
        <w:lvlText w:val="(%2)"/>
        <w:lvlJc w:val="left"/>
        <w:pPr>
          <w:tabs>
            <w:tab w:val="num" w:pos="851"/>
          </w:tabs>
          <w:ind w:left="851" w:hanging="426"/>
        </w:pPr>
        <w:rPr>
          <w:rFonts w:ascii="Arial" w:eastAsia="Times New Roman" w:hAnsi="Arial" w:cs="Arial"/>
        </w:rPr>
      </w:lvl>
    </w:lvlOverride>
    <w:lvlOverride w:ilvl="2">
      <w:startOverride w:val="9"/>
      <w:lvl w:ilvl="2">
        <w:start w:val="9"/>
        <w:numFmt w:val="lowerLetter"/>
        <w:lvlText w:val="(%3)"/>
        <w:lvlJc w:val="left"/>
        <w:pPr>
          <w:tabs>
            <w:tab w:val="num" w:pos="1276"/>
          </w:tabs>
          <w:ind w:left="1276" w:hanging="425"/>
        </w:pPr>
        <w:rPr>
          <w:rFonts w:ascii="Arial" w:eastAsia="Times New Roman" w:hAnsi="Arial" w:cs="Arial"/>
        </w:rPr>
      </w:lvl>
    </w:lvlOverride>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68C"/>
    <w:rsid w:val="000027C9"/>
    <w:rsid w:val="000060BF"/>
    <w:rsid w:val="000064CB"/>
    <w:rsid w:val="000104AB"/>
    <w:rsid w:val="00010EEA"/>
    <w:rsid w:val="00013194"/>
    <w:rsid w:val="00013AA4"/>
    <w:rsid w:val="00017B0E"/>
    <w:rsid w:val="0002150C"/>
    <w:rsid w:val="00022413"/>
    <w:rsid w:val="00023645"/>
    <w:rsid w:val="00025614"/>
    <w:rsid w:val="000302C0"/>
    <w:rsid w:val="000333C6"/>
    <w:rsid w:val="000376B2"/>
    <w:rsid w:val="000424F1"/>
    <w:rsid w:val="00042BC9"/>
    <w:rsid w:val="00045CCE"/>
    <w:rsid w:val="00046838"/>
    <w:rsid w:val="0005160E"/>
    <w:rsid w:val="00054E58"/>
    <w:rsid w:val="00055A15"/>
    <w:rsid w:val="00055F6E"/>
    <w:rsid w:val="000567BE"/>
    <w:rsid w:val="0005747B"/>
    <w:rsid w:val="00063A93"/>
    <w:rsid w:val="00063EAC"/>
    <w:rsid w:val="00067AE5"/>
    <w:rsid w:val="00070001"/>
    <w:rsid w:val="000755D7"/>
    <w:rsid w:val="00081963"/>
    <w:rsid w:val="00081984"/>
    <w:rsid w:val="000917B2"/>
    <w:rsid w:val="00091DD0"/>
    <w:rsid w:val="0009308F"/>
    <w:rsid w:val="00094D2B"/>
    <w:rsid w:val="000968BE"/>
    <w:rsid w:val="000A058E"/>
    <w:rsid w:val="000A1789"/>
    <w:rsid w:val="000A42EB"/>
    <w:rsid w:val="000A4350"/>
    <w:rsid w:val="000A57FE"/>
    <w:rsid w:val="000A5BAB"/>
    <w:rsid w:val="000A5FAF"/>
    <w:rsid w:val="000A6CBF"/>
    <w:rsid w:val="000A7ABD"/>
    <w:rsid w:val="000B1FE4"/>
    <w:rsid w:val="000C0DD5"/>
    <w:rsid w:val="000C2C04"/>
    <w:rsid w:val="000C3AD0"/>
    <w:rsid w:val="000C5DAB"/>
    <w:rsid w:val="000D21B9"/>
    <w:rsid w:val="000D4683"/>
    <w:rsid w:val="000D5BB2"/>
    <w:rsid w:val="000D760C"/>
    <w:rsid w:val="000E26E6"/>
    <w:rsid w:val="000E4D8E"/>
    <w:rsid w:val="000F7515"/>
    <w:rsid w:val="0010267A"/>
    <w:rsid w:val="00105154"/>
    <w:rsid w:val="00112237"/>
    <w:rsid w:val="001171EA"/>
    <w:rsid w:val="00117E21"/>
    <w:rsid w:val="00117F5D"/>
    <w:rsid w:val="00120400"/>
    <w:rsid w:val="0012101B"/>
    <w:rsid w:val="00125866"/>
    <w:rsid w:val="0012610A"/>
    <w:rsid w:val="001271FF"/>
    <w:rsid w:val="0013250A"/>
    <w:rsid w:val="00134634"/>
    <w:rsid w:val="00135C96"/>
    <w:rsid w:val="001364CD"/>
    <w:rsid w:val="001407E2"/>
    <w:rsid w:val="00141C16"/>
    <w:rsid w:val="001422DD"/>
    <w:rsid w:val="001521B6"/>
    <w:rsid w:val="00153959"/>
    <w:rsid w:val="00153AFD"/>
    <w:rsid w:val="001545F9"/>
    <w:rsid w:val="001579C2"/>
    <w:rsid w:val="00160881"/>
    <w:rsid w:val="0016262C"/>
    <w:rsid w:val="00164258"/>
    <w:rsid w:val="00164A3A"/>
    <w:rsid w:val="00166509"/>
    <w:rsid w:val="00167656"/>
    <w:rsid w:val="0017493D"/>
    <w:rsid w:val="00176573"/>
    <w:rsid w:val="0017755B"/>
    <w:rsid w:val="00177DD9"/>
    <w:rsid w:val="0018229E"/>
    <w:rsid w:val="00184056"/>
    <w:rsid w:val="00184984"/>
    <w:rsid w:val="00184B7C"/>
    <w:rsid w:val="00187674"/>
    <w:rsid w:val="00192F6F"/>
    <w:rsid w:val="0019571B"/>
    <w:rsid w:val="001971A1"/>
    <w:rsid w:val="0019771F"/>
    <w:rsid w:val="001A6196"/>
    <w:rsid w:val="001B71AE"/>
    <w:rsid w:val="001B7AC7"/>
    <w:rsid w:val="001C05EC"/>
    <w:rsid w:val="001C422C"/>
    <w:rsid w:val="001C4568"/>
    <w:rsid w:val="001D27E9"/>
    <w:rsid w:val="001D4089"/>
    <w:rsid w:val="001D48AD"/>
    <w:rsid w:val="001D5A9F"/>
    <w:rsid w:val="001D6742"/>
    <w:rsid w:val="001D69E9"/>
    <w:rsid w:val="001D7275"/>
    <w:rsid w:val="001D7DC4"/>
    <w:rsid w:val="001E1B16"/>
    <w:rsid w:val="001E3578"/>
    <w:rsid w:val="001E6135"/>
    <w:rsid w:val="001F4991"/>
    <w:rsid w:val="001F5273"/>
    <w:rsid w:val="001F60FE"/>
    <w:rsid w:val="001F6B23"/>
    <w:rsid w:val="001F7B6E"/>
    <w:rsid w:val="0020232B"/>
    <w:rsid w:val="00204372"/>
    <w:rsid w:val="002048E7"/>
    <w:rsid w:val="00207E37"/>
    <w:rsid w:val="00210686"/>
    <w:rsid w:val="002115E6"/>
    <w:rsid w:val="00211ADE"/>
    <w:rsid w:val="00215A9D"/>
    <w:rsid w:val="0021684D"/>
    <w:rsid w:val="00217D44"/>
    <w:rsid w:val="00220E1E"/>
    <w:rsid w:val="00221114"/>
    <w:rsid w:val="0022361B"/>
    <w:rsid w:val="00224644"/>
    <w:rsid w:val="0022584E"/>
    <w:rsid w:val="00226794"/>
    <w:rsid w:val="0023065C"/>
    <w:rsid w:val="002306CE"/>
    <w:rsid w:val="0023083D"/>
    <w:rsid w:val="002374AC"/>
    <w:rsid w:val="00237B7C"/>
    <w:rsid w:val="00242910"/>
    <w:rsid w:val="002440CC"/>
    <w:rsid w:val="0024555A"/>
    <w:rsid w:val="002466CE"/>
    <w:rsid w:val="00252446"/>
    <w:rsid w:val="002524C0"/>
    <w:rsid w:val="002526A8"/>
    <w:rsid w:val="00252EA3"/>
    <w:rsid w:val="0025439F"/>
    <w:rsid w:val="002545A4"/>
    <w:rsid w:val="002546CB"/>
    <w:rsid w:val="002548C6"/>
    <w:rsid w:val="002555DE"/>
    <w:rsid w:val="00271740"/>
    <w:rsid w:val="00273FA7"/>
    <w:rsid w:val="0027710E"/>
    <w:rsid w:val="002863EF"/>
    <w:rsid w:val="00295BEF"/>
    <w:rsid w:val="00297E74"/>
    <w:rsid w:val="002A0380"/>
    <w:rsid w:val="002A03A5"/>
    <w:rsid w:val="002A3775"/>
    <w:rsid w:val="002A5567"/>
    <w:rsid w:val="002A5623"/>
    <w:rsid w:val="002A7D1F"/>
    <w:rsid w:val="002B1738"/>
    <w:rsid w:val="002C0386"/>
    <w:rsid w:val="002C0520"/>
    <w:rsid w:val="002C0842"/>
    <w:rsid w:val="002C1012"/>
    <w:rsid w:val="002C1DA7"/>
    <w:rsid w:val="002C1F51"/>
    <w:rsid w:val="002C267D"/>
    <w:rsid w:val="002D0E5F"/>
    <w:rsid w:val="002D4686"/>
    <w:rsid w:val="002D6B9D"/>
    <w:rsid w:val="002D7B81"/>
    <w:rsid w:val="002E1CE1"/>
    <w:rsid w:val="002E56E3"/>
    <w:rsid w:val="002F06DC"/>
    <w:rsid w:val="002F6059"/>
    <w:rsid w:val="002F7654"/>
    <w:rsid w:val="002F7B61"/>
    <w:rsid w:val="00301586"/>
    <w:rsid w:val="003073AB"/>
    <w:rsid w:val="00307F79"/>
    <w:rsid w:val="00313195"/>
    <w:rsid w:val="00314B99"/>
    <w:rsid w:val="00314C98"/>
    <w:rsid w:val="00314E75"/>
    <w:rsid w:val="00323FDD"/>
    <w:rsid w:val="00325FA3"/>
    <w:rsid w:val="00327C11"/>
    <w:rsid w:val="00330CA3"/>
    <w:rsid w:val="003321E7"/>
    <w:rsid w:val="00332D45"/>
    <w:rsid w:val="00334188"/>
    <w:rsid w:val="0033545B"/>
    <w:rsid w:val="003371A0"/>
    <w:rsid w:val="00340212"/>
    <w:rsid w:val="00343BDF"/>
    <w:rsid w:val="003455BA"/>
    <w:rsid w:val="003458E7"/>
    <w:rsid w:val="00350C52"/>
    <w:rsid w:val="00350DA3"/>
    <w:rsid w:val="00351584"/>
    <w:rsid w:val="0035373D"/>
    <w:rsid w:val="00354185"/>
    <w:rsid w:val="003541ED"/>
    <w:rsid w:val="00354627"/>
    <w:rsid w:val="00355A73"/>
    <w:rsid w:val="00355AD3"/>
    <w:rsid w:val="003566B4"/>
    <w:rsid w:val="003627B1"/>
    <w:rsid w:val="003649F0"/>
    <w:rsid w:val="00364C2F"/>
    <w:rsid w:val="00364D5F"/>
    <w:rsid w:val="00365875"/>
    <w:rsid w:val="003659AD"/>
    <w:rsid w:val="003668F9"/>
    <w:rsid w:val="00371470"/>
    <w:rsid w:val="00371523"/>
    <w:rsid w:val="00371C86"/>
    <w:rsid w:val="00371DC6"/>
    <w:rsid w:val="00371E1A"/>
    <w:rsid w:val="003765CD"/>
    <w:rsid w:val="00385103"/>
    <w:rsid w:val="003853FF"/>
    <w:rsid w:val="00386424"/>
    <w:rsid w:val="00386D5A"/>
    <w:rsid w:val="0038749B"/>
    <w:rsid w:val="00390A71"/>
    <w:rsid w:val="00393DD6"/>
    <w:rsid w:val="00394D70"/>
    <w:rsid w:val="0039737A"/>
    <w:rsid w:val="003A525E"/>
    <w:rsid w:val="003A7455"/>
    <w:rsid w:val="003B21D5"/>
    <w:rsid w:val="003B3E34"/>
    <w:rsid w:val="003B4A50"/>
    <w:rsid w:val="003B4C4C"/>
    <w:rsid w:val="003B680A"/>
    <w:rsid w:val="003C1073"/>
    <w:rsid w:val="003C6832"/>
    <w:rsid w:val="003D0F41"/>
    <w:rsid w:val="003D26A8"/>
    <w:rsid w:val="003D3B4E"/>
    <w:rsid w:val="003D3D24"/>
    <w:rsid w:val="003D3F73"/>
    <w:rsid w:val="003D400C"/>
    <w:rsid w:val="003D4E9C"/>
    <w:rsid w:val="003D5245"/>
    <w:rsid w:val="003E23F6"/>
    <w:rsid w:val="003E5274"/>
    <w:rsid w:val="003E62DE"/>
    <w:rsid w:val="003E6316"/>
    <w:rsid w:val="003E6C1D"/>
    <w:rsid w:val="003E73C1"/>
    <w:rsid w:val="003F39FC"/>
    <w:rsid w:val="003F5E2C"/>
    <w:rsid w:val="003F6521"/>
    <w:rsid w:val="003F70DD"/>
    <w:rsid w:val="003F7195"/>
    <w:rsid w:val="003F73D3"/>
    <w:rsid w:val="003F7433"/>
    <w:rsid w:val="003F7BDE"/>
    <w:rsid w:val="00401F0A"/>
    <w:rsid w:val="004050CF"/>
    <w:rsid w:val="0041111B"/>
    <w:rsid w:val="004124F6"/>
    <w:rsid w:val="00412F76"/>
    <w:rsid w:val="004130A1"/>
    <w:rsid w:val="0041454C"/>
    <w:rsid w:val="00415D08"/>
    <w:rsid w:val="0041637D"/>
    <w:rsid w:val="0041795D"/>
    <w:rsid w:val="00424DCE"/>
    <w:rsid w:val="004302A2"/>
    <w:rsid w:val="004304AF"/>
    <w:rsid w:val="00430725"/>
    <w:rsid w:val="0043127D"/>
    <w:rsid w:val="00431E0A"/>
    <w:rsid w:val="00432945"/>
    <w:rsid w:val="00434F1E"/>
    <w:rsid w:val="004362E6"/>
    <w:rsid w:val="004379E6"/>
    <w:rsid w:val="004407DC"/>
    <w:rsid w:val="0045355B"/>
    <w:rsid w:val="0045415A"/>
    <w:rsid w:val="0045697A"/>
    <w:rsid w:val="00456CDA"/>
    <w:rsid w:val="004572A6"/>
    <w:rsid w:val="00461243"/>
    <w:rsid w:val="00463743"/>
    <w:rsid w:val="004646F7"/>
    <w:rsid w:val="00465AB2"/>
    <w:rsid w:val="00466FB5"/>
    <w:rsid w:val="00470036"/>
    <w:rsid w:val="004707BC"/>
    <w:rsid w:val="004726D4"/>
    <w:rsid w:val="00473F14"/>
    <w:rsid w:val="004742EA"/>
    <w:rsid w:val="004743B6"/>
    <w:rsid w:val="00474B80"/>
    <w:rsid w:val="00476314"/>
    <w:rsid w:val="00477716"/>
    <w:rsid w:val="00481F7B"/>
    <w:rsid w:val="00482184"/>
    <w:rsid w:val="00482C30"/>
    <w:rsid w:val="00490396"/>
    <w:rsid w:val="0049040E"/>
    <w:rsid w:val="004909A0"/>
    <w:rsid w:val="00490C82"/>
    <w:rsid w:val="00492379"/>
    <w:rsid w:val="004941E5"/>
    <w:rsid w:val="00494D6F"/>
    <w:rsid w:val="004A4A2C"/>
    <w:rsid w:val="004A5CE6"/>
    <w:rsid w:val="004A60E1"/>
    <w:rsid w:val="004B003D"/>
    <w:rsid w:val="004B39EB"/>
    <w:rsid w:val="004B4803"/>
    <w:rsid w:val="004B4B9D"/>
    <w:rsid w:val="004B4E97"/>
    <w:rsid w:val="004C0D46"/>
    <w:rsid w:val="004C12DE"/>
    <w:rsid w:val="004C2C1A"/>
    <w:rsid w:val="004C3EEB"/>
    <w:rsid w:val="004C5782"/>
    <w:rsid w:val="004C5891"/>
    <w:rsid w:val="004C6027"/>
    <w:rsid w:val="004D3B44"/>
    <w:rsid w:val="004E09CA"/>
    <w:rsid w:val="004E12A2"/>
    <w:rsid w:val="004E391B"/>
    <w:rsid w:val="004E502F"/>
    <w:rsid w:val="004E5F24"/>
    <w:rsid w:val="004E69E8"/>
    <w:rsid w:val="004E7418"/>
    <w:rsid w:val="004E7998"/>
    <w:rsid w:val="004F103E"/>
    <w:rsid w:val="004F3D64"/>
    <w:rsid w:val="004F6282"/>
    <w:rsid w:val="004F7B02"/>
    <w:rsid w:val="00500BE6"/>
    <w:rsid w:val="00502BB8"/>
    <w:rsid w:val="0050534D"/>
    <w:rsid w:val="0050791F"/>
    <w:rsid w:val="005169D1"/>
    <w:rsid w:val="00516D27"/>
    <w:rsid w:val="00517382"/>
    <w:rsid w:val="005205CA"/>
    <w:rsid w:val="00520F76"/>
    <w:rsid w:val="00522191"/>
    <w:rsid w:val="00525881"/>
    <w:rsid w:val="0052614B"/>
    <w:rsid w:val="0052675D"/>
    <w:rsid w:val="00526B7A"/>
    <w:rsid w:val="00530165"/>
    <w:rsid w:val="005302CE"/>
    <w:rsid w:val="005309A7"/>
    <w:rsid w:val="00532754"/>
    <w:rsid w:val="00532BD3"/>
    <w:rsid w:val="00536D97"/>
    <w:rsid w:val="00536F37"/>
    <w:rsid w:val="00537837"/>
    <w:rsid w:val="005400EA"/>
    <w:rsid w:val="005419BC"/>
    <w:rsid w:val="00541EF1"/>
    <w:rsid w:val="005428F8"/>
    <w:rsid w:val="00542966"/>
    <w:rsid w:val="00545D20"/>
    <w:rsid w:val="0054743D"/>
    <w:rsid w:val="005475C0"/>
    <w:rsid w:val="00547681"/>
    <w:rsid w:val="0055034F"/>
    <w:rsid w:val="00551CBC"/>
    <w:rsid w:val="00552288"/>
    <w:rsid w:val="00555249"/>
    <w:rsid w:val="0055694D"/>
    <w:rsid w:val="005572F5"/>
    <w:rsid w:val="00560D34"/>
    <w:rsid w:val="0056224B"/>
    <w:rsid w:val="005628C3"/>
    <w:rsid w:val="00562938"/>
    <w:rsid w:val="0056434C"/>
    <w:rsid w:val="00566890"/>
    <w:rsid w:val="00570257"/>
    <w:rsid w:val="005707AB"/>
    <w:rsid w:val="00572867"/>
    <w:rsid w:val="00573A16"/>
    <w:rsid w:val="0058140E"/>
    <w:rsid w:val="00581D64"/>
    <w:rsid w:val="005822E4"/>
    <w:rsid w:val="00582D7B"/>
    <w:rsid w:val="005835A4"/>
    <w:rsid w:val="005855C5"/>
    <w:rsid w:val="0058646E"/>
    <w:rsid w:val="00587446"/>
    <w:rsid w:val="0059377F"/>
    <w:rsid w:val="005954C3"/>
    <w:rsid w:val="00596353"/>
    <w:rsid w:val="00596B7E"/>
    <w:rsid w:val="00596C30"/>
    <w:rsid w:val="005A0101"/>
    <w:rsid w:val="005A6A98"/>
    <w:rsid w:val="005A6EAB"/>
    <w:rsid w:val="005B03D6"/>
    <w:rsid w:val="005B3B6D"/>
    <w:rsid w:val="005B419B"/>
    <w:rsid w:val="005B43D5"/>
    <w:rsid w:val="005B4B9A"/>
    <w:rsid w:val="005B6736"/>
    <w:rsid w:val="005C3517"/>
    <w:rsid w:val="005D05A1"/>
    <w:rsid w:val="005D0992"/>
    <w:rsid w:val="005D4468"/>
    <w:rsid w:val="005D54FC"/>
    <w:rsid w:val="005E5A0B"/>
    <w:rsid w:val="005E722D"/>
    <w:rsid w:val="005F0CAA"/>
    <w:rsid w:val="005F1765"/>
    <w:rsid w:val="005F21D9"/>
    <w:rsid w:val="005F4E30"/>
    <w:rsid w:val="005F79B0"/>
    <w:rsid w:val="006023B8"/>
    <w:rsid w:val="0060284F"/>
    <w:rsid w:val="006034B6"/>
    <w:rsid w:val="00605813"/>
    <w:rsid w:val="00605CAB"/>
    <w:rsid w:val="006102F8"/>
    <w:rsid w:val="00612747"/>
    <w:rsid w:val="00612DC3"/>
    <w:rsid w:val="00612FBB"/>
    <w:rsid w:val="0061625F"/>
    <w:rsid w:val="006226DC"/>
    <w:rsid w:val="00623756"/>
    <w:rsid w:val="00624CDA"/>
    <w:rsid w:val="00626B28"/>
    <w:rsid w:val="00630FFB"/>
    <w:rsid w:val="006328AE"/>
    <w:rsid w:val="00632A1A"/>
    <w:rsid w:val="00634CF3"/>
    <w:rsid w:val="00635C62"/>
    <w:rsid w:val="00635F78"/>
    <w:rsid w:val="00636258"/>
    <w:rsid w:val="00645230"/>
    <w:rsid w:val="00645F0D"/>
    <w:rsid w:val="006501B7"/>
    <w:rsid w:val="00654280"/>
    <w:rsid w:val="00654F0E"/>
    <w:rsid w:val="006552F7"/>
    <w:rsid w:val="006575EA"/>
    <w:rsid w:val="006667F9"/>
    <w:rsid w:val="00666B9B"/>
    <w:rsid w:val="0066709F"/>
    <w:rsid w:val="0066768C"/>
    <w:rsid w:val="006831AE"/>
    <w:rsid w:val="00686FF3"/>
    <w:rsid w:val="0069461E"/>
    <w:rsid w:val="006A21A5"/>
    <w:rsid w:val="006A30C4"/>
    <w:rsid w:val="006A356D"/>
    <w:rsid w:val="006A5A5D"/>
    <w:rsid w:val="006A6E06"/>
    <w:rsid w:val="006B002A"/>
    <w:rsid w:val="006B0776"/>
    <w:rsid w:val="006B19DB"/>
    <w:rsid w:val="006B3D13"/>
    <w:rsid w:val="006B455C"/>
    <w:rsid w:val="006B605D"/>
    <w:rsid w:val="006B7698"/>
    <w:rsid w:val="006C05D0"/>
    <w:rsid w:val="006C1229"/>
    <w:rsid w:val="006C12B1"/>
    <w:rsid w:val="006C360A"/>
    <w:rsid w:val="006C7522"/>
    <w:rsid w:val="006D0C05"/>
    <w:rsid w:val="006D19A1"/>
    <w:rsid w:val="006D1FAB"/>
    <w:rsid w:val="006D34E1"/>
    <w:rsid w:val="006D7D4A"/>
    <w:rsid w:val="006E03DB"/>
    <w:rsid w:val="006E0735"/>
    <w:rsid w:val="006E32F6"/>
    <w:rsid w:val="006E3A88"/>
    <w:rsid w:val="006E3FC6"/>
    <w:rsid w:val="006E79AA"/>
    <w:rsid w:val="006F1AB6"/>
    <w:rsid w:val="006F4F19"/>
    <w:rsid w:val="006F56AA"/>
    <w:rsid w:val="006F5C85"/>
    <w:rsid w:val="00700C9F"/>
    <w:rsid w:val="00703666"/>
    <w:rsid w:val="00704B26"/>
    <w:rsid w:val="0070603B"/>
    <w:rsid w:val="00706F00"/>
    <w:rsid w:val="00713E0D"/>
    <w:rsid w:val="00720153"/>
    <w:rsid w:val="00724967"/>
    <w:rsid w:val="00731530"/>
    <w:rsid w:val="00736DB7"/>
    <w:rsid w:val="00740076"/>
    <w:rsid w:val="0074419C"/>
    <w:rsid w:val="007445E4"/>
    <w:rsid w:val="007501B1"/>
    <w:rsid w:val="0075132E"/>
    <w:rsid w:val="0075176D"/>
    <w:rsid w:val="0075179B"/>
    <w:rsid w:val="00752174"/>
    <w:rsid w:val="007553B7"/>
    <w:rsid w:val="00755BFC"/>
    <w:rsid w:val="007572CE"/>
    <w:rsid w:val="00757465"/>
    <w:rsid w:val="00761932"/>
    <w:rsid w:val="00762067"/>
    <w:rsid w:val="00762918"/>
    <w:rsid w:val="00762969"/>
    <w:rsid w:val="00763A20"/>
    <w:rsid w:val="00767E45"/>
    <w:rsid w:val="007719DE"/>
    <w:rsid w:val="0077354E"/>
    <w:rsid w:val="007735E7"/>
    <w:rsid w:val="00773B36"/>
    <w:rsid w:val="00777491"/>
    <w:rsid w:val="00780551"/>
    <w:rsid w:val="00780F8C"/>
    <w:rsid w:val="007817A1"/>
    <w:rsid w:val="00781FEF"/>
    <w:rsid w:val="007829AE"/>
    <w:rsid w:val="00784A94"/>
    <w:rsid w:val="00787076"/>
    <w:rsid w:val="007909A4"/>
    <w:rsid w:val="00791ACA"/>
    <w:rsid w:val="00793101"/>
    <w:rsid w:val="007974C2"/>
    <w:rsid w:val="00797A22"/>
    <w:rsid w:val="007A07E8"/>
    <w:rsid w:val="007A553D"/>
    <w:rsid w:val="007B1307"/>
    <w:rsid w:val="007B51DD"/>
    <w:rsid w:val="007B7CC0"/>
    <w:rsid w:val="007C00D2"/>
    <w:rsid w:val="007C0763"/>
    <w:rsid w:val="007C0E96"/>
    <w:rsid w:val="007C1D40"/>
    <w:rsid w:val="007C25F2"/>
    <w:rsid w:val="007C4B87"/>
    <w:rsid w:val="007C62CA"/>
    <w:rsid w:val="007C71F4"/>
    <w:rsid w:val="007D1969"/>
    <w:rsid w:val="007D2907"/>
    <w:rsid w:val="007D290F"/>
    <w:rsid w:val="007D2936"/>
    <w:rsid w:val="007D34CA"/>
    <w:rsid w:val="007D40A4"/>
    <w:rsid w:val="007D4D03"/>
    <w:rsid w:val="007D6FFF"/>
    <w:rsid w:val="007D7071"/>
    <w:rsid w:val="007E301C"/>
    <w:rsid w:val="007E4470"/>
    <w:rsid w:val="007E6321"/>
    <w:rsid w:val="007E6726"/>
    <w:rsid w:val="007F0790"/>
    <w:rsid w:val="007F10F3"/>
    <w:rsid w:val="007F23CE"/>
    <w:rsid w:val="007F3D47"/>
    <w:rsid w:val="007F458D"/>
    <w:rsid w:val="007F5D91"/>
    <w:rsid w:val="007F5FDB"/>
    <w:rsid w:val="007F658A"/>
    <w:rsid w:val="007F7259"/>
    <w:rsid w:val="007F78D8"/>
    <w:rsid w:val="00801DC1"/>
    <w:rsid w:val="008049A2"/>
    <w:rsid w:val="008054FB"/>
    <w:rsid w:val="00805829"/>
    <w:rsid w:val="00807DD2"/>
    <w:rsid w:val="0081121C"/>
    <w:rsid w:val="0081131C"/>
    <w:rsid w:val="00821BA6"/>
    <w:rsid w:val="00824BAA"/>
    <w:rsid w:val="00824DF7"/>
    <w:rsid w:val="00826CC4"/>
    <w:rsid w:val="00827A50"/>
    <w:rsid w:val="0083061E"/>
    <w:rsid w:val="008323D0"/>
    <w:rsid w:val="00832DC1"/>
    <w:rsid w:val="0084462A"/>
    <w:rsid w:val="008525BF"/>
    <w:rsid w:val="00853FE9"/>
    <w:rsid w:val="00854345"/>
    <w:rsid w:val="00855DA8"/>
    <w:rsid w:val="00856984"/>
    <w:rsid w:val="008618DE"/>
    <w:rsid w:val="008642D5"/>
    <w:rsid w:val="00864645"/>
    <w:rsid w:val="00865384"/>
    <w:rsid w:val="00866773"/>
    <w:rsid w:val="00870AFD"/>
    <w:rsid w:val="00874692"/>
    <w:rsid w:val="00875635"/>
    <w:rsid w:val="00880CC9"/>
    <w:rsid w:val="0088327C"/>
    <w:rsid w:val="00883C89"/>
    <w:rsid w:val="0088762D"/>
    <w:rsid w:val="008877ED"/>
    <w:rsid w:val="00890DB6"/>
    <w:rsid w:val="008933D8"/>
    <w:rsid w:val="00894FB2"/>
    <w:rsid w:val="008A0085"/>
    <w:rsid w:val="008A01FE"/>
    <w:rsid w:val="008A0833"/>
    <w:rsid w:val="008A0912"/>
    <w:rsid w:val="008A0DC2"/>
    <w:rsid w:val="008A3E60"/>
    <w:rsid w:val="008A43A5"/>
    <w:rsid w:val="008A7265"/>
    <w:rsid w:val="008B23E9"/>
    <w:rsid w:val="008B3039"/>
    <w:rsid w:val="008B7DDB"/>
    <w:rsid w:val="008C0559"/>
    <w:rsid w:val="008C1207"/>
    <w:rsid w:val="008C1F12"/>
    <w:rsid w:val="008C3763"/>
    <w:rsid w:val="008D038F"/>
    <w:rsid w:val="008D0BA9"/>
    <w:rsid w:val="008D2392"/>
    <w:rsid w:val="008D5BB0"/>
    <w:rsid w:val="008D7117"/>
    <w:rsid w:val="008E1DC7"/>
    <w:rsid w:val="008E3590"/>
    <w:rsid w:val="008E5AC0"/>
    <w:rsid w:val="008E6244"/>
    <w:rsid w:val="008E7052"/>
    <w:rsid w:val="008F2821"/>
    <w:rsid w:val="008F2A38"/>
    <w:rsid w:val="008F3E64"/>
    <w:rsid w:val="008F5DAC"/>
    <w:rsid w:val="008F7654"/>
    <w:rsid w:val="0090131A"/>
    <w:rsid w:val="00902884"/>
    <w:rsid w:val="00903EAE"/>
    <w:rsid w:val="009069DD"/>
    <w:rsid w:val="0091589D"/>
    <w:rsid w:val="009160DD"/>
    <w:rsid w:val="00927908"/>
    <w:rsid w:val="009312EE"/>
    <w:rsid w:val="00931A46"/>
    <w:rsid w:val="009329EC"/>
    <w:rsid w:val="009342C0"/>
    <w:rsid w:val="00937B15"/>
    <w:rsid w:val="00941D3B"/>
    <w:rsid w:val="0094283A"/>
    <w:rsid w:val="00944373"/>
    <w:rsid w:val="00944463"/>
    <w:rsid w:val="0094548B"/>
    <w:rsid w:val="00945823"/>
    <w:rsid w:val="00947358"/>
    <w:rsid w:val="00951504"/>
    <w:rsid w:val="00955AC5"/>
    <w:rsid w:val="00956834"/>
    <w:rsid w:val="0096299F"/>
    <w:rsid w:val="00963F1E"/>
    <w:rsid w:val="00966B8B"/>
    <w:rsid w:val="00971B1A"/>
    <w:rsid w:val="00972562"/>
    <w:rsid w:val="0097383F"/>
    <w:rsid w:val="00977B6E"/>
    <w:rsid w:val="009819DF"/>
    <w:rsid w:val="00981A37"/>
    <w:rsid w:val="00981DD0"/>
    <w:rsid w:val="009831E4"/>
    <w:rsid w:val="009864E4"/>
    <w:rsid w:val="009912B8"/>
    <w:rsid w:val="00993121"/>
    <w:rsid w:val="0099370B"/>
    <w:rsid w:val="00993BA5"/>
    <w:rsid w:val="009A4C0F"/>
    <w:rsid w:val="009A5957"/>
    <w:rsid w:val="009A5B4C"/>
    <w:rsid w:val="009A75A0"/>
    <w:rsid w:val="009B08B2"/>
    <w:rsid w:val="009B13A1"/>
    <w:rsid w:val="009B1546"/>
    <w:rsid w:val="009B1644"/>
    <w:rsid w:val="009B2C66"/>
    <w:rsid w:val="009B30B2"/>
    <w:rsid w:val="009C414E"/>
    <w:rsid w:val="009D0425"/>
    <w:rsid w:val="009D1CC1"/>
    <w:rsid w:val="009D385D"/>
    <w:rsid w:val="009D5D56"/>
    <w:rsid w:val="009D5DA2"/>
    <w:rsid w:val="009D6C8B"/>
    <w:rsid w:val="009E0273"/>
    <w:rsid w:val="009E1CE4"/>
    <w:rsid w:val="009E2103"/>
    <w:rsid w:val="009E21DC"/>
    <w:rsid w:val="009E7450"/>
    <w:rsid w:val="009F372D"/>
    <w:rsid w:val="009F3A74"/>
    <w:rsid w:val="009F48CB"/>
    <w:rsid w:val="009F5A99"/>
    <w:rsid w:val="009F6DAD"/>
    <w:rsid w:val="009F73C1"/>
    <w:rsid w:val="009F759A"/>
    <w:rsid w:val="00A00C96"/>
    <w:rsid w:val="00A00F49"/>
    <w:rsid w:val="00A00FF6"/>
    <w:rsid w:val="00A03DF6"/>
    <w:rsid w:val="00A047F2"/>
    <w:rsid w:val="00A06FB0"/>
    <w:rsid w:val="00A10398"/>
    <w:rsid w:val="00A10DB1"/>
    <w:rsid w:val="00A1193E"/>
    <w:rsid w:val="00A138CD"/>
    <w:rsid w:val="00A15B51"/>
    <w:rsid w:val="00A16927"/>
    <w:rsid w:val="00A2194D"/>
    <w:rsid w:val="00A23E15"/>
    <w:rsid w:val="00A255CB"/>
    <w:rsid w:val="00A27062"/>
    <w:rsid w:val="00A271E9"/>
    <w:rsid w:val="00A3089F"/>
    <w:rsid w:val="00A30A6C"/>
    <w:rsid w:val="00A36699"/>
    <w:rsid w:val="00A45774"/>
    <w:rsid w:val="00A47EC0"/>
    <w:rsid w:val="00A537CF"/>
    <w:rsid w:val="00A5494C"/>
    <w:rsid w:val="00A55ECC"/>
    <w:rsid w:val="00A57A39"/>
    <w:rsid w:val="00A60570"/>
    <w:rsid w:val="00A608B1"/>
    <w:rsid w:val="00A641DF"/>
    <w:rsid w:val="00A65BF5"/>
    <w:rsid w:val="00A7187B"/>
    <w:rsid w:val="00A728DB"/>
    <w:rsid w:val="00A73C0C"/>
    <w:rsid w:val="00A8111D"/>
    <w:rsid w:val="00A8134F"/>
    <w:rsid w:val="00A81BDC"/>
    <w:rsid w:val="00A82727"/>
    <w:rsid w:val="00A8454A"/>
    <w:rsid w:val="00A84B88"/>
    <w:rsid w:val="00A902C4"/>
    <w:rsid w:val="00A90B00"/>
    <w:rsid w:val="00A90CF6"/>
    <w:rsid w:val="00A938D6"/>
    <w:rsid w:val="00A9456C"/>
    <w:rsid w:val="00A94CD2"/>
    <w:rsid w:val="00A968CE"/>
    <w:rsid w:val="00A97CCB"/>
    <w:rsid w:val="00A97E7A"/>
    <w:rsid w:val="00AA04C3"/>
    <w:rsid w:val="00AA0714"/>
    <w:rsid w:val="00AA184B"/>
    <w:rsid w:val="00AA548A"/>
    <w:rsid w:val="00AA6273"/>
    <w:rsid w:val="00AA632B"/>
    <w:rsid w:val="00AA7082"/>
    <w:rsid w:val="00AB1281"/>
    <w:rsid w:val="00AB22EA"/>
    <w:rsid w:val="00AB3949"/>
    <w:rsid w:val="00AB3EA7"/>
    <w:rsid w:val="00AB4AB1"/>
    <w:rsid w:val="00AB5CE5"/>
    <w:rsid w:val="00AC0479"/>
    <w:rsid w:val="00AC2340"/>
    <w:rsid w:val="00AC5873"/>
    <w:rsid w:val="00AC6677"/>
    <w:rsid w:val="00AD2225"/>
    <w:rsid w:val="00AD3C3C"/>
    <w:rsid w:val="00AD5CC0"/>
    <w:rsid w:val="00AD5EAB"/>
    <w:rsid w:val="00AD5EAF"/>
    <w:rsid w:val="00AE0B75"/>
    <w:rsid w:val="00AE2154"/>
    <w:rsid w:val="00AF1B91"/>
    <w:rsid w:val="00AF2DB3"/>
    <w:rsid w:val="00AF35EB"/>
    <w:rsid w:val="00AF42F0"/>
    <w:rsid w:val="00AF5B58"/>
    <w:rsid w:val="00B0128A"/>
    <w:rsid w:val="00B01BD5"/>
    <w:rsid w:val="00B02AB8"/>
    <w:rsid w:val="00B03943"/>
    <w:rsid w:val="00B11074"/>
    <w:rsid w:val="00B131D7"/>
    <w:rsid w:val="00B142D1"/>
    <w:rsid w:val="00B144E7"/>
    <w:rsid w:val="00B14E33"/>
    <w:rsid w:val="00B16B84"/>
    <w:rsid w:val="00B17B7E"/>
    <w:rsid w:val="00B21D03"/>
    <w:rsid w:val="00B23100"/>
    <w:rsid w:val="00B33E0F"/>
    <w:rsid w:val="00B407CC"/>
    <w:rsid w:val="00B40B5C"/>
    <w:rsid w:val="00B44A62"/>
    <w:rsid w:val="00B5228C"/>
    <w:rsid w:val="00B5270D"/>
    <w:rsid w:val="00B54F76"/>
    <w:rsid w:val="00B555A0"/>
    <w:rsid w:val="00B60FD0"/>
    <w:rsid w:val="00B621B6"/>
    <w:rsid w:val="00B63555"/>
    <w:rsid w:val="00B667D3"/>
    <w:rsid w:val="00B71990"/>
    <w:rsid w:val="00B71D61"/>
    <w:rsid w:val="00B828A5"/>
    <w:rsid w:val="00B82C46"/>
    <w:rsid w:val="00B85594"/>
    <w:rsid w:val="00B8589C"/>
    <w:rsid w:val="00B921A2"/>
    <w:rsid w:val="00B947FF"/>
    <w:rsid w:val="00BA093E"/>
    <w:rsid w:val="00BA0D70"/>
    <w:rsid w:val="00BA24A6"/>
    <w:rsid w:val="00BA263D"/>
    <w:rsid w:val="00BA2971"/>
    <w:rsid w:val="00BA3777"/>
    <w:rsid w:val="00BA48FA"/>
    <w:rsid w:val="00BA4ABE"/>
    <w:rsid w:val="00BA63DE"/>
    <w:rsid w:val="00BA6FAF"/>
    <w:rsid w:val="00BB0A32"/>
    <w:rsid w:val="00BB0B06"/>
    <w:rsid w:val="00BB2188"/>
    <w:rsid w:val="00BB3819"/>
    <w:rsid w:val="00BC0077"/>
    <w:rsid w:val="00BC0A74"/>
    <w:rsid w:val="00BC4FD6"/>
    <w:rsid w:val="00BC590E"/>
    <w:rsid w:val="00BD047B"/>
    <w:rsid w:val="00BD2B44"/>
    <w:rsid w:val="00BD2C00"/>
    <w:rsid w:val="00BD2D18"/>
    <w:rsid w:val="00BE1391"/>
    <w:rsid w:val="00BE71B8"/>
    <w:rsid w:val="00BE7723"/>
    <w:rsid w:val="00BE7D5F"/>
    <w:rsid w:val="00BF25BF"/>
    <w:rsid w:val="00BF59C3"/>
    <w:rsid w:val="00BF618D"/>
    <w:rsid w:val="00BF79D3"/>
    <w:rsid w:val="00BF7C7C"/>
    <w:rsid w:val="00C02729"/>
    <w:rsid w:val="00C03D88"/>
    <w:rsid w:val="00C03F77"/>
    <w:rsid w:val="00C04FF1"/>
    <w:rsid w:val="00C055F7"/>
    <w:rsid w:val="00C1093F"/>
    <w:rsid w:val="00C12329"/>
    <w:rsid w:val="00C21CAC"/>
    <w:rsid w:val="00C23AEC"/>
    <w:rsid w:val="00C23F02"/>
    <w:rsid w:val="00C24755"/>
    <w:rsid w:val="00C24BBF"/>
    <w:rsid w:val="00C2528A"/>
    <w:rsid w:val="00C254DF"/>
    <w:rsid w:val="00C26AF2"/>
    <w:rsid w:val="00C27A0A"/>
    <w:rsid w:val="00C303FB"/>
    <w:rsid w:val="00C30D67"/>
    <w:rsid w:val="00C319F4"/>
    <w:rsid w:val="00C32D2A"/>
    <w:rsid w:val="00C335F2"/>
    <w:rsid w:val="00C33F90"/>
    <w:rsid w:val="00C35B2A"/>
    <w:rsid w:val="00C368C0"/>
    <w:rsid w:val="00C37B99"/>
    <w:rsid w:val="00C37DC4"/>
    <w:rsid w:val="00C432A7"/>
    <w:rsid w:val="00C44F7F"/>
    <w:rsid w:val="00C45C9C"/>
    <w:rsid w:val="00C45FB9"/>
    <w:rsid w:val="00C47288"/>
    <w:rsid w:val="00C51229"/>
    <w:rsid w:val="00C55095"/>
    <w:rsid w:val="00C613A4"/>
    <w:rsid w:val="00C63A22"/>
    <w:rsid w:val="00C660A3"/>
    <w:rsid w:val="00C666F3"/>
    <w:rsid w:val="00C67A86"/>
    <w:rsid w:val="00C72359"/>
    <w:rsid w:val="00C75F63"/>
    <w:rsid w:val="00C7642D"/>
    <w:rsid w:val="00C76E16"/>
    <w:rsid w:val="00C80B4A"/>
    <w:rsid w:val="00C83BA4"/>
    <w:rsid w:val="00C8698C"/>
    <w:rsid w:val="00C90E10"/>
    <w:rsid w:val="00C914DE"/>
    <w:rsid w:val="00C92230"/>
    <w:rsid w:val="00C93068"/>
    <w:rsid w:val="00C93DBA"/>
    <w:rsid w:val="00C973DA"/>
    <w:rsid w:val="00CA4134"/>
    <w:rsid w:val="00CA44FC"/>
    <w:rsid w:val="00CA65BB"/>
    <w:rsid w:val="00CA7A00"/>
    <w:rsid w:val="00CB1973"/>
    <w:rsid w:val="00CB3B7E"/>
    <w:rsid w:val="00CB5202"/>
    <w:rsid w:val="00CB53E9"/>
    <w:rsid w:val="00CB556E"/>
    <w:rsid w:val="00CB6136"/>
    <w:rsid w:val="00CB634F"/>
    <w:rsid w:val="00CB7F80"/>
    <w:rsid w:val="00CC1325"/>
    <w:rsid w:val="00CC1B04"/>
    <w:rsid w:val="00CC2745"/>
    <w:rsid w:val="00CD0367"/>
    <w:rsid w:val="00CD3BEC"/>
    <w:rsid w:val="00CD41B4"/>
    <w:rsid w:val="00CD472A"/>
    <w:rsid w:val="00CD5754"/>
    <w:rsid w:val="00CD6756"/>
    <w:rsid w:val="00CE0218"/>
    <w:rsid w:val="00CE043B"/>
    <w:rsid w:val="00CE06C7"/>
    <w:rsid w:val="00CE2985"/>
    <w:rsid w:val="00CF094D"/>
    <w:rsid w:val="00CF1679"/>
    <w:rsid w:val="00CF26C4"/>
    <w:rsid w:val="00CF3458"/>
    <w:rsid w:val="00CF76E8"/>
    <w:rsid w:val="00CF7CE4"/>
    <w:rsid w:val="00D00D00"/>
    <w:rsid w:val="00D01BA9"/>
    <w:rsid w:val="00D01D91"/>
    <w:rsid w:val="00D01EDD"/>
    <w:rsid w:val="00D10561"/>
    <w:rsid w:val="00D11A27"/>
    <w:rsid w:val="00D1271C"/>
    <w:rsid w:val="00D1311C"/>
    <w:rsid w:val="00D14B39"/>
    <w:rsid w:val="00D15DC7"/>
    <w:rsid w:val="00D218E3"/>
    <w:rsid w:val="00D24211"/>
    <w:rsid w:val="00D2734D"/>
    <w:rsid w:val="00D35B99"/>
    <w:rsid w:val="00D40FB2"/>
    <w:rsid w:val="00D426E7"/>
    <w:rsid w:val="00D44B5C"/>
    <w:rsid w:val="00D4588E"/>
    <w:rsid w:val="00D4597F"/>
    <w:rsid w:val="00D46654"/>
    <w:rsid w:val="00D46D7A"/>
    <w:rsid w:val="00D47F5D"/>
    <w:rsid w:val="00D52970"/>
    <w:rsid w:val="00D54990"/>
    <w:rsid w:val="00D54F29"/>
    <w:rsid w:val="00D56B75"/>
    <w:rsid w:val="00D61191"/>
    <w:rsid w:val="00D63C57"/>
    <w:rsid w:val="00D65C30"/>
    <w:rsid w:val="00D6670A"/>
    <w:rsid w:val="00D71F16"/>
    <w:rsid w:val="00D73CD8"/>
    <w:rsid w:val="00D748DE"/>
    <w:rsid w:val="00D81604"/>
    <w:rsid w:val="00D87BF2"/>
    <w:rsid w:val="00D91A6D"/>
    <w:rsid w:val="00D91D80"/>
    <w:rsid w:val="00D935E3"/>
    <w:rsid w:val="00D94CCC"/>
    <w:rsid w:val="00D95631"/>
    <w:rsid w:val="00D974BA"/>
    <w:rsid w:val="00D9777E"/>
    <w:rsid w:val="00D97CF6"/>
    <w:rsid w:val="00D97E0B"/>
    <w:rsid w:val="00D97F9A"/>
    <w:rsid w:val="00DA0588"/>
    <w:rsid w:val="00DA3638"/>
    <w:rsid w:val="00DA4644"/>
    <w:rsid w:val="00DA73FE"/>
    <w:rsid w:val="00DB3E79"/>
    <w:rsid w:val="00DB70C4"/>
    <w:rsid w:val="00DB7968"/>
    <w:rsid w:val="00DB7D4C"/>
    <w:rsid w:val="00DC332A"/>
    <w:rsid w:val="00DC3F21"/>
    <w:rsid w:val="00DC3F78"/>
    <w:rsid w:val="00DC41DE"/>
    <w:rsid w:val="00DC7FB1"/>
    <w:rsid w:val="00DD2AC4"/>
    <w:rsid w:val="00DD3F35"/>
    <w:rsid w:val="00DE2A7B"/>
    <w:rsid w:val="00DF40ED"/>
    <w:rsid w:val="00DF4584"/>
    <w:rsid w:val="00DF7CEB"/>
    <w:rsid w:val="00E01CEC"/>
    <w:rsid w:val="00E0391A"/>
    <w:rsid w:val="00E03A9E"/>
    <w:rsid w:val="00E07172"/>
    <w:rsid w:val="00E11C86"/>
    <w:rsid w:val="00E120D0"/>
    <w:rsid w:val="00E12207"/>
    <w:rsid w:val="00E229A3"/>
    <w:rsid w:val="00E23F8F"/>
    <w:rsid w:val="00E248FB"/>
    <w:rsid w:val="00E26BA3"/>
    <w:rsid w:val="00E33ABF"/>
    <w:rsid w:val="00E34807"/>
    <w:rsid w:val="00E46B66"/>
    <w:rsid w:val="00E470C6"/>
    <w:rsid w:val="00E50EEB"/>
    <w:rsid w:val="00E51BC9"/>
    <w:rsid w:val="00E55AAB"/>
    <w:rsid w:val="00E564E8"/>
    <w:rsid w:val="00E630FD"/>
    <w:rsid w:val="00E65FE2"/>
    <w:rsid w:val="00E71056"/>
    <w:rsid w:val="00E718BD"/>
    <w:rsid w:val="00E722AF"/>
    <w:rsid w:val="00E72BF0"/>
    <w:rsid w:val="00E80CEE"/>
    <w:rsid w:val="00E82C12"/>
    <w:rsid w:val="00E949ED"/>
    <w:rsid w:val="00E95529"/>
    <w:rsid w:val="00E96EDF"/>
    <w:rsid w:val="00EA01AC"/>
    <w:rsid w:val="00EA0B33"/>
    <w:rsid w:val="00EA100C"/>
    <w:rsid w:val="00EA5777"/>
    <w:rsid w:val="00EA772C"/>
    <w:rsid w:val="00EB4DF2"/>
    <w:rsid w:val="00EB5C29"/>
    <w:rsid w:val="00EC14FC"/>
    <w:rsid w:val="00EC41F2"/>
    <w:rsid w:val="00EC4686"/>
    <w:rsid w:val="00ED07DF"/>
    <w:rsid w:val="00ED0B9A"/>
    <w:rsid w:val="00ED0D88"/>
    <w:rsid w:val="00ED232A"/>
    <w:rsid w:val="00ED3D74"/>
    <w:rsid w:val="00ED7B90"/>
    <w:rsid w:val="00EE1282"/>
    <w:rsid w:val="00EE2D47"/>
    <w:rsid w:val="00EE37D3"/>
    <w:rsid w:val="00EF0350"/>
    <w:rsid w:val="00EF05B1"/>
    <w:rsid w:val="00EF0F77"/>
    <w:rsid w:val="00EF3BDC"/>
    <w:rsid w:val="00EF5609"/>
    <w:rsid w:val="00F00E4D"/>
    <w:rsid w:val="00F07436"/>
    <w:rsid w:val="00F078AC"/>
    <w:rsid w:val="00F10AF7"/>
    <w:rsid w:val="00F12497"/>
    <w:rsid w:val="00F1709B"/>
    <w:rsid w:val="00F17B85"/>
    <w:rsid w:val="00F21E75"/>
    <w:rsid w:val="00F266D3"/>
    <w:rsid w:val="00F26C6C"/>
    <w:rsid w:val="00F26E96"/>
    <w:rsid w:val="00F2739F"/>
    <w:rsid w:val="00F305A0"/>
    <w:rsid w:val="00F30797"/>
    <w:rsid w:val="00F3297D"/>
    <w:rsid w:val="00F35A52"/>
    <w:rsid w:val="00F41CD5"/>
    <w:rsid w:val="00F43570"/>
    <w:rsid w:val="00F440D1"/>
    <w:rsid w:val="00F45A80"/>
    <w:rsid w:val="00F46464"/>
    <w:rsid w:val="00F4720B"/>
    <w:rsid w:val="00F53BD0"/>
    <w:rsid w:val="00F54766"/>
    <w:rsid w:val="00F54BA0"/>
    <w:rsid w:val="00F63E94"/>
    <w:rsid w:val="00F65883"/>
    <w:rsid w:val="00F74FF5"/>
    <w:rsid w:val="00F75AB2"/>
    <w:rsid w:val="00F775A7"/>
    <w:rsid w:val="00F81AB7"/>
    <w:rsid w:val="00F83718"/>
    <w:rsid w:val="00F83DCF"/>
    <w:rsid w:val="00F84042"/>
    <w:rsid w:val="00F84FDA"/>
    <w:rsid w:val="00F87CCD"/>
    <w:rsid w:val="00F9092C"/>
    <w:rsid w:val="00F934C9"/>
    <w:rsid w:val="00F93BC7"/>
    <w:rsid w:val="00F94421"/>
    <w:rsid w:val="00F946ED"/>
    <w:rsid w:val="00F965BC"/>
    <w:rsid w:val="00FA2A4F"/>
    <w:rsid w:val="00FA2CCF"/>
    <w:rsid w:val="00FA331F"/>
    <w:rsid w:val="00FA3740"/>
    <w:rsid w:val="00FA3A1B"/>
    <w:rsid w:val="00FB0857"/>
    <w:rsid w:val="00FB13A9"/>
    <w:rsid w:val="00FB265C"/>
    <w:rsid w:val="00FB556D"/>
    <w:rsid w:val="00FC033B"/>
    <w:rsid w:val="00FC0B62"/>
    <w:rsid w:val="00FC2011"/>
    <w:rsid w:val="00FC2B90"/>
    <w:rsid w:val="00FC4A2E"/>
    <w:rsid w:val="00FC6726"/>
    <w:rsid w:val="00FD4385"/>
    <w:rsid w:val="00FD5FBD"/>
    <w:rsid w:val="00FE2CB7"/>
    <w:rsid w:val="00FE4969"/>
    <w:rsid w:val="00FE5B14"/>
    <w:rsid w:val="00FF07C1"/>
    <w:rsid w:val="00FF2B51"/>
    <w:rsid w:val="00FF45F4"/>
    <w:rsid w:val="00FF5EC5"/>
    <w:rsid w:val="00FF61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5:docId w15:val="{1792048F-097A-4155-9C7C-CAAE4AD52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A0A"/>
    <w:rPr>
      <w:rFonts w:ascii="Arial" w:hAnsi="Arial" w:cs="Arial"/>
      <w:sz w:val="22"/>
    </w:rPr>
  </w:style>
  <w:style w:type="paragraph" w:styleId="Heading1">
    <w:name w:val="heading 1"/>
    <w:basedOn w:val="Normal"/>
    <w:next w:val="Normal"/>
    <w:link w:val="Heading1Char"/>
    <w:qFormat/>
    <w:rsid w:val="00937B15"/>
    <w:pPr>
      <w:numPr>
        <w:numId w:val="10"/>
      </w:numPr>
      <w:tabs>
        <w:tab w:val="center" w:pos="4153"/>
      </w:tabs>
      <w:spacing w:line="240" w:lineRule="exact"/>
      <w:ind w:right="-680"/>
      <w:jc w:val="right"/>
      <w:outlineLvl w:val="0"/>
    </w:pPr>
    <w:rPr>
      <w:sz w:val="18"/>
      <w:szCs w:val="18"/>
    </w:rPr>
  </w:style>
  <w:style w:type="paragraph" w:styleId="Heading2">
    <w:name w:val="heading 2"/>
    <w:basedOn w:val="Heading1"/>
    <w:next w:val="Normal"/>
    <w:link w:val="Heading2Char"/>
    <w:qFormat/>
    <w:rsid w:val="00937B15"/>
    <w:pPr>
      <w:numPr>
        <w:ilvl w:val="1"/>
      </w:numPr>
      <w:outlineLvl w:val="1"/>
    </w:pPr>
    <w:rPr>
      <w:b/>
    </w:rPr>
  </w:style>
  <w:style w:type="paragraph" w:styleId="Heading4">
    <w:name w:val="heading 4"/>
    <w:basedOn w:val="Normal"/>
    <w:next w:val="Normal"/>
    <w:qFormat/>
    <w:rsid w:val="00937B15"/>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937B15"/>
    <w:pPr>
      <w:spacing w:before="240" w:after="60"/>
      <w:outlineLvl w:val="4"/>
    </w:pPr>
    <w:rPr>
      <w:b/>
      <w:bCs/>
      <w:i/>
      <w:iCs/>
      <w:sz w:val="26"/>
      <w:szCs w:val="26"/>
    </w:rPr>
  </w:style>
  <w:style w:type="paragraph" w:styleId="Heading6">
    <w:name w:val="heading 6"/>
    <w:basedOn w:val="Normal"/>
    <w:next w:val="Normal"/>
    <w:qFormat/>
    <w:rsid w:val="00937B15"/>
    <w:pPr>
      <w:spacing w:before="240" w:after="60"/>
      <w:outlineLvl w:val="5"/>
    </w:pPr>
    <w:rPr>
      <w:rFonts w:ascii="Times New Roman" w:hAnsi="Times New Roman" w:cs="Times New Roman"/>
      <w:b/>
      <w:bCs/>
      <w:szCs w:val="22"/>
    </w:rPr>
  </w:style>
  <w:style w:type="paragraph" w:styleId="Heading7">
    <w:name w:val="heading 7"/>
    <w:basedOn w:val="Normal"/>
    <w:next w:val="Normal"/>
    <w:qFormat/>
    <w:rsid w:val="00937B15"/>
    <w:pPr>
      <w:spacing w:before="240" w:after="60"/>
      <w:outlineLvl w:val="6"/>
    </w:pPr>
    <w:rPr>
      <w:rFonts w:ascii="Times New Roman" w:hAnsi="Times New Roman" w:cs="Times New Roman"/>
      <w:sz w:val="24"/>
      <w:szCs w:val="24"/>
    </w:rPr>
  </w:style>
  <w:style w:type="paragraph" w:styleId="Heading8">
    <w:name w:val="heading 8"/>
    <w:basedOn w:val="Normal"/>
    <w:next w:val="Normal"/>
    <w:qFormat/>
    <w:rsid w:val="00937B15"/>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937B15"/>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84B7C"/>
    <w:pPr>
      <w:tabs>
        <w:tab w:val="center" w:pos="4153"/>
        <w:tab w:val="right" w:pos="8306"/>
      </w:tabs>
    </w:pPr>
  </w:style>
  <w:style w:type="paragraph" w:styleId="Header">
    <w:name w:val="header"/>
    <w:basedOn w:val="Normal"/>
    <w:rsid w:val="00184B7C"/>
    <w:pPr>
      <w:tabs>
        <w:tab w:val="center" w:pos="4153"/>
        <w:tab w:val="right" w:pos="8306"/>
      </w:tabs>
    </w:pPr>
  </w:style>
  <w:style w:type="paragraph" w:styleId="BalloonText">
    <w:name w:val="Balloon Text"/>
    <w:basedOn w:val="Normal"/>
    <w:semiHidden/>
    <w:rsid w:val="00CB5202"/>
    <w:rPr>
      <w:rFonts w:ascii="Tahoma" w:hAnsi="Tahoma" w:cs="Tahoma"/>
      <w:sz w:val="16"/>
      <w:szCs w:val="16"/>
    </w:rPr>
  </w:style>
  <w:style w:type="paragraph" w:customStyle="1" w:styleId="NTTHeaderInfo">
    <w:name w:val="NTT Header Info"/>
    <w:rsid w:val="00713E0D"/>
    <w:pPr>
      <w:spacing w:line="240" w:lineRule="exact"/>
      <w:jc w:val="right"/>
    </w:pPr>
    <w:rPr>
      <w:rFonts w:ascii="Arial" w:hAnsi="Arial"/>
      <w:sz w:val="18"/>
      <w:szCs w:val="18"/>
    </w:rPr>
  </w:style>
  <w:style w:type="character" w:customStyle="1" w:styleId="Heading1Char">
    <w:name w:val="Heading 1 Char"/>
    <w:link w:val="Heading1"/>
    <w:rsid w:val="00937B15"/>
    <w:rPr>
      <w:rFonts w:ascii="Arial" w:hAnsi="Arial" w:cs="Arial"/>
      <w:sz w:val="18"/>
      <w:szCs w:val="18"/>
      <w:lang w:val="en-AU" w:eastAsia="en-AU" w:bidi="ar-SA"/>
    </w:rPr>
  </w:style>
  <w:style w:type="character" w:customStyle="1" w:styleId="Heading2Char">
    <w:name w:val="Heading 2 Char"/>
    <w:link w:val="Heading2"/>
    <w:rsid w:val="00937B15"/>
    <w:rPr>
      <w:rFonts w:ascii="Arial" w:hAnsi="Arial" w:cs="Arial"/>
      <w:b/>
      <w:sz w:val="18"/>
      <w:szCs w:val="18"/>
      <w:lang w:val="en-AU" w:eastAsia="en-AU" w:bidi="ar-SA"/>
    </w:rPr>
  </w:style>
  <w:style w:type="paragraph" w:customStyle="1" w:styleId="NTTBodyText">
    <w:name w:val="NTT Body Text"/>
    <w:rsid w:val="00E51BC9"/>
    <w:pPr>
      <w:spacing w:after="120" w:line="300" w:lineRule="exact"/>
    </w:pPr>
    <w:rPr>
      <w:rFonts w:ascii="Arial" w:hAnsi="Arial"/>
      <w:sz w:val="22"/>
      <w:szCs w:val="24"/>
    </w:rPr>
  </w:style>
  <w:style w:type="character" w:styleId="PageNumber">
    <w:name w:val="page number"/>
    <w:basedOn w:val="DefaultParagraphFont"/>
    <w:rsid w:val="0019571B"/>
  </w:style>
  <w:style w:type="paragraph" w:customStyle="1" w:styleId="NTTBodyTextTitle">
    <w:name w:val="NTT Body Text Title"/>
    <w:basedOn w:val="NTTBodyText"/>
    <w:rsid w:val="001D7DC4"/>
    <w:rPr>
      <w:b/>
      <w:bCs/>
    </w:rPr>
  </w:style>
  <w:style w:type="table" w:styleId="TableGrid">
    <w:name w:val="Table Grid"/>
    <w:basedOn w:val="TableNormal"/>
    <w:rsid w:val="00C27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One">
    <w:name w:val="Heading One"/>
    <w:basedOn w:val="Normal"/>
    <w:rsid w:val="00364D5F"/>
    <w:pPr>
      <w:spacing w:after="120"/>
      <w:jc w:val="center"/>
    </w:pPr>
    <w:rPr>
      <w:rFonts w:cs="Times New Roman"/>
      <w:b/>
      <w:bCs/>
      <w:sz w:val="32"/>
    </w:rPr>
  </w:style>
  <w:style w:type="paragraph" w:customStyle="1" w:styleId="HeadingTwo">
    <w:name w:val="Heading Two"/>
    <w:basedOn w:val="Normal"/>
    <w:link w:val="HeadingTwoChar"/>
    <w:rsid w:val="00364D5F"/>
    <w:pPr>
      <w:pBdr>
        <w:bottom w:val="single" w:sz="4" w:space="1" w:color="auto"/>
      </w:pBdr>
      <w:spacing w:before="360" w:after="120"/>
    </w:pPr>
    <w:rPr>
      <w:rFonts w:cs="Times New Roman"/>
      <w:b/>
      <w:bCs/>
      <w:lang w:val="x-none" w:eastAsia="x-none"/>
    </w:rPr>
  </w:style>
  <w:style w:type="numbering" w:customStyle="1" w:styleId="Text">
    <w:name w:val="Text"/>
    <w:rsid w:val="00545D20"/>
    <w:pPr>
      <w:numPr>
        <w:numId w:val="24"/>
      </w:numPr>
    </w:pPr>
  </w:style>
  <w:style w:type="character" w:styleId="Hyperlink">
    <w:name w:val="Hyperlink"/>
    <w:rsid w:val="00545D20"/>
    <w:rPr>
      <w:color w:val="0000FF"/>
      <w:u w:val="single"/>
    </w:rPr>
  </w:style>
  <w:style w:type="paragraph" w:styleId="BlockText">
    <w:name w:val="Block Text"/>
    <w:basedOn w:val="Normal"/>
    <w:link w:val="BlockTextChar"/>
    <w:rsid w:val="00937B15"/>
    <w:pPr>
      <w:numPr>
        <w:numId w:val="3"/>
      </w:numPr>
      <w:tabs>
        <w:tab w:val="left" w:pos="851"/>
        <w:tab w:val="left" w:pos="1276"/>
        <w:tab w:val="left" w:pos="1701"/>
      </w:tabs>
      <w:spacing w:after="120"/>
    </w:pPr>
    <w:rPr>
      <w:rFonts w:cs="Times New Roman"/>
      <w:lang w:val="x-none" w:eastAsia="x-none"/>
    </w:rPr>
  </w:style>
  <w:style w:type="paragraph" w:customStyle="1" w:styleId="HeadingThree">
    <w:name w:val="Heading Three"/>
    <w:basedOn w:val="HeadingTwo"/>
    <w:rsid w:val="003F6521"/>
    <w:pPr>
      <w:keepNext/>
      <w:pBdr>
        <w:bottom w:val="none" w:sz="0" w:space="0" w:color="auto"/>
      </w:pBdr>
    </w:pPr>
    <w:rPr>
      <w:i/>
      <w:iCs/>
    </w:rPr>
  </w:style>
  <w:style w:type="paragraph" w:customStyle="1" w:styleId="HeadingFour">
    <w:name w:val="Heading Four"/>
    <w:basedOn w:val="HeadingThree"/>
    <w:rsid w:val="006034B6"/>
    <w:rPr>
      <w:b w:val="0"/>
      <w:bCs w:val="0"/>
      <w:u w:val="single"/>
    </w:rPr>
  </w:style>
  <w:style w:type="character" w:customStyle="1" w:styleId="BlockTextChar">
    <w:name w:val="Block Text Char"/>
    <w:link w:val="BlockText"/>
    <w:rsid w:val="008F2821"/>
    <w:rPr>
      <w:rFonts w:ascii="Arial" w:hAnsi="Arial" w:cs="Arial"/>
      <w:sz w:val="22"/>
    </w:rPr>
  </w:style>
  <w:style w:type="paragraph" w:customStyle="1" w:styleId="Example">
    <w:name w:val="Example"/>
    <w:basedOn w:val="BlockText"/>
    <w:rsid w:val="000A42EB"/>
    <w:pPr>
      <w:numPr>
        <w:numId w:val="0"/>
      </w:numPr>
      <w:pBdr>
        <w:top w:val="single" w:sz="4" w:space="1" w:color="auto"/>
        <w:left w:val="single" w:sz="4" w:space="4" w:color="auto"/>
        <w:bottom w:val="single" w:sz="4" w:space="1" w:color="auto"/>
        <w:right w:val="single" w:sz="4" w:space="4" w:color="auto"/>
      </w:pBdr>
      <w:shd w:val="clear" w:color="auto" w:fill="F3F3F3"/>
      <w:tabs>
        <w:tab w:val="clear" w:pos="851"/>
        <w:tab w:val="clear" w:pos="1276"/>
        <w:tab w:val="clear" w:pos="1701"/>
      </w:tabs>
      <w:spacing w:after="240"/>
      <w:jc w:val="both"/>
    </w:pPr>
  </w:style>
  <w:style w:type="character" w:customStyle="1" w:styleId="HeadingTwoChar">
    <w:name w:val="Heading Two Char"/>
    <w:link w:val="HeadingTwo"/>
    <w:rsid w:val="00013194"/>
    <w:rPr>
      <w:rFonts w:ascii="Arial" w:hAnsi="Arial"/>
      <w:b/>
      <w:bCs/>
      <w:sz w:val="22"/>
    </w:rPr>
  </w:style>
  <w:style w:type="paragraph" w:styleId="ListParagraph">
    <w:name w:val="List Paragraph"/>
    <w:basedOn w:val="Normal"/>
    <w:uiPriority w:val="34"/>
    <w:qFormat/>
    <w:rsid w:val="004F7B02"/>
    <w:pPr>
      <w:ind w:left="720"/>
    </w:pPr>
  </w:style>
  <w:style w:type="character" w:styleId="FollowedHyperlink">
    <w:name w:val="FollowedHyperlink"/>
    <w:rsid w:val="001C05E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50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evenue.nt.gov.au"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1D68356F7FB54A917EB6B48522F7AB" ma:contentTypeVersion="18" ma:contentTypeDescription="Create a new document." ma:contentTypeScope="" ma:versionID="5968df1a67298019036e2d468f0f57eb">
  <xsd:schema xmlns:xsd="http://www.w3.org/2001/XMLSchema" xmlns:xs="http://www.w3.org/2001/XMLSchema" xmlns:p="http://schemas.microsoft.com/office/2006/metadata/properties" xmlns:ns2="378e824e-6e02-4c0d-8321-dd86fba681ee" targetNamespace="http://schemas.microsoft.com/office/2006/metadata/properties" ma:root="true" ma:fieldsID="016a859d0580dde8c3c2ff3f02387ef4" ns2:_="">
    <xsd:import namespace="378e824e-6e02-4c0d-8321-dd86fba681ee"/>
    <xsd:element name="properties">
      <xsd:complexType>
        <xsd:sequence>
          <xsd:element name="documentManagement">
            <xsd:complexType>
              <xsd:all>
                <xsd:element ref="ns2:Main_x0020_Category"/>
                <xsd:element ref="ns2:Sub_x0020_Category"/>
                <xsd:element ref="ns2:Sub_x0020_Sub_x0020_Category" minOccurs="0"/>
                <xsd:element ref="ns2:Notify" minOccurs="0"/>
                <xsd:element ref="ns2:Details" minOccurs="0"/>
                <xsd:element ref="ns2:Identifier" minOccurs="0"/>
                <xsd:element ref="ns2:Release_x0020_Date" minOccurs="0"/>
                <xsd:element ref="ns2:Publication_x0020_Title" minOccurs="0"/>
                <xsd:element ref="ns2:Publication_x0020_Type" minOccurs="0"/>
                <xsd:element ref="ns2:Tax_x0020_Type" minOccurs="0"/>
                <xsd:element ref="ns2:Tax_x0020_Type_x0020_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e824e-6e02-4c0d-8321-dd86fba681ee" elementFormDefault="qualified">
    <xsd:import namespace="http://schemas.microsoft.com/office/2006/documentManagement/types"/>
    <xsd:import namespace="http://schemas.microsoft.com/office/infopath/2007/PartnerControls"/>
    <xsd:element name="Main_x0020_Category" ma:index="8" ma:displayName="Main Category" ma:list="{b3b53843-a8d9-4b92-b7ee-c4efc7605b88}" ma:internalName="Main_x0020_Category" ma:showField="Title" ma:web="ea3f2675-7e45-4831-bae2-8579175e0c68">
      <xsd:simpleType>
        <xsd:restriction base="dms:Lookup"/>
      </xsd:simpleType>
    </xsd:element>
    <xsd:element name="Sub_x0020_Category" ma:index="9" ma:displayName="Sub Category" ma:list="{edf90873-dc2d-4c00-9444-d26c07edafe2}" ma:internalName="Sub_x0020_Category" ma:showField="Title" ma:web="ea3f2675-7e45-4831-bae2-8579175e0c68">
      <xsd:simpleType>
        <xsd:restriction base="dms:Lookup"/>
      </xsd:simpleType>
    </xsd:element>
    <xsd:element name="Sub_x0020_Sub_x0020_Category" ma:index="10" nillable="true" ma:displayName="Sub Sub Category" ma:list="{0fe7fff1-af8b-412b-8409-b42850d3ea63}" ma:internalName="Sub_x0020_Sub_x0020_Category" ma:readOnly="false" ma:showField="Title" ma:web="ea3f2675-7e45-4831-bae2-8579175e0c68">
      <xsd:simpleType>
        <xsd:restriction base="dms:Lookup"/>
      </xsd:simpleType>
    </xsd:element>
    <xsd:element name="Notify" ma:index="11" nillable="true" ma:displayName="Notify On Check In" ma:default="0" ma:description="Check this box if you would like to notify all subscribers about this document once you check it in." ma:internalName="Notify">
      <xsd:simpleType>
        <xsd:restriction base="dms:Boolean"/>
      </xsd:simpleType>
    </xsd:element>
    <xsd:element name="Details" ma:index="12" nillable="true" ma:displayName="Details" ma:internalName="Details">
      <xsd:simpleType>
        <xsd:restriction base="dms:Text">
          <xsd:maxLength value="255"/>
        </xsd:restriction>
      </xsd:simpleType>
    </xsd:element>
    <xsd:element name="Identifier" ma:index="13" nillable="true" ma:displayName="Identifier" ma:internalName="Identifier">
      <xsd:simpleType>
        <xsd:restriction base="dms:Text">
          <xsd:maxLength value="255"/>
        </xsd:restriction>
      </xsd:simpleType>
    </xsd:element>
    <xsd:element name="Release_x0020_Date" ma:index="14" nillable="true" ma:displayName="Release Date" ma:format="DateOnly" ma:internalName="Release_x0020_Date">
      <xsd:simpleType>
        <xsd:restriction base="dms:DateTime"/>
      </xsd:simpleType>
    </xsd:element>
    <xsd:element name="Publication_x0020_Title" ma:index="15" nillable="true" ma:displayName="Publication Name" ma:description="Use for Taxes, Royalties and Grants publications." ma:internalName="Publication_x0020_Title">
      <xsd:simpleType>
        <xsd:restriction base="dms:Text">
          <xsd:maxLength value="255"/>
        </xsd:restriction>
      </xsd:simpleType>
    </xsd:element>
    <xsd:element name="Publication_x0020_Type" ma:index="16" nillable="true" ma:displayName="Publication Type" ma:description="Use for Taxes, Royalties and Grants publications." ma:format="Dropdown" ma:internalName="Publication_x0020_Type">
      <xsd:simpleType>
        <xsd:restriction base="dms:Choice">
          <xsd:enumeration value="Form (F)"/>
          <xsd:enumeration value="Information (I)"/>
          <xsd:enumeration value="Electronic Returns (RET)"/>
          <xsd:enumeration value="Revenue Circulars (RC)"/>
          <xsd:enumeration value="Payroll Tax Rulings (PTA)"/>
          <xsd:enumeration value="Commissioner's Guidelines (CG)"/>
          <xsd:enumeration value="Royalty Guideline (RG)"/>
          <xsd:enumeration value="Mineral Royalty Forms and Returns (RF)"/>
        </xsd:restriction>
      </xsd:simpleType>
    </xsd:element>
    <xsd:element name="Tax_x0020_Type" ma:index="17" nillable="true" ma:displayName="Tax Type" ma:description="Use for Taxes, Royalties and Grants publications." ma:format="Dropdown" ma:internalName="Tax_x0020_Type">
      <xsd:simpleType>
        <xsd:restriction base="dms:Choice">
          <xsd:enumeration value="General (G)"/>
          <xsd:enumeration value="Home Incentives (HI)"/>
          <xsd:enumeration value="Income Tax Equivalent (IT)"/>
          <xsd:enumeration value="Mineral Royalties"/>
          <xsd:enumeration value="Payroll Tax (PRT)"/>
          <xsd:enumeration value="Stamp Duty (SD)"/>
          <xsd:enumeration value="Unclaimed Money (UM)"/>
        </xsd:restriction>
      </xsd:simpleType>
    </xsd:element>
    <xsd:element name="Tax_x0020_Type_x0020_Topic" ma:index="18" nillable="true" ma:displayName="Tax Type Topic" ma:description="Use for Taxes, Royalties and Grants publications." ma:format="Dropdown" ma:internalName="Tax_x0020_Type_x0020_Topic">
      <xsd:simpleType>
        <xsd:restriction base="dms:Choice">
          <xsd:enumeration value="Allowances"/>
          <xsd:enumeration value="Contractors"/>
          <xsd:enumeration value="Employment Agencies"/>
          <xsd:enumeration value="Exemptions"/>
          <xsd:enumeration value="Fringe Benefits"/>
          <xsd:enumeration value="General"/>
          <xsd:enumeration value="Grouping"/>
          <xsd:enumeration value="NT Payroll Tax Liability"/>
          <xsd:enumeration value="Termination Payments"/>
          <xsd:enumeration value="Wages"/>
          <xsd:enumeration value="Conveyance"/>
          <xsd:enumeration value="Insurance"/>
          <xsd:enumeration value="Leases"/>
          <xsd:enumeration value="Motor Vehicl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_x0020_Type xmlns="378e824e-6e02-4c0d-8321-dd86fba681ee">Mineral Royalties</Tax_x0020_Type>
    <Release_x0020_Date xmlns="378e824e-6e02-4c0d-8321-dd86fba681ee" xsi:nil="true"/>
    <Publication_x0020_Title xmlns="378e824e-6e02-4c0d-8321-dd86fba681ee">Gross Realization</Publication_x0020_Title>
    <Sub_x0020_Sub_x0020_Category xmlns="378e824e-6e02-4c0d-8321-dd86fba681ee">74</Sub_x0020_Sub_x0020_Category>
    <Details xmlns="378e824e-6e02-4c0d-8321-dd86fba681ee" xsi:nil="true"/>
    <Main_x0020_Category xmlns="378e824e-6e02-4c0d-8321-dd86fba681ee">6</Main_x0020_Category>
    <Tax_x0020_Type_x0020_Topic xmlns="378e824e-6e02-4c0d-8321-dd86fba681ee" xsi:nil="true"/>
    <Sub_x0020_Category xmlns="378e824e-6e02-4c0d-8321-dd86fba681ee">23</Sub_x0020_Category>
    <Identifier xmlns="378e824e-6e02-4c0d-8321-dd86fba681ee">RG-MRA-004_050713</Identifier>
    <Notify xmlns="378e824e-6e02-4c0d-8321-dd86fba681ee">true</Notify>
    <Publication_x0020_Type xmlns="378e824e-6e02-4c0d-8321-dd86fba681ee">Royalty Guideline (RG)</Publication_x0020_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78F822-528F-4753-B479-D68361523D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e824e-6e02-4c0d-8321-dd86fba681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7A7461-11CB-4660-8FF5-E75007AC9CC6}">
  <ds:schemaRefs>
    <ds:schemaRef ds:uri="http://schemas.microsoft.com/office/2006/metadata/properties"/>
    <ds:schemaRef ds:uri="http://schemas.microsoft.com/office/infopath/2007/PartnerControls"/>
    <ds:schemaRef ds:uri="378e824e-6e02-4c0d-8321-dd86fba681ee"/>
  </ds:schemaRefs>
</ds:datastoreItem>
</file>

<file path=customXml/itemProps3.xml><?xml version="1.0" encoding="utf-8"?>
<ds:datastoreItem xmlns:ds="http://schemas.openxmlformats.org/officeDocument/2006/customXml" ds:itemID="{FEC7FF9F-B379-4133-8D09-D78C633B2C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5659</Words>
  <Characters>25411</Characters>
  <Application>Microsoft Office Word</Application>
  <DocSecurity>0</DocSecurity>
  <Lines>1337</Lines>
  <Paragraphs>1242</Paragraphs>
  <ScaleCrop>false</ScaleCrop>
  <HeadingPairs>
    <vt:vector size="2" baseType="variant">
      <vt:variant>
        <vt:lpstr>Title</vt:lpstr>
      </vt:variant>
      <vt:variant>
        <vt:i4>1</vt:i4>
      </vt:variant>
    </vt:vector>
  </HeadingPairs>
  <TitlesOfParts>
    <vt:vector size="1" baseType="lpstr">
      <vt:lpstr>Gross Realization</vt:lpstr>
    </vt:vector>
  </TitlesOfParts>
  <Company>Northern Territory Government</Company>
  <LinksUpToDate>false</LinksUpToDate>
  <CharactersWithSpaces>29828</CharactersWithSpaces>
  <SharedDoc>false</SharedDoc>
  <HLinks>
    <vt:vector size="54" baseType="variant">
      <vt:variant>
        <vt:i4>5242895</vt:i4>
      </vt:variant>
      <vt:variant>
        <vt:i4>24</vt:i4>
      </vt:variant>
      <vt:variant>
        <vt:i4>0</vt:i4>
      </vt:variant>
      <vt:variant>
        <vt:i4>5</vt:i4>
      </vt:variant>
      <vt:variant>
        <vt:lpwstr>http://www.revenue.nt.gov.au/</vt:lpwstr>
      </vt:variant>
      <vt:variant>
        <vt:lpwstr/>
      </vt:variant>
      <vt:variant>
        <vt:i4>7143509</vt:i4>
      </vt:variant>
      <vt:variant>
        <vt:i4>21</vt:i4>
      </vt:variant>
      <vt:variant>
        <vt:i4>0</vt:i4>
      </vt:variant>
      <vt:variant>
        <vt:i4>5</vt:i4>
      </vt:variant>
      <vt:variant>
        <vt:lpwstr>mailto:ntrevenue.ntt@nt.gov.au</vt:lpwstr>
      </vt:variant>
      <vt:variant>
        <vt:lpwstr/>
      </vt:variant>
      <vt:variant>
        <vt:i4>2031643</vt:i4>
      </vt:variant>
      <vt:variant>
        <vt:i4>18</vt:i4>
      </vt:variant>
      <vt:variant>
        <vt:i4>0</vt:i4>
      </vt:variant>
      <vt:variant>
        <vt:i4>5</vt:i4>
      </vt:variant>
      <vt:variant>
        <vt:lpwstr>http://www.treasury.nt.gov.au/PMS/Publications/TaxesRoyaltiesGrants/Royalties/RG-MRA-001.pdf</vt:lpwstr>
      </vt:variant>
      <vt:variant>
        <vt:lpwstr/>
      </vt:variant>
      <vt:variant>
        <vt:i4>786558</vt:i4>
      </vt:variant>
      <vt:variant>
        <vt:i4>15</vt:i4>
      </vt:variant>
      <vt:variant>
        <vt:i4>0</vt:i4>
      </vt:variant>
      <vt:variant>
        <vt:i4>5</vt:i4>
      </vt:variant>
      <vt:variant>
        <vt:lpwstr>http://www.treasury.nt.gov.au/Static Publications/Taxes Royalties and Grants/Payroll Tax/MRA_overview.pdf</vt:lpwstr>
      </vt:variant>
      <vt:variant>
        <vt:lpwstr/>
      </vt:variant>
      <vt:variant>
        <vt:i4>1900571</vt:i4>
      </vt:variant>
      <vt:variant>
        <vt:i4>12</vt:i4>
      </vt:variant>
      <vt:variant>
        <vt:i4>0</vt:i4>
      </vt:variant>
      <vt:variant>
        <vt:i4>5</vt:i4>
      </vt:variant>
      <vt:variant>
        <vt:lpwstr>http://www.treasury.nt.gov.au/PMS/Publications/TaxesRoyaltiesGrants/Royalties/RG-MRA-003.pdf</vt:lpwstr>
      </vt:variant>
      <vt:variant>
        <vt:lpwstr/>
      </vt:variant>
      <vt:variant>
        <vt:i4>1572891</vt:i4>
      </vt:variant>
      <vt:variant>
        <vt:i4>9</vt:i4>
      </vt:variant>
      <vt:variant>
        <vt:i4>0</vt:i4>
      </vt:variant>
      <vt:variant>
        <vt:i4>5</vt:i4>
      </vt:variant>
      <vt:variant>
        <vt:lpwstr>http://www.treasury.nt.gov.au/PMS/Publications/TaxesRoyaltiesGrants/Royalties/RG-MRA-006.pdf</vt:lpwstr>
      </vt:variant>
      <vt:variant>
        <vt:lpwstr/>
      </vt:variant>
      <vt:variant>
        <vt:i4>1769499</vt:i4>
      </vt:variant>
      <vt:variant>
        <vt:i4>6</vt:i4>
      </vt:variant>
      <vt:variant>
        <vt:i4>0</vt:i4>
      </vt:variant>
      <vt:variant>
        <vt:i4>5</vt:i4>
      </vt:variant>
      <vt:variant>
        <vt:lpwstr>http://www.treasury.nt.gov.au/PMS/Publications/TaxesRoyaltiesGrants/Royalties/RG-MRA-005.pdf</vt:lpwstr>
      </vt:variant>
      <vt:variant>
        <vt:lpwstr/>
      </vt:variant>
      <vt:variant>
        <vt:i4>1769499</vt:i4>
      </vt:variant>
      <vt:variant>
        <vt:i4>3</vt:i4>
      </vt:variant>
      <vt:variant>
        <vt:i4>0</vt:i4>
      </vt:variant>
      <vt:variant>
        <vt:i4>5</vt:i4>
      </vt:variant>
      <vt:variant>
        <vt:lpwstr>http://www.treasury.nt.gov.au/PMS/Publications/TaxesRoyaltiesGrants/Royalties/RG-MRA-005.pdf</vt:lpwstr>
      </vt:variant>
      <vt:variant>
        <vt:lpwstr/>
      </vt:variant>
      <vt:variant>
        <vt:i4>1835035</vt:i4>
      </vt:variant>
      <vt:variant>
        <vt:i4>0</vt:i4>
      </vt:variant>
      <vt:variant>
        <vt:i4>0</vt:i4>
      </vt:variant>
      <vt:variant>
        <vt:i4>5</vt:i4>
      </vt:variant>
      <vt:variant>
        <vt:lpwstr>http://www.treasury.nt.gov.au/PMS/Publications/TaxesRoyaltiesGrants/Royalties/RG-MRA-002.pdf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Gross Realization</dc:title>
  <dc:subject/>
  <dc:creator>sschu</dc:creator>
  <cp:keywords/>
  <dc:description/>
  <cp:lastModifiedBy>Shanya Bandara</cp:lastModifiedBy>
  <cp:revision>7</cp:revision>
  <cp:lastPrinted>2011-05-04T22:28:00Z</cp:lastPrinted>
  <dcterms:created xsi:type="dcterms:W3CDTF">2013-02-05T05:14:00Z</dcterms:created>
  <dcterms:modified xsi:type="dcterms:W3CDTF">2022-12-20T04:32:00Z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0x010100AE1D68356F7FB54A917EB6B48522F7AB</vt:lpwstr>
  </property>
</Properties>
</file>