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939B5" w14:textId="77777777" w:rsidR="00BA09CA" w:rsidRPr="004301EA" w:rsidRDefault="004301EA" w:rsidP="00BB1E58">
      <w:pPr>
        <w:pStyle w:val="Heading1"/>
        <w:numPr>
          <w:ilvl w:val="0"/>
          <w:numId w:val="0"/>
        </w:numPr>
      </w:pPr>
      <w:r w:rsidRPr="004301EA">
        <w:t>Purpose</w:t>
      </w:r>
    </w:p>
    <w:p w14:paraId="79C792B7" w14:textId="77777777" w:rsidR="00795FAA" w:rsidRPr="00795FAA" w:rsidRDefault="00795FAA" w:rsidP="00E31F5F">
      <w:pPr>
        <w:pStyle w:val="ListNumber"/>
        <w:numPr>
          <w:ilvl w:val="0"/>
          <w:numId w:val="11"/>
        </w:numPr>
        <w:rPr>
          <w:rFonts w:ascii="Lato" w:hAnsi="Lato"/>
        </w:rPr>
      </w:pPr>
      <w:r w:rsidRPr="00795FAA">
        <w:rPr>
          <w:rFonts w:ascii="Lato" w:hAnsi="Lato"/>
        </w:rPr>
        <w:t xml:space="preserve">This Overview outlines the administrative arrangements relating to the establishment, calculation and collection of mining royalties under the </w:t>
      </w:r>
      <w:r w:rsidRPr="007F6C12">
        <w:rPr>
          <w:rFonts w:ascii="Lato" w:hAnsi="Lato"/>
          <w:i/>
        </w:rPr>
        <w:t>Mineral Royalty Act 1982</w:t>
      </w:r>
      <w:r w:rsidRPr="00795FAA">
        <w:rPr>
          <w:rFonts w:ascii="Lato" w:hAnsi="Lato"/>
        </w:rPr>
        <w:t xml:space="preserve"> (NT) (the MRA). </w:t>
      </w:r>
    </w:p>
    <w:p w14:paraId="78547F00" w14:textId="77777777" w:rsidR="00795FAA" w:rsidRPr="00795FAA" w:rsidRDefault="00795FAA" w:rsidP="00E31F5F">
      <w:pPr>
        <w:pStyle w:val="ListNumber"/>
        <w:numPr>
          <w:ilvl w:val="0"/>
          <w:numId w:val="11"/>
        </w:numPr>
        <w:rPr>
          <w:rFonts w:ascii="Lato" w:hAnsi="Lato"/>
        </w:rPr>
      </w:pPr>
      <w:r w:rsidRPr="00795FAA">
        <w:rPr>
          <w:rFonts w:ascii="Lato" w:hAnsi="Lato"/>
        </w:rPr>
        <w:t xml:space="preserve">This Overview is for general guidance purposes only. </w:t>
      </w:r>
    </w:p>
    <w:p w14:paraId="5C9911F8" w14:textId="77777777" w:rsidR="008B3358" w:rsidRPr="004301EA" w:rsidRDefault="00795FAA" w:rsidP="008B3358">
      <w:pPr>
        <w:pStyle w:val="Heading1"/>
        <w:numPr>
          <w:ilvl w:val="0"/>
          <w:numId w:val="0"/>
        </w:numPr>
        <w:ind w:left="432" w:hanging="432"/>
        <w:rPr>
          <w:rFonts w:ascii="Lato" w:hAnsi="Lato"/>
        </w:rPr>
      </w:pPr>
      <w:r>
        <w:rPr>
          <w:rFonts w:ascii="Lato" w:hAnsi="Lato"/>
        </w:rPr>
        <w:t>Introduction</w:t>
      </w:r>
    </w:p>
    <w:p w14:paraId="77533161" w14:textId="3A606BEE" w:rsidR="00795FAA" w:rsidRPr="00795FAA" w:rsidRDefault="00795FAA" w:rsidP="00E31F5F">
      <w:pPr>
        <w:pStyle w:val="ListNumber"/>
        <w:numPr>
          <w:ilvl w:val="0"/>
          <w:numId w:val="11"/>
        </w:numPr>
        <w:rPr>
          <w:rFonts w:ascii="Lato" w:hAnsi="Lato"/>
        </w:rPr>
      </w:pPr>
      <w:r w:rsidRPr="00795FAA">
        <w:rPr>
          <w:rFonts w:ascii="Lato" w:hAnsi="Lato"/>
        </w:rPr>
        <w:t xml:space="preserve">The Department of Primary Industry and Resources issues titles under </w:t>
      </w:r>
      <w:r w:rsidR="000372E6" w:rsidRPr="00795FAA">
        <w:rPr>
          <w:rFonts w:ascii="Lato" w:hAnsi="Lato"/>
        </w:rPr>
        <w:t>Northern</w:t>
      </w:r>
      <w:r w:rsidR="000372E6">
        <w:rPr>
          <w:rFonts w:ascii="Lato" w:hAnsi="Lato"/>
        </w:rPr>
        <w:t> </w:t>
      </w:r>
      <w:r w:rsidRPr="00795FAA">
        <w:rPr>
          <w:rFonts w:ascii="Lato" w:hAnsi="Lato"/>
        </w:rPr>
        <w:t>Territory mining legislation for the right to enter land, mine and dispose of minerals. When titleholders (commonly known as tenement holders) obtain a title they undertake to pay royalties. This Overview outlines the royalty requirements and sets out the obligations of the tenement holders and responsible persons in this regard.</w:t>
      </w:r>
    </w:p>
    <w:p w14:paraId="4D9A51B8" w14:textId="1F6876FE" w:rsidR="00795FAA" w:rsidRPr="00795FAA" w:rsidRDefault="00795FAA" w:rsidP="00E31F5F">
      <w:pPr>
        <w:pStyle w:val="ListNumber"/>
        <w:numPr>
          <w:ilvl w:val="0"/>
          <w:numId w:val="11"/>
        </w:numPr>
        <w:rPr>
          <w:rFonts w:ascii="Lato" w:hAnsi="Lato"/>
        </w:rPr>
      </w:pPr>
      <w:r w:rsidRPr="00795FAA">
        <w:rPr>
          <w:rFonts w:ascii="Lato" w:hAnsi="Lato"/>
        </w:rPr>
        <w:t xml:space="preserve">Royalties are payments made to the </w:t>
      </w:r>
      <w:r w:rsidR="000372E6">
        <w:rPr>
          <w:rFonts w:ascii="Lato" w:hAnsi="Lato"/>
        </w:rPr>
        <w:t xml:space="preserve">Territory </w:t>
      </w:r>
      <w:r w:rsidRPr="00795FAA">
        <w:rPr>
          <w:rFonts w:ascii="Lato" w:hAnsi="Lato"/>
        </w:rPr>
        <w:t>as the owner of the minerals, in consideration of a right granted to extract and remove minerals and are calculated in respect of the net value of the minerals taken or produced. They are not a tax.</w:t>
      </w:r>
    </w:p>
    <w:p w14:paraId="343DE6DF" w14:textId="77777777" w:rsidR="00795FAA" w:rsidRPr="00795FAA" w:rsidRDefault="00795FAA" w:rsidP="00E31F5F">
      <w:pPr>
        <w:pStyle w:val="ListNumber"/>
        <w:numPr>
          <w:ilvl w:val="0"/>
          <w:numId w:val="11"/>
        </w:numPr>
        <w:rPr>
          <w:rFonts w:ascii="Lato" w:hAnsi="Lato"/>
        </w:rPr>
      </w:pPr>
      <w:r w:rsidRPr="00795FAA">
        <w:rPr>
          <w:rFonts w:ascii="Lato" w:hAnsi="Lato"/>
        </w:rPr>
        <w:t>Royalties are collected under the MRA or Agreement Ratification Acts or Agreement Acts which are negotiated for individual projects. In some cases, the Agreement Ratification Acts and Agreement Acts contain specific royalty clauses while in other cases they refer to the MRA with or without modification.</w:t>
      </w:r>
    </w:p>
    <w:p w14:paraId="45CEC97C" w14:textId="78140FD3" w:rsidR="00795FAA" w:rsidRPr="00795FAA" w:rsidRDefault="00795FAA" w:rsidP="00E31F5F">
      <w:pPr>
        <w:pStyle w:val="ListNumber"/>
        <w:numPr>
          <w:ilvl w:val="0"/>
          <w:numId w:val="11"/>
        </w:numPr>
        <w:rPr>
          <w:rFonts w:ascii="Lato" w:hAnsi="Lato"/>
        </w:rPr>
      </w:pPr>
      <w:r w:rsidRPr="00795FAA">
        <w:rPr>
          <w:rFonts w:ascii="Lato" w:hAnsi="Lato"/>
        </w:rPr>
        <w:t>The Territory</w:t>
      </w:r>
      <w:r w:rsidR="001639F7">
        <w:rPr>
          <w:rFonts w:ascii="Lato" w:hAnsi="Lato"/>
        </w:rPr>
        <w:t xml:space="preserve">’s </w:t>
      </w:r>
      <w:r w:rsidRPr="00795FAA">
        <w:rPr>
          <w:rFonts w:ascii="Lato" w:hAnsi="Lato"/>
        </w:rPr>
        <w:t xml:space="preserve">royalty regime encourages present and future exploration and development of mineral resources. At the same time, it compensates the </w:t>
      </w:r>
      <w:r w:rsidR="000372E6">
        <w:rPr>
          <w:rFonts w:ascii="Lato" w:hAnsi="Lato"/>
        </w:rPr>
        <w:t xml:space="preserve">Territory </w:t>
      </w:r>
      <w:r w:rsidRPr="00795FAA">
        <w:rPr>
          <w:rFonts w:ascii="Lato" w:hAnsi="Lato"/>
        </w:rPr>
        <w:t>community for allowing the private extraction of the Territory’s non</w:t>
      </w:r>
      <w:r w:rsidR="000372E6">
        <w:rPr>
          <w:rFonts w:ascii="Lato" w:hAnsi="Lato"/>
        </w:rPr>
        <w:noBreakHyphen/>
      </w:r>
      <w:r w:rsidRPr="00795FAA">
        <w:rPr>
          <w:rFonts w:ascii="Lato" w:hAnsi="Lato"/>
        </w:rPr>
        <w:t>renewable resources.</w:t>
      </w:r>
    </w:p>
    <w:p w14:paraId="29147709" w14:textId="77777777" w:rsidR="00795FAA" w:rsidRPr="00795FAA" w:rsidRDefault="00795FAA" w:rsidP="00E31F5F">
      <w:pPr>
        <w:pStyle w:val="ListNumber"/>
        <w:numPr>
          <w:ilvl w:val="0"/>
          <w:numId w:val="11"/>
        </w:numPr>
        <w:rPr>
          <w:rFonts w:ascii="Lato" w:hAnsi="Lato"/>
        </w:rPr>
      </w:pPr>
      <w:r w:rsidRPr="00795FAA">
        <w:rPr>
          <w:rFonts w:ascii="Lato" w:hAnsi="Lato"/>
        </w:rPr>
        <w:t>Payment of royalties is a condition of a mining tenement and failure to pay royalties is a breach of the lease which can result in cancellation of a mining tenement forming part of the production unit.</w:t>
      </w:r>
    </w:p>
    <w:p w14:paraId="112757B5" w14:textId="77777777" w:rsidR="00795FAA" w:rsidRPr="00795FAA" w:rsidRDefault="00795FAA" w:rsidP="00E31F5F">
      <w:pPr>
        <w:pStyle w:val="ListNumber"/>
        <w:numPr>
          <w:ilvl w:val="0"/>
          <w:numId w:val="11"/>
        </w:numPr>
        <w:rPr>
          <w:rFonts w:ascii="Lato" w:hAnsi="Lato"/>
        </w:rPr>
      </w:pPr>
      <w:r w:rsidRPr="00795FAA">
        <w:rPr>
          <w:rFonts w:ascii="Lato" w:hAnsi="Lato"/>
        </w:rPr>
        <w:t>The royalty return required to be lodged under section 12 of the MRA provides the Secretary with information to enable calculation of the royalty, including the value of the saleable mineral commodity, the basis for valuation of the saleable mineral commodity and any related expenditure.</w:t>
      </w:r>
    </w:p>
    <w:p w14:paraId="2D5C8083" w14:textId="77777777" w:rsidR="00795FAA" w:rsidRPr="00795FAA" w:rsidRDefault="00795FAA" w:rsidP="00795FAA">
      <w:pPr>
        <w:pStyle w:val="Heading1"/>
        <w:numPr>
          <w:ilvl w:val="0"/>
          <w:numId w:val="0"/>
        </w:numPr>
        <w:ind w:left="432" w:hanging="432"/>
        <w:rPr>
          <w:rFonts w:ascii="Lato" w:hAnsi="Lato"/>
        </w:rPr>
      </w:pPr>
      <w:r w:rsidRPr="00795FAA">
        <w:rPr>
          <w:rFonts w:ascii="Lato" w:hAnsi="Lato"/>
        </w:rPr>
        <w:t>Minerals subject to the MRA</w:t>
      </w:r>
    </w:p>
    <w:p w14:paraId="50BAFF8D" w14:textId="77777777" w:rsidR="00795FAA" w:rsidRPr="00795FAA" w:rsidRDefault="00795FAA" w:rsidP="00E31F5F">
      <w:pPr>
        <w:pStyle w:val="ListNumber"/>
        <w:numPr>
          <w:ilvl w:val="0"/>
          <w:numId w:val="11"/>
        </w:numPr>
        <w:rPr>
          <w:rFonts w:ascii="Lato" w:hAnsi="Lato"/>
        </w:rPr>
      </w:pPr>
      <w:r w:rsidRPr="00795FAA">
        <w:rPr>
          <w:rFonts w:ascii="Lato" w:hAnsi="Lato"/>
        </w:rPr>
        <w:t>Subject to the terms of sections 3 and 52 of the MRA, royalties are payable on all minerals except for uranium, petroleum and extractive minerals of a specified kind.</w:t>
      </w:r>
    </w:p>
    <w:p w14:paraId="30EA9585" w14:textId="061AD425" w:rsidR="00795FAA" w:rsidRPr="00795FAA" w:rsidRDefault="00795FAA" w:rsidP="00E31F5F">
      <w:pPr>
        <w:pStyle w:val="ListNumber"/>
        <w:numPr>
          <w:ilvl w:val="0"/>
          <w:numId w:val="11"/>
        </w:numPr>
        <w:rPr>
          <w:rFonts w:ascii="Lato" w:hAnsi="Lato"/>
        </w:rPr>
      </w:pPr>
      <w:r w:rsidRPr="00795FAA">
        <w:rPr>
          <w:rFonts w:ascii="Lato" w:hAnsi="Lato"/>
        </w:rPr>
        <w:t xml:space="preserve">Extractive minerals that are authorised to be recovered under the terms of an extractive mineral permit, an extractive mineral lease or an authorisation to occupy an extractive mineral lease (or a mineral authority that corresponds to an extractive permit or an extractive mineral lease) that has been granted under the relevant </w:t>
      </w:r>
      <w:r w:rsidR="000372E6">
        <w:rPr>
          <w:rFonts w:ascii="Lato" w:hAnsi="Lato"/>
        </w:rPr>
        <w:t xml:space="preserve">Territory </w:t>
      </w:r>
      <w:r w:rsidRPr="00795FAA">
        <w:rPr>
          <w:rFonts w:ascii="Lato" w:hAnsi="Lato"/>
        </w:rPr>
        <w:t xml:space="preserve">mining legislation, are not subject to the MRA. Extractive minerals authorised to be recovered under the terms of a mineral lease or mineral claim (prior to conversion to a new mining title under the </w:t>
      </w:r>
      <w:r w:rsidRPr="007F6C12">
        <w:rPr>
          <w:rFonts w:ascii="Lato" w:hAnsi="Lato"/>
          <w:i/>
        </w:rPr>
        <w:t>Mineral Titles Act 2010</w:t>
      </w:r>
      <w:r w:rsidRPr="00795FAA">
        <w:rPr>
          <w:rFonts w:ascii="Lato" w:hAnsi="Lato"/>
        </w:rPr>
        <w:t xml:space="preserve"> (NT)) granted under the relevant mining legislation are subject to royalties.</w:t>
      </w:r>
    </w:p>
    <w:p w14:paraId="3276EC3B" w14:textId="34B00F4F" w:rsidR="00795FAA" w:rsidRPr="007F6C12" w:rsidRDefault="007F6C12" w:rsidP="00E31F5F">
      <w:pPr>
        <w:pStyle w:val="ListNumber"/>
        <w:numPr>
          <w:ilvl w:val="0"/>
          <w:numId w:val="11"/>
        </w:numPr>
        <w:rPr>
          <w:rFonts w:ascii="Lato" w:hAnsi="Lato"/>
          <w:iCs/>
        </w:rPr>
      </w:pPr>
      <w:r w:rsidRPr="007F6C12">
        <w:rPr>
          <w:rFonts w:ascii="Lato" w:hAnsi="Lato"/>
        </w:rPr>
        <w:lastRenderedPageBreak/>
        <w:t xml:space="preserve">By virtue of a high level executive arrangement under section 7 of the </w:t>
      </w:r>
      <w:r w:rsidRPr="007F6C12">
        <w:rPr>
          <w:rFonts w:ascii="Lato" w:hAnsi="Lato"/>
          <w:i/>
        </w:rPr>
        <w:t>Uranium Royalty (Northern Territory) Act 2009</w:t>
      </w:r>
      <w:r w:rsidRPr="007F6C12">
        <w:rPr>
          <w:rFonts w:ascii="Lato" w:hAnsi="Lato"/>
        </w:rPr>
        <w:t xml:space="preserve"> (</w:t>
      </w:r>
      <w:proofErr w:type="spellStart"/>
      <w:r w:rsidRPr="007F6C12">
        <w:rPr>
          <w:rFonts w:ascii="Lato" w:hAnsi="Lato"/>
        </w:rPr>
        <w:t>Cth</w:t>
      </w:r>
      <w:proofErr w:type="spellEnd"/>
      <w:r w:rsidRPr="007F6C12">
        <w:rPr>
          <w:rFonts w:ascii="Lato" w:hAnsi="Lato"/>
        </w:rPr>
        <w:t xml:space="preserve">), the </w:t>
      </w:r>
      <w:r w:rsidRPr="007F6C12">
        <w:rPr>
          <w:rFonts w:ascii="Lato" w:hAnsi="Lato"/>
          <w:i/>
        </w:rPr>
        <w:t>Uranium Royalty (Northern Territory) Act</w:t>
      </w:r>
      <w:r w:rsidRPr="007F6C12">
        <w:rPr>
          <w:rFonts w:ascii="Lato" w:hAnsi="Lato"/>
        </w:rPr>
        <w:t xml:space="preserve"> applies the mineral royalty regime under the MRA to new mining operations or any expansion to existing mining operations as in force immediately before the commencement of section 4 of the </w:t>
      </w:r>
      <w:r w:rsidRPr="007F6C12">
        <w:rPr>
          <w:rFonts w:ascii="Lato" w:hAnsi="Lato"/>
          <w:i/>
        </w:rPr>
        <w:t>Uranium Royalty (Northern Territory) Act</w:t>
      </w:r>
      <w:r w:rsidRPr="007F6C12">
        <w:rPr>
          <w:rFonts w:ascii="Lato" w:hAnsi="Lato"/>
        </w:rPr>
        <w:t xml:space="preserve"> containing designated or prescribed substances including uranium, on Aboriginal land, as defined by the </w:t>
      </w:r>
      <w:r w:rsidRPr="007F6C12">
        <w:rPr>
          <w:rFonts w:ascii="Lato" w:hAnsi="Lato"/>
          <w:i/>
        </w:rPr>
        <w:t>Aboriginal Land Rights Northern Territory Act 1976</w:t>
      </w:r>
      <w:r w:rsidRPr="007F6C12">
        <w:rPr>
          <w:rFonts w:ascii="Lato" w:hAnsi="Lato"/>
        </w:rPr>
        <w:t xml:space="preserve"> (</w:t>
      </w:r>
      <w:proofErr w:type="spellStart"/>
      <w:r w:rsidRPr="007F6C12">
        <w:rPr>
          <w:rFonts w:ascii="Lato" w:hAnsi="Lato"/>
        </w:rPr>
        <w:t>Cth</w:t>
      </w:r>
      <w:proofErr w:type="spellEnd"/>
      <w:r w:rsidRPr="007F6C12">
        <w:rPr>
          <w:rFonts w:ascii="Lato" w:hAnsi="Lato"/>
        </w:rPr>
        <w:t xml:space="preserve">), and non-Aboriginal land within the geographical area or jurisdiction of the Territory. The </w:t>
      </w:r>
      <w:r w:rsidRPr="007F6C12">
        <w:rPr>
          <w:rFonts w:ascii="Lato" w:hAnsi="Lato"/>
          <w:i/>
        </w:rPr>
        <w:t>Uranium Royalty (Northern Territory) Act</w:t>
      </w:r>
      <w:r w:rsidRPr="007F6C12">
        <w:rPr>
          <w:rFonts w:ascii="Lato" w:hAnsi="Lato"/>
        </w:rPr>
        <w:t xml:space="preserve"> provides for the Territory to administer the royalty regime on behalf of the Commonwealth, to retain the royalties collected, and to repay any overpayment of royalties.</w:t>
      </w:r>
    </w:p>
    <w:p w14:paraId="17514FE7" w14:textId="77777777" w:rsidR="00795FAA" w:rsidRPr="00795FAA" w:rsidRDefault="00795FAA" w:rsidP="00795FAA">
      <w:pPr>
        <w:pStyle w:val="Heading1"/>
        <w:numPr>
          <w:ilvl w:val="0"/>
          <w:numId w:val="0"/>
        </w:numPr>
        <w:ind w:left="432" w:hanging="432"/>
        <w:rPr>
          <w:rFonts w:ascii="Lato" w:hAnsi="Lato"/>
        </w:rPr>
      </w:pPr>
      <w:r w:rsidRPr="00795FAA">
        <w:rPr>
          <w:rFonts w:ascii="Lato" w:hAnsi="Lato"/>
        </w:rPr>
        <w:t>Royalties</w:t>
      </w:r>
    </w:p>
    <w:p w14:paraId="25731ACD" w14:textId="516DE0D1" w:rsidR="00795FAA" w:rsidRPr="001B7C60" w:rsidRDefault="00795FAA" w:rsidP="00E31F5F">
      <w:pPr>
        <w:pStyle w:val="ListNumber"/>
        <w:numPr>
          <w:ilvl w:val="0"/>
          <w:numId w:val="11"/>
        </w:numPr>
        <w:rPr>
          <w:rFonts w:ascii="Lato" w:hAnsi="Lato"/>
        </w:rPr>
      </w:pPr>
      <w:r w:rsidRPr="00795FAA">
        <w:rPr>
          <w:rFonts w:ascii="Lato" w:hAnsi="Lato"/>
        </w:rPr>
        <w:t>Royalties</w:t>
      </w:r>
      <w:r w:rsidRPr="001B7C60">
        <w:rPr>
          <w:rFonts w:ascii="Lato" w:hAnsi="Lato"/>
        </w:rPr>
        <w:t xml:space="preserve"> on minerals within the scope of the MRA are charged on the net value derived from the production of a saleable mineral commodity within the boundaries of a production unit. </w:t>
      </w:r>
      <w:r w:rsidR="000372E6">
        <w:rPr>
          <w:rFonts w:ascii="Lato" w:hAnsi="Lato"/>
        </w:rPr>
        <w:t>Generally, t</w:t>
      </w:r>
      <w:r w:rsidRPr="001B7C60">
        <w:rPr>
          <w:rFonts w:ascii="Lato" w:hAnsi="Lato"/>
        </w:rPr>
        <w:t>he objective is that</w:t>
      </w:r>
      <w:r w:rsidR="000372E6">
        <w:rPr>
          <w:rFonts w:ascii="Lato" w:hAnsi="Lato"/>
        </w:rPr>
        <w:t xml:space="preserve"> </w:t>
      </w:r>
      <w:r w:rsidRPr="001B7C60">
        <w:rPr>
          <w:rFonts w:ascii="Lato" w:hAnsi="Lato"/>
        </w:rPr>
        <w:t xml:space="preserve">only those expenditures essential to produce that commodity are allowable as deductions against the value of the saleable mineral commodity sold or removed without sale from a production unit.  </w:t>
      </w:r>
    </w:p>
    <w:p w14:paraId="4BD7E1B2" w14:textId="77777777" w:rsidR="00795FAA" w:rsidRPr="001B7C60" w:rsidRDefault="00795FAA" w:rsidP="00E31F5F">
      <w:pPr>
        <w:pStyle w:val="ListNumber"/>
        <w:numPr>
          <w:ilvl w:val="0"/>
          <w:numId w:val="11"/>
        </w:numPr>
        <w:rPr>
          <w:rFonts w:ascii="Lato" w:hAnsi="Lato"/>
        </w:rPr>
      </w:pPr>
      <w:r w:rsidRPr="001B7C60">
        <w:rPr>
          <w:rFonts w:ascii="Lato" w:hAnsi="Lato"/>
        </w:rPr>
        <w:t xml:space="preserve">For </w:t>
      </w:r>
      <w:r w:rsidRPr="00795FAA">
        <w:rPr>
          <w:rFonts w:ascii="Lato" w:hAnsi="Lato"/>
        </w:rPr>
        <w:t>royalty</w:t>
      </w:r>
      <w:r w:rsidRPr="001B7C60">
        <w:rPr>
          <w:rFonts w:ascii="Lato" w:hAnsi="Lato"/>
        </w:rPr>
        <w:t xml:space="preserve"> years commencing on or after 1 July 2019, a minimum royalty is applicable under the MRA (see paragraph 19).</w:t>
      </w:r>
    </w:p>
    <w:p w14:paraId="33FA3E7C" w14:textId="77777777" w:rsidR="00795FAA" w:rsidRPr="001B7C60" w:rsidRDefault="00795FAA" w:rsidP="00E31F5F">
      <w:pPr>
        <w:pStyle w:val="ListNumber"/>
        <w:numPr>
          <w:ilvl w:val="0"/>
          <w:numId w:val="11"/>
        </w:numPr>
        <w:rPr>
          <w:rFonts w:ascii="Lato" w:hAnsi="Lato"/>
        </w:rPr>
      </w:pPr>
      <w:r w:rsidRPr="001B7C60">
        <w:rPr>
          <w:rFonts w:ascii="Lato" w:hAnsi="Lato"/>
        </w:rPr>
        <w:t xml:space="preserve">The minimum royalty is calculated on the gross production value of mineral commodities </w:t>
      </w:r>
      <w:r w:rsidRPr="00795FAA">
        <w:rPr>
          <w:rFonts w:ascii="Lato" w:hAnsi="Lato"/>
        </w:rPr>
        <w:t>obtained</w:t>
      </w:r>
      <w:r w:rsidRPr="001B7C60">
        <w:rPr>
          <w:rFonts w:ascii="Lato" w:hAnsi="Lato"/>
        </w:rPr>
        <w:t xml:space="preserve"> from a production unit. There is no deduction available for mining costs incurred.</w:t>
      </w:r>
    </w:p>
    <w:p w14:paraId="223BE634" w14:textId="3A16A384" w:rsidR="00795FAA" w:rsidRPr="001B7C60" w:rsidRDefault="00AF235C" w:rsidP="00E31F5F">
      <w:pPr>
        <w:pStyle w:val="ListNumber"/>
        <w:numPr>
          <w:ilvl w:val="0"/>
          <w:numId w:val="11"/>
        </w:numPr>
        <w:rPr>
          <w:rFonts w:ascii="Lato" w:hAnsi="Lato"/>
        </w:rPr>
      </w:pPr>
      <w:r>
        <w:rPr>
          <w:rFonts w:ascii="Lato" w:hAnsi="Lato"/>
        </w:rPr>
        <w:t>R</w:t>
      </w:r>
      <w:r w:rsidR="00795FAA" w:rsidRPr="001B7C60">
        <w:rPr>
          <w:rFonts w:ascii="Lato" w:hAnsi="Lato"/>
        </w:rPr>
        <w:t xml:space="preserve">ing-fencing principles apply under the MRA and each of the royalty </w:t>
      </w:r>
      <w:r w:rsidR="00795FAA" w:rsidRPr="00795FAA">
        <w:rPr>
          <w:rFonts w:ascii="Lato" w:hAnsi="Lato"/>
        </w:rPr>
        <w:t>payer’s</w:t>
      </w:r>
      <w:r w:rsidR="00795FAA" w:rsidRPr="001B7C60">
        <w:rPr>
          <w:rFonts w:ascii="Lato" w:hAnsi="Lato"/>
        </w:rPr>
        <w:t xml:space="preserve"> operations are treated independently, for royalty purposes, from all of the royalty payer’s other operations. Accordingly, the accounts from the individual production unit may not be mixed with the accounts for activities outside the production unit. There is no ability to aggregate income or revenue and expenses from all operations carried on by the royalty payer within the Territory.</w:t>
      </w:r>
    </w:p>
    <w:p w14:paraId="6EFB137B" w14:textId="77777777" w:rsidR="00795FAA" w:rsidRPr="001B7C60" w:rsidRDefault="00795FAA" w:rsidP="00E31F5F">
      <w:pPr>
        <w:pStyle w:val="ListNumber"/>
        <w:numPr>
          <w:ilvl w:val="0"/>
          <w:numId w:val="11"/>
        </w:numPr>
        <w:rPr>
          <w:rFonts w:ascii="Lato" w:hAnsi="Lato"/>
        </w:rPr>
      </w:pPr>
      <w:r w:rsidRPr="001B7C60">
        <w:rPr>
          <w:rFonts w:ascii="Lato" w:hAnsi="Lato"/>
        </w:rPr>
        <w:t xml:space="preserve">The </w:t>
      </w:r>
      <w:r w:rsidRPr="00795FAA">
        <w:rPr>
          <w:rFonts w:ascii="Lato" w:hAnsi="Lato"/>
        </w:rPr>
        <w:t>tenement</w:t>
      </w:r>
      <w:r w:rsidRPr="001B7C60">
        <w:rPr>
          <w:rFonts w:ascii="Lato" w:hAnsi="Lato"/>
        </w:rPr>
        <w:t xml:space="preserve"> holder(s), including the responsible person for a production unit, is the royalty payer for the purposes of the MRA. Accordingly, they are responsible for the lodgement of royalty returns and payment of royalties under the MRA.</w:t>
      </w:r>
    </w:p>
    <w:p w14:paraId="31275789" w14:textId="77777777" w:rsidR="00795FAA" w:rsidRPr="001B7C60" w:rsidRDefault="00795FAA" w:rsidP="00E31F5F">
      <w:pPr>
        <w:pStyle w:val="ListNumber"/>
        <w:numPr>
          <w:ilvl w:val="0"/>
          <w:numId w:val="11"/>
        </w:numPr>
        <w:rPr>
          <w:rFonts w:ascii="Lato" w:hAnsi="Lato"/>
        </w:rPr>
      </w:pPr>
      <w:r w:rsidRPr="001B7C60">
        <w:rPr>
          <w:rFonts w:ascii="Lato" w:hAnsi="Lato"/>
        </w:rPr>
        <w:t xml:space="preserve">The imposition and assessment of royalty on minerals recovered in the </w:t>
      </w:r>
      <w:r w:rsidR="000372E6">
        <w:rPr>
          <w:rFonts w:ascii="Lato" w:hAnsi="Lato"/>
        </w:rPr>
        <w:t xml:space="preserve">Territory </w:t>
      </w:r>
      <w:r w:rsidRPr="001B7C60">
        <w:rPr>
          <w:rFonts w:ascii="Lato" w:hAnsi="Lato"/>
        </w:rPr>
        <w:t>is governed by sections 9, 9A and 10 of the MRA.</w:t>
      </w:r>
    </w:p>
    <w:p w14:paraId="4D55F45E" w14:textId="77777777" w:rsidR="00795FAA" w:rsidRPr="001B7C60" w:rsidRDefault="00795FAA" w:rsidP="00E31F5F">
      <w:pPr>
        <w:pStyle w:val="ListNumber"/>
        <w:numPr>
          <w:ilvl w:val="0"/>
          <w:numId w:val="11"/>
        </w:numPr>
        <w:rPr>
          <w:rFonts w:ascii="Lato" w:hAnsi="Lato"/>
        </w:rPr>
      </w:pPr>
      <w:r w:rsidRPr="001B7C60">
        <w:rPr>
          <w:rFonts w:ascii="Lato" w:hAnsi="Lato"/>
        </w:rPr>
        <w:t>Under section 9, royalty is payable to the Territory and liability for royalty is a joint and several liability of the mining tenement holder(s).</w:t>
      </w:r>
    </w:p>
    <w:p w14:paraId="758C8C91" w14:textId="77777777" w:rsidR="00795FAA" w:rsidRPr="001B7C60" w:rsidRDefault="00795FAA" w:rsidP="00E31F5F">
      <w:pPr>
        <w:pStyle w:val="ListNumber"/>
        <w:numPr>
          <w:ilvl w:val="0"/>
          <w:numId w:val="11"/>
        </w:numPr>
        <w:rPr>
          <w:rFonts w:ascii="Lato" w:hAnsi="Lato"/>
        </w:rPr>
      </w:pPr>
      <w:r w:rsidRPr="001B7C60">
        <w:rPr>
          <w:rFonts w:ascii="Lato" w:hAnsi="Lato"/>
        </w:rPr>
        <w:t xml:space="preserve">The royalty payable under section 9A, is </w:t>
      </w:r>
      <w:r w:rsidRPr="001B7C60">
        <w:rPr>
          <w:rFonts w:ascii="Lato" w:hAnsi="Lato"/>
          <w:b/>
        </w:rPr>
        <w:t>the greater of</w:t>
      </w:r>
      <w:r w:rsidRPr="001B7C60">
        <w:rPr>
          <w:rFonts w:ascii="Lato" w:hAnsi="Lato"/>
        </w:rPr>
        <w:t>:</w:t>
      </w:r>
    </w:p>
    <w:p w14:paraId="2BF98F63" w14:textId="3DDD6BD9" w:rsidR="00795FAA" w:rsidRPr="001B7C60" w:rsidRDefault="00795FAA" w:rsidP="00EE1A0A">
      <w:pPr>
        <w:pStyle w:val="BlockText"/>
        <w:numPr>
          <w:ilvl w:val="1"/>
          <w:numId w:val="13"/>
        </w:numPr>
        <w:tabs>
          <w:tab w:val="clear" w:pos="1080"/>
          <w:tab w:val="num" w:pos="851"/>
        </w:tabs>
        <w:spacing w:after="120"/>
        <w:ind w:left="851" w:hanging="425"/>
        <w:jc w:val="both"/>
        <w:rPr>
          <w:rFonts w:ascii="Lato" w:hAnsi="Lato"/>
        </w:rPr>
      </w:pPr>
      <w:r w:rsidRPr="001B7C60">
        <w:rPr>
          <w:rFonts w:ascii="Lato" w:hAnsi="Lato"/>
        </w:rPr>
        <w:t>20 per cent of the net value, less $10 000</w:t>
      </w:r>
    </w:p>
    <w:p w14:paraId="0490A358" w14:textId="58A38348" w:rsidR="00795FAA" w:rsidRPr="001B7C60" w:rsidRDefault="00795FAA" w:rsidP="00EE1A0A">
      <w:pPr>
        <w:pStyle w:val="BlockText"/>
        <w:numPr>
          <w:ilvl w:val="1"/>
          <w:numId w:val="13"/>
        </w:numPr>
        <w:tabs>
          <w:tab w:val="clear" w:pos="1080"/>
          <w:tab w:val="num" w:pos="851"/>
        </w:tabs>
        <w:spacing w:after="120"/>
        <w:ind w:left="851" w:hanging="425"/>
        <w:jc w:val="both"/>
        <w:rPr>
          <w:rFonts w:ascii="Lato" w:hAnsi="Lato"/>
        </w:rPr>
      </w:pPr>
      <w:r w:rsidRPr="001B7C60">
        <w:rPr>
          <w:rFonts w:ascii="Lato" w:hAnsi="Lato"/>
        </w:rPr>
        <w:t xml:space="preserve">the percentage of the gross production revenue applying to the royalty year as follows: </w:t>
      </w:r>
    </w:p>
    <w:p w14:paraId="3BD70B9C" w14:textId="77777777" w:rsidR="00795FAA" w:rsidRPr="001B7C60" w:rsidRDefault="00795FAA" w:rsidP="00EE1A0A">
      <w:pPr>
        <w:numPr>
          <w:ilvl w:val="0"/>
          <w:numId w:val="12"/>
        </w:numPr>
        <w:spacing w:after="120"/>
        <w:ind w:left="1276" w:hanging="283"/>
        <w:jc w:val="both"/>
        <w:rPr>
          <w:rFonts w:ascii="Lato" w:hAnsi="Lato"/>
        </w:rPr>
      </w:pPr>
      <w:r w:rsidRPr="001B7C60">
        <w:rPr>
          <w:rFonts w:ascii="Lato" w:hAnsi="Lato"/>
        </w:rPr>
        <w:t>1 per cent for the royalty payer’s first royalty year that begins on or after 1 July 2019</w:t>
      </w:r>
    </w:p>
    <w:p w14:paraId="43E532B1" w14:textId="77777777" w:rsidR="00795FAA" w:rsidRPr="001B7C60" w:rsidRDefault="00795FAA" w:rsidP="00EE1A0A">
      <w:pPr>
        <w:numPr>
          <w:ilvl w:val="0"/>
          <w:numId w:val="12"/>
        </w:numPr>
        <w:spacing w:after="120"/>
        <w:ind w:left="1276" w:hanging="283"/>
        <w:jc w:val="both"/>
        <w:rPr>
          <w:rFonts w:ascii="Lato" w:hAnsi="Lato"/>
        </w:rPr>
      </w:pPr>
      <w:r w:rsidRPr="001B7C60">
        <w:rPr>
          <w:rFonts w:ascii="Lato" w:hAnsi="Lato"/>
        </w:rPr>
        <w:t>2 per cent for the royalty year that follows the royalty year mentioned in subparagraph (</w:t>
      </w:r>
      <w:proofErr w:type="spellStart"/>
      <w:r w:rsidRPr="001B7C60">
        <w:rPr>
          <w:rFonts w:ascii="Lato" w:hAnsi="Lato"/>
        </w:rPr>
        <w:t>i</w:t>
      </w:r>
      <w:proofErr w:type="spellEnd"/>
      <w:r w:rsidRPr="001B7C60">
        <w:rPr>
          <w:rFonts w:ascii="Lato" w:hAnsi="Lato"/>
        </w:rPr>
        <w:t>)</w:t>
      </w:r>
    </w:p>
    <w:p w14:paraId="4AD69408" w14:textId="77777777" w:rsidR="00795FAA" w:rsidRPr="001B7C60" w:rsidRDefault="00795FAA" w:rsidP="00EE1A0A">
      <w:pPr>
        <w:numPr>
          <w:ilvl w:val="0"/>
          <w:numId w:val="12"/>
        </w:numPr>
        <w:spacing w:after="120"/>
        <w:ind w:left="1276" w:hanging="283"/>
        <w:jc w:val="both"/>
        <w:rPr>
          <w:rFonts w:ascii="Lato" w:hAnsi="Lato"/>
        </w:rPr>
      </w:pPr>
      <w:r w:rsidRPr="001B7C60">
        <w:rPr>
          <w:rFonts w:ascii="Lato" w:hAnsi="Lato"/>
        </w:rPr>
        <w:t xml:space="preserve">2.5 per cent for each royalty year that follows the royalty year mentioned in subparagraph (ii). </w:t>
      </w:r>
    </w:p>
    <w:p w14:paraId="24F9C7AE" w14:textId="13F037C7" w:rsidR="00795FAA" w:rsidRDefault="00795FAA" w:rsidP="00E31F5F">
      <w:pPr>
        <w:pStyle w:val="ListNumber"/>
        <w:numPr>
          <w:ilvl w:val="0"/>
          <w:numId w:val="11"/>
        </w:numPr>
        <w:rPr>
          <w:rFonts w:ascii="Lato" w:hAnsi="Lato"/>
        </w:rPr>
      </w:pPr>
      <w:r w:rsidRPr="001B7C60">
        <w:rPr>
          <w:rFonts w:ascii="Lato" w:hAnsi="Lato"/>
        </w:rPr>
        <w:lastRenderedPageBreak/>
        <w:t>To accommodate small-scale miners, for royalty years commencing on or after 1</w:t>
      </w:r>
      <w:r w:rsidR="000372E6">
        <w:rPr>
          <w:rFonts w:ascii="Lato" w:hAnsi="Lato"/>
        </w:rPr>
        <w:t> </w:t>
      </w:r>
      <w:r w:rsidR="000372E6" w:rsidRPr="001B7C60">
        <w:rPr>
          <w:rFonts w:ascii="Lato" w:hAnsi="Lato"/>
        </w:rPr>
        <w:t>July</w:t>
      </w:r>
      <w:r w:rsidR="000372E6">
        <w:rPr>
          <w:rFonts w:ascii="Lato" w:hAnsi="Lato"/>
        </w:rPr>
        <w:t> </w:t>
      </w:r>
      <w:r w:rsidRPr="001B7C60">
        <w:rPr>
          <w:rFonts w:ascii="Lato" w:hAnsi="Lato"/>
        </w:rPr>
        <w:t xml:space="preserve">2019, royalty is only payable where the annual gross production revenue of a production unit exceeds $500 000.  </w:t>
      </w:r>
    </w:p>
    <w:p w14:paraId="1D6E30B6" w14:textId="77777777" w:rsidR="001B7C60" w:rsidRPr="001B7C60" w:rsidRDefault="001B7C60" w:rsidP="001B7C60">
      <w:pPr>
        <w:pStyle w:val="Heading2"/>
        <w:numPr>
          <w:ilvl w:val="0"/>
          <w:numId w:val="0"/>
        </w:numPr>
      </w:pPr>
      <w:r w:rsidRPr="001B7C60">
        <w:t>Net value</w:t>
      </w:r>
    </w:p>
    <w:p w14:paraId="274F6912" w14:textId="77777777" w:rsidR="001B7C60" w:rsidRPr="00A35FBB" w:rsidRDefault="001B7C60" w:rsidP="00E31F5F">
      <w:pPr>
        <w:pStyle w:val="ListNumber"/>
        <w:numPr>
          <w:ilvl w:val="0"/>
          <w:numId w:val="11"/>
        </w:numPr>
        <w:rPr>
          <w:rFonts w:ascii="Lato" w:hAnsi="Lato"/>
        </w:rPr>
      </w:pPr>
      <w:r w:rsidRPr="00A35FBB">
        <w:rPr>
          <w:rFonts w:ascii="Lato" w:hAnsi="Lato"/>
        </w:rPr>
        <w:t>To establish the net value of saleable mineral commodities sold or removed without sale, section 10 of the MRA prescribes the following formula:</w:t>
      </w:r>
    </w:p>
    <w:p w14:paraId="2C7E9ECC" w14:textId="77777777" w:rsidR="001B7C60" w:rsidRPr="00A35FBB" w:rsidRDefault="001B7C60" w:rsidP="00A35FBB">
      <w:pPr>
        <w:spacing w:after="120"/>
        <w:ind w:left="644" w:hanging="284"/>
        <w:jc w:val="both"/>
        <w:rPr>
          <w:rFonts w:ascii="Lato" w:hAnsi="Lato"/>
          <w:b/>
        </w:rPr>
      </w:pPr>
      <w:proofErr w:type="gramStart"/>
      <w:r w:rsidRPr="00A35FBB">
        <w:rPr>
          <w:rFonts w:ascii="Lato" w:hAnsi="Lato"/>
          <w:b/>
        </w:rPr>
        <w:t>NV  =</w:t>
      </w:r>
      <w:proofErr w:type="gramEnd"/>
      <w:r w:rsidRPr="00A35FBB">
        <w:rPr>
          <w:rFonts w:ascii="Lato" w:hAnsi="Lato"/>
          <w:b/>
        </w:rPr>
        <w:t xml:space="preserve"> GR - (OC + CRD + EEE + AD)</w:t>
      </w:r>
    </w:p>
    <w:p w14:paraId="109EC7FC" w14:textId="77777777" w:rsidR="001B7C60" w:rsidRPr="00A35FBB" w:rsidRDefault="001B7C60" w:rsidP="00A35FBB">
      <w:pPr>
        <w:spacing w:after="120"/>
        <w:ind w:left="360"/>
        <w:jc w:val="both"/>
        <w:rPr>
          <w:rFonts w:ascii="Lato" w:hAnsi="Lato"/>
        </w:rPr>
      </w:pPr>
      <w:proofErr w:type="gramStart"/>
      <w:r w:rsidRPr="00A35FBB">
        <w:rPr>
          <w:rFonts w:ascii="Lato" w:hAnsi="Lato"/>
        </w:rPr>
        <w:t>where</w:t>
      </w:r>
      <w:proofErr w:type="gramEnd"/>
      <w:r w:rsidRPr="00A35FBB">
        <w:rPr>
          <w:rFonts w:ascii="Lato" w:hAnsi="Lato"/>
        </w:rPr>
        <w:t>:</w:t>
      </w:r>
    </w:p>
    <w:p w14:paraId="366ADA27" w14:textId="77777777" w:rsidR="001B7C60" w:rsidRPr="00A35FBB" w:rsidRDefault="001B7C60" w:rsidP="0053708D">
      <w:pPr>
        <w:tabs>
          <w:tab w:val="left" w:pos="993"/>
        </w:tabs>
        <w:spacing w:after="120"/>
        <w:ind w:left="644" w:hanging="284"/>
        <w:jc w:val="both"/>
        <w:rPr>
          <w:rFonts w:ascii="Lato" w:hAnsi="Lato"/>
        </w:rPr>
      </w:pPr>
      <w:r w:rsidRPr="00A35FBB">
        <w:rPr>
          <w:rFonts w:ascii="Lato" w:hAnsi="Lato"/>
        </w:rPr>
        <w:t>NV</w:t>
      </w:r>
      <w:r w:rsidRPr="00A35FBB">
        <w:rPr>
          <w:rFonts w:ascii="Lato" w:hAnsi="Lato"/>
        </w:rPr>
        <w:tab/>
        <w:t>is the net value from a production unit in a royalty year.</w:t>
      </w:r>
    </w:p>
    <w:p w14:paraId="3C3FC836" w14:textId="77777777" w:rsidR="001B7C60" w:rsidRPr="00A35FBB" w:rsidRDefault="001B7C60" w:rsidP="0053708D">
      <w:pPr>
        <w:tabs>
          <w:tab w:val="left" w:pos="993"/>
        </w:tabs>
        <w:spacing w:after="120"/>
        <w:ind w:left="644" w:hanging="284"/>
        <w:jc w:val="both"/>
        <w:rPr>
          <w:rFonts w:ascii="Lato" w:hAnsi="Lato"/>
        </w:rPr>
      </w:pPr>
      <w:r w:rsidRPr="00A35FBB">
        <w:rPr>
          <w:rFonts w:ascii="Lato" w:hAnsi="Lato"/>
        </w:rPr>
        <w:t>GR</w:t>
      </w:r>
      <w:r w:rsidRPr="00A35FBB">
        <w:rPr>
          <w:rFonts w:ascii="Lato" w:hAnsi="Lato"/>
        </w:rPr>
        <w:tab/>
        <w:t>is the gross realisation from the production unit in the royalty year.</w:t>
      </w:r>
    </w:p>
    <w:p w14:paraId="75F08260" w14:textId="77777777" w:rsidR="001B7C60" w:rsidRPr="00A35FBB" w:rsidRDefault="001B7C60" w:rsidP="0053708D">
      <w:pPr>
        <w:tabs>
          <w:tab w:val="left" w:pos="993"/>
        </w:tabs>
        <w:spacing w:after="120"/>
        <w:ind w:left="644" w:hanging="284"/>
        <w:jc w:val="both"/>
        <w:rPr>
          <w:rFonts w:ascii="Lato" w:hAnsi="Lato"/>
        </w:rPr>
      </w:pPr>
      <w:r w:rsidRPr="00A35FBB">
        <w:rPr>
          <w:rFonts w:ascii="Lato" w:hAnsi="Lato"/>
        </w:rPr>
        <w:t>OC</w:t>
      </w:r>
      <w:r w:rsidRPr="00A35FBB">
        <w:rPr>
          <w:rFonts w:ascii="Lato" w:hAnsi="Lato"/>
        </w:rPr>
        <w:tab/>
        <w:t>is the operating costs of the production unit for the royalty year.</w:t>
      </w:r>
    </w:p>
    <w:p w14:paraId="26C69703" w14:textId="77777777" w:rsidR="001B7C60" w:rsidRPr="00A35FBB" w:rsidRDefault="001B7C60" w:rsidP="0053708D">
      <w:pPr>
        <w:tabs>
          <w:tab w:val="left" w:pos="993"/>
        </w:tabs>
        <w:spacing w:after="120"/>
        <w:ind w:left="644" w:hanging="284"/>
        <w:jc w:val="both"/>
        <w:rPr>
          <w:rFonts w:ascii="Lato" w:hAnsi="Lato"/>
        </w:rPr>
      </w:pPr>
      <w:r w:rsidRPr="00A35FBB">
        <w:rPr>
          <w:rFonts w:ascii="Lato" w:hAnsi="Lato"/>
        </w:rPr>
        <w:t xml:space="preserve">CRD </w:t>
      </w:r>
      <w:r w:rsidRPr="00A35FBB">
        <w:rPr>
          <w:rFonts w:ascii="Lato" w:hAnsi="Lato"/>
        </w:rPr>
        <w:tab/>
        <w:t>is the capital recognition deduction.</w:t>
      </w:r>
    </w:p>
    <w:p w14:paraId="2B9C0490" w14:textId="77777777" w:rsidR="001B7C60" w:rsidRPr="00A35FBB" w:rsidRDefault="001B7C60" w:rsidP="0053708D">
      <w:pPr>
        <w:tabs>
          <w:tab w:val="left" w:pos="993"/>
        </w:tabs>
        <w:spacing w:after="120"/>
        <w:ind w:left="644" w:hanging="284"/>
        <w:jc w:val="both"/>
        <w:rPr>
          <w:rFonts w:ascii="Lato" w:hAnsi="Lato"/>
        </w:rPr>
      </w:pPr>
      <w:r w:rsidRPr="00A35FBB">
        <w:rPr>
          <w:rFonts w:ascii="Lato" w:hAnsi="Lato"/>
        </w:rPr>
        <w:t xml:space="preserve">EEE </w:t>
      </w:r>
      <w:r w:rsidRPr="00A35FBB">
        <w:rPr>
          <w:rFonts w:ascii="Lato" w:hAnsi="Lato"/>
        </w:rPr>
        <w:tab/>
        <w:t>is any eligible exploration expenditure.</w:t>
      </w:r>
    </w:p>
    <w:p w14:paraId="1B67E42D" w14:textId="77777777" w:rsidR="001B7C60" w:rsidRPr="00A35FBB" w:rsidRDefault="001B7C60" w:rsidP="0053708D">
      <w:pPr>
        <w:tabs>
          <w:tab w:val="left" w:pos="993"/>
        </w:tabs>
        <w:spacing w:after="120"/>
        <w:ind w:left="644" w:hanging="284"/>
        <w:jc w:val="both"/>
        <w:rPr>
          <w:rFonts w:ascii="Lato" w:hAnsi="Lato"/>
        </w:rPr>
      </w:pPr>
      <w:r w:rsidRPr="00A35FBB">
        <w:rPr>
          <w:rFonts w:ascii="Lato" w:hAnsi="Lato"/>
        </w:rPr>
        <w:t xml:space="preserve">AD </w:t>
      </w:r>
      <w:r w:rsidRPr="00A35FBB">
        <w:rPr>
          <w:rFonts w:ascii="Lato" w:hAnsi="Lato"/>
        </w:rPr>
        <w:tab/>
        <w:t>is any additional deduction under section 4CA.</w:t>
      </w:r>
    </w:p>
    <w:p w14:paraId="7BA96058" w14:textId="526E58CA" w:rsidR="001B7C60" w:rsidRPr="00A35FBB" w:rsidRDefault="001B7C60" w:rsidP="00E31F5F">
      <w:pPr>
        <w:pStyle w:val="ListNumber"/>
        <w:numPr>
          <w:ilvl w:val="0"/>
          <w:numId w:val="11"/>
        </w:numPr>
        <w:rPr>
          <w:rFonts w:ascii="Lato" w:hAnsi="Lato"/>
        </w:rPr>
      </w:pPr>
      <w:r w:rsidRPr="00A35FBB">
        <w:rPr>
          <w:rFonts w:ascii="Lato" w:hAnsi="Lato"/>
        </w:rPr>
        <w:t xml:space="preserve">Subject to </w:t>
      </w:r>
      <w:r w:rsidR="00AF235C">
        <w:rPr>
          <w:rFonts w:ascii="Lato" w:hAnsi="Lato"/>
        </w:rPr>
        <w:t xml:space="preserve">the minimum royalty calculation detailed in </w:t>
      </w:r>
      <w:r w:rsidRPr="00A35FBB">
        <w:rPr>
          <w:rFonts w:ascii="Lato" w:hAnsi="Lato"/>
        </w:rPr>
        <w:t>paragraph</w:t>
      </w:r>
      <w:r w:rsidR="00AF235C">
        <w:rPr>
          <w:rFonts w:ascii="Lato" w:hAnsi="Lato"/>
        </w:rPr>
        <w:t>s</w:t>
      </w:r>
      <w:r w:rsidRPr="00A35FBB">
        <w:rPr>
          <w:rFonts w:ascii="Lato" w:hAnsi="Lato"/>
        </w:rPr>
        <w:t xml:space="preserve"> </w:t>
      </w:r>
      <w:r w:rsidR="00AF235C">
        <w:rPr>
          <w:rFonts w:ascii="Lato" w:hAnsi="Lato"/>
        </w:rPr>
        <w:t>33-35,</w:t>
      </w:r>
      <w:r w:rsidRPr="00A35FBB">
        <w:rPr>
          <w:rFonts w:ascii="Lato" w:hAnsi="Lato"/>
        </w:rPr>
        <w:t xml:space="preserve"> royalty is calculated on the net value of a saleable mineral commodity sold or removed without sale from a production unit (whichever triggering event first occurs).</w:t>
      </w:r>
    </w:p>
    <w:p w14:paraId="2BE2138B" w14:textId="77777777" w:rsidR="001B7C60" w:rsidRPr="00A35FBB" w:rsidRDefault="001B7C60" w:rsidP="00E31F5F">
      <w:pPr>
        <w:pStyle w:val="ListNumber"/>
        <w:numPr>
          <w:ilvl w:val="0"/>
          <w:numId w:val="11"/>
        </w:numPr>
        <w:rPr>
          <w:rFonts w:ascii="Lato" w:hAnsi="Lato"/>
        </w:rPr>
      </w:pPr>
      <w:r w:rsidRPr="00A35FBB">
        <w:rPr>
          <w:rFonts w:ascii="Lato" w:hAnsi="Lato"/>
        </w:rPr>
        <w:t xml:space="preserve">Where an amount expended in respect of a production unit is capable of falling under more than one deduction category whether in the same or different royalty year (for example, certain capital expenditure can be an operating cost or qualify for a capital recognition deduction), only one deduction is allowed. </w:t>
      </w:r>
    </w:p>
    <w:p w14:paraId="1B1493D7" w14:textId="77777777" w:rsidR="001B7C60" w:rsidRPr="00A35FBB" w:rsidRDefault="001B7C60" w:rsidP="00E31F5F">
      <w:pPr>
        <w:pStyle w:val="ListNumber"/>
        <w:numPr>
          <w:ilvl w:val="0"/>
          <w:numId w:val="11"/>
        </w:numPr>
        <w:rPr>
          <w:rFonts w:ascii="Lato" w:hAnsi="Lato"/>
        </w:rPr>
      </w:pPr>
      <w:r w:rsidRPr="00A35FBB">
        <w:rPr>
          <w:rFonts w:ascii="Lato" w:hAnsi="Lato"/>
        </w:rPr>
        <w:t>The royalty payer must claim the expenditure under the most appropriate deduction category. For example, any expenditure relating to activities in the nature of production (where the expenditure is more appropriately to be treated as an operating cost) should be claimed as an operating cost and within the most appropriate cost classification.</w:t>
      </w:r>
    </w:p>
    <w:p w14:paraId="7F78587F" w14:textId="0EE109AB" w:rsidR="001B7C60" w:rsidRDefault="001B7C60" w:rsidP="00E31F5F">
      <w:pPr>
        <w:pStyle w:val="ListNumber"/>
        <w:numPr>
          <w:ilvl w:val="0"/>
          <w:numId w:val="11"/>
        </w:numPr>
      </w:pPr>
      <w:r w:rsidRPr="00271EE2">
        <w:t xml:space="preserve">The </w:t>
      </w:r>
      <w:r>
        <w:t xml:space="preserve">Secretary </w:t>
      </w:r>
      <w:r w:rsidRPr="00883599">
        <w:t xml:space="preserve">has issued legally binding </w:t>
      </w:r>
      <w:r>
        <w:t>G</w:t>
      </w:r>
      <w:r w:rsidRPr="00883599">
        <w:t xml:space="preserve">uidelines regarding the meaning, operation and application of the components of the formula set out above </w:t>
      </w:r>
      <w:r>
        <w:t xml:space="preserve">(see Guidelines </w:t>
      </w:r>
      <w:r w:rsidR="00A35FBB" w:rsidRPr="00451408">
        <w:t>RG</w:t>
      </w:r>
      <w:r w:rsidR="00A35FBB" w:rsidRPr="00451408">
        <w:noBreakHyphen/>
      </w:r>
      <w:r w:rsidRPr="00451408">
        <w:t>MRA-004</w:t>
      </w:r>
      <w:r w:rsidRPr="00F373C0">
        <w:t>: Gross Realisation and Gross Production Revenue</w:t>
      </w:r>
      <w:r w:rsidRPr="00883599">
        <w:t>,</w:t>
      </w:r>
      <w:r w:rsidRPr="00F373C0">
        <w:t xml:space="preserve"> </w:t>
      </w:r>
      <w:r w:rsidRPr="00451408">
        <w:t>RG-MRA-005</w:t>
      </w:r>
      <w:r w:rsidRPr="00F373C0">
        <w:t xml:space="preserve">: Operating Costs, </w:t>
      </w:r>
      <w:r w:rsidRPr="00451408">
        <w:t>RG</w:t>
      </w:r>
      <w:r w:rsidRPr="00451408">
        <w:noBreakHyphen/>
        <w:t>MRA-006</w:t>
      </w:r>
      <w:r w:rsidRPr="00F373C0">
        <w:t xml:space="preserve">: Capital Recognition Deduction and </w:t>
      </w:r>
      <w:r w:rsidRPr="00451408">
        <w:t>RG-MRA-008</w:t>
      </w:r>
      <w:r w:rsidRPr="00F373C0">
        <w:t>: Eligible Exploration Expenditure).</w:t>
      </w:r>
      <w:r w:rsidRPr="00271EE2">
        <w:t xml:space="preserve"> </w:t>
      </w:r>
    </w:p>
    <w:p w14:paraId="46E80595" w14:textId="77777777" w:rsidR="001B7C60" w:rsidRPr="00D77F56" w:rsidRDefault="001B7C60" w:rsidP="00A35FBB">
      <w:pPr>
        <w:pStyle w:val="Heading3"/>
        <w:numPr>
          <w:ilvl w:val="0"/>
          <w:numId w:val="0"/>
        </w:numPr>
      </w:pPr>
      <w:r w:rsidRPr="00D77F56">
        <w:t>Accumulated losses</w:t>
      </w:r>
    </w:p>
    <w:p w14:paraId="4E2B124D" w14:textId="324C7088" w:rsidR="001B7C60" w:rsidRPr="00A35FBB" w:rsidRDefault="001B7C60" w:rsidP="00E31F5F">
      <w:pPr>
        <w:pStyle w:val="ListNumber"/>
        <w:numPr>
          <w:ilvl w:val="0"/>
          <w:numId w:val="11"/>
        </w:numPr>
        <w:rPr>
          <w:rFonts w:ascii="Lato" w:hAnsi="Lato"/>
        </w:rPr>
      </w:pPr>
      <w:r w:rsidRPr="00A35FBB">
        <w:rPr>
          <w:rFonts w:ascii="Lato" w:hAnsi="Lato"/>
        </w:rPr>
        <w:t>Application of the formula</w:t>
      </w:r>
      <w:r w:rsidRPr="00A35FBB" w:rsidDel="00883599">
        <w:rPr>
          <w:rFonts w:ascii="Lato" w:hAnsi="Lato"/>
        </w:rPr>
        <w:t xml:space="preserve"> </w:t>
      </w:r>
      <w:r w:rsidRPr="00A35FBB">
        <w:rPr>
          <w:rFonts w:ascii="Lato" w:hAnsi="Lato"/>
        </w:rPr>
        <w:t xml:space="preserve">in paragraph 21 can result in a negative value, which is commonly known as a negative net value. In some circumstances and with the Secretary’s approval, a royalty payer can carry a negative net value forward into a subsequent royalty year, reducing net value in that subsequent year. Guideline </w:t>
      </w:r>
      <w:r w:rsidR="00A35FBB" w:rsidRPr="00451408">
        <w:rPr>
          <w:rFonts w:ascii="Lato" w:hAnsi="Lato"/>
        </w:rPr>
        <w:t>RG</w:t>
      </w:r>
      <w:r w:rsidR="00A35FBB" w:rsidRPr="00451408">
        <w:rPr>
          <w:rFonts w:ascii="Lato" w:hAnsi="Lato"/>
        </w:rPr>
        <w:noBreakHyphen/>
      </w:r>
      <w:r w:rsidRPr="00451408">
        <w:rPr>
          <w:rFonts w:ascii="Lato" w:hAnsi="Lato"/>
        </w:rPr>
        <w:t>MRA</w:t>
      </w:r>
      <w:r w:rsidRPr="00451408">
        <w:rPr>
          <w:rFonts w:ascii="Lato" w:hAnsi="Lato"/>
        </w:rPr>
        <w:noBreakHyphen/>
        <w:t>003</w:t>
      </w:r>
      <w:r w:rsidRPr="00F373C0">
        <w:rPr>
          <w:rFonts w:ascii="Lato" w:hAnsi="Lato"/>
        </w:rPr>
        <w:t>: Negative Net Value</w:t>
      </w:r>
      <w:r w:rsidRPr="00A35FBB">
        <w:rPr>
          <w:rFonts w:ascii="Lato" w:hAnsi="Lato"/>
          <w:i/>
        </w:rPr>
        <w:t xml:space="preserve"> </w:t>
      </w:r>
      <w:r w:rsidRPr="00A35FBB">
        <w:rPr>
          <w:rFonts w:ascii="Lato" w:hAnsi="Lato"/>
        </w:rPr>
        <w:t>provides further information.</w:t>
      </w:r>
    </w:p>
    <w:p w14:paraId="6569E066" w14:textId="77777777" w:rsidR="001B7C60" w:rsidRPr="00CF13FD" w:rsidRDefault="001B7C60" w:rsidP="00A35FBB">
      <w:pPr>
        <w:pStyle w:val="Heading3"/>
        <w:numPr>
          <w:ilvl w:val="0"/>
          <w:numId w:val="0"/>
        </w:numPr>
      </w:pPr>
      <w:r w:rsidRPr="00CF13FD">
        <w:t>Rehabilitation costs</w:t>
      </w:r>
    </w:p>
    <w:p w14:paraId="29D28D63" w14:textId="398CF07B" w:rsidR="001B7C60" w:rsidRPr="00A35FBB" w:rsidRDefault="001B7C60" w:rsidP="00E31F5F">
      <w:pPr>
        <w:pStyle w:val="ListNumber"/>
        <w:numPr>
          <w:ilvl w:val="0"/>
          <w:numId w:val="11"/>
        </w:numPr>
        <w:rPr>
          <w:rFonts w:ascii="Lato" w:hAnsi="Lato"/>
        </w:rPr>
      </w:pPr>
      <w:r w:rsidRPr="00A35FBB">
        <w:rPr>
          <w:rFonts w:ascii="Lato" w:hAnsi="Lato"/>
        </w:rPr>
        <w:t xml:space="preserve">Rehabilitation costs of a mining tenement which fall into either of two categories outlined in paragraphs 28 and 29 are allowable as deductions for calculating net value. </w:t>
      </w:r>
    </w:p>
    <w:p w14:paraId="0D86CAC3" w14:textId="77777777" w:rsidR="001B7C60" w:rsidRPr="00A35FBB" w:rsidRDefault="001B7C60" w:rsidP="00E31F5F">
      <w:pPr>
        <w:pStyle w:val="ListNumber"/>
        <w:numPr>
          <w:ilvl w:val="0"/>
          <w:numId w:val="11"/>
        </w:numPr>
        <w:rPr>
          <w:rFonts w:ascii="Lato" w:hAnsi="Lato"/>
        </w:rPr>
      </w:pPr>
      <w:r w:rsidRPr="00A35FBB">
        <w:rPr>
          <w:rFonts w:ascii="Lato" w:hAnsi="Lato"/>
        </w:rPr>
        <w:t xml:space="preserve">Rehabilitation expenditure that is directly attributable to maintenance actually undertaken for the purpose of production of minerals is generally deductible as an operating cost in the year it is incurred. </w:t>
      </w:r>
    </w:p>
    <w:p w14:paraId="071D4C5F" w14:textId="644EDDA6" w:rsidR="001B7C60" w:rsidRPr="00A35FBB" w:rsidRDefault="001B7C60" w:rsidP="00E31F5F">
      <w:pPr>
        <w:pStyle w:val="ListNumber"/>
        <w:numPr>
          <w:ilvl w:val="0"/>
          <w:numId w:val="11"/>
        </w:numPr>
        <w:rPr>
          <w:rFonts w:ascii="Lato" w:hAnsi="Lato"/>
        </w:rPr>
      </w:pPr>
      <w:r w:rsidRPr="00A35FBB">
        <w:rPr>
          <w:rFonts w:ascii="Lato" w:hAnsi="Lato"/>
        </w:rPr>
        <w:lastRenderedPageBreak/>
        <w:t xml:space="preserve">Where rehabilitation expenditure relates to rehabilitation of one or more tenements forming the production unit after production has ceased, costs may be apportioned on a pro-rated basis over the preceding five years or mine life (whichever is shorter). If necessary, the royalty payable in each of the years is recalculated to take account of the actual amount expended in rehabilitation.  </w:t>
      </w:r>
    </w:p>
    <w:p w14:paraId="0A078E77" w14:textId="627B06CC" w:rsidR="001B7C60" w:rsidRPr="00A35FBB" w:rsidRDefault="001B7C60" w:rsidP="00E31F5F">
      <w:pPr>
        <w:pStyle w:val="ListNumber"/>
        <w:numPr>
          <w:ilvl w:val="0"/>
          <w:numId w:val="11"/>
        </w:numPr>
        <w:rPr>
          <w:rFonts w:ascii="Lato" w:hAnsi="Lato"/>
        </w:rPr>
      </w:pPr>
      <w:r w:rsidRPr="00A35FBB">
        <w:rPr>
          <w:rFonts w:ascii="Lato" w:hAnsi="Lato"/>
        </w:rPr>
        <w:t xml:space="preserve">To claim rehabilitation expenditure incurred subsequent to the cessation of mining (refer to paragraph 29), the royalty payer is required to submit a statement of all amounts actually expended along with supporting documentation </w:t>
      </w:r>
      <w:r w:rsidR="0053708D">
        <w:rPr>
          <w:rFonts w:ascii="Lato" w:hAnsi="Lato"/>
        </w:rPr>
        <w:t xml:space="preserve">that </w:t>
      </w:r>
      <w:r w:rsidRPr="00A35FBB">
        <w:rPr>
          <w:rFonts w:ascii="Lato" w:hAnsi="Lato"/>
        </w:rPr>
        <w:t>independently corroborates and verifies the amount of expenditure.</w:t>
      </w:r>
    </w:p>
    <w:p w14:paraId="5EF11650" w14:textId="0F70E7D4" w:rsidR="001B7C60" w:rsidRDefault="001B7C60" w:rsidP="00E31F5F">
      <w:pPr>
        <w:pStyle w:val="ListNumber"/>
        <w:numPr>
          <w:ilvl w:val="0"/>
          <w:numId w:val="11"/>
        </w:numPr>
      </w:pPr>
      <w:r w:rsidRPr="00A35FBB">
        <w:rPr>
          <w:rFonts w:ascii="Lato" w:hAnsi="Lato"/>
        </w:rPr>
        <w:t>Once costs incurred subsequent to the cessation of mining are agreed and accepted, amended royalty assessments are issued for the relevant royalty years, recognising the apportioned costs of rehabilitation expenditure</w:t>
      </w:r>
      <w:r w:rsidRPr="00646719">
        <w:t xml:space="preserve">. </w:t>
      </w:r>
    </w:p>
    <w:p w14:paraId="61F1E5E9" w14:textId="5E2F0921" w:rsidR="001B7C60" w:rsidRDefault="001B7C60" w:rsidP="00E31F5F">
      <w:pPr>
        <w:pStyle w:val="ListNumber"/>
        <w:numPr>
          <w:ilvl w:val="0"/>
          <w:numId w:val="11"/>
        </w:numPr>
      </w:pPr>
      <w:r w:rsidRPr="00A35FBB">
        <w:rPr>
          <w:rFonts w:ascii="Lato" w:hAnsi="Lato"/>
        </w:rPr>
        <w:t>Guideline</w:t>
      </w:r>
      <w:r>
        <w:t xml:space="preserve"> </w:t>
      </w:r>
      <w:r w:rsidRPr="00451408">
        <w:t>RG-MRA-005</w:t>
      </w:r>
      <w:r w:rsidRPr="00F373C0">
        <w:t>: Operating Costs</w:t>
      </w:r>
      <w:r w:rsidRPr="001D38B8">
        <w:t xml:space="preserve"> </w:t>
      </w:r>
      <w:r>
        <w:t xml:space="preserve">provides further information on ongoing rehabilitation costs. </w:t>
      </w:r>
    </w:p>
    <w:p w14:paraId="180DF63C" w14:textId="77777777" w:rsidR="001B7C60" w:rsidRPr="001B7C60" w:rsidRDefault="001B7C60" w:rsidP="001B7C60">
      <w:pPr>
        <w:pStyle w:val="Heading2"/>
        <w:numPr>
          <w:ilvl w:val="0"/>
          <w:numId w:val="0"/>
        </w:numPr>
      </w:pPr>
      <w:r w:rsidRPr="001B7C60">
        <w:t>Minimum royalty</w:t>
      </w:r>
    </w:p>
    <w:p w14:paraId="6AAC266C" w14:textId="3DA0D567" w:rsidR="001B7C60" w:rsidRPr="00A35FBB" w:rsidRDefault="001B7C60" w:rsidP="00E31F5F">
      <w:pPr>
        <w:pStyle w:val="ListNumber"/>
        <w:numPr>
          <w:ilvl w:val="0"/>
          <w:numId w:val="11"/>
        </w:numPr>
        <w:rPr>
          <w:rFonts w:ascii="Lato" w:hAnsi="Lato"/>
        </w:rPr>
      </w:pPr>
      <w:r w:rsidRPr="00A35FBB">
        <w:rPr>
          <w:rFonts w:ascii="Lato" w:hAnsi="Lato"/>
        </w:rPr>
        <w:t xml:space="preserve"> A minimum royalty will apply to a royalty year commencing on or after 1 July 2019. The introduction of a minimum royalty ensures a return to the Territory </w:t>
      </w:r>
      <w:r w:rsidR="00202213">
        <w:rPr>
          <w:rFonts w:ascii="Lato" w:hAnsi="Lato"/>
        </w:rPr>
        <w:t xml:space="preserve">Government </w:t>
      </w:r>
      <w:r w:rsidRPr="00A35FBB">
        <w:rPr>
          <w:rFonts w:ascii="Lato" w:hAnsi="Lato"/>
        </w:rPr>
        <w:t xml:space="preserve">from the extraction and removal of a non-renewable public resource. </w:t>
      </w:r>
    </w:p>
    <w:p w14:paraId="694AFA23" w14:textId="797A5CE5" w:rsidR="001B7C60" w:rsidRPr="00A35FBB" w:rsidRDefault="001B7C60" w:rsidP="0053708D">
      <w:pPr>
        <w:pStyle w:val="ListNumber"/>
        <w:numPr>
          <w:ilvl w:val="0"/>
          <w:numId w:val="11"/>
        </w:numPr>
        <w:rPr>
          <w:rFonts w:ascii="Lato" w:hAnsi="Lato"/>
        </w:rPr>
      </w:pPr>
      <w:r w:rsidRPr="00A35FBB">
        <w:rPr>
          <w:rFonts w:ascii="Lato" w:hAnsi="Lato"/>
        </w:rPr>
        <w:t>In addition to calculating the net value, a royalty payer must calculate the minimum royalty by applying a percentage (as outlined in paragraph 19) to gross production revenue. The greater of the two calculations will be the royalty liability for that royalty year.</w:t>
      </w:r>
    </w:p>
    <w:p w14:paraId="7C6B090C" w14:textId="664AB5D3" w:rsidR="001B7C60" w:rsidRPr="00A35FBB" w:rsidRDefault="001B7C60" w:rsidP="0053708D">
      <w:pPr>
        <w:pStyle w:val="ListNumber"/>
        <w:numPr>
          <w:ilvl w:val="0"/>
          <w:numId w:val="11"/>
        </w:numPr>
        <w:rPr>
          <w:rFonts w:ascii="Lato" w:hAnsi="Lato"/>
        </w:rPr>
      </w:pPr>
      <w:r w:rsidRPr="00A35FBB">
        <w:rPr>
          <w:rFonts w:ascii="Lato" w:hAnsi="Lato"/>
        </w:rPr>
        <w:t xml:space="preserve">Gross production revenue (a component of gross realisation) is defined in section 4A </w:t>
      </w:r>
      <w:r w:rsidR="00AF235C">
        <w:rPr>
          <w:rFonts w:ascii="Lato" w:hAnsi="Lato"/>
        </w:rPr>
        <w:t xml:space="preserve">of the MRA </w:t>
      </w:r>
      <w:r w:rsidRPr="00A35FBB">
        <w:rPr>
          <w:rFonts w:ascii="Lato" w:hAnsi="Lato"/>
        </w:rPr>
        <w:t xml:space="preserve">and </w:t>
      </w:r>
      <w:r w:rsidR="00AF235C">
        <w:rPr>
          <w:rFonts w:ascii="Lato" w:hAnsi="Lato"/>
        </w:rPr>
        <w:t>is the sum of</w:t>
      </w:r>
      <w:r w:rsidRPr="00A35FBB">
        <w:rPr>
          <w:rFonts w:ascii="Lato" w:hAnsi="Lato"/>
        </w:rPr>
        <w:t>:</w:t>
      </w:r>
    </w:p>
    <w:p w14:paraId="314706A0" w14:textId="77777777" w:rsidR="001B7C60" w:rsidRPr="00A35FBB" w:rsidRDefault="001B7C60" w:rsidP="00AF235C">
      <w:pPr>
        <w:pStyle w:val="BlockText"/>
        <w:numPr>
          <w:ilvl w:val="0"/>
          <w:numId w:val="17"/>
        </w:numPr>
        <w:spacing w:after="120"/>
        <w:ind w:left="567"/>
        <w:rPr>
          <w:rFonts w:ascii="Lato" w:hAnsi="Lato"/>
        </w:rPr>
      </w:pPr>
      <w:r w:rsidRPr="00A35FBB">
        <w:rPr>
          <w:rFonts w:ascii="Lato" w:hAnsi="Lato"/>
        </w:rPr>
        <w:t>the gross values of saleable mineral commodities produced by the production unit that have been sold or removed without sale from the production unit in a royalty year</w:t>
      </w:r>
    </w:p>
    <w:p w14:paraId="0CD5E5F2" w14:textId="77777777" w:rsidR="001B7C60" w:rsidRPr="00A35FBB" w:rsidRDefault="001B7C60" w:rsidP="00AF235C">
      <w:pPr>
        <w:pStyle w:val="BlockText"/>
        <w:numPr>
          <w:ilvl w:val="0"/>
          <w:numId w:val="17"/>
        </w:numPr>
        <w:spacing w:after="120"/>
        <w:ind w:left="567"/>
        <w:rPr>
          <w:rFonts w:ascii="Lato" w:hAnsi="Lato"/>
        </w:rPr>
      </w:pPr>
      <w:r w:rsidRPr="00A35FBB">
        <w:rPr>
          <w:rFonts w:ascii="Lato" w:hAnsi="Lato"/>
        </w:rPr>
        <w:t>any amount received by way of insurance, indemnity or guarantee for</w:t>
      </w:r>
      <w:r w:rsidR="0053708D">
        <w:rPr>
          <w:rFonts w:ascii="Lato" w:hAnsi="Lato"/>
        </w:rPr>
        <w:t>,</w:t>
      </w:r>
      <w:r w:rsidRPr="00A35FBB">
        <w:rPr>
          <w:rFonts w:ascii="Lato" w:hAnsi="Lato"/>
        </w:rPr>
        <w:t xml:space="preserve"> or in respect of</w:t>
      </w:r>
      <w:r w:rsidR="0053708D">
        <w:rPr>
          <w:rFonts w:ascii="Lato" w:hAnsi="Lato"/>
        </w:rPr>
        <w:t>,</w:t>
      </w:r>
      <w:r w:rsidRPr="00A35FBB">
        <w:rPr>
          <w:rFonts w:ascii="Lato" w:hAnsi="Lato"/>
        </w:rPr>
        <w:t xml:space="preserve"> the loss of a saleable mineral commodity from the production unit</w:t>
      </w:r>
    </w:p>
    <w:p w14:paraId="04E322C6" w14:textId="77777777" w:rsidR="001B7C60" w:rsidRPr="00A35FBB" w:rsidRDefault="001B7C60" w:rsidP="00AF235C">
      <w:pPr>
        <w:pStyle w:val="BlockText"/>
        <w:numPr>
          <w:ilvl w:val="0"/>
          <w:numId w:val="17"/>
        </w:numPr>
        <w:spacing w:after="120"/>
        <w:ind w:left="567"/>
        <w:rPr>
          <w:rFonts w:ascii="Lato" w:hAnsi="Lato"/>
        </w:rPr>
      </w:pPr>
      <w:proofErr w:type="gramStart"/>
      <w:r w:rsidRPr="00A35FBB">
        <w:rPr>
          <w:rFonts w:ascii="Lato" w:hAnsi="Lato"/>
        </w:rPr>
        <w:t>the</w:t>
      </w:r>
      <w:proofErr w:type="gramEnd"/>
      <w:r w:rsidRPr="00A35FBB">
        <w:rPr>
          <w:rFonts w:ascii="Lato" w:hAnsi="Lato"/>
        </w:rPr>
        <w:t xml:space="preserve"> price or compensation paid for a saleable mineral commodity sold or disposed of under a law in force in the Territory.  </w:t>
      </w:r>
    </w:p>
    <w:p w14:paraId="18B9BFB4" w14:textId="77777777" w:rsidR="001B7C60" w:rsidRPr="00863620" w:rsidRDefault="001B7C60" w:rsidP="001B7C60">
      <w:pPr>
        <w:pStyle w:val="Heading1"/>
        <w:numPr>
          <w:ilvl w:val="0"/>
          <w:numId w:val="0"/>
        </w:numPr>
      </w:pPr>
      <w:r w:rsidRPr="00863620">
        <w:t xml:space="preserve">Responsible </w:t>
      </w:r>
      <w:r>
        <w:t>person and information r</w:t>
      </w:r>
      <w:r w:rsidRPr="00863620">
        <w:t>equirements</w:t>
      </w:r>
    </w:p>
    <w:p w14:paraId="28FC1197" w14:textId="77777777" w:rsidR="001B7C60" w:rsidRPr="005E6112" w:rsidRDefault="001B7C60" w:rsidP="00A35FBB">
      <w:pPr>
        <w:pStyle w:val="Heading2"/>
        <w:numPr>
          <w:ilvl w:val="0"/>
          <w:numId w:val="0"/>
        </w:numPr>
      </w:pPr>
      <w:r w:rsidRPr="005E6112">
        <w:t>Responsible person</w:t>
      </w:r>
    </w:p>
    <w:p w14:paraId="693BA658" w14:textId="77777777" w:rsidR="001B7C60" w:rsidRPr="00A35FBB" w:rsidRDefault="001B7C60" w:rsidP="00E31F5F">
      <w:pPr>
        <w:pStyle w:val="ListNumber"/>
        <w:numPr>
          <w:ilvl w:val="0"/>
          <w:numId w:val="11"/>
        </w:numPr>
        <w:rPr>
          <w:rFonts w:ascii="Lato" w:hAnsi="Lato"/>
          <w:iCs/>
        </w:rPr>
      </w:pPr>
      <w:r w:rsidRPr="00A35FBB">
        <w:rPr>
          <w:rFonts w:ascii="Lato" w:hAnsi="Lato"/>
          <w:iCs/>
        </w:rPr>
        <w:t xml:space="preserve">The tenement holder(s) of a production unit are required to appoint a responsible person, at or before active operation of the production unit commences. Active operation is defined </w:t>
      </w:r>
      <w:r w:rsidRPr="00A35FBB">
        <w:rPr>
          <w:rFonts w:ascii="Lato" w:hAnsi="Lato"/>
        </w:rPr>
        <w:t>in</w:t>
      </w:r>
      <w:r w:rsidRPr="00A35FBB">
        <w:rPr>
          <w:rFonts w:ascii="Lato" w:hAnsi="Lato"/>
          <w:iCs/>
        </w:rPr>
        <w:t xml:space="preserve"> section 4 of the MRA and means, in effect, the commencement of development activities of the production unit such as when eligible capital assets expenditure is first incurred, including set-up expenses such as site clearing or mine design.</w:t>
      </w:r>
    </w:p>
    <w:p w14:paraId="30696BAA" w14:textId="77777777" w:rsidR="001B7C60" w:rsidRPr="00A35FBB" w:rsidRDefault="001B7C60" w:rsidP="00E31F5F">
      <w:pPr>
        <w:pStyle w:val="ListNumber"/>
        <w:numPr>
          <w:ilvl w:val="0"/>
          <w:numId w:val="11"/>
        </w:numPr>
        <w:rPr>
          <w:rFonts w:ascii="Lato" w:hAnsi="Lato"/>
          <w:iCs/>
        </w:rPr>
      </w:pPr>
      <w:r w:rsidRPr="00A35FBB">
        <w:rPr>
          <w:rFonts w:ascii="Lato" w:hAnsi="Lato"/>
          <w:iCs/>
        </w:rPr>
        <w:t xml:space="preserve">Generally the Secretary will, in conformity with current administrative practice, accept the </w:t>
      </w:r>
      <w:r w:rsidRPr="00A35FBB">
        <w:rPr>
          <w:rFonts w:ascii="Lato" w:hAnsi="Lato"/>
        </w:rPr>
        <w:t>tenement</w:t>
      </w:r>
      <w:r w:rsidRPr="00A35FBB">
        <w:rPr>
          <w:rFonts w:ascii="Lato" w:hAnsi="Lato"/>
          <w:iCs/>
        </w:rPr>
        <w:t xml:space="preserve"> holder(s) of a production unit appointing a responsible person at or before the date on which the decision is made to commence production of a commercial quantity of a saleable mineral commodity from the production unit.</w:t>
      </w:r>
    </w:p>
    <w:p w14:paraId="57542F99" w14:textId="77777777" w:rsidR="001B7C60" w:rsidRPr="00A35FBB" w:rsidRDefault="001B7C60" w:rsidP="00E31F5F">
      <w:pPr>
        <w:pStyle w:val="ListNumber"/>
        <w:numPr>
          <w:ilvl w:val="0"/>
          <w:numId w:val="11"/>
        </w:numPr>
        <w:rPr>
          <w:rFonts w:ascii="Lato" w:hAnsi="Lato"/>
          <w:iCs/>
        </w:rPr>
      </w:pPr>
      <w:r w:rsidRPr="00A35FBB">
        <w:rPr>
          <w:rFonts w:ascii="Lato" w:hAnsi="Lato"/>
          <w:iCs/>
        </w:rPr>
        <w:lastRenderedPageBreak/>
        <w:t>Where no appointment of a responsible person is made, the manager of the production unit is deemed to have been appointed as the responsible person.</w:t>
      </w:r>
    </w:p>
    <w:p w14:paraId="53B2EE6D" w14:textId="77777777" w:rsidR="001B7C60" w:rsidRPr="00A35FBB" w:rsidRDefault="001B7C60" w:rsidP="00731286">
      <w:pPr>
        <w:pStyle w:val="ListNumber"/>
        <w:numPr>
          <w:ilvl w:val="0"/>
          <w:numId w:val="11"/>
        </w:numPr>
        <w:rPr>
          <w:rFonts w:ascii="Lato" w:hAnsi="Lato"/>
          <w:iCs/>
        </w:rPr>
      </w:pPr>
      <w:r w:rsidRPr="00A35FBB">
        <w:rPr>
          <w:rFonts w:ascii="Lato" w:hAnsi="Lato"/>
          <w:iCs/>
        </w:rPr>
        <w:t>The responsible person acts on behalf of the tenement holder(s) to accept service of a document or process, furnish a statement or return, and make a payment pursuant to the MRA.</w:t>
      </w:r>
    </w:p>
    <w:p w14:paraId="1271B061" w14:textId="77777777" w:rsidR="001B7C60" w:rsidRDefault="001B7C60" w:rsidP="00731286">
      <w:pPr>
        <w:pStyle w:val="Heading2"/>
        <w:numPr>
          <w:ilvl w:val="0"/>
          <w:numId w:val="0"/>
        </w:numPr>
      </w:pPr>
      <w:r w:rsidRPr="00B4556D">
        <w:t xml:space="preserve">Requirement to provide </w:t>
      </w:r>
      <w:r>
        <w:t xml:space="preserve">certain </w:t>
      </w:r>
      <w:r w:rsidRPr="00B4556D">
        <w:t>information</w:t>
      </w:r>
    </w:p>
    <w:p w14:paraId="2E88387B" w14:textId="77777777" w:rsidR="001B7C60" w:rsidRPr="00A35FBB" w:rsidRDefault="001B7C60" w:rsidP="00731286">
      <w:pPr>
        <w:pStyle w:val="ListNumber"/>
        <w:numPr>
          <w:ilvl w:val="0"/>
          <w:numId w:val="11"/>
        </w:numPr>
        <w:rPr>
          <w:rFonts w:ascii="Lato" w:hAnsi="Lato"/>
        </w:rPr>
      </w:pPr>
      <w:r w:rsidRPr="00A35FBB">
        <w:rPr>
          <w:rFonts w:ascii="Lato" w:hAnsi="Lato"/>
        </w:rPr>
        <w:t>Section 11 of the MRA requires the responsible person to:</w:t>
      </w:r>
    </w:p>
    <w:p w14:paraId="3AEB85D9" w14:textId="7D492DC8" w:rsidR="001B7C60" w:rsidRPr="00A35FBB" w:rsidRDefault="001B7C60" w:rsidP="00AF235C">
      <w:pPr>
        <w:pStyle w:val="BlockText"/>
        <w:numPr>
          <w:ilvl w:val="1"/>
          <w:numId w:val="10"/>
        </w:numPr>
        <w:tabs>
          <w:tab w:val="clear" w:pos="1134"/>
          <w:tab w:val="num" w:pos="709"/>
          <w:tab w:val="left" w:pos="1276"/>
          <w:tab w:val="left" w:pos="1701"/>
        </w:tabs>
        <w:spacing w:after="120"/>
        <w:ind w:left="709" w:hanging="425"/>
        <w:rPr>
          <w:rFonts w:ascii="Lato" w:hAnsi="Lato"/>
        </w:rPr>
      </w:pPr>
      <w:r w:rsidRPr="00A35FBB">
        <w:rPr>
          <w:rFonts w:ascii="Lato" w:hAnsi="Lato"/>
        </w:rPr>
        <w:t>provide written notification to the Secretary of the following administrative matters</w:t>
      </w:r>
      <w:r w:rsidR="005A50AF">
        <w:rPr>
          <w:rFonts w:ascii="Lato" w:hAnsi="Lato"/>
        </w:rPr>
        <w:t xml:space="preserve"> </w:t>
      </w:r>
      <w:r w:rsidR="005A50AF" w:rsidRPr="00A35FBB">
        <w:rPr>
          <w:rFonts w:ascii="Lato" w:hAnsi="Lato"/>
        </w:rPr>
        <w:t xml:space="preserve">within 30 days after the decision is made to commence production of a commercial quantity </w:t>
      </w:r>
      <w:r w:rsidR="005A50AF">
        <w:rPr>
          <w:rFonts w:ascii="Lato" w:hAnsi="Lato"/>
        </w:rPr>
        <w:t>of a saleable mineral commodity</w:t>
      </w:r>
      <w:r w:rsidRPr="00A35FBB">
        <w:rPr>
          <w:rFonts w:ascii="Lato" w:hAnsi="Lato"/>
        </w:rPr>
        <w:t xml:space="preserve"> (see </w:t>
      </w:r>
      <w:r w:rsidRPr="00451408">
        <w:rPr>
          <w:rFonts w:ascii="Lato" w:hAnsi="Lato"/>
        </w:rPr>
        <w:t>RF</w:t>
      </w:r>
      <w:r w:rsidRPr="00451408">
        <w:rPr>
          <w:rFonts w:ascii="Lato" w:hAnsi="Lato"/>
        </w:rPr>
        <w:noBreakHyphen/>
        <w:t>MRA</w:t>
      </w:r>
      <w:r w:rsidRPr="00451408">
        <w:rPr>
          <w:rFonts w:ascii="Lato" w:hAnsi="Lato"/>
        </w:rPr>
        <w:noBreakHyphen/>
        <w:t>002</w:t>
      </w:r>
      <w:r w:rsidRPr="00A35FBB">
        <w:rPr>
          <w:rFonts w:ascii="Lato" w:hAnsi="Lato"/>
        </w:rPr>
        <w:t>):</w:t>
      </w:r>
    </w:p>
    <w:p w14:paraId="787AB463" w14:textId="77777777" w:rsidR="001B7C60" w:rsidRPr="00A35FBB" w:rsidRDefault="001B7C60" w:rsidP="00AF235C">
      <w:pPr>
        <w:pStyle w:val="BlockText"/>
        <w:numPr>
          <w:ilvl w:val="2"/>
          <w:numId w:val="10"/>
        </w:numPr>
        <w:tabs>
          <w:tab w:val="clear" w:pos="1985"/>
          <w:tab w:val="num" w:pos="1134"/>
          <w:tab w:val="left" w:pos="1276"/>
          <w:tab w:val="left" w:pos="1701"/>
        </w:tabs>
        <w:spacing w:after="120"/>
        <w:ind w:hanging="1276"/>
        <w:rPr>
          <w:rFonts w:ascii="Lato" w:hAnsi="Lato"/>
        </w:rPr>
      </w:pPr>
      <w:r w:rsidRPr="00A35FBB">
        <w:rPr>
          <w:rFonts w:ascii="Lato" w:hAnsi="Lato"/>
        </w:rPr>
        <w:t>name, address and designation of the responsible person</w:t>
      </w:r>
    </w:p>
    <w:p w14:paraId="16674303" w14:textId="77777777" w:rsidR="001B7C60" w:rsidRPr="00A35FBB" w:rsidRDefault="001B7C60" w:rsidP="00AF235C">
      <w:pPr>
        <w:pStyle w:val="BlockText"/>
        <w:numPr>
          <w:ilvl w:val="2"/>
          <w:numId w:val="10"/>
        </w:numPr>
        <w:tabs>
          <w:tab w:val="clear" w:pos="1985"/>
          <w:tab w:val="num" w:pos="1134"/>
          <w:tab w:val="left" w:pos="1276"/>
        </w:tabs>
        <w:spacing w:after="120"/>
        <w:ind w:left="1134" w:hanging="425"/>
        <w:rPr>
          <w:rFonts w:ascii="Lato" w:hAnsi="Lato"/>
        </w:rPr>
      </w:pPr>
      <w:r w:rsidRPr="00A35FBB">
        <w:rPr>
          <w:rFonts w:ascii="Lato" w:hAnsi="Lato"/>
        </w:rPr>
        <w:t>location(s) of the production unit, a description of the nature, operations and processes of the production unit, the minerals and mineral commodities being recovered, and the work program and mining schedule</w:t>
      </w:r>
    </w:p>
    <w:p w14:paraId="1282861C" w14:textId="77777777" w:rsidR="001B7C60" w:rsidRPr="00A35FBB" w:rsidRDefault="001B7C60" w:rsidP="00AF235C">
      <w:pPr>
        <w:pStyle w:val="BlockText"/>
        <w:numPr>
          <w:ilvl w:val="2"/>
          <w:numId w:val="10"/>
        </w:numPr>
        <w:tabs>
          <w:tab w:val="clear" w:pos="1985"/>
          <w:tab w:val="num" w:pos="1134"/>
          <w:tab w:val="left" w:pos="1276"/>
          <w:tab w:val="left" w:pos="1701"/>
        </w:tabs>
        <w:spacing w:after="120"/>
        <w:ind w:hanging="1276"/>
        <w:rPr>
          <w:rFonts w:ascii="Lato" w:hAnsi="Lato"/>
        </w:rPr>
      </w:pPr>
      <w:r w:rsidRPr="00A35FBB">
        <w:rPr>
          <w:rFonts w:ascii="Lato" w:hAnsi="Lato"/>
        </w:rPr>
        <w:t>names and addresses of the relevant tenement holders</w:t>
      </w:r>
    </w:p>
    <w:p w14:paraId="345FA69B" w14:textId="77777777" w:rsidR="001B7C60" w:rsidRPr="00A35FBB" w:rsidRDefault="001B7C60" w:rsidP="00AF235C">
      <w:pPr>
        <w:pStyle w:val="BlockText"/>
        <w:numPr>
          <w:ilvl w:val="2"/>
          <w:numId w:val="10"/>
        </w:numPr>
        <w:tabs>
          <w:tab w:val="clear" w:pos="1985"/>
          <w:tab w:val="num" w:pos="1134"/>
          <w:tab w:val="left" w:pos="1276"/>
          <w:tab w:val="left" w:pos="1701"/>
        </w:tabs>
        <w:spacing w:after="120"/>
        <w:ind w:hanging="1276"/>
        <w:rPr>
          <w:rFonts w:ascii="Lato" w:hAnsi="Lato"/>
        </w:rPr>
      </w:pPr>
      <w:r w:rsidRPr="00A35FBB">
        <w:rPr>
          <w:rFonts w:ascii="Lato" w:hAnsi="Lato"/>
        </w:rPr>
        <w:t>name and address of the manager of the production unit</w:t>
      </w:r>
    </w:p>
    <w:p w14:paraId="54875842" w14:textId="77777777" w:rsidR="001B7C60" w:rsidRPr="00A35FBB" w:rsidRDefault="001B7C60" w:rsidP="00AF235C">
      <w:pPr>
        <w:pStyle w:val="BlockText"/>
        <w:numPr>
          <w:ilvl w:val="2"/>
          <w:numId w:val="10"/>
        </w:numPr>
        <w:tabs>
          <w:tab w:val="clear" w:pos="1985"/>
          <w:tab w:val="num" w:pos="1134"/>
          <w:tab w:val="left" w:pos="1276"/>
        </w:tabs>
        <w:spacing w:after="120"/>
        <w:ind w:left="1134" w:hanging="425"/>
        <w:rPr>
          <w:rFonts w:ascii="Lato" w:hAnsi="Lato"/>
        </w:rPr>
      </w:pPr>
      <w:r w:rsidRPr="00A35FBB">
        <w:rPr>
          <w:rFonts w:ascii="Lato" w:hAnsi="Lato"/>
        </w:rPr>
        <w:t>the day in each year on which the royalty year will commence for the production unit</w:t>
      </w:r>
    </w:p>
    <w:p w14:paraId="6751AE8C" w14:textId="77777777" w:rsidR="001B7C60" w:rsidRPr="00A35FBB" w:rsidRDefault="001B7C60" w:rsidP="00AF235C">
      <w:pPr>
        <w:pStyle w:val="BlockText"/>
        <w:numPr>
          <w:ilvl w:val="2"/>
          <w:numId w:val="14"/>
        </w:numPr>
        <w:tabs>
          <w:tab w:val="clear" w:pos="1985"/>
          <w:tab w:val="num" w:pos="1134"/>
          <w:tab w:val="left" w:pos="1276"/>
        </w:tabs>
        <w:spacing w:after="120"/>
        <w:ind w:left="1134" w:hanging="425"/>
        <w:rPr>
          <w:rFonts w:ascii="Lato" w:hAnsi="Lato"/>
        </w:rPr>
      </w:pPr>
      <w:r w:rsidRPr="00A35FBB">
        <w:rPr>
          <w:rFonts w:ascii="Lato" w:hAnsi="Lato"/>
        </w:rPr>
        <w:t>the accounting basis on which royalty returns will be prepared (cash or accrual)</w:t>
      </w:r>
    </w:p>
    <w:p w14:paraId="43A21124" w14:textId="77777777" w:rsidR="001B7C60" w:rsidRPr="00A35FBB" w:rsidRDefault="001B7C60" w:rsidP="00AF235C">
      <w:pPr>
        <w:pStyle w:val="BlockText"/>
        <w:tabs>
          <w:tab w:val="num" w:pos="1134"/>
        </w:tabs>
        <w:ind w:left="1701" w:hanging="992"/>
        <w:rPr>
          <w:rFonts w:ascii="Lato" w:hAnsi="Lato"/>
        </w:rPr>
      </w:pPr>
      <w:proofErr w:type="gramStart"/>
      <w:r w:rsidRPr="00A35FBB">
        <w:rPr>
          <w:rFonts w:ascii="Lato" w:hAnsi="Lato"/>
        </w:rPr>
        <w:t>and</w:t>
      </w:r>
      <w:proofErr w:type="gramEnd"/>
    </w:p>
    <w:p w14:paraId="3B787B94" w14:textId="77777777" w:rsidR="001B7C60" w:rsidRPr="00A35FBB" w:rsidRDefault="001B7C60" w:rsidP="00AF235C">
      <w:pPr>
        <w:pStyle w:val="BlockText"/>
        <w:numPr>
          <w:ilvl w:val="1"/>
          <w:numId w:val="10"/>
        </w:numPr>
        <w:tabs>
          <w:tab w:val="clear" w:pos="1134"/>
          <w:tab w:val="num" w:pos="709"/>
          <w:tab w:val="left" w:pos="1276"/>
          <w:tab w:val="left" w:pos="1701"/>
        </w:tabs>
        <w:spacing w:after="120"/>
        <w:ind w:left="709" w:hanging="425"/>
        <w:rPr>
          <w:rFonts w:ascii="Lato" w:hAnsi="Lato"/>
        </w:rPr>
      </w:pPr>
      <w:r w:rsidRPr="00A35FBB">
        <w:rPr>
          <w:rFonts w:ascii="Lato" w:hAnsi="Lato"/>
        </w:rPr>
        <w:t>provide written notification to the Secretary within 30 days of any of the following events occurring:</w:t>
      </w:r>
    </w:p>
    <w:p w14:paraId="1829AD04" w14:textId="77777777" w:rsidR="001B7C60" w:rsidRPr="00A35FBB" w:rsidRDefault="001B7C60" w:rsidP="00202213">
      <w:pPr>
        <w:pStyle w:val="BlockText"/>
        <w:numPr>
          <w:ilvl w:val="2"/>
          <w:numId w:val="10"/>
        </w:numPr>
        <w:tabs>
          <w:tab w:val="clear" w:pos="1985"/>
          <w:tab w:val="num" w:pos="1134"/>
          <w:tab w:val="left" w:pos="1276"/>
          <w:tab w:val="left" w:pos="1701"/>
        </w:tabs>
        <w:spacing w:after="120"/>
        <w:ind w:hanging="1276"/>
        <w:rPr>
          <w:rFonts w:ascii="Lato" w:hAnsi="Lato"/>
        </w:rPr>
      </w:pPr>
      <w:r w:rsidRPr="00A35FBB">
        <w:rPr>
          <w:rFonts w:ascii="Lato" w:hAnsi="Lato"/>
        </w:rPr>
        <w:t>any change in the name and/or address of the responsible person and manager of the production unit</w:t>
      </w:r>
    </w:p>
    <w:p w14:paraId="11DF3A8A" w14:textId="77777777" w:rsidR="001B7C60" w:rsidRPr="00A35FBB" w:rsidRDefault="001B7C60" w:rsidP="00202213">
      <w:pPr>
        <w:pStyle w:val="BlockText"/>
        <w:numPr>
          <w:ilvl w:val="2"/>
          <w:numId w:val="10"/>
        </w:numPr>
        <w:tabs>
          <w:tab w:val="clear" w:pos="1985"/>
          <w:tab w:val="num" w:pos="1134"/>
          <w:tab w:val="left" w:pos="1276"/>
          <w:tab w:val="left" w:pos="1701"/>
        </w:tabs>
        <w:spacing w:after="120"/>
        <w:ind w:hanging="1276"/>
        <w:rPr>
          <w:rFonts w:ascii="Lato" w:hAnsi="Lato"/>
        </w:rPr>
      </w:pPr>
      <w:r w:rsidRPr="00A35FBB">
        <w:rPr>
          <w:rFonts w:ascii="Lato" w:hAnsi="Lato"/>
        </w:rPr>
        <w:t>any change in the ownership of the production unit or of a mining tenement that forms part of the production unit</w:t>
      </w:r>
    </w:p>
    <w:p w14:paraId="3BD56992" w14:textId="77777777" w:rsidR="001B7C60" w:rsidRPr="00A35FBB" w:rsidRDefault="001B7C60" w:rsidP="00202213">
      <w:pPr>
        <w:pStyle w:val="BlockText"/>
        <w:numPr>
          <w:ilvl w:val="2"/>
          <w:numId w:val="10"/>
        </w:numPr>
        <w:tabs>
          <w:tab w:val="clear" w:pos="1985"/>
          <w:tab w:val="num" w:pos="1134"/>
          <w:tab w:val="left" w:pos="1276"/>
          <w:tab w:val="left" w:pos="1701"/>
        </w:tabs>
        <w:spacing w:after="120"/>
        <w:ind w:hanging="1276"/>
        <w:rPr>
          <w:rFonts w:ascii="Lato" w:hAnsi="Lato"/>
        </w:rPr>
      </w:pPr>
      <w:r w:rsidRPr="00A35FBB">
        <w:rPr>
          <w:rFonts w:ascii="Lato" w:hAnsi="Lato"/>
        </w:rPr>
        <w:t>any significant change in the level of production of a mineral commodity by the production unit</w:t>
      </w:r>
    </w:p>
    <w:p w14:paraId="053FCAAD" w14:textId="77777777" w:rsidR="001B7C60" w:rsidRPr="00A35FBB" w:rsidRDefault="001B7C60" w:rsidP="00202213">
      <w:pPr>
        <w:pStyle w:val="BlockText"/>
        <w:numPr>
          <w:ilvl w:val="2"/>
          <w:numId w:val="10"/>
        </w:numPr>
        <w:tabs>
          <w:tab w:val="clear" w:pos="1985"/>
          <w:tab w:val="num" w:pos="1134"/>
          <w:tab w:val="left" w:pos="1276"/>
          <w:tab w:val="left" w:pos="1701"/>
        </w:tabs>
        <w:spacing w:after="120"/>
        <w:ind w:hanging="1276"/>
        <w:rPr>
          <w:rFonts w:ascii="Lato" w:hAnsi="Lato"/>
        </w:rPr>
      </w:pPr>
      <w:proofErr w:type="gramStart"/>
      <w:r w:rsidRPr="00A35FBB">
        <w:rPr>
          <w:rFonts w:ascii="Lato" w:hAnsi="Lato"/>
        </w:rPr>
        <w:t>any</w:t>
      </w:r>
      <w:proofErr w:type="gramEnd"/>
      <w:r w:rsidRPr="00A35FBB">
        <w:rPr>
          <w:rFonts w:ascii="Lato" w:hAnsi="Lato"/>
        </w:rPr>
        <w:t xml:space="preserve"> discontinuance of commercial production of a mineral commodity or any recommencement of production following a discontinuance.</w:t>
      </w:r>
    </w:p>
    <w:p w14:paraId="7B4F1102" w14:textId="09869F1B" w:rsidR="001B7C60" w:rsidRPr="00A35FBB" w:rsidRDefault="001B7C60" w:rsidP="00731286">
      <w:pPr>
        <w:pStyle w:val="ListNumber"/>
        <w:numPr>
          <w:ilvl w:val="0"/>
          <w:numId w:val="11"/>
        </w:numPr>
        <w:rPr>
          <w:rFonts w:ascii="Lato" w:hAnsi="Lato"/>
        </w:rPr>
      </w:pPr>
      <w:r w:rsidRPr="00A35FBB">
        <w:rPr>
          <w:rFonts w:ascii="Lato" w:hAnsi="Lato"/>
        </w:rPr>
        <w:t>Section 12 of the MRA requires the royalty payer, including the responsible person, to lodge a royalty return in respect of the royalty year within the timefra</w:t>
      </w:r>
      <w:r w:rsidR="001639F7">
        <w:rPr>
          <w:rFonts w:ascii="Lato" w:hAnsi="Lato"/>
        </w:rPr>
        <w:t>me set out in paragraph 42</w:t>
      </w:r>
      <w:r w:rsidRPr="00A35FBB">
        <w:rPr>
          <w:rFonts w:ascii="Lato" w:hAnsi="Lato"/>
        </w:rPr>
        <w:t>.</w:t>
      </w:r>
    </w:p>
    <w:p w14:paraId="234C627A" w14:textId="77777777" w:rsidR="001B7C60" w:rsidRDefault="001B7C60" w:rsidP="00731286">
      <w:pPr>
        <w:pStyle w:val="Heading1"/>
        <w:numPr>
          <w:ilvl w:val="0"/>
          <w:numId w:val="0"/>
        </w:numPr>
      </w:pPr>
      <w:r>
        <w:t>Lodgement of royalty returns</w:t>
      </w:r>
    </w:p>
    <w:p w14:paraId="446AB9C3" w14:textId="77777777" w:rsidR="001B7C60" w:rsidRPr="00C96BFB" w:rsidRDefault="001B7C60" w:rsidP="00731286">
      <w:pPr>
        <w:pStyle w:val="ListNumber"/>
        <w:numPr>
          <w:ilvl w:val="0"/>
          <w:numId w:val="11"/>
        </w:numPr>
        <w:rPr>
          <w:rFonts w:ascii="Lato" w:hAnsi="Lato"/>
        </w:rPr>
      </w:pPr>
      <w:r w:rsidRPr="00C96BFB">
        <w:rPr>
          <w:rFonts w:ascii="Lato" w:hAnsi="Lato"/>
        </w:rPr>
        <w:t>Annual royalty returns are required to be lodged in circumstances where the production of a commercial quantity of a saleable mineral commodity has commenced. The returns are to be lodged within three months after the expiration of a royalty year or such longer period as the Secretary permits.</w:t>
      </w:r>
    </w:p>
    <w:p w14:paraId="4D6546B4" w14:textId="77777777" w:rsidR="001B7C60" w:rsidRPr="00C96BFB" w:rsidRDefault="001B7C60" w:rsidP="00731286">
      <w:pPr>
        <w:pStyle w:val="ListNumber"/>
        <w:numPr>
          <w:ilvl w:val="0"/>
          <w:numId w:val="11"/>
        </w:numPr>
        <w:rPr>
          <w:rFonts w:ascii="Lato" w:hAnsi="Lato"/>
        </w:rPr>
      </w:pPr>
      <w:r w:rsidRPr="00C96BFB">
        <w:rPr>
          <w:rFonts w:ascii="Lato" w:hAnsi="Lato"/>
        </w:rPr>
        <w:t>The royalty payer must ensure that:</w:t>
      </w:r>
    </w:p>
    <w:p w14:paraId="41565190" w14:textId="77777777" w:rsidR="001B7C60" w:rsidRPr="00C96BFB" w:rsidRDefault="001B7C60" w:rsidP="00202213">
      <w:pPr>
        <w:pStyle w:val="BlockText"/>
        <w:numPr>
          <w:ilvl w:val="1"/>
          <w:numId w:val="30"/>
        </w:numPr>
        <w:tabs>
          <w:tab w:val="clear" w:pos="1080"/>
          <w:tab w:val="num" w:pos="709"/>
          <w:tab w:val="left" w:pos="1276"/>
          <w:tab w:val="left" w:pos="1701"/>
        </w:tabs>
        <w:spacing w:after="120"/>
        <w:ind w:hanging="796"/>
        <w:rPr>
          <w:rFonts w:ascii="Lato" w:hAnsi="Lato"/>
        </w:rPr>
      </w:pPr>
      <w:r w:rsidRPr="00C96BFB">
        <w:rPr>
          <w:rFonts w:ascii="Lato" w:hAnsi="Lato"/>
        </w:rPr>
        <w:t>information relating to their production unit is accurate and up-to-date</w:t>
      </w:r>
    </w:p>
    <w:p w14:paraId="2783E9EA" w14:textId="77777777" w:rsidR="001B7C60" w:rsidRPr="00C96BFB" w:rsidRDefault="001B7C60" w:rsidP="00202213">
      <w:pPr>
        <w:pStyle w:val="BlockText"/>
        <w:numPr>
          <w:ilvl w:val="1"/>
          <w:numId w:val="30"/>
        </w:numPr>
        <w:tabs>
          <w:tab w:val="left" w:pos="1276"/>
          <w:tab w:val="left" w:pos="1701"/>
        </w:tabs>
        <w:spacing w:after="120"/>
        <w:ind w:left="709" w:hanging="425"/>
        <w:rPr>
          <w:rFonts w:ascii="Lato" w:hAnsi="Lato"/>
        </w:rPr>
      </w:pPr>
      <w:proofErr w:type="gramStart"/>
      <w:r w:rsidRPr="00C96BFB">
        <w:rPr>
          <w:rFonts w:ascii="Lato" w:hAnsi="Lato"/>
        </w:rPr>
        <w:lastRenderedPageBreak/>
        <w:t>completed</w:t>
      </w:r>
      <w:proofErr w:type="gramEnd"/>
      <w:r w:rsidRPr="00C96BFB">
        <w:rPr>
          <w:rFonts w:ascii="Lato" w:hAnsi="Lato"/>
        </w:rPr>
        <w:t xml:space="preserve"> and signed returns are lodged with the Secretary covering all details set out in section 12 of the MRA. </w:t>
      </w:r>
    </w:p>
    <w:p w14:paraId="0AB17F5E" w14:textId="50AF0908" w:rsidR="001B7C60" w:rsidRPr="00C96BFB" w:rsidRDefault="001B7C60" w:rsidP="00731286">
      <w:pPr>
        <w:pStyle w:val="ListNumber"/>
        <w:numPr>
          <w:ilvl w:val="0"/>
          <w:numId w:val="11"/>
        </w:numPr>
        <w:rPr>
          <w:rFonts w:ascii="Lato" w:hAnsi="Lato"/>
        </w:rPr>
      </w:pPr>
      <w:r w:rsidRPr="00C96BFB">
        <w:rPr>
          <w:rFonts w:ascii="Lato" w:hAnsi="Lato"/>
          <w:szCs w:val="24"/>
        </w:rPr>
        <w:t xml:space="preserve">For </w:t>
      </w:r>
      <w:r w:rsidRPr="00C96BFB">
        <w:rPr>
          <w:rFonts w:ascii="Lato" w:hAnsi="Lato"/>
        </w:rPr>
        <w:t>convenience</w:t>
      </w:r>
      <w:r w:rsidRPr="00C96BFB">
        <w:rPr>
          <w:rFonts w:ascii="Lato" w:hAnsi="Lato"/>
          <w:szCs w:val="24"/>
        </w:rPr>
        <w:t xml:space="preserve">, a template royalty return </w:t>
      </w:r>
      <w:r w:rsidRPr="00451408">
        <w:rPr>
          <w:rFonts w:ascii="Lato" w:hAnsi="Lato"/>
        </w:rPr>
        <w:t>RF-MRA-001</w:t>
      </w:r>
      <w:r w:rsidRPr="00C96BFB">
        <w:rPr>
          <w:rFonts w:ascii="Lato" w:hAnsi="Lato"/>
        </w:rPr>
        <w:t xml:space="preserve"> is available from </w:t>
      </w:r>
      <w:r w:rsidR="00F82EBB">
        <w:rPr>
          <w:rFonts w:ascii="Lato" w:hAnsi="Lato"/>
        </w:rPr>
        <w:t xml:space="preserve">the </w:t>
      </w:r>
      <w:r w:rsidRPr="00C96BFB">
        <w:rPr>
          <w:rFonts w:ascii="Lato" w:hAnsi="Lato"/>
        </w:rPr>
        <w:t>Territory Revenue Office (TRO).</w:t>
      </w:r>
    </w:p>
    <w:p w14:paraId="566FE5F4" w14:textId="77777777" w:rsidR="001B7C60" w:rsidRDefault="001B7C60" w:rsidP="00731286">
      <w:pPr>
        <w:pStyle w:val="Heading2"/>
        <w:numPr>
          <w:ilvl w:val="0"/>
          <w:numId w:val="0"/>
        </w:numPr>
      </w:pPr>
      <w:r w:rsidRPr="00505730">
        <w:t>Records required when royalty return lodged</w:t>
      </w:r>
    </w:p>
    <w:p w14:paraId="1DD5B34F" w14:textId="19EFCAF6" w:rsidR="001B7C60" w:rsidRPr="00C96BFB" w:rsidRDefault="001B7C60" w:rsidP="00731286">
      <w:pPr>
        <w:pStyle w:val="ListNumber"/>
        <w:numPr>
          <w:ilvl w:val="0"/>
          <w:numId w:val="11"/>
        </w:numPr>
        <w:rPr>
          <w:rFonts w:ascii="Lato" w:hAnsi="Lato"/>
        </w:rPr>
      </w:pPr>
      <w:r w:rsidRPr="00C96BFB">
        <w:rPr>
          <w:rFonts w:ascii="Lato" w:hAnsi="Lato"/>
        </w:rPr>
        <w:t>To facilitate the audit and assessment process, additional information required to be submitted with the annual royalty return</w:t>
      </w:r>
      <w:r w:rsidR="00F82EBB">
        <w:rPr>
          <w:rFonts w:ascii="Lato" w:hAnsi="Lato"/>
        </w:rPr>
        <w:t xml:space="preserve"> includes</w:t>
      </w:r>
      <w:r w:rsidRPr="00C96BFB">
        <w:rPr>
          <w:rFonts w:ascii="Lato" w:hAnsi="Lato"/>
        </w:rPr>
        <w:t>:</w:t>
      </w:r>
    </w:p>
    <w:p w14:paraId="2A4CA63B" w14:textId="77777777" w:rsidR="001B7C60" w:rsidRPr="00C96BFB" w:rsidRDefault="001B7C60" w:rsidP="00202213">
      <w:pPr>
        <w:pStyle w:val="BlockText"/>
        <w:numPr>
          <w:ilvl w:val="1"/>
          <w:numId w:val="31"/>
        </w:numPr>
        <w:tabs>
          <w:tab w:val="clear" w:pos="1080"/>
          <w:tab w:val="num" w:pos="709"/>
          <w:tab w:val="left" w:pos="1276"/>
          <w:tab w:val="left" w:pos="1701"/>
        </w:tabs>
        <w:spacing w:after="120"/>
        <w:ind w:left="709" w:hanging="425"/>
        <w:rPr>
          <w:rFonts w:ascii="Lato" w:hAnsi="Lato"/>
        </w:rPr>
      </w:pPr>
      <w:r w:rsidRPr="00C96BFB">
        <w:rPr>
          <w:rFonts w:ascii="Lato" w:hAnsi="Lato"/>
        </w:rPr>
        <w:t>financial statements (audited or unaudited, whichever are available)</w:t>
      </w:r>
    </w:p>
    <w:p w14:paraId="5991F8AD" w14:textId="77777777" w:rsidR="001B7C60" w:rsidRPr="00C96BFB" w:rsidRDefault="001B7C60" w:rsidP="00202213">
      <w:pPr>
        <w:pStyle w:val="BlockText"/>
        <w:numPr>
          <w:ilvl w:val="1"/>
          <w:numId w:val="31"/>
        </w:numPr>
        <w:tabs>
          <w:tab w:val="clear" w:pos="1080"/>
          <w:tab w:val="num" w:pos="709"/>
          <w:tab w:val="left" w:pos="1276"/>
          <w:tab w:val="left" w:pos="1701"/>
        </w:tabs>
        <w:spacing w:after="120"/>
        <w:ind w:left="709" w:hanging="425"/>
        <w:rPr>
          <w:rFonts w:ascii="Lato" w:hAnsi="Lato"/>
        </w:rPr>
      </w:pPr>
      <w:r w:rsidRPr="00C96BFB">
        <w:rPr>
          <w:rFonts w:ascii="Lato" w:hAnsi="Lato"/>
        </w:rPr>
        <w:t>end of year management reports (which contain information such as production volumes and values or KPIs)</w:t>
      </w:r>
    </w:p>
    <w:p w14:paraId="4FFDFD7B" w14:textId="77777777" w:rsidR="001B7C60" w:rsidRPr="00C96BFB" w:rsidRDefault="001B7C60" w:rsidP="00202213">
      <w:pPr>
        <w:pStyle w:val="BlockText"/>
        <w:numPr>
          <w:ilvl w:val="1"/>
          <w:numId w:val="31"/>
        </w:numPr>
        <w:tabs>
          <w:tab w:val="clear" w:pos="1080"/>
          <w:tab w:val="num" w:pos="709"/>
          <w:tab w:val="left" w:pos="1276"/>
          <w:tab w:val="left" w:pos="1701"/>
        </w:tabs>
        <w:spacing w:after="120"/>
        <w:ind w:left="709" w:hanging="425"/>
        <w:rPr>
          <w:rFonts w:ascii="Lato" w:hAnsi="Lato"/>
        </w:rPr>
      </w:pPr>
      <w:r w:rsidRPr="00C96BFB">
        <w:rPr>
          <w:rFonts w:ascii="Lato" w:hAnsi="Lato"/>
        </w:rPr>
        <w:t>trial balance or relevant cost centre reports</w:t>
      </w:r>
    </w:p>
    <w:p w14:paraId="5DF24274" w14:textId="77777777" w:rsidR="001B7C60" w:rsidRPr="00C96BFB" w:rsidRDefault="001B7C60" w:rsidP="00202213">
      <w:pPr>
        <w:pStyle w:val="BlockText"/>
        <w:numPr>
          <w:ilvl w:val="1"/>
          <w:numId w:val="31"/>
        </w:numPr>
        <w:tabs>
          <w:tab w:val="clear" w:pos="1080"/>
          <w:tab w:val="num" w:pos="709"/>
          <w:tab w:val="left" w:pos="1276"/>
          <w:tab w:val="left" w:pos="1701"/>
        </w:tabs>
        <w:spacing w:after="120"/>
        <w:ind w:left="709" w:hanging="425"/>
        <w:rPr>
          <w:rFonts w:ascii="Lato" w:hAnsi="Lato"/>
        </w:rPr>
      </w:pPr>
      <w:r w:rsidRPr="00C96BFB">
        <w:rPr>
          <w:rFonts w:ascii="Lato" w:hAnsi="Lato"/>
        </w:rPr>
        <w:t>a list of related party sales transactions, along with copies of the relevant sales contracts or an explanation of the terms of the sales arrangements</w:t>
      </w:r>
    </w:p>
    <w:p w14:paraId="31EC5620" w14:textId="77777777" w:rsidR="001B7C60" w:rsidRPr="00C96BFB" w:rsidRDefault="001B7C60" w:rsidP="00202213">
      <w:pPr>
        <w:pStyle w:val="BlockText"/>
        <w:numPr>
          <w:ilvl w:val="1"/>
          <w:numId w:val="31"/>
        </w:numPr>
        <w:tabs>
          <w:tab w:val="clear" w:pos="1080"/>
          <w:tab w:val="num" w:pos="709"/>
          <w:tab w:val="left" w:pos="1276"/>
          <w:tab w:val="left" w:pos="1701"/>
        </w:tabs>
        <w:spacing w:after="120"/>
        <w:ind w:left="709" w:hanging="425"/>
        <w:rPr>
          <w:rFonts w:ascii="Lato" w:hAnsi="Lato"/>
        </w:rPr>
      </w:pPr>
      <w:r w:rsidRPr="00C96BFB">
        <w:rPr>
          <w:rFonts w:ascii="Lato" w:hAnsi="Lato"/>
        </w:rPr>
        <w:t>an electronic copy of the taxation depreciation schedule or fixed asset register for the production unit, along with a separate schedule of additions and disposals for the relevant year</w:t>
      </w:r>
    </w:p>
    <w:p w14:paraId="52B0D860" w14:textId="77777777" w:rsidR="001B7C60" w:rsidRPr="00C96BFB" w:rsidRDefault="001B7C60" w:rsidP="00202213">
      <w:pPr>
        <w:pStyle w:val="BlockText"/>
        <w:numPr>
          <w:ilvl w:val="1"/>
          <w:numId w:val="31"/>
        </w:numPr>
        <w:tabs>
          <w:tab w:val="clear" w:pos="1080"/>
          <w:tab w:val="num" w:pos="709"/>
          <w:tab w:val="left" w:pos="1276"/>
          <w:tab w:val="left" w:pos="1701"/>
        </w:tabs>
        <w:spacing w:after="120"/>
        <w:ind w:left="709" w:hanging="425"/>
        <w:rPr>
          <w:rFonts w:ascii="Lato" w:hAnsi="Lato"/>
        </w:rPr>
      </w:pPr>
      <w:r w:rsidRPr="00C96BFB">
        <w:rPr>
          <w:rFonts w:ascii="Lato" w:hAnsi="Lato"/>
        </w:rPr>
        <w:t>a transaction list supporting any eligible exploration expenditure incurred on a mining tenement that forms part of the production unit (and not on an exploration licence)</w:t>
      </w:r>
    </w:p>
    <w:p w14:paraId="6569B10A" w14:textId="77777777" w:rsidR="001B7C60" w:rsidRPr="00C96BFB" w:rsidRDefault="001B7C60" w:rsidP="00202213">
      <w:pPr>
        <w:pStyle w:val="BlockText"/>
        <w:numPr>
          <w:ilvl w:val="1"/>
          <w:numId w:val="31"/>
        </w:numPr>
        <w:tabs>
          <w:tab w:val="clear" w:pos="1080"/>
          <w:tab w:val="num" w:pos="709"/>
          <w:tab w:val="left" w:pos="1276"/>
          <w:tab w:val="left" w:pos="1701"/>
        </w:tabs>
        <w:spacing w:after="120"/>
        <w:ind w:left="709" w:hanging="425"/>
        <w:rPr>
          <w:rFonts w:ascii="Lato" w:hAnsi="Lato"/>
        </w:rPr>
      </w:pPr>
      <w:r w:rsidRPr="00C96BFB">
        <w:rPr>
          <w:rFonts w:ascii="Lato" w:hAnsi="Lato"/>
        </w:rPr>
        <w:t>a description of any material operational or reporting changes affecting the royalty calculation</w:t>
      </w:r>
    </w:p>
    <w:p w14:paraId="22B9C87E" w14:textId="77777777" w:rsidR="001B7C60" w:rsidRPr="00C96BFB" w:rsidRDefault="001B7C60" w:rsidP="00202213">
      <w:pPr>
        <w:pStyle w:val="BlockText"/>
        <w:numPr>
          <w:ilvl w:val="1"/>
          <w:numId w:val="31"/>
        </w:numPr>
        <w:tabs>
          <w:tab w:val="clear" w:pos="1080"/>
          <w:tab w:val="num" w:pos="709"/>
          <w:tab w:val="left" w:pos="1276"/>
          <w:tab w:val="left" w:pos="1701"/>
        </w:tabs>
        <w:spacing w:after="120"/>
        <w:ind w:left="709" w:hanging="425"/>
        <w:rPr>
          <w:rFonts w:ascii="Lato" w:hAnsi="Lato"/>
        </w:rPr>
      </w:pPr>
      <w:r w:rsidRPr="00C96BFB">
        <w:rPr>
          <w:rFonts w:ascii="Lato" w:hAnsi="Lato"/>
        </w:rPr>
        <w:t>explanations for significant fluctuations in the royalty calculation in comparison to previous years (such as exchange rate impacts, changes to contract values or a material increase in operating cost items)</w:t>
      </w:r>
    </w:p>
    <w:p w14:paraId="4C4D46EA" w14:textId="77777777" w:rsidR="001B7C60" w:rsidRPr="00C96BFB" w:rsidRDefault="001B7C60" w:rsidP="00202213">
      <w:pPr>
        <w:pStyle w:val="BlockText"/>
        <w:numPr>
          <w:ilvl w:val="1"/>
          <w:numId w:val="31"/>
        </w:numPr>
        <w:tabs>
          <w:tab w:val="clear" w:pos="1080"/>
          <w:tab w:val="num" w:pos="709"/>
          <w:tab w:val="left" w:pos="1276"/>
          <w:tab w:val="left" w:pos="1701"/>
        </w:tabs>
        <w:spacing w:after="120"/>
        <w:ind w:left="709" w:hanging="425"/>
        <w:rPr>
          <w:rFonts w:ascii="Lato" w:hAnsi="Lato"/>
        </w:rPr>
      </w:pPr>
      <w:proofErr w:type="gramStart"/>
      <w:r w:rsidRPr="00C96BFB">
        <w:rPr>
          <w:rFonts w:ascii="Lato" w:hAnsi="Lato"/>
        </w:rPr>
        <w:t>other</w:t>
      </w:r>
      <w:proofErr w:type="gramEnd"/>
      <w:r w:rsidRPr="00C96BFB">
        <w:rPr>
          <w:rFonts w:ascii="Lato" w:hAnsi="Lato"/>
        </w:rPr>
        <w:t xml:space="preserve"> relevant information which may facilitate the audit of the royalty return.</w:t>
      </w:r>
    </w:p>
    <w:p w14:paraId="4BA6613D" w14:textId="77777777" w:rsidR="001B7C60" w:rsidRDefault="001B7C60" w:rsidP="00731286">
      <w:pPr>
        <w:pStyle w:val="Heading1"/>
        <w:numPr>
          <w:ilvl w:val="0"/>
          <w:numId w:val="0"/>
        </w:numPr>
      </w:pPr>
      <w:r>
        <w:t>Audit and assessment of royalty</w:t>
      </w:r>
    </w:p>
    <w:p w14:paraId="48ED4005" w14:textId="77777777" w:rsidR="001B7C60" w:rsidRPr="007F6C12" w:rsidRDefault="001B7C60" w:rsidP="00731286">
      <w:pPr>
        <w:pStyle w:val="ListNumber"/>
        <w:numPr>
          <w:ilvl w:val="0"/>
          <w:numId w:val="11"/>
        </w:numPr>
        <w:rPr>
          <w:rFonts w:ascii="Lato" w:hAnsi="Lato"/>
        </w:rPr>
      </w:pPr>
      <w:r w:rsidRPr="007F6C12">
        <w:rPr>
          <w:rFonts w:ascii="Lato" w:hAnsi="Lato"/>
        </w:rPr>
        <w:t>Subject to section 40, the MRA depends upon the issuance and delivery of an assessment by the Secretary stating the net value, the gross production revenue and the amount of royalty payable by the royalty payer.</w:t>
      </w:r>
    </w:p>
    <w:p w14:paraId="50BDD802" w14:textId="77777777" w:rsidR="001B7C60" w:rsidRPr="007F6C12" w:rsidRDefault="001B7C60" w:rsidP="00731286">
      <w:pPr>
        <w:pStyle w:val="ListNumber"/>
        <w:numPr>
          <w:ilvl w:val="0"/>
          <w:numId w:val="11"/>
        </w:numPr>
        <w:rPr>
          <w:rFonts w:ascii="Lato" w:hAnsi="Lato"/>
        </w:rPr>
      </w:pPr>
      <w:r w:rsidRPr="007F6C12">
        <w:rPr>
          <w:rFonts w:ascii="Lato" w:hAnsi="Lato"/>
        </w:rPr>
        <w:t>Pursuant to sections 18 or 19 of the MRA, an assessment is made of the royalty payable. A royalty payer’s liability for royalty is not determined until an assessment has been issued.</w:t>
      </w:r>
    </w:p>
    <w:p w14:paraId="1E14968D" w14:textId="77777777" w:rsidR="001B7C60" w:rsidRPr="007F6C12" w:rsidRDefault="001B7C60" w:rsidP="00731286">
      <w:pPr>
        <w:pStyle w:val="ListNumber"/>
        <w:numPr>
          <w:ilvl w:val="0"/>
          <w:numId w:val="11"/>
        </w:numPr>
        <w:rPr>
          <w:rFonts w:ascii="Lato" w:hAnsi="Lato"/>
        </w:rPr>
      </w:pPr>
      <w:r w:rsidRPr="007F6C12">
        <w:rPr>
          <w:rFonts w:ascii="Lato" w:hAnsi="Lato"/>
        </w:rPr>
        <w:t>To make an assessment, an audit may be conducted to verify information disclosed in the royalty return.</w:t>
      </w:r>
    </w:p>
    <w:p w14:paraId="16E06030" w14:textId="77777777" w:rsidR="001B7C60" w:rsidRPr="007F6C12" w:rsidRDefault="001B7C60" w:rsidP="00731286">
      <w:pPr>
        <w:pStyle w:val="ListNumber"/>
        <w:numPr>
          <w:ilvl w:val="0"/>
          <w:numId w:val="11"/>
        </w:numPr>
        <w:rPr>
          <w:rFonts w:ascii="Lato" w:hAnsi="Lato"/>
        </w:rPr>
      </w:pPr>
      <w:r w:rsidRPr="007F6C12">
        <w:rPr>
          <w:rFonts w:ascii="Lato" w:hAnsi="Lato"/>
        </w:rPr>
        <w:t xml:space="preserve">The audit may be carried out on the royalty payer’s premises or the royalty payer may be requested to provide further information to substantiate the royalty return. To facilitate the audit process, royalty payers need to ensure that all records requested by an authorised officer are submitted and available for examination in a timely manner.   </w:t>
      </w:r>
    </w:p>
    <w:p w14:paraId="38D6D76C" w14:textId="77777777" w:rsidR="001B7C60" w:rsidRPr="007F6C12" w:rsidRDefault="001B7C60" w:rsidP="00E31F5F">
      <w:pPr>
        <w:pStyle w:val="ListNumber"/>
        <w:numPr>
          <w:ilvl w:val="0"/>
          <w:numId w:val="11"/>
        </w:numPr>
        <w:rPr>
          <w:rFonts w:ascii="Lato" w:hAnsi="Lato"/>
        </w:rPr>
      </w:pPr>
      <w:r w:rsidRPr="007F6C12">
        <w:rPr>
          <w:rFonts w:ascii="Lato" w:hAnsi="Lato"/>
        </w:rPr>
        <w:t>Once the audit is completed, an assessment is issued, incorporating any necessary adjustments arising from the audit.</w:t>
      </w:r>
    </w:p>
    <w:p w14:paraId="251316BD" w14:textId="77777777" w:rsidR="001B7C60" w:rsidRPr="007F6C12" w:rsidRDefault="001B7C60" w:rsidP="00E31F5F">
      <w:pPr>
        <w:pStyle w:val="ListNumber"/>
        <w:numPr>
          <w:ilvl w:val="0"/>
          <w:numId w:val="11"/>
        </w:numPr>
        <w:rPr>
          <w:rFonts w:ascii="Lato" w:hAnsi="Lato"/>
        </w:rPr>
      </w:pPr>
      <w:r w:rsidRPr="007F6C12">
        <w:rPr>
          <w:rFonts w:ascii="Lato" w:hAnsi="Lato"/>
        </w:rPr>
        <w:t>The Secretary has the ability to issue amended assessments in certain circumstances, pursuant to section 20 of the MRA.</w:t>
      </w:r>
    </w:p>
    <w:p w14:paraId="685C1598" w14:textId="77777777" w:rsidR="001B7C60" w:rsidRPr="000F24D9" w:rsidRDefault="001B7C60" w:rsidP="00F82EBB">
      <w:pPr>
        <w:pStyle w:val="Heading2"/>
        <w:numPr>
          <w:ilvl w:val="0"/>
          <w:numId w:val="0"/>
        </w:numPr>
      </w:pPr>
      <w:r>
        <w:lastRenderedPageBreak/>
        <w:t>Authorised officer’s powers in conducting an audit</w:t>
      </w:r>
    </w:p>
    <w:p w14:paraId="2FB54641" w14:textId="1F4A05E1" w:rsidR="001B7C60" w:rsidRPr="007F6C12" w:rsidRDefault="001B7C60" w:rsidP="00F82EBB">
      <w:pPr>
        <w:pStyle w:val="ListNumber"/>
        <w:numPr>
          <w:ilvl w:val="0"/>
          <w:numId w:val="11"/>
        </w:numPr>
        <w:rPr>
          <w:rFonts w:ascii="Lato" w:hAnsi="Lato"/>
        </w:rPr>
      </w:pPr>
      <w:r w:rsidRPr="007F6C12">
        <w:rPr>
          <w:rFonts w:ascii="Lato" w:hAnsi="Lato"/>
        </w:rPr>
        <w:t>Under the MRA, for the purposes of the administration and enforcement of the MRA, an authorised officer is permitted to, among other things:</w:t>
      </w:r>
    </w:p>
    <w:p w14:paraId="585503E1" w14:textId="77777777" w:rsidR="001B7C60" w:rsidRPr="007F6C12" w:rsidRDefault="001B7C60" w:rsidP="00202213">
      <w:pPr>
        <w:pStyle w:val="BlockText"/>
        <w:numPr>
          <w:ilvl w:val="1"/>
          <w:numId w:val="20"/>
        </w:numPr>
        <w:tabs>
          <w:tab w:val="clear" w:pos="1080"/>
          <w:tab w:val="num" w:pos="709"/>
        </w:tabs>
        <w:spacing w:after="120"/>
        <w:ind w:left="709" w:hanging="425"/>
        <w:rPr>
          <w:rFonts w:ascii="Lato" w:hAnsi="Lato"/>
        </w:rPr>
      </w:pPr>
      <w:r w:rsidRPr="007F6C12">
        <w:rPr>
          <w:rFonts w:ascii="Lato" w:hAnsi="Lato"/>
        </w:rPr>
        <w:t>gain access to the production unit or premises where records are kept</w:t>
      </w:r>
    </w:p>
    <w:p w14:paraId="5082A787" w14:textId="77777777" w:rsidR="001B7C60" w:rsidRPr="007F6C12" w:rsidRDefault="001B7C60" w:rsidP="00202213">
      <w:pPr>
        <w:pStyle w:val="BlockText"/>
        <w:numPr>
          <w:ilvl w:val="1"/>
          <w:numId w:val="20"/>
        </w:numPr>
        <w:tabs>
          <w:tab w:val="clear" w:pos="1080"/>
          <w:tab w:val="num" w:pos="709"/>
        </w:tabs>
        <w:spacing w:after="120"/>
        <w:ind w:left="709" w:hanging="425"/>
        <w:rPr>
          <w:rFonts w:ascii="Lato" w:hAnsi="Lato"/>
        </w:rPr>
      </w:pPr>
      <w:r w:rsidRPr="007F6C12">
        <w:rPr>
          <w:rFonts w:ascii="Lato" w:hAnsi="Lato"/>
        </w:rPr>
        <w:t>inspect, examine, make and retain copies of documents or records</w:t>
      </w:r>
    </w:p>
    <w:p w14:paraId="3F61C940" w14:textId="77777777" w:rsidR="001B7C60" w:rsidRPr="007F6C12" w:rsidRDefault="001B7C60" w:rsidP="00202213">
      <w:pPr>
        <w:pStyle w:val="BlockText"/>
        <w:numPr>
          <w:ilvl w:val="1"/>
          <w:numId w:val="20"/>
        </w:numPr>
        <w:tabs>
          <w:tab w:val="clear" w:pos="1080"/>
          <w:tab w:val="num" w:pos="709"/>
        </w:tabs>
        <w:spacing w:after="120"/>
        <w:ind w:left="709" w:hanging="425"/>
        <w:rPr>
          <w:rFonts w:ascii="Lato" w:hAnsi="Lato"/>
        </w:rPr>
      </w:pPr>
      <w:r w:rsidRPr="007F6C12">
        <w:rPr>
          <w:rFonts w:ascii="Lato" w:hAnsi="Lato"/>
        </w:rPr>
        <w:t>require a person to produce records</w:t>
      </w:r>
    </w:p>
    <w:p w14:paraId="2572629C" w14:textId="77777777" w:rsidR="001B7C60" w:rsidRPr="007F6C12" w:rsidRDefault="001B7C60" w:rsidP="00202213">
      <w:pPr>
        <w:pStyle w:val="BlockText"/>
        <w:numPr>
          <w:ilvl w:val="1"/>
          <w:numId w:val="20"/>
        </w:numPr>
        <w:tabs>
          <w:tab w:val="clear" w:pos="1080"/>
          <w:tab w:val="num" w:pos="709"/>
        </w:tabs>
        <w:spacing w:after="120"/>
        <w:ind w:left="709" w:hanging="425"/>
        <w:rPr>
          <w:rFonts w:ascii="Lato" w:hAnsi="Lato"/>
        </w:rPr>
      </w:pPr>
      <w:proofErr w:type="gramStart"/>
      <w:r w:rsidRPr="007F6C12">
        <w:rPr>
          <w:rFonts w:ascii="Lato" w:hAnsi="Lato"/>
        </w:rPr>
        <w:t>require</w:t>
      </w:r>
      <w:proofErr w:type="gramEnd"/>
      <w:r w:rsidRPr="007F6C12">
        <w:rPr>
          <w:rFonts w:ascii="Lato" w:hAnsi="Lato"/>
        </w:rPr>
        <w:t xml:space="preserve"> a person to answer questions and provide information.</w:t>
      </w:r>
    </w:p>
    <w:p w14:paraId="303DC3A7" w14:textId="77777777" w:rsidR="001B7C60" w:rsidRDefault="001B7C60" w:rsidP="00F82EBB">
      <w:pPr>
        <w:pStyle w:val="Heading2"/>
        <w:numPr>
          <w:ilvl w:val="0"/>
          <w:numId w:val="0"/>
        </w:numPr>
      </w:pPr>
      <w:r>
        <w:t>Your rights in respect of an audit</w:t>
      </w:r>
    </w:p>
    <w:p w14:paraId="4C87B45C" w14:textId="77777777" w:rsidR="001B7C60" w:rsidRPr="007F6C12" w:rsidRDefault="001B7C60" w:rsidP="00F82EBB">
      <w:pPr>
        <w:pStyle w:val="ListNumber"/>
        <w:numPr>
          <w:ilvl w:val="0"/>
          <w:numId w:val="11"/>
        </w:numPr>
        <w:rPr>
          <w:rFonts w:ascii="Lato" w:hAnsi="Lato"/>
        </w:rPr>
      </w:pPr>
      <w:r w:rsidRPr="007F6C12">
        <w:rPr>
          <w:rFonts w:ascii="Lato" w:hAnsi="Lato"/>
        </w:rPr>
        <w:t>In relation to the audit process you should expect:</w:t>
      </w:r>
    </w:p>
    <w:p w14:paraId="0D1F0D55" w14:textId="77777777" w:rsidR="001B7C60" w:rsidRPr="007F6C12" w:rsidRDefault="001B7C60" w:rsidP="00202213">
      <w:pPr>
        <w:pStyle w:val="BlockText"/>
        <w:numPr>
          <w:ilvl w:val="1"/>
          <w:numId w:val="21"/>
        </w:numPr>
        <w:tabs>
          <w:tab w:val="clear" w:pos="1080"/>
          <w:tab w:val="num" w:pos="709"/>
        </w:tabs>
        <w:spacing w:after="120"/>
        <w:ind w:left="709" w:hanging="425"/>
        <w:rPr>
          <w:rFonts w:ascii="Lato" w:hAnsi="Lato"/>
        </w:rPr>
      </w:pPr>
      <w:r w:rsidRPr="007F6C12">
        <w:rPr>
          <w:rFonts w:ascii="Lato" w:hAnsi="Lato"/>
        </w:rPr>
        <w:t>the authorised officer to be professional and courteous</w:t>
      </w:r>
    </w:p>
    <w:p w14:paraId="7B4F3C88" w14:textId="77777777" w:rsidR="001B7C60" w:rsidRPr="007F6C12" w:rsidRDefault="001B7C60" w:rsidP="00202213">
      <w:pPr>
        <w:pStyle w:val="BlockText"/>
        <w:numPr>
          <w:ilvl w:val="1"/>
          <w:numId w:val="21"/>
        </w:numPr>
        <w:tabs>
          <w:tab w:val="clear" w:pos="1080"/>
          <w:tab w:val="num" w:pos="709"/>
        </w:tabs>
        <w:spacing w:after="120"/>
        <w:ind w:left="709" w:hanging="425"/>
        <w:rPr>
          <w:rFonts w:ascii="Lato" w:hAnsi="Lato"/>
        </w:rPr>
      </w:pPr>
      <w:r w:rsidRPr="007F6C12">
        <w:rPr>
          <w:rFonts w:ascii="Lato" w:hAnsi="Lato"/>
        </w:rPr>
        <w:t>to be shown the authorised officer’s identification authority</w:t>
      </w:r>
    </w:p>
    <w:p w14:paraId="29D238A0" w14:textId="77777777" w:rsidR="001B7C60" w:rsidRPr="007F6C12" w:rsidRDefault="001B7C60" w:rsidP="00202213">
      <w:pPr>
        <w:pStyle w:val="BlockText"/>
        <w:numPr>
          <w:ilvl w:val="1"/>
          <w:numId w:val="21"/>
        </w:numPr>
        <w:tabs>
          <w:tab w:val="clear" w:pos="1080"/>
          <w:tab w:val="num" w:pos="709"/>
        </w:tabs>
        <w:spacing w:after="120"/>
        <w:ind w:left="709" w:hanging="425"/>
        <w:rPr>
          <w:rFonts w:ascii="Lato" w:hAnsi="Lato"/>
        </w:rPr>
      </w:pPr>
      <w:r w:rsidRPr="007F6C12">
        <w:rPr>
          <w:rFonts w:ascii="Lato" w:hAnsi="Lato"/>
        </w:rPr>
        <w:t>the audit to be completed in a timely manner</w:t>
      </w:r>
    </w:p>
    <w:p w14:paraId="00D3187D" w14:textId="77777777" w:rsidR="001B7C60" w:rsidRPr="007F6C12" w:rsidRDefault="001B7C60" w:rsidP="00202213">
      <w:pPr>
        <w:pStyle w:val="BlockText"/>
        <w:numPr>
          <w:ilvl w:val="1"/>
          <w:numId w:val="21"/>
        </w:numPr>
        <w:tabs>
          <w:tab w:val="clear" w:pos="1080"/>
          <w:tab w:val="num" w:pos="709"/>
        </w:tabs>
        <w:spacing w:after="120"/>
        <w:ind w:left="709" w:hanging="425"/>
        <w:rPr>
          <w:rFonts w:ascii="Lato" w:hAnsi="Lato"/>
        </w:rPr>
      </w:pPr>
      <w:r w:rsidRPr="007F6C12">
        <w:rPr>
          <w:rFonts w:ascii="Lato" w:hAnsi="Lato"/>
        </w:rPr>
        <w:t>your affairs to be treated with strict confidentiality</w:t>
      </w:r>
    </w:p>
    <w:p w14:paraId="3D5F1607" w14:textId="77777777" w:rsidR="001B7C60" w:rsidRPr="007F6C12" w:rsidRDefault="001B7C60" w:rsidP="00202213">
      <w:pPr>
        <w:pStyle w:val="BlockText"/>
        <w:numPr>
          <w:ilvl w:val="1"/>
          <w:numId w:val="21"/>
        </w:numPr>
        <w:tabs>
          <w:tab w:val="clear" w:pos="1080"/>
          <w:tab w:val="num" w:pos="709"/>
        </w:tabs>
        <w:spacing w:after="120"/>
        <w:ind w:left="709" w:hanging="425"/>
        <w:rPr>
          <w:rFonts w:ascii="Lato" w:hAnsi="Lato"/>
        </w:rPr>
      </w:pPr>
      <w:r w:rsidRPr="007F6C12">
        <w:rPr>
          <w:rFonts w:ascii="Lato" w:hAnsi="Lato"/>
        </w:rPr>
        <w:t>to be given a receipt for records or other materials the authorised officer removes from your premises</w:t>
      </w:r>
    </w:p>
    <w:p w14:paraId="03DCE13D" w14:textId="77777777" w:rsidR="001B7C60" w:rsidRPr="007F6C12" w:rsidRDefault="001B7C60" w:rsidP="00202213">
      <w:pPr>
        <w:pStyle w:val="BlockText"/>
        <w:numPr>
          <w:ilvl w:val="1"/>
          <w:numId w:val="21"/>
        </w:numPr>
        <w:tabs>
          <w:tab w:val="clear" w:pos="1080"/>
          <w:tab w:val="num" w:pos="709"/>
        </w:tabs>
        <w:spacing w:after="120"/>
        <w:ind w:left="709" w:hanging="425"/>
        <w:rPr>
          <w:rFonts w:ascii="Lato" w:hAnsi="Lato"/>
        </w:rPr>
      </w:pPr>
      <w:r w:rsidRPr="007F6C12">
        <w:rPr>
          <w:rFonts w:ascii="Lato" w:hAnsi="Lato"/>
        </w:rPr>
        <w:t>to be given an opportunity to discuss any aspect of the findings with the authorised officer</w:t>
      </w:r>
    </w:p>
    <w:p w14:paraId="4BB9A62B" w14:textId="77777777" w:rsidR="001B7C60" w:rsidRPr="007F6C12" w:rsidRDefault="001B7C60" w:rsidP="00202213">
      <w:pPr>
        <w:pStyle w:val="BlockText"/>
        <w:numPr>
          <w:ilvl w:val="1"/>
          <w:numId w:val="21"/>
        </w:numPr>
        <w:tabs>
          <w:tab w:val="clear" w:pos="1080"/>
          <w:tab w:val="num" w:pos="709"/>
        </w:tabs>
        <w:spacing w:after="120"/>
        <w:ind w:left="709" w:hanging="425"/>
        <w:rPr>
          <w:rFonts w:ascii="Lato" w:hAnsi="Lato"/>
        </w:rPr>
      </w:pPr>
      <w:r w:rsidRPr="007F6C12">
        <w:rPr>
          <w:rFonts w:ascii="Lato" w:hAnsi="Lato"/>
        </w:rPr>
        <w:t>to be given the opportunity to explain the reasons for any irregularities and discrepancies</w:t>
      </w:r>
    </w:p>
    <w:p w14:paraId="2C28A4A0" w14:textId="77777777" w:rsidR="001B7C60" w:rsidRPr="007F6C12" w:rsidRDefault="001B7C60" w:rsidP="00202213">
      <w:pPr>
        <w:pStyle w:val="BlockText"/>
        <w:numPr>
          <w:ilvl w:val="1"/>
          <w:numId w:val="21"/>
        </w:numPr>
        <w:tabs>
          <w:tab w:val="clear" w:pos="1080"/>
          <w:tab w:val="num" w:pos="709"/>
        </w:tabs>
        <w:spacing w:after="120"/>
        <w:ind w:left="709" w:hanging="425"/>
        <w:rPr>
          <w:rFonts w:ascii="Lato" w:hAnsi="Lato"/>
        </w:rPr>
      </w:pPr>
      <w:proofErr w:type="gramStart"/>
      <w:r w:rsidRPr="007F6C12">
        <w:rPr>
          <w:rFonts w:ascii="Lato" w:hAnsi="Lato"/>
        </w:rPr>
        <w:t>to</w:t>
      </w:r>
      <w:proofErr w:type="gramEnd"/>
      <w:r w:rsidRPr="007F6C12">
        <w:rPr>
          <w:rFonts w:ascii="Lato" w:hAnsi="Lato"/>
        </w:rPr>
        <w:t xml:space="preserve"> receive an explanation of the results or findings.</w:t>
      </w:r>
    </w:p>
    <w:p w14:paraId="2E406245" w14:textId="77777777" w:rsidR="001B7C60" w:rsidRPr="000F24D9" w:rsidRDefault="001B7C60" w:rsidP="00F82EBB">
      <w:pPr>
        <w:pStyle w:val="Heading2"/>
        <w:numPr>
          <w:ilvl w:val="0"/>
          <w:numId w:val="0"/>
        </w:numPr>
      </w:pPr>
      <w:r w:rsidRPr="000F24D9">
        <w:t>Your obligations</w:t>
      </w:r>
      <w:r>
        <w:t xml:space="preserve"> in respect of an audit</w:t>
      </w:r>
    </w:p>
    <w:p w14:paraId="7706CA3A" w14:textId="77777777" w:rsidR="001B7C60" w:rsidRPr="007F6C12" w:rsidRDefault="001B7C60" w:rsidP="00F82EBB">
      <w:pPr>
        <w:pStyle w:val="ListNumber"/>
        <w:numPr>
          <w:ilvl w:val="0"/>
          <w:numId w:val="11"/>
        </w:numPr>
        <w:rPr>
          <w:rFonts w:ascii="Lato" w:hAnsi="Lato"/>
        </w:rPr>
      </w:pPr>
      <w:r w:rsidRPr="007F6C12">
        <w:rPr>
          <w:rFonts w:ascii="Lato" w:hAnsi="Lato"/>
        </w:rPr>
        <w:t>Throughout the audit, you are obliged to:</w:t>
      </w:r>
    </w:p>
    <w:p w14:paraId="5A89191E" w14:textId="77777777" w:rsidR="001B7C60" w:rsidRPr="007F6C12" w:rsidRDefault="001B7C60" w:rsidP="00202213">
      <w:pPr>
        <w:pStyle w:val="BlockText"/>
        <w:numPr>
          <w:ilvl w:val="1"/>
          <w:numId w:val="22"/>
        </w:numPr>
        <w:tabs>
          <w:tab w:val="clear" w:pos="1080"/>
          <w:tab w:val="num" w:pos="709"/>
        </w:tabs>
        <w:spacing w:after="120"/>
        <w:ind w:left="709" w:hanging="425"/>
        <w:rPr>
          <w:rFonts w:ascii="Lato" w:hAnsi="Lato"/>
        </w:rPr>
      </w:pPr>
      <w:r w:rsidRPr="007F6C12">
        <w:rPr>
          <w:rFonts w:ascii="Lato" w:hAnsi="Lato"/>
        </w:rPr>
        <w:t>disclose any discrepancies, errors and undeclared royalty liabilities</w:t>
      </w:r>
    </w:p>
    <w:p w14:paraId="58956C16" w14:textId="77777777" w:rsidR="001B7C60" w:rsidRPr="007F6C12" w:rsidRDefault="001B7C60" w:rsidP="00202213">
      <w:pPr>
        <w:pStyle w:val="BlockText"/>
        <w:numPr>
          <w:ilvl w:val="1"/>
          <w:numId w:val="22"/>
        </w:numPr>
        <w:tabs>
          <w:tab w:val="clear" w:pos="1080"/>
          <w:tab w:val="num" w:pos="709"/>
        </w:tabs>
        <w:spacing w:after="120"/>
        <w:ind w:left="709" w:hanging="425"/>
        <w:rPr>
          <w:rFonts w:ascii="Lato" w:hAnsi="Lato"/>
        </w:rPr>
      </w:pPr>
      <w:r w:rsidRPr="007F6C12">
        <w:rPr>
          <w:rFonts w:ascii="Lato" w:hAnsi="Lato"/>
        </w:rPr>
        <w:t>provide the authorised officer reasonable assistance and facilities</w:t>
      </w:r>
    </w:p>
    <w:p w14:paraId="7760802D" w14:textId="77777777" w:rsidR="001B7C60" w:rsidRPr="007F6C12" w:rsidRDefault="001B7C60" w:rsidP="00202213">
      <w:pPr>
        <w:pStyle w:val="BlockText"/>
        <w:numPr>
          <w:ilvl w:val="1"/>
          <w:numId w:val="22"/>
        </w:numPr>
        <w:tabs>
          <w:tab w:val="clear" w:pos="1080"/>
          <w:tab w:val="num" w:pos="709"/>
        </w:tabs>
        <w:spacing w:after="120"/>
        <w:ind w:left="709" w:hanging="425"/>
        <w:rPr>
          <w:rFonts w:ascii="Lato" w:hAnsi="Lato"/>
        </w:rPr>
      </w:pPr>
      <w:r w:rsidRPr="007F6C12">
        <w:rPr>
          <w:rFonts w:ascii="Lato" w:hAnsi="Lato"/>
        </w:rPr>
        <w:t>provide complete and honest answers and explanations to questions</w:t>
      </w:r>
    </w:p>
    <w:p w14:paraId="4C2225AC" w14:textId="77777777" w:rsidR="001B7C60" w:rsidRPr="007F6C12" w:rsidRDefault="001B7C60" w:rsidP="00202213">
      <w:pPr>
        <w:pStyle w:val="BlockText"/>
        <w:numPr>
          <w:ilvl w:val="1"/>
          <w:numId w:val="22"/>
        </w:numPr>
        <w:tabs>
          <w:tab w:val="clear" w:pos="1080"/>
          <w:tab w:val="num" w:pos="709"/>
        </w:tabs>
        <w:spacing w:after="120"/>
        <w:ind w:left="709" w:hanging="425"/>
        <w:rPr>
          <w:rFonts w:ascii="Lato" w:hAnsi="Lato"/>
        </w:rPr>
      </w:pPr>
      <w:r w:rsidRPr="007F6C12">
        <w:rPr>
          <w:rFonts w:ascii="Lato" w:hAnsi="Lato"/>
        </w:rPr>
        <w:t>provide prompt, full and free access to all relevant information, records, documents, data and systems as required</w:t>
      </w:r>
    </w:p>
    <w:p w14:paraId="550C23E8" w14:textId="77777777" w:rsidR="001B7C60" w:rsidRPr="007F6C12" w:rsidRDefault="001B7C60" w:rsidP="00202213">
      <w:pPr>
        <w:pStyle w:val="BlockText"/>
        <w:numPr>
          <w:ilvl w:val="1"/>
          <w:numId w:val="22"/>
        </w:numPr>
        <w:tabs>
          <w:tab w:val="clear" w:pos="1080"/>
          <w:tab w:val="num" w:pos="709"/>
        </w:tabs>
        <w:spacing w:after="120"/>
        <w:ind w:left="709" w:hanging="425"/>
        <w:rPr>
          <w:rFonts w:ascii="Lato" w:hAnsi="Lato"/>
        </w:rPr>
      </w:pPr>
      <w:proofErr w:type="gramStart"/>
      <w:r w:rsidRPr="007F6C12">
        <w:rPr>
          <w:rFonts w:ascii="Lato" w:hAnsi="Lato"/>
        </w:rPr>
        <w:t>ensure</w:t>
      </w:r>
      <w:proofErr w:type="gramEnd"/>
      <w:r w:rsidRPr="007F6C12">
        <w:rPr>
          <w:rFonts w:ascii="Lato" w:hAnsi="Lato"/>
        </w:rPr>
        <w:t xml:space="preserve"> accounting records and books of accounts are properly kept and complete. </w:t>
      </w:r>
    </w:p>
    <w:p w14:paraId="4DCA4EC0" w14:textId="77777777" w:rsidR="001B7C60" w:rsidRPr="000F6D17" w:rsidRDefault="001B7C60" w:rsidP="00F82EBB">
      <w:pPr>
        <w:pStyle w:val="Heading2"/>
        <w:numPr>
          <w:ilvl w:val="0"/>
          <w:numId w:val="0"/>
        </w:numPr>
      </w:pPr>
      <w:r w:rsidRPr="000F6D17">
        <w:t>Offences and penalties</w:t>
      </w:r>
    </w:p>
    <w:p w14:paraId="653C02ED" w14:textId="77777777" w:rsidR="001B7C60" w:rsidRPr="007F6C12" w:rsidRDefault="001B7C60" w:rsidP="00F82EBB">
      <w:pPr>
        <w:pStyle w:val="ListNumber"/>
        <w:numPr>
          <w:ilvl w:val="0"/>
          <w:numId w:val="11"/>
        </w:numPr>
        <w:rPr>
          <w:rFonts w:ascii="Lato" w:hAnsi="Lato"/>
        </w:rPr>
      </w:pPr>
      <w:r w:rsidRPr="007F6C12">
        <w:rPr>
          <w:rFonts w:ascii="Lato" w:hAnsi="Lato"/>
        </w:rPr>
        <w:t>The MRA generally provides for fines for various offences relating to, for example, statements, the provision of information and access to records.</w:t>
      </w:r>
    </w:p>
    <w:p w14:paraId="4A491C82" w14:textId="75D0394A" w:rsidR="001B7C60" w:rsidRPr="007F6C12" w:rsidRDefault="001B7C60" w:rsidP="00F82EBB">
      <w:pPr>
        <w:pStyle w:val="ListNumber"/>
        <w:numPr>
          <w:ilvl w:val="0"/>
          <w:numId w:val="11"/>
        </w:numPr>
        <w:rPr>
          <w:rFonts w:ascii="Lato" w:hAnsi="Lato"/>
          <w:snapToGrid w:val="0"/>
        </w:rPr>
      </w:pPr>
      <w:r w:rsidRPr="007F6C12">
        <w:rPr>
          <w:rFonts w:ascii="Lato" w:hAnsi="Lato"/>
        </w:rPr>
        <w:t xml:space="preserve">Contravention of an offence against the MRA can result in criminal proceedings punishable by a penalty of up to 200 penalty units (defined in the </w:t>
      </w:r>
      <w:r w:rsidRPr="007F6C12">
        <w:rPr>
          <w:rFonts w:ascii="Lato" w:hAnsi="Lato"/>
          <w:i/>
        </w:rPr>
        <w:t xml:space="preserve">Penalty Units Act 2009 </w:t>
      </w:r>
      <w:r w:rsidRPr="007F6C12">
        <w:rPr>
          <w:rFonts w:ascii="Lato" w:hAnsi="Lato"/>
        </w:rPr>
        <w:t>(NT)) for an individual or 1000 penalty units for a corporation</w:t>
      </w:r>
      <w:r w:rsidRPr="007F6C12">
        <w:rPr>
          <w:rFonts w:ascii="Lato" w:hAnsi="Lato"/>
          <w:snapToGrid w:val="0"/>
        </w:rPr>
        <w:t xml:space="preserve">.  </w:t>
      </w:r>
    </w:p>
    <w:p w14:paraId="71D77BF8" w14:textId="77777777" w:rsidR="001B7C60" w:rsidRPr="00CC4291" w:rsidRDefault="001B7C60" w:rsidP="00F82EBB">
      <w:pPr>
        <w:pStyle w:val="Heading1"/>
        <w:numPr>
          <w:ilvl w:val="0"/>
          <w:numId w:val="0"/>
        </w:numPr>
      </w:pPr>
      <w:r w:rsidRPr="00216307">
        <w:t>Payment</w:t>
      </w:r>
      <w:r w:rsidRPr="00CC4291">
        <w:t xml:space="preserve"> of </w:t>
      </w:r>
      <w:r>
        <w:t>r</w:t>
      </w:r>
      <w:r w:rsidRPr="00CC4291">
        <w:t>oyalty</w:t>
      </w:r>
    </w:p>
    <w:p w14:paraId="72BBC3A4" w14:textId="5032C0B2" w:rsidR="001B7C60" w:rsidRPr="007F6C12" w:rsidRDefault="001B7C60" w:rsidP="00F82EBB">
      <w:pPr>
        <w:pStyle w:val="ListNumber"/>
        <w:numPr>
          <w:ilvl w:val="0"/>
          <w:numId w:val="11"/>
        </w:numPr>
        <w:rPr>
          <w:rFonts w:ascii="Lato" w:hAnsi="Lato"/>
        </w:rPr>
      </w:pPr>
      <w:r w:rsidRPr="007F6C12">
        <w:rPr>
          <w:rFonts w:ascii="Lato" w:hAnsi="Lato"/>
        </w:rPr>
        <w:t xml:space="preserve">Royalty payments are generally made twice </w:t>
      </w:r>
      <w:r w:rsidR="007A5777">
        <w:rPr>
          <w:rFonts w:ascii="Lato" w:hAnsi="Lato"/>
        </w:rPr>
        <w:t>per</w:t>
      </w:r>
      <w:r w:rsidRPr="007F6C12">
        <w:rPr>
          <w:rFonts w:ascii="Lato" w:hAnsi="Lato"/>
        </w:rPr>
        <w:t xml:space="preserve"> year. However, further payments may be made through the year as necessary.</w:t>
      </w:r>
    </w:p>
    <w:p w14:paraId="284D4FCF" w14:textId="070108A4" w:rsidR="001B7C60" w:rsidRPr="007F6C12" w:rsidRDefault="001B7C60" w:rsidP="00F82EBB">
      <w:pPr>
        <w:pStyle w:val="ListNumber"/>
        <w:numPr>
          <w:ilvl w:val="0"/>
          <w:numId w:val="11"/>
        </w:numPr>
        <w:rPr>
          <w:rFonts w:ascii="Lato" w:hAnsi="Lato"/>
        </w:rPr>
      </w:pPr>
      <w:r w:rsidRPr="007F6C12">
        <w:rPr>
          <w:rFonts w:ascii="Lato" w:hAnsi="Lato"/>
          <w:b/>
        </w:rPr>
        <w:lastRenderedPageBreak/>
        <w:t>Provisional payments</w:t>
      </w:r>
      <w:r w:rsidRPr="007F6C12">
        <w:rPr>
          <w:rFonts w:ascii="Lato" w:hAnsi="Lato"/>
        </w:rPr>
        <w:t xml:space="preserve"> are made each </w:t>
      </w:r>
      <w:r w:rsidR="007A5777">
        <w:rPr>
          <w:rFonts w:ascii="Lato" w:hAnsi="Lato"/>
        </w:rPr>
        <w:t>six</w:t>
      </w:r>
      <w:r w:rsidR="007A5777" w:rsidRPr="007F6C12">
        <w:rPr>
          <w:rFonts w:ascii="Lato" w:hAnsi="Lato"/>
        </w:rPr>
        <w:t xml:space="preserve"> </w:t>
      </w:r>
      <w:r w:rsidRPr="007F6C12">
        <w:rPr>
          <w:rFonts w:ascii="Lato" w:hAnsi="Lato"/>
        </w:rPr>
        <w:t xml:space="preserve">months. A </w:t>
      </w:r>
      <w:r w:rsidRPr="007F6C12">
        <w:rPr>
          <w:rFonts w:ascii="Lato" w:hAnsi="Lato"/>
          <w:b/>
        </w:rPr>
        <w:t>residual provisional payment</w:t>
      </w:r>
      <w:r w:rsidRPr="007F6C12">
        <w:rPr>
          <w:rFonts w:ascii="Lato" w:hAnsi="Lato"/>
        </w:rPr>
        <w:t xml:space="preserve"> may be made </w:t>
      </w:r>
      <w:r w:rsidR="007A5777">
        <w:rPr>
          <w:rFonts w:ascii="Lato" w:hAnsi="Lato"/>
        </w:rPr>
        <w:t>three</w:t>
      </w:r>
      <w:r w:rsidRPr="007F6C12">
        <w:rPr>
          <w:rFonts w:ascii="Lato" w:hAnsi="Lato"/>
        </w:rPr>
        <w:t xml:space="preserve"> months after the end of a royalty year. A </w:t>
      </w:r>
      <w:r w:rsidRPr="007F6C12">
        <w:rPr>
          <w:rFonts w:ascii="Lato" w:hAnsi="Lato"/>
          <w:b/>
        </w:rPr>
        <w:t>shortfall</w:t>
      </w:r>
      <w:r w:rsidRPr="007F6C12">
        <w:rPr>
          <w:rFonts w:ascii="Lato" w:hAnsi="Lato"/>
        </w:rPr>
        <w:t xml:space="preserve"> payment may also be required.</w:t>
      </w:r>
    </w:p>
    <w:p w14:paraId="38FB7AF6" w14:textId="77777777" w:rsidR="001B7C60" w:rsidRPr="007F6C12" w:rsidRDefault="001B7C60" w:rsidP="00F82EBB">
      <w:pPr>
        <w:pStyle w:val="ListNumber"/>
        <w:numPr>
          <w:ilvl w:val="0"/>
          <w:numId w:val="11"/>
        </w:numPr>
        <w:rPr>
          <w:rFonts w:ascii="Lato" w:hAnsi="Lato"/>
        </w:rPr>
      </w:pPr>
      <w:r w:rsidRPr="007F6C12">
        <w:rPr>
          <w:rFonts w:ascii="Lato" w:hAnsi="Lato"/>
        </w:rPr>
        <w:t>Payment of royalty is required to be made:</w:t>
      </w:r>
    </w:p>
    <w:p w14:paraId="22A90324" w14:textId="4DB53319" w:rsidR="001B7C60" w:rsidRPr="007F6C12" w:rsidRDefault="001B7C60" w:rsidP="00202213">
      <w:pPr>
        <w:pStyle w:val="BlockText"/>
        <w:numPr>
          <w:ilvl w:val="1"/>
          <w:numId w:val="23"/>
        </w:numPr>
        <w:tabs>
          <w:tab w:val="clear" w:pos="1080"/>
          <w:tab w:val="num" w:pos="709"/>
        </w:tabs>
        <w:spacing w:after="120"/>
        <w:ind w:left="709" w:hanging="425"/>
        <w:rPr>
          <w:rFonts w:ascii="Lato" w:hAnsi="Lato"/>
        </w:rPr>
      </w:pPr>
      <w:r w:rsidRPr="007F6C12">
        <w:rPr>
          <w:rFonts w:ascii="Lato" w:hAnsi="Lato"/>
        </w:rPr>
        <w:t xml:space="preserve">in the case of </w:t>
      </w:r>
      <w:r w:rsidRPr="007F6C12">
        <w:rPr>
          <w:rFonts w:ascii="Lato" w:hAnsi="Lato"/>
          <w:b/>
        </w:rPr>
        <w:t>provisional payments</w:t>
      </w:r>
      <w:r w:rsidRPr="007F6C12">
        <w:rPr>
          <w:rFonts w:ascii="Lato" w:hAnsi="Lato"/>
        </w:rPr>
        <w:t xml:space="preserve"> (which are to be accompanied by provisional returns), not later than 30 days after the end of each </w:t>
      </w:r>
      <w:r w:rsidR="007A5777">
        <w:rPr>
          <w:rFonts w:ascii="Lato" w:hAnsi="Lato"/>
        </w:rPr>
        <w:t>six-</w:t>
      </w:r>
      <w:r w:rsidRPr="007F6C12">
        <w:rPr>
          <w:rFonts w:ascii="Lato" w:hAnsi="Lato"/>
        </w:rPr>
        <w:t xml:space="preserve"> month period in the royalty year</w:t>
      </w:r>
    </w:p>
    <w:p w14:paraId="48EA3267" w14:textId="3B7636C6" w:rsidR="001B7C60" w:rsidRPr="007F6C12" w:rsidRDefault="001B7C60" w:rsidP="00202213">
      <w:pPr>
        <w:pStyle w:val="BlockText"/>
        <w:numPr>
          <w:ilvl w:val="1"/>
          <w:numId w:val="23"/>
        </w:numPr>
        <w:tabs>
          <w:tab w:val="clear" w:pos="1080"/>
          <w:tab w:val="num" w:pos="709"/>
        </w:tabs>
        <w:spacing w:after="120"/>
        <w:ind w:left="709" w:hanging="425"/>
        <w:rPr>
          <w:rFonts w:ascii="Lato" w:hAnsi="Lato"/>
        </w:rPr>
      </w:pPr>
      <w:r w:rsidRPr="007F6C12">
        <w:rPr>
          <w:rFonts w:ascii="Lato" w:hAnsi="Lato"/>
        </w:rPr>
        <w:t xml:space="preserve">in the case of the </w:t>
      </w:r>
      <w:r w:rsidRPr="007F6C12">
        <w:rPr>
          <w:rFonts w:ascii="Lato" w:hAnsi="Lato"/>
          <w:b/>
        </w:rPr>
        <w:t>residual provisional payment</w:t>
      </w:r>
      <w:r w:rsidRPr="007F6C12">
        <w:rPr>
          <w:rFonts w:ascii="Lato" w:hAnsi="Lato"/>
        </w:rPr>
        <w:t xml:space="preserve"> for a royalty year, at the same time the royalty return is lodged, which must be within </w:t>
      </w:r>
      <w:r w:rsidR="007A5777">
        <w:rPr>
          <w:rFonts w:ascii="Lato" w:hAnsi="Lato"/>
        </w:rPr>
        <w:t>three</w:t>
      </w:r>
      <w:r w:rsidRPr="007F6C12">
        <w:rPr>
          <w:rFonts w:ascii="Lato" w:hAnsi="Lato"/>
        </w:rPr>
        <w:t xml:space="preserve"> months of the end of the royalty year </w:t>
      </w:r>
    </w:p>
    <w:p w14:paraId="5B9C6758" w14:textId="77777777" w:rsidR="001B7C60" w:rsidRPr="007F6C12" w:rsidRDefault="001B7C60" w:rsidP="00202213">
      <w:pPr>
        <w:pStyle w:val="BlockText"/>
        <w:tabs>
          <w:tab w:val="num" w:pos="709"/>
        </w:tabs>
        <w:ind w:left="709"/>
        <w:rPr>
          <w:rFonts w:ascii="Lato" w:hAnsi="Lato"/>
        </w:rPr>
      </w:pPr>
      <w:proofErr w:type="gramStart"/>
      <w:r w:rsidRPr="007F6C12">
        <w:rPr>
          <w:rFonts w:ascii="Lato" w:hAnsi="Lato"/>
        </w:rPr>
        <w:t>and</w:t>
      </w:r>
      <w:proofErr w:type="gramEnd"/>
      <w:r w:rsidRPr="007F6C12">
        <w:rPr>
          <w:rFonts w:ascii="Lato" w:hAnsi="Lato"/>
        </w:rPr>
        <w:t xml:space="preserve"> </w:t>
      </w:r>
    </w:p>
    <w:p w14:paraId="1A357137" w14:textId="77777777" w:rsidR="001B7C60" w:rsidRPr="007F6C12" w:rsidRDefault="001B7C60" w:rsidP="00202213">
      <w:pPr>
        <w:pStyle w:val="BlockText"/>
        <w:numPr>
          <w:ilvl w:val="1"/>
          <w:numId w:val="23"/>
        </w:numPr>
        <w:tabs>
          <w:tab w:val="clear" w:pos="1080"/>
          <w:tab w:val="num" w:pos="709"/>
        </w:tabs>
        <w:spacing w:after="120"/>
        <w:ind w:left="709" w:hanging="425"/>
        <w:rPr>
          <w:rFonts w:ascii="Lato" w:hAnsi="Lato"/>
        </w:rPr>
      </w:pPr>
      <w:proofErr w:type="gramStart"/>
      <w:r w:rsidRPr="007F6C12">
        <w:rPr>
          <w:rFonts w:ascii="Lato" w:hAnsi="Lato"/>
        </w:rPr>
        <w:t>in</w:t>
      </w:r>
      <w:proofErr w:type="gramEnd"/>
      <w:r w:rsidRPr="007F6C12">
        <w:rPr>
          <w:rFonts w:ascii="Lato" w:hAnsi="Lato"/>
        </w:rPr>
        <w:t xml:space="preserve"> the case of any </w:t>
      </w:r>
      <w:r w:rsidRPr="007F6C12">
        <w:rPr>
          <w:rFonts w:ascii="Lato" w:hAnsi="Lato"/>
          <w:b/>
        </w:rPr>
        <w:t>shortfall</w:t>
      </w:r>
      <w:r w:rsidRPr="007F6C12">
        <w:rPr>
          <w:rFonts w:ascii="Lato" w:hAnsi="Lato"/>
        </w:rPr>
        <w:t xml:space="preserve"> between royalty assessed in an assessment and the sum of the provisional and residual provisional royalty payments, on the date specified in the notice of assessment. </w:t>
      </w:r>
    </w:p>
    <w:p w14:paraId="0F450115" w14:textId="64EC10C5" w:rsidR="001B7C60" w:rsidRPr="00D86B6F" w:rsidRDefault="001B7C60" w:rsidP="00F82EBB">
      <w:pPr>
        <w:pStyle w:val="BlockText"/>
        <w:rPr>
          <w:rFonts w:ascii="Lato" w:hAnsi="Lato"/>
        </w:rPr>
      </w:pPr>
      <w:r w:rsidRPr="00D86B6F">
        <w:rPr>
          <w:rFonts w:ascii="Lato" w:hAnsi="Lato"/>
        </w:rPr>
        <w:t>Example</w:t>
      </w:r>
      <w:r w:rsidR="00D86B6F">
        <w:rPr>
          <w:rFonts w:ascii="Lato" w:hAnsi="Lato"/>
        </w:rPr>
        <w:t xml:space="preserve"> 1</w:t>
      </w:r>
    </w:p>
    <w:p w14:paraId="65473BA6" w14:textId="15DBC90E" w:rsidR="001B7C60" w:rsidRPr="007F6C12" w:rsidRDefault="001B7C60" w:rsidP="001B7C60">
      <w:pPr>
        <w:pStyle w:val="BlockText"/>
        <w:pBdr>
          <w:top w:val="single" w:sz="4" w:space="1" w:color="auto"/>
          <w:left w:val="single" w:sz="4" w:space="4" w:color="auto"/>
          <w:right w:val="single" w:sz="4" w:space="4" w:color="auto"/>
        </w:pBdr>
        <w:shd w:val="clear" w:color="auto" w:fill="F2F2F2"/>
        <w:spacing w:after="0"/>
        <w:rPr>
          <w:rFonts w:ascii="Lato" w:hAnsi="Lato"/>
        </w:rPr>
      </w:pPr>
      <w:r w:rsidRPr="007F6C12">
        <w:rPr>
          <w:rFonts w:ascii="Lato" w:hAnsi="Lato"/>
        </w:rPr>
        <w:t xml:space="preserve">ABC Mining Pty </w:t>
      </w:r>
      <w:proofErr w:type="spellStart"/>
      <w:r w:rsidRPr="007F6C12">
        <w:rPr>
          <w:rFonts w:ascii="Lato" w:hAnsi="Lato"/>
        </w:rPr>
        <w:t>Ltd’s</w:t>
      </w:r>
      <w:proofErr w:type="spellEnd"/>
      <w:r w:rsidRPr="007F6C12">
        <w:rPr>
          <w:rFonts w:ascii="Lato" w:hAnsi="Lato"/>
        </w:rPr>
        <w:t xml:space="preserve"> first royalty year commences on 1 January 2011. Th</w:t>
      </w:r>
      <w:r w:rsidR="007A5777">
        <w:rPr>
          <w:rFonts w:ascii="Lato" w:hAnsi="Lato"/>
        </w:rPr>
        <w:t>is</w:t>
      </w:r>
      <w:r w:rsidRPr="007F6C12">
        <w:rPr>
          <w:rFonts w:ascii="Lato" w:hAnsi="Lato"/>
        </w:rPr>
        <w:t xml:space="preserve"> diagram indicates all the relevant dates over which royalty is to be calculated, and when provisional payments and the royalty return are due for the royalty year commencing </w:t>
      </w:r>
      <w:r w:rsidR="007A5777" w:rsidRPr="007F6C12">
        <w:rPr>
          <w:rFonts w:ascii="Lato" w:hAnsi="Lato"/>
        </w:rPr>
        <w:t>1</w:t>
      </w:r>
      <w:r w:rsidR="007A5777">
        <w:rPr>
          <w:rFonts w:ascii="Lato" w:hAnsi="Lato"/>
        </w:rPr>
        <w:t> </w:t>
      </w:r>
      <w:r w:rsidRPr="007F6C12">
        <w:rPr>
          <w:rFonts w:ascii="Lato" w:hAnsi="Lato"/>
        </w:rPr>
        <w:t xml:space="preserve">January 2011. </w:t>
      </w:r>
    </w:p>
    <w:p w14:paraId="78C831E8" w14:textId="77777777" w:rsidR="001B7C60" w:rsidRPr="007F6C12" w:rsidRDefault="001B7C60" w:rsidP="001B7C60">
      <w:pPr>
        <w:pStyle w:val="BlockText"/>
        <w:pBdr>
          <w:top w:val="single" w:sz="4" w:space="1" w:color="auto"/>
          <w:left w:val="single" w:sz="4" w:space="4" w:color="auto"/>
          <w:right w:val="single" w:sz="4" w:space="4" w:color="auto"/>
        </w:pBdr>
        <w:shd w:val="clear" w:color="auto" w:fill="F2F2F2"/>
        <w:spacing w:after="0"/>
        <w:rPr>
          <w:rFonts w:ascii="Lato" w:hAnsi="Lato"/>
        </w:rPr>
      </w:pPr>
    </w:p>
    <w:p w14:paraId="332F92FC" w14:textId="77777777" w:rsidR="001B7C60" w:rsidRPr="007F6C12" w:rsidRDefault="001B7C60" w:rsidP="001B7C60">
      <w:pPr>
        <w:pStyle w:val="BlockText"/>
        <w:pBdr>
          <w:left w:val="single" w:sz="4" w:space="4" w:color="auto"/>
          <w:bottom w:val="single" w:sz="4" w:space="1" w:color="auto"/>
          <w:right w:val="single" w:sz="4" w:space="4" w:color="auto"/>
        </w:pBdr>
        <w:shd w:val="clear" w:color="auto" w:fill="F2F2F2"/>
        <w:spacing w:after="0"/>
        <w:ind w:left="567" w:hanging="567"/>
        <w:rPr>
          <w:rFonts w:ascii="Lato" w:hAnsi="Lato"/>
          <w:noProof/>
        </w:rPr>
      </w:pPr>
      <w:r w:rsidRPr="007F6C12">
        <w:rPr>
          <w:rFonts w:ascii="Lato" w:hAnsi="Lato"/>
          <w:noProof/>
          <w:lang w:eastAsia="en-AU"/>
        </w:rPr>
        <w:drawing>
          <wp:inline distT="0" distB="0" distL="0" distR="0" wp14:anchorId="70ED6B0F" wp14:editId="5F311715">
            <wp:extent cx="5724525" cy="1743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1743075"/>
                    </a:xfrm>
                    <a:prstGeom prst="rect">
                      <a:avLst/>
                    </a:prstGeom>
                    <a:noFill/>
                    <a:ln>
                      <a:noFill/>
                    </a:ln>
                  </pic:spPr>
                </pic:pic>
              </a:graphicData>
            </a:graphic>
          </wp:inline>
        </w:drawing>
      </w:r>
    </w:p>
    <w:p w14:paraId="399D78EB" w14:textId="6E237280" w:rsidR="001B7C60" w:rsidRPr="007F6C12" w:rsidRDefault="001B7C60" w:rsidP="001B7C60">
      <w:pPr>
        <w:pStyle w:val="BlockText"/>
        <w:pBdr>
          <w:left w:val="single" w:sz="4" w:space="4" w:color="auto"/>
          <w:bottom w:val="single" w:sz="4" w:space="1" w:color="auto"/>
          <w:right w:val="single" w:sz="4" w:space="4" w:color="auto"/>
        </w:pBdr>
        <w:shd w:val="clear" w:color="auto" w:fill="F2F2F2"/>
        <w:spacing w:after="0"/>
        <w:rPr>
          <w:rFonts w:ascii="Lato" w:hAnsi="Lato"/>
        </w:rPr>
      </w:pPr>
      <w:r w:rsidRPr="007F6C12">
        <w:rPr>
          <w:rFonts w:ascii="Lato" w:hAnsi="Lato"/>
          <w:noProof/>
        </w:rPr>
        <w:t xml:space="preserve">* Any shortfall </w:t>
      </w:r>
      <w:r w:rsidRPr="007F6C12">
        <w:rPr>
          <w:rFonts w:ascii="Lato" w:hAnsi="Lato"/>
        </w:rPr>
        <w:t>between royalty payable following an assessment being issued and the sum of the provisional and residual provisional payments will be due on the date specified in the notice of assessment. Generally, this date will be 30 days after the notice of assessment is issued.</w:t>
      </w:r>
    </w:p>
    <w:p w14:paraId="6934A0F7" w14:textId="77777777" w:rsidR="001B7C60" w:rsidRPr="004809E4" w:rsidRDefault="001B7C60" w:rsidP="00F82EBB">
      <w:pPr>
        <w:pStyle w:val="Heading2"/>
        <w:numPr>
          <w:ilvl w:val="0"/>
          <w:numId w:val="0"/>
        </w:numPr>
      </w:pPr>
      <w:r w:rsidRPr="004809E4">
        <w:t>Underpayment of royalty</w:t>
      </w:r>
    </w:p>
    <w:p w14:paraId="23101C84" w14:textId="2BBCE9EA" w:rsidR="001B7C60" w:rsidRPr="007F6C12" w:rsidRDefault="001B7C60" w:rsidP="00F82EBB">
      <w:pPr>
        <w:pStyle w:val="ListNumber"/>
        <w:numPr>
          <w:ilvl w:val="0"/>
          <w:numId w:val="11"/>
        </w:numPr>
        <w:rPr>
          <w:rFonts w:ascii="Lato" w:hAnsi="Lato"/>
        </w:rPr>
      </w:pPr>
      <w:r w:rsidRPr="007F6C12">
        <w:rPr>
          <w:rFonts w:ascii="Lato" w:hAnsi="Lato"/>
        </w:rPr>
        <w:t>It is in the in</w:t>
      </w:r>
      <w:r w:rsidRPr="007F6C12">
        <w:rPr>
          <w:rFonts w:ascii="Lato" w:hAnsi="Lato"/>
          <w:iCs/>
        </w:rPr>
        <w:t>t</w:t>
      </w:r>
      <w:r w:rsidRPr="007F6C12">
        <w:rPr>
          <w:rFonts w:ascii="Lato" w:hAnsi="Lato"/>
        </w:rPr>
        <w:t>erests of royalty payers to ensure that a realistic estimate of the provisional payments is established. The MRA imposes a penalty where the combined six</w:t>
      </w:r>
      <w:r w:rsidR="007A5777">
        <w:rPr>
          <w:rFonts w:ascii="Lato" w:hAnsi="Lato"/>
        </w:rPr>
        <w:t>-</w:t>
      </w:r>
      <w:r w:rsidRPr="007F6C12">
        <w:rPr>
          <w:rFonts w:ascii="Lato" w:hAnsi="Lato"/>
        </w:rPr>
        <w:t xml:space="preserve">monthly provisional payments are less than 80 per cent of the assessment of royalty payable. Royalty payers are (in addition to any </w:t>
      </w:r>
      <w:r w:rsidRPr="007F6C12">
        <w:rPr>
          <w:rFonts w:ascii="Lato" w:hAnsi="Lato"/>
          <w:szCs w:val="24"/>
        </w:rPr>
        <w:t xml:space="preserve">shortfall in the balance of royalty actually payable) </w:t>
      </w:r>
      <w:r w:rsidRPr="007F6C12">
        <w:rPr>
          <w:rFonts w:ascii="Lato" w:hAnsi="Lato"/>
        </w:rPr>
        <w:t xml:space="preserve">also liable to pay, by way of </w:t>
      </w:r>
      <w:r w:rsidRPr="007F6C12">
        <w:rPr>
          <w:rFonts w:ascii="Lato" w:hAnsi="Lato"/>
          <w:b/>
        </w:rPr>
        <w:t>additional royalty</w:t>
      </w:r>
      <w:r w:rsidRPr="007F6C12">
        <w:rPr>
          <w:rFonts w:ascii="Lato" w:hAnsi="Lato"/>
        </w:rPr>
        <w:t>, an amount equal to the royalty shortfall.</w:t>
      </w:r>
    </w:p>
    <w:p w14:paraId="341FF497" w14:textId="77777777" w:rsidR="00202213" w:rsidRDefault="00202213" w:rsidP="00F82EBB">
      <w:pPr>
        <w:pStyle w:val="BlockText"/>
        <w:rPr>
          <w:rFonts w:ascii="Lato" w:hAnsi="Lato"/>
        </w:rPr>
      </w:pPr>
    </w:p>
    <w:p w14:paraId="5E27A54F" w14:textId="77777777" w:rsidR="00202213" w:rsidRDefault="00202213" w:rsidP="00F82EBB">
      <w:pPr>
        <w:pStyle w:val="BlockText"/>
        <w:rPr>
          <w:rFonts w:ascii="Lato" w:hAnsi="Lato"/>
        </w:rPr>
      </w:pPr>
    </w:p>
    <w:p w14:paraId="31FDC02F" w14:textId="77777777" w:rsidR="00202213" w:rsidRDefault="00202213" w:rsidP="00F82EBB">
      <w:pPr>
        <w:pStyle w:val="BlockText"/>
        <w:rPr>
          <w:rFonts w:ascii="Lato" w:hAnsi="Lato"/>
        </w:rPr>
      </w:pPr>
    </w:p>
    <w:p w14:paraId="6EC2A7E8" w14:textId="77777777" w:rsidR="00202213" w:rsidRDefault="00202213" w:rsidP="00F82EBB">
      <w:pPr>
        <w:pStyle w:val="BlockText"/>
        <w:rPr>
          <w:rFonts w:ascii="Lato" w:hAnsi="Lato"/>
        </w:rPr>
      </w:pPr>
    </w:p>
    <w:p w14:paraId="3C22C64D" w14:textId="7D2DE661" w:rsidR="001B7C60" w:rsidRPr="00D86B6F" w:rsidRDefault="001B7C60" w:rsidP="00F82EBB">
      <w:pPr>
        <w:pStyle w:val="BlockText"/>
        <w:rPr>
          <w:rFonts w:ascii="Lato" w:hAnsi="Lato"/>
        </w:rPr>
      </w:pPr>
      <w:r w:rsidRPr="00D86B6F">
        <w:rPr>
          <w:rFonts w:ascii="Lato" w:hAnsi="Lato"/>
        </w:rPr>
        <w:lastRenderedPageBreak/>
        <w:t>Example</w:t>
      </w:r>
      <w:r w:rsidR="00D86B6F">
        <w:rPr>
          <w:rFonts w:ascii="Lato" w:hAnsi="Lato"/>
        </w:rPr>
        <w:t xml:space="preserve"> 1</w:t>
      </w:r>
    </w:p>
    <w:p w14:paraId="1D1E435A" w14:textId="77777777" w:rsidR="001B7C60" w:rsidRPr="007F6C12" w:rsidRDefault="001B7C60" w:rsidP="00F82EBB">
      <w:pPr>
        <w:pStyle w:val="BlockText"/>
        <w:pBdr>
          <w:top w:val="single" w:sz="4" w:space="1" w:color="auto"/>
          <w:left w:val="single" w:sz="4" w:space="4" w:color="auto"/>
          <w:right w:val="single" w:sz="4" w:space="4" w:color="auto"/>
        </w:pBdr>
        <w:shd w:val="clear" w:color="auto" w:fill="F2F2F2"/>
        <w:spacing w:after="0"/>
        <w:rPr>
          <w:rFonts w:ascii="Lato" w:hAnsi="Lato"/>
        </w:rPr>
      </w:pPr>
      <w:r w:rsidRPr="007F6C12">
        <w:rPr>
          <w:rFonts w:ascii="Lato" w:hAnsi="Lato"/>
        </w:rPr>
        <w:t>Calculation of additional royalty:</w:t>
      </w:r>
    </w:p>
    <w:p w14:paraId="2D0AA332" w14:textId="77777777" w:rsidR="001B7C60" w:rsidRPr="007F6C12" w:rsidRDefault="001B7C60" w:rsidP="00F82EBB">
      <w:pPr>
        <w:pStyle w:val="BlockText"/>
        <w:pBdr>
          <w:left w:val="single" w:sz="4" w:space="4" w:color="auto"/>
          <w:right w:val="single" w:sz="4" w:space="4" w:color="auto"/>
        </w:pBdr>
        <w:shd w:val="clear" w:color="auto" w:fill="F2F2F2"/>
        <w:spacing w:after="0"/>
        <w:rPr>
          <w:rFonts w:ascii="Lato" w:hAnsi="Lato"/>
        </w:rPr>
      </w:pPr>
    </w:p>
    <w:p w14:paraId="0C23844B" w14:textId="63CC3DA5" w:rsidR="001B7C60" w:rsidRPr="007F6C12" w:rsidRDefault="001B7C60" w:rsidP="00202213">
      <w:pPr>
        <w:pStyle w:val="BlockText"/>
        <w:pBdr>
          <w:left w:val="single" w:sz="4" w:space="4" w:color="auto"/>
          <w:right w:val="single" w:sz="4" w:space="4" w:color="auto"/>
        </w:pBdr>
        <w:shd w:val="clear" w:color="auto" w:fill="F2F2F2"/>
        <w:tabs>
          <w:tab w:val="left" w:pos="5670"/>
          <w:tab w:val="right" w:pos="6804"/>
        </w:tabs>
        <w:spacing w:after="0"/>
        <w:rPr>
          <w:rFonts w:ascii="Lato" w:hAnsi="Lato"/>
        </w:rPr>
      </w:pPr>
      <w:r w:rsidRPr="007F6C12">
        <w:rPr>
          <w:rFonts w:ascii="Lato" w:hAnsi="Lato"/>
        </w:rPr>
        <w:t>Royalty assessed for royalty year</w:t>
      </w:r>
      <w:r w:rsidRPr="007F6C12">
        <w:rPr>
          <w:rFonts w:ascii="Lato" w:hAnsi="Lato"/>
        </w:rPr>
        <w:tab/>
      </w:r>
      <w:r w:rsidRPr="007F6C12">
        <w:rPr>
          <w:rFonts w:ascii="Lato" w:hAnsi="Lato"/>
        </w:rPr>
        <w:tab/>
        <w:t>$500 000</w:t>
      </w:r>
    </w:p>
    <w:p w14:paraId="4996DD87" w14:textId="77777777" w:rsidR="001B7C60" w:rsidRPr="007F6C12" w:rsidRDefault="001B7C60" w:rsidP="00202213">
      <w:pPr>
        <w:pStyle w:val="BlockText"/>
        <w:pBdr>
          <w:left w:val="single" w:sz="4" w:space="4" w:color="auto"/>
          <w:right w:val="single" w:sz="4" w:space="4" w:color="auto"/>
        </w:pBdr>
        <w:shd w:val="clear" w:color="auto" w:fill="F2F2F2"/>
        <w:tabs>
          <w:tab w:val="left" w:pos="5670"/>
          <w:tab w:val="right" w:pos="6804"/>
        </w:tabs>
        <w:spacing w:after="0"/>
        <w:rPr>
          <w:rFonts w:ascii="Lato" w:hAnsi="Lato"/>
        </w:rPr>
      </w:pPr>
      <w:r w:rsidRPr="007F6C12">
        <w:rPr>
          <w:rFonts w:ascii="Lato" w:hAnsi="Lato"/>
        </w:rPr>
        <w:t>Less provisional payments paid during royalty year</w:t>
      </w:r>
      <w:r w:rsidRPr="007F6C12">
        <w:rPr>
          <w:rFonts w:ascii="Lato" w:hAnsi="Lato"/>
        </w:rPr>
        <w:tab/>
      </w:r>
      <w:r w:rsidRPr="007F6C12">
        <w:rPr>
          <w:rFonts w:ascii="Lato" w:hAnsi="Lato"/>
        </w:rPr>
        <w:tab/>
      </w:r>
      <w:r w:rsidRPr="007F6C12">
        <w:rPr>
          <w:rFonts w:ascii="Lato" w:hAnsi="Lato"/>
          <w:u w:val="single"/>
        </w:rPr>
        <w:t>$350 000</w:t>
      </w:r>
    </w:p>
    <w:p w14:paraId="3BBD6B4B" w14:textId="7AE09D99" w:rsidR="001B7C60" w:rsidRPr="007F6C12" w:rsidRDefault="007A5777" w:rsidP="00202213">
      <w:pPr>
        <w:pStyle w:val="BlockText"/>
        <w:pBdr>
          <w:left w:val="single" w:sz="4" w:space="4" w:color="auto"/>
          <w:right w:val="single" w:sz="4" w:space="4" w:color="auto"/>
        </w:pBdr>
        <w:shd w:val="clear" w:color="auto" w:fill="F2F2F2"/>
        <w:tabs>
          <w:tab w:val="left" w:pos="5670"/>
          <w:tab w:val="right" w:pos="6804"/>
        </w:tabs>
        <w:spacing w:after="0"/>
        <w:rPr>
          <w:rFonts w:ascii="Lato" w:hAnsi="Lato"/>
        </w:rPr>
      </w:pPr>
      <w:r>
        <w:rPr>
          <w:rFonts w:ascii="Lato" w:hAnsi="Lato"/>
        </w:rPr>
        <w:t>Amount underpaid</w:t>
      </w:r>
      <w:r>
        <w:rPr>
          <w:rFonts w:ascii="Lato" w:hAnsi="Lato"/>
        </w:rPr>
        <w:tab/>
      </w:r>
      <w:r>
        <w:rPr>
          <w:rFonts w:ascii="Lato" w:hAnsi="Lato"/>
        </w:rPr>
        <w:tab/>
      </w:r>
      <w:r w:rsidR="001B7C60" w:rsidRPr="007F6C12">
        <w:rPr>
          <w:rFonts w:ascii="Lato" w:hAnsi="Lato"/>
        </w:rPr>
        <w:t>$150 000</w:t>
      </w:r>
    </w:p>
    <w:p w14:paraId="6CCA019F" w14:textId="77777777" w:rsidR="001B7C60" w:rsidRPr="007F6C12" w:rsidRDefault="001B7C60" w:rsidP="00202213">
      <w:pPr>
        <w:pStyle w:val="BlockText"/>
        <w:pBdr>
          <w:left w:val="single" w:sz="4" w:space="4" w:color="auto"/>
          <w:right w:val="single" w:sz="4" w:space="4" w:color="auto"/>
        </w:pBdr>
        <w:shd w:val="clear" w:color="auto" w:fill="F2F2F2"/>
        <w:tabs>
          <w:tab w:val="left" w:pos="5670"/>
          <w:tab w:val="right" w:pos="6804"/>
        </w:tabs>
        <w:spacing w:after="0"/>
        <w:rPr>
          <w:rFonts w:ascii="Lato" w:hAnsi="Lato"/>
        </w:rPr>
      </w:pPr>
    </w:p>
    <w:p w14:paraId="1CAD27C0" w14:textId="77777777" w:rsidR="001B7C60" w:rsidRPr="007F6C12" w:rsidRDefault="001B7C60" w:rsidP="00202213">
      <w:pPr>
        <w:pStyle w:val="BlockText"/>
        <w:pBdr>
          <w:left w:val="single" w:sz="4" w:space="4" w:color="auto"/>
          <w:right w:val="single" w:sz="4" w:space="4" w:color="auto"/>
        </w:pBdr>
        <w:shd w:val="clear" w:color="auto" w:fill="F2F2F2"/>
        <w:tabs>
          <w:tab w:val="left" w:pos="5670"/>
          <w:tab w:val="right" w:pos="6804"/>
        </w:tabs>
        <w:spacing w:after="0"/>
        <w:rPr>
          <w:rFonts w:ascii="Lato" w:hAnsi="Lato"/>
        </w:rPr>
      </w:pPr>
      <w:r w:rsidRPr="007F6C12">
        <w:rPr>
          <w:rFonts w:ascii="Lato" w:hAnsi="Lato"/>
        </w:rPr>
        <w:t xml:space="preserve">The provisional payments represent 70 per cent of the royalty assessed therefore additional royalty is payable. The additional royalty is the difference between 80 per cent of the royalty assessed and the provisional payments. </w:t>
      </w:r>
    </w:p>
    <w:p w14:paraId="39DAB54F" w14:textId="77777777" w:rsidR="001B7C60" w:rsidRPr="007F6C12" w:rsidRDefault="001B7C60" w:rsidP="00202213">
      <w:pPr>
        <w:pStyle w:val="BlockText"/>
        <w:pBdr>
          <w:left w:val="single" w:sz="4" w:space="4" w:color="auto"/>
          <w:right w:val="single" w:sz="4" w:space="4" w:color="auto"/>
        </w:pBdr>
        <w:shd w:val="clear" w:color="auto" w:fill="F2F2F2"/>
        <w:tabs>
          <w:tab w:val="left" w:pos="5670"/>
          <w:tab w:val="right" w:pos="6804"/>
        </w:tabs>
        <w:spacing w:after="0"/>
        <w:rPr>
          <w:rFonts w:ascii="Lato" w:hAnsi="Lato"/>
        </w:rPr>
      </w:pPr>
    </w:p>
    <w:p w14:paraId="166A7942" w14:textId="48560CF5" w:rsidR="001B7C60" w:rsidRPr="007F6C12" w:rsidRDefault="001B7C60" w:rsidP="00202213">
      <w:pPr>
        <w:pStyle w:val="BlockText"/>
        <w:pBdr>
          <w:left w:val="single" w:sz="4" w:space="4" w:color="auto"/>
          <w:right w:val="single" w:sz="4" w:space="4" w:color="auto"/>
        </w:pBdr>
        <w:shd w:val="clear" w:color="auto" w:fill="F2F2F2"/>
        <w:tabs>
          <w:tab w:val="left" w:pos="5670"/>
          <w:tab w:val="right" w:pos="6804"/>
        </w:tabs>
        <w:spacing w:after="0"/>
        <w:rPr>
          <w:rFonts w:ascii="Lato" w:hAnsi="Lato"/>
        </w:rPr>
      </w:pPr>
      <w:r w:rsidRPr="007F6C12">
        <w:rPr>
          <w:rFonts w:ascii="Lato" w:hAnsi="Lato"/>
        </w:rPr>
        <w:t>80 per cent of royalty assessed ($500 000 x 80 per cent)</w:t>
      </w:r>
      <w:r w:rsidRPr="007F6C12">
        <w:rPr>
          <w:rFonts w:ascii="Lato" w:hAnsi="Lato"/>
        </w:rPr>
        <w:tab/>
      </w:r>
      <w:r w:rsidR="007A5777">
        <w:rPr>
          <w:rFonts w:ascii="Lato" w:hAnsi="Lato"/>
        </w:rPr>
        <w:tab/>
      </w:r>
      <w:r w:rsidRPr="007F6C12">
        <w:rPr>
          <w:rFonts w:ascii="Lato" w:hAnsi="Lato"/>
        </w:rPr>
        <w:t>$400 000</w:t>
      </w:r>
    </w:p>
    <w:p w14:paraId="0DBA9F7D" w14:textId="77777777" w:rsidR="001B7C60" w:rsidRPr="007F6C12" w:rsidRDefault="001B7C60" w:rsidP="00202213">
      <w:pPr>
        <w:pStyle w:val="BlockText"/>
        <w:pBdr>
          <w:left w:val="single" w:sz="4" w:space="4" w:color="auto"/>
          <w:right w:val="single" w:sz="4" w:space="4" w:color="auto"/>
        </w:pBdr>
        <w:shd w:val="clear" w:color="auto" w:fill="F2F2F2"/>
        <w:tabs>
          <w:tab w:val="left" w:pos="5670"/>
          <w:tab w:val="right" w:pos="6804"/>
        </w:tabs>
        <w:spacing w:after="0"/>
        <w:rPr>
          <w:rFonts w:ascii="Lato" w:hAnsi="Lato"/>
        </w:rPr>
      </w:pPr>
      <w:r w:rsidRPr="007F6C12">
        <w:rPr>
          <w:rFonts w:ascii="Lato" w:hAnsi="Lato"/>
        </w:rPr>
        <w:t>Less provisional payments paid during royalty year</w:t>
      </w:r>
      <w:r w:rsidRPr="007F6C12">
        <w:rPr>
          <w:rFonts w:ascii="Lato" w:hAnsi="Lato"/>
        </w:rPr>
        <w:tab/>
      </w:r>
      <w:r w:rsidRPr="007F6C12">
        <w:rPr>
          <w:rFonts w:ascii="Lato" w:hAnsi="Lato"/>
        </w:rPr>
        <w:tab/>
      </w:r>
      <w:r w:rsidRPr="007F6C12">
        <w:rPr>
          <w:rFonts w:ascii="Lato" w:hAnsi="Lato"/>
          <w:u w:val="single"/>
        </w:rPr>
        <w:t>$350 000</w:t>
      </w:r>
    </w:p>
    <w:p w14:paraId="4B852EF7" w14:textId="3670945A" w:rsidR="001B7C60" w:rsidRPr="007F6C12" w:rsidRDefault="007A5777" w:rsidP="00202213">
      <w:pPr>
        <w:pStyle w:val="BlockText"/>
        <w:pBdr>
          <w:left w:val="single" w:sz="4" w:space="4" w:color="auto"/>
          <w:right w:val="single" w:sz="4" w:space="4" w:color="auto"/>
        </w:pBdr>
        <w:shd w:val="clear" w:color="auto" w:fill="F2F2F2"/>
        <w:tabs>
          <w:tab w:val="left" w:pos="5670"/>
          <w:tab w:val="right" w:pos="6804"/>
        </w:tabs>
        <w:spacing w:after="0"/>
        <w:rPr>
          <w:rFonts w:ascii="Lato" w:hAnsi="Lato"/>
        </w:rPr>
      </w:pPr>
      <w:r>
        <w:rPr>
          <w:rFonts w:ascii="Lato" w:hAnsi="Lato"/>
        </w:rPr>
        <w:t>Additional royalty</w:t>
      </w:r>
      <w:r>
        <w:rPr>
          <w:rFonts w:ascii="Lato" w:hAnsi="Lato"/>
        </w:rPr>
        <w:tab/>
      </w:r>
      <w:r>
        <w:rPr>
          <w:rFonts w:ascii="Lato" w:hAnsi="Lato"/>
        </w:rPr>
        <w:tab/>
        <w:t>$</w:t>
      </w:r>
      <w:r w:rsidR="001B7C60" w:rsidRPr="007F6C12">
        <w:rPr>
          <w:rFonts w:ascii="Lato" w:hAnsi="Lato"/>
        </w:rPr>
        <w:t>50 000</w:t>
      </w:r>
    </w:p>
    <w:p w14:paraId="4F67882E" w14:textId="77777777" w:rsidR="001B7C60" w:rsidRPr="007F6C12" w:rsidRDefault="001B7C60" w:rsidP="00202213">
      <w:pPr>
        <w:pStyle w:val="BlockText"/>
        <w:pBdr>
          <w:left w:val="single" w:sz="4" w:space="4" w:color="auto"/>
          <w:bottom w:val="single" w:sz="4" w:space="1" w:color="auto"/>
          <w:right w:val="single" w:sz="4" w:space="4" w:color="auto"/>
        </w:pBdr>
        <w:shd w:val="clear" w:color="auto" w:fill="F2F2F2"/>
        <w:tabs>
          <w:tab w:val="left" w:pos="5670"/>
          <w:tab w:val="right" w:pos="6804"/>
        </w:tabs>
        <w:spacing w:after="0"/>
        <w:rPr>
          <w:rFonts w:ascii="Lato" w:hAnsi="Lato"/>
        </w:rPr>
      </w:pPr>
    </w:p>
    <w:p w14:paraId="51E02D5E" w14:textId="77777777" w:rsidR="001B7C60" w:rsidRPr="007F6C12" w:rsidRDefault="001B7C60" w:rsidP="00202213">
      <w:pPr>
        <w:pStyle w:val="BlockText"/>
        <w:pBdr>
          <w:left w:val="single" w:sz="4" w:space="4" w:color="auto"/>
          <w:bottom w:val="single" w:sz="4" w:space="1" w:color="auto"/>
          <w:right w:val="single" w:sz="4" w:space="4" w:color="auto"/>
        </w:pBdr>
        <w:shd w:val="clear" w:color="auto" w:fill="F2F2F2"/>
        <w:tabs>
          <w:tab w:val="left" w:pos="5670"/>
          <w:tab w:val="right" w:pos="6804"/>
        </w:tabs>
        <w:spacing w:after="0"/>
        <w:rPr>
          <w:rFonts w:ascii="Lato" w:hAnsi="Lato"/>
        </w:rPr>
      </w:pPr>
      <w:r w:rsidRPr="007F6C12">
        <w:rPr>
          <w:rFonts w:ascii="Lato" w:hAnsi="Lato"/>
        </w:rPr>
        <w:t>Total to be paid:</w:t>
      </w:r>
    </w:p>
    <w:p w14:paraId="20395521" w14:textId="77777777" w:rsidR="001B7C60" w:rsidRPr="007F6C12" w:rsidRDefault="001B7C60" w:rsidP="00202213">
      <w:pPr>
        <w:pStyle w:val="BlockText"/>
        <w:pBdr>
          <w:left w:val="single" w:sz="4" w:space="4" w:color="auto"/>
          <w:bottom w:val="single" w:sz="4" w:space="1" w:color="auto"/>
          <w:right w:val="single" w:sz="4" w:space="4" w:color="auto"/>
        </w:pBdr>
        <w:shd w:val="clear" w:color="auto" w:fill="F2F2F2"/>
        <w:tabs>
          <w:tab w:val="left" w:pos="5670"/>
          <w:tab w:val="right" w:pos="6804"/>
        </w:tabs>
        <w:spacing w:after="0"/>
        <w:rPr>
          <w:rFonts w:ascii="Lato" w:hAnsi="Lato"/>
        </w:rPr>
      </w:pPr>
    </w:p>
    <w:p w14:paraId="52838EA1" w14:textId="4E7F25E0" w:rsidR="001B7C60" w:rsidRPr="007F6C12" w:rsidRDefault="001B7C60" w:rsidP="00202213">
      <w:pPr>
        <w:pStyle w:val="BlockText"/>
        <w:pBdr>
          <w:left w:val="single" w:sz="4" w:space="4" w:color="auto"/>
          <w:bottom w:val="single" w:sz="4" w:space="1" w:color="auto"/>
          <w:right w:val="single" w:sz="4" w:space="4" w:color="auto"/>
        </w:pBdr>
        <w:shd w:val="clear" w:color="auto" w:fill="F2F2F2"/>
        <w:tabs>
          <w:tab w:val="left" w:pos="5670"/>
          <w:tab w:val="right" w:pos="6804"/>
        </w:tabs>
        <w:spacing w:after="0"/>
        <w:rPr>
          <w:rFonts w:ascii="Lato" w:hAnsi="Lato"/>
        </w:rPr>
      </w:pPr>
      <w:r w:rsidRPr="007F6C12">
        <w:rPr>
          <w:rFonts w:ascii="Lato" w:hAnsi="Lato"/>
        </w:rPr>
        <w:t>Royal</w:t>
      </w:r>
      <w:r w:rsidR="007A5777">
        <w:rPr>
          <w:rFonts w:ascii="Lato" w:hAnsi="Lato"/>
        </w:rPr>
        <w:t>ty assessed for royalty year</w:t>
      </w:r>
      <w:r w:rsidR="007A5777">
        <w:rPr>
          <w:rFonts w:ascii="Lato" w:hAnsi="Lato"/>
        </w:rPr>
        <w:tab/>
      </w:r>
      <w:r w:rsidR="007A5777">
        <w:rPr>
          <w:rFonts w:ascii="Lato" w:hAnsi="Lato"/>
        </w:rPr>
        <w:tab/>
      </w:r>
      <w:r w:rsidRPr="007F6C12">
        <w:rPr>
          <w:rFonts w:ascii="Lato" w:hAnsi="Lato"/>
        </w:rPr>
        <w:t>$500 000</w:t>
      </w:r>
    </w:p>
    <w:p w14:paraId="1C03A6CF" w14:textId="0BADD83C" w:rsidR="001B7C60" w:rsidRPr="007F6C12" w:rsidRDefault="001B7C60" w:rsidP="00202213">
      <w:pPr>
        <w:pStyle w:val="BlockText"/>
        <w:pBdr>
          <w:left w:val="single" w:sz="4" w:space="4" w:color="auto"/>
          <w:bottom w:val="single" w:sz="4" w:space="1" w:color="auto"/>
          <w:right w:val="single" w:sz="4" w:space="4" w:color="auto"/>
        </w:pBdr>
        <w:shd w:val="clear" w:color="auto" w:fill="F2F2F2"/>
        <w:tabs>
          <w:tab w:val="left" w:pos="5670"/>
          <w:tab w:val="right" w:pos="6804"/>
        </w:tabs>
        <w:spacing w:after="0"/>
        <w:rPr>
          <w:rFonts w:ascii="Lato" w:hAnsi="Lato"/>
        </w:rPr>
      </w:pPr>
      <w:r w:rsidRPr="007F6C12">
        <w:rPr>
          <w:rFonts w:ascii="Lato" w:hAnsi="Lato"/>
        </w:rPr>
        <w:t>Less provisional payments paid during royalty year</w:t>
      </w:r>
      <w:r w:rsidRPr="007F6C12">
        <w:rPr>
          <w:rFonts w:ascii="Lato" w:hAnsi="Lato"/>
        </w:rPr>
        <w:tab/>
      </w:r>
      <w:r w:rsidRPr="007F6C12">
        <w:rPr>
          <w:rFonts w:ascii="Lato" w:hAnsi="Lato"/>
        </w:rPr>
        <w:tab/>
      </w:r>
      <w:r w:rsidRPr="007F6C12">
        <w:rPr>
          <w:rFonts w:ascii="Lato" w:hAnsi="Lato"/>
          <w:u w:val="single"/>
        </w:rPr>
        <w:t>$350 000</w:t>
      </w:r>
      <w:r w:rsidRPr="007F6C12">
        <w:rPr>
          <w:rFonts w:ascii="Lato" w:hAnsi="Lato"/>
        </w:rPr>
        <w:tab/>
      </w:r>
      <w:r w:rsidR="007A5777">
        <w:rPr>
          <w:rFonts w:ascii="Lato" w:hAnsi="Lato"/>
        </w:rPr>
        <w:tab/>
      </w:r>
      <w:r w:rsidRPr="007F6C12">
        <w:rPr>
          <w:rFonts w:ascii="Lato" w:hAnsi="Lato"/>
        </w:rPr>
        <w:t>$150 000</w:t>
      </w:r>
    </w:p>
    <w:p w14:paraId="53231164" w14:textId="0BEDFF6E" w:rsidR="001B7C60" w:rsidRPr="007F6C12" w:rsidRDefault="007A5777" w:rsidP="00202213">
      <w:pPr>
        <w:pStyle w:val="BlockText"/>
        <w:pBdr>
          <w:left w:val="single" w:sz="4" w:space="4" w:color="auto"/>
          <w:bottom w:val="single" w:sz="4" w:space="1" w:color="auto"/>
          <w:right w:val="single" w:sz="4" w:space="4" w:color="auto"/>
        </w:pBdr>
        <w:shd w:val="clear" w:color="auto" w:fill="F2F2F2"/>
        <w:tabs>
          <w:tab w:val="left" w:pos="5670"/>
          <w:tab w:val="right" w:pos="6804"/>
        </w:tabs>
        <w:spacing w:after="0"/>
        <w:rPr>
          <w:rFonts w:ascii="Lato" w:hAnsi="Lato"/>
        </w:rPr>
      </w:pPr>
      <w:r>
        <w:rPr>
          <w:rFonts w:ascii="Lato" w:hAnsi="Lato"/>
        </w:rPr>
        <w:t>Additional royalty</w:t>
      </w:r>
      <w:r>
        <w:rPr>
          <w:rFonts w:ascii="Lato" w:hAnsi="Lato"/>
        </w:rPr>
        <w:tab/>
      </w:r>
      <w:r>
        <w:rPr>
          <w:rFonts w:ascii="Lato" w:hAnsi="Lato"/>
        </w:rPr>
        <w:tab/>
      </w:r>
      <w:r>
        <w:rPr>
          <w:rFonts w:ascii="Lato" w:hAnsi="Lato"/>
          <w:u w:val="single"/>
        </w:rPr>
        <w:t>$</w:t>
      </w:r>
      <w:r w:rsidR="001B7C60" w:rsidRPr="007F6C12">
        <w:rPr>
          <w:rFonts w:ascii="Lato" w:hAnsi="Lato"/>
          <w:u w:val="single"/>
        </w:rPr>
        <w:t>50 000</w:t>
      </w:r>
    </w:p>
    <w:p w14:paraId="035EFA08" w14:textId="0FC71055" w:rsidR="001B7C60" w:rsidRPr="007F6C12" w:rsidRDefault="007A5777" w:rsidP="00202213">
      <w:pPr>
        <w:pStyle w:val="BlockText"/>
        <w:pBdr>
          <w:left w:val="single" w:sz="4" w:space="4" w:color="auto"/>
          <w:bottom w:val="single" w:sz="4" w:space="1" w:color="auto"/>
          <w:right w:val="single" w:sz="4" w:space="4" w:color="auto"/>
        </w:pBdr>
        <w:shd w:val="clear" w:color="auto" w:fill="F2F2F2"/>
        <w:tabs>
          <w:tab w:val="left" w:pos="5670"/>
          <w:tab w:val="right" w:pos="6804"/>
        </w:tabs>
        <w:spacing w:after="0"/>
        <w:rPr>
          <w:rFonts w:ascii="Lato" w:hAnsi="Lato"/>
        </w:rPr>
      </w:pPr>
      <w:r>
        <w:rPr>
          <w:rFonts w:ascii="Lato" w:hAnsi="Lato"/>
        </w:rPr>
        <w:t>Total payable</w:t>
      </w:r>
      <w:r>
        <w:rPr>
          <w:rFonts w:ascii="Lato" w:hAnsi="Lato"/>
        </w:rPr>
        <w:tab/>
      </w:r>
      <w:r>
        <w:rPr>
          <w:rFonts w:ascii="Lato" w:hAnsi="Lato"/>
        </w:rPr>
        <w:tab/>
      </w:r>
      <w:r w:rsidR="001B7C60" w:rsidRPr="007F6C12">
        <w:rPr>
          <w:rFonts w:ascii="Lato" w:hAnsi="Lato"/>
        </w:rPr>
        <w:t>$200 000</w:t>
      </w:r>
    </w:p>
    <w:p w14:paraId="6DAAAA11" w14:textId="77777777" w:rsidR="001B7C60" w:rsidRPr="007F6C12" w:rsidRDefault="001B7C60" w:rsidP="00F82EBB">
      <w:pPr>
        <w:pStyle w:val="BlockText"/>
        <w:rPr>
          <w:rFonts w:ascii="Lato" w:hAnsi="Lato"/>
        </w:rPr>
      </w:pPr>
    </w:p>
    <w:p w14:paraId="474B51F9" w14:textId="77777777" w:rsidR="001B7C60" w:rsidRPr="007F6C12" w:rsidRDefault="001B7C60" w:rsidP="00F82EBB">
      <w:pPr>
        <w:pStyle w:val="ListNumber"/>
        <w:numPr>
          <w:ilvl w:val="0"/>
          <w:numId w:val="11"/>
        </w:numPr>
        <w:rPr>
          <w:rFonts w:ascii="Lato" w:hAnsi="Lato"/>
        </w:rPr>
      </w:pPr>
      <w:r w:rsidRPr="007F6C12">
        <w:rPr>
          <w:rFonts w:ascii="Lato" w:hAnsi="Lato"/>
        </w:rPr>
        <w:t>The additional royalty may be remitted in full or in part if the royalty payer demonstrates that he/she did not deliberately, recklessly or negligently avoid or underestimate their royalty liability.</w:t>
      </w:r>
    </w:p>
    <w:p w14:paraId="2F94AAC7" w14:textId="77777777" w:rsidR="001B7C60" w:rsidRPr="004809E4" w:rsidRDefault="001B7C60" w:rsidP="00F82EBB">
      <w:pPr>
        <w:pStyle w:val="Heading2"/>
        <w:numPr>
          <w:ilvl w:val="0"/>
          <w:numId w:val="0"/>
        </w:numPr>
      </w:pPr>
      <w:r w:rsidRPr="004809E4">
        <w:t>Overpayment of royalty</w:t>
      </w:r>
    </w:p>
    <w:p w14:paraId="75686EA7" w14:textId="77777777" w:rsidR="001B7C60" w:rsidRPr="007F6C12" w:rsidRDefault="001B7C60" w:rsidP="00F82EBB">
      <w:pPr>
        <w:pStyle w:val="ListNumber"/>
        <w:numPr>
          <w:ilvl w:val="0"/>
          <w:numId w:val="11"/>
        </w:numPr>
        <w:rPr>
          <w:rFonts w:ascii="Lato" w:hAnsi="Lato"/>
        </w:rPr>
      </w:pPr>
      <w:r w:rsidRPr="007F6C12">
        <w:rPr>
          <w:rFonts w:ascii="Lato" w:hAnsi="Lato"/>
        </w:rPr>
        <w:t>Where the sum of the provisional payments exceeds the assessment of royalty payable, a credit is owed to the royalty payer. The credit may be settled in one of two ways:</w:t>
      </w:r>
    </w:p>
    <w:p w14:paraId="4269FF1E" w14:textId="77777777" w:rsidR="001B7C60" w:rsidRPr="007F6C12" w:rsidRDefault="001B7C60" w:rsidP="00202213">
      <w:pPr>
        <w:pStyle w:val="BlockText"/>
        <w:numPr>
          <w:ilvl w:val="1"/>
          <w:numId w:val="24"/>
        </w:numPr>
        <w:tabs>
          <w:tab w:val="clear" w:pos="1080"/>
          <w:tab w:val="num" w:pos="709"/>
        </w:tabs>
        <w:spacing w:after="120"/>
        <w:ind w:left="709" w:hanging="425"/>
        <w:rPr>
          <w:rFonts w:ascii="Lato" w:hAnsi="Lato"/>
        </w:rPr>
      </w:pPr>
      <w:r w:rsidRPr="007F6C12">
        <w:rPr>
          <w:rFonts w:ascii="Lato" w:hAnsi="Lato"/>
        </w:rPr>
        <w:t>an offset of the amount overpaid against the royalty payer’s future royalty (or royalty equivalent) liability provided the liability arises within two months of the date on which the overpayment was first identified by the Secretary</w:t>
      </w:r>
    </w:p>
    <w:p w14:paraId="776D04E0" w14:textId="77777777" w:rsidR="001B7C60" w:rsidRPr="007F6C12" w:rsidRDefault="001B7C60" w:rsidP="00202213">
      <w:pPr>
        <w:pStyle w:val="BlockText"/>
        <w:tabs>
          <w:tab w:val="num" w:pos="709"/>
        </w:tabs>
        <w:ind w:left="709"/>
        <w:rPr>
          <w:rFonts w:ascii="Lato" w:hAnsi="Lato"/>
        </w:rPr>
      </w:pPr>
      <w:proofErr w:type="gramStart"/>
      <w:r w:rsidRPr="007F6C12">
        <w:rPr>
          <w:rFonts w:ascii="Lato" w:hAnsi="Lato"/>
        </w:rPr>
        <w:t>or</w:t>
      </w:r>
      <w:proofErr w:type="gramEnd"/>
    </w:p>
    <w:p w14:paraId="2C61038E" w14:textId="77777777" w:rsidR="001B7C60" w:rsidRPr="007F6C12" w:rsidRDefault="001B7C60" w:rsidP="00202213">
      <w:pPr>
        <w:pStyle w:val="BlockText"/>
        <w:numPr>
          <w:ilvl w:val="1"/>
          <w:numId w:val="24"/>
        </w:numPr>
        <w:tabs>
          <w:tab w:val="clear" w:pos="1080"/>
          <w:tab w:val="num" w:pos="709"/>
        </w:tabs>
        <w:spacing w:after="120"/>
        <w:ind w:left="709" w:hanging="425"/>
        <w:rPr>
          <w:rFonts w:ascii="Lato" w:hAnsi="Lato"/>
        </w:rPr>
      </w:pPr>
      <w:proofErr w:type="gramStart"/>
      <w:r w:rsidRPr="007F6C12">
        <w:rPr>
          <w:rFonts w:ascii="Lato" w:hAnsi="Lato"/>
        </w:rPr>
        <w:t>a</w:t>
      </w:r>
      <w:proofErr w:type="gramEnd"/>
      <w:r w:rsidRPr="007F6C12">
        <w:rPr>
          <w:rFonts w:ascii="Lato" w:hAnsi="Lato"/>
        </w:rPr>
        <w:t xml:space="preserve"> refund to the royalty payer of the overpayment.</w:t>
      </w:r>
    </w:p>
    <w:p w14:paraId="20D233EE" w14:textId="77777777" w:rsidR="001B7C60" w:rsidRPr="004809E4" w:rsidRDefault="001B7C60" w:rsidP="00F82EBB">
      <w:pPr>
        <w:pStyle w:val="Heading2"/>
        <w:numPr>
          <w:ilvl w:val="0"/>
          <w:numId w:val="0"/>
        </w:numPr>
      </w:pPr>
      <w:r w:rsidRPr="004809E4">
        <w:t>Unpaid royalties and interest charges</w:t>
      </w:r>
    </w:p>
    <w:p w14:paraId="3B1F0708" w14:textId="77777777" w:rsidR="001B7C60" w:rsidRPr="007F6C12" w:rsidRDefault="001B7C60" w:rsidP="00F82EBB">
      <w:pPr>
        <w:pStyle w:val="ListNumber"/>
        <w:numPr>
          <w:ilvl w:val="0"/>
          <w:numId w:val="11"/>
        </w:numPr>
        <w:rPr>
          <w:rFonts w:ascii="Lato" w:hAnsi="Lato"/>
        </w:rPr>
      </w:pPr>
      <w:r w:rsidRPr="007F6C12">
        <w:rPr>
          <w:rFonts w:ascii="Lato" w:hAnsi="Lato"/>
        </w:rPr>
        <w:t xml:space="preserve">Royalties not paid by the due date incur an interest charge. The annual interest rate is based on the average monthly yield on ninety day bank accepted bills, published by the Reserve Bank of Australia for the month of May in the financial year immediately preceding the relevant year, plus 7 per cent. </w:t>
      </w:r>
      <w:bookmarkStart w:id="0" w:name="para55"/>
      <w:bookmarkEnd w:id="0"/>
    </w:p>
    <w:p w14:paraId="305D8204" w14:textId="77777777" w:rsidR="001B7C60" w:rsidRPr="007F6C12" w:rsidRDefault="001B7C60" w:rsidP="00F82EBB">
      <w:pPr>
        <w:pStyle w:val="ListNumber"/>
        <w:numPr>
          <w:ilvl w:val="0"/>
          <w:numId w:val="11"/>
        </w:numPr>
        <w:rPr>
          <w:rFonts w:ascii="Lato" w:hAnsi="Lato"/>
        </w:rPr>
      </w:pPr>
      <w:r w:rsidRPr="007F6C12">
        <w:rPr>
          <w:rFonts w:ascii="Lato" w:hAnsi="Lato"/>
        </w:rPr>
        <w:t>Interest charges apply in all cases. The MRA does not confer discretion on the Secretary to remit interest even in exceptional circumstances.</w:t>
      </w:r>
    </w:p>
    <w:p w14:paraId="0E51B191" w14:textId="77777777" w:rsidR="001B7C60" w:rsidRPr="00CE7B49" w:rsidRDefault="001B7C60" w:rsidP="00F82EBB">
      <w:pPr>
        <w:pStyle w:val="Heading1"/>
        <w:numPr>
          <w:ilvl w:val="0"/>
          <w:numId w:val="0"/>
        </w:numPr>
      </w:pPr>
      <w:r>
        <w:t>Default assessment and p</w:t>
      </w:r>
      <w:r w:rsidRPr="00CE7B49">
        <w:t>enalty royalty</w:t>
      </w:r>
    </w:p>
    <w:p w14:paraId="6F15C08B" w14:textId="77777777" w:rsidR="001B7C60" w:rsidRPr="007F6C12" w:rsidRDefault="001B7C60" w:rsidP="00F82EBB">
      <w:pPr>
        <w:pStyle w:val="ListNumber"/>
        <w:numPr>
          <w:ilvl w:val="0"/>
          <w:numId w:val="11"/>
        </w:numPr>
        <w:rPr>
          <w:rFonts w:ascii="Lato" w:hAnsi="Lato"/>
        </w:rPr>
      </w:pPr>
      <w:r w:rsidRPr="007F6C12">
        <w:rPr>
          <w:rFonts w:ascii="Lato" w:hAnsi="Lato"/>
        </w:rPr>
        <w:t>A default assessment may be issued when:</w:t>
      </w:r>
    </w:p>
    <w:p w14:paraId="30888F88" w14:textId="77777777" w:rsidR="001B7C60" w:rsidRPr="007F6C12" w:rsidRDefault="001B7C60" w:rsidP="00202213">
      <w:pPr>
        <w:pStyle w:val="BlockText"/>
        <w:numPr>
          <w:ilvl w:val="1"/>
          <w:numId w:val="25"/>
        </w:numPr>
        <w:tabs>
          <w:tab w:val="clear" w:pos="1080"/>
          <w:tab w:val="num" w:pos="709"/>
        </w:tabs>
        <w:spacing w:after="120"/>
        <w:ind w:left="709" w:hanging="425"/>
        <w:rPr>
          <w:rFonts w:ascii="Lato" w:hAnsi="Lato"/>
        </w:rPr>
      </w:pPr>
      <w:r w:rsidRPr="007F6C12">
        <w:rPr>
          <w:rFonts w:ascii="Lato" w:hAnsi="Lato"/>
        </w:rPr>
        <w:t>the royalty payer fails to deliver its royalty return</w:t>
      </w:r>
    </w:p>
    <w:p w14:paraId="01F711C7" w14:textId="77777777" w:rsidR="001B7C60" w:rsidRPr="007F6C12" w:rsidRDefault="001B7C60" w:rsidP="00202213">
      <w:pPr>
        <w:pStyle w:val="BlockText"/>
        <w:numPr>
          <w:ilvl w:val="1"/>
          <w:numId w:val="25"/>
        </w:numPr>
        <w:tabs>
          <w:tab w:val="clear" w:pos="1080"/>
          <w:tab w:val="num" w:pos="709"/>
        </w:tabs>
        <w:spacing w:after="120"/>
        <w:ind w:left="709" w:hanging="425"/>
        <w:rPr>
          <w:rFonts w:ascii="Lato" w:hAnsi="Lato"/>
        </w:rPr>
      </w:pPr>
      <w:r w:rsidRPr="007F6C12">
        <w:rPr>
          <w:rFonts w:ascii="Lato" w:hAnsi="Lato"/>
        </w:rPr>
        <w:lastRenderedPageBreak/>
        <w:t>the Secretary is not satisfied that the royalty return is a full and accurate statement</w:t>
      </w:r>
    </w:p>
    <w:p w14:paraId="7E71A9B3" w14:textId="77777777" w:rsidR="001B7C60" w:rsidRPr="007F6C12" w:rsidRDefault="001B7C60" w:rsidP="00202213">
      <w:pPr>
        <w:pStyle w:val="BlockText"/>
        <w:tabs>
          <w:tab w:val="num" w:pos="709"/>
        </w:tabs>
        <w:ind w:left="709"/>
        <w:rPr>
          <w:rFonts w:ascii="Lato" w:hAnsi="Lato"/>
        </w:rPr>
      </w:pPr>
      <w:proofErr w:type="gramStart"/>
      <w:r w:rsidRPr="007F6C12">
        <w:rPr>
          <w:rFonts w:ascii="Lato" w:hAnsi="Lato"/>
        </w:rPr>
        <w:t>or</w:t>
      </w:r>
      <w:proofErr w:type="gramEnd"/>
    </w:p>
    <w:p w14:paraId="698830E3" w14:textId="77777777" w:rsidR="001B7C60" w:rsidRPr="007F6C12" w:rsidRDefault="001B7C60" w:rsidP="00202213">
      <w:pPr>
        <w:pStyle w:val="BlockText"/>
        <w:numPr>
          <w:ilvl w:val="1"/>
          <w:numId w:val="25"/>
        </w:numPr>
        <w:tabs>
          <w:tab w:val="clear" w:pos="1080"/>
          <w:tab w:val="num" w:pos="709"/>
        </w:tabs>
        <w:spacing w:after="120"/>
        <w:ind w:left="709" w:hanging="425"/>
        <w:rPr>
          <w:rFonts w:ascii="Lato" w:hAnsi="Lato"/>
        </w:rPr>
      </w:pPr>
      <w:proofErr w:type="gramStart"/>
      <w:r w:rsidRPr="007F6C12">
        <w:rPr>
          <w:rFonts w:ascii="Lato" w:hAnsi="Lato"/>
        </w:rPr>
        <w:t>the</w:t>
      </w:r>
      <w:proofErr w:type="gramEnd"/>
      <w:r w:rsidRPr="007F6C12">
        <w:rPr>
          <w:rFonts w:ascii="Lato" w:hAnsi="Lato"/>
        </w:rPr>
        <w:t xml:space="preserve"> Secretary considers that the amount stated to be the gross value of a saleable mineral commodity is not reasonable.  </w:t>
      </w:r>
    </w:p>
    <w:p w14:paraId="28C864C9" w14:textId="77777777" w:rsidR="001B7C60" w:rsidRPr="007F6C12" w:rsidRDefault="001B7C60" w:rsidP="00731286">
      <w:pPr>
        <w:pStyle w:val="ListNumber"/>
        <w:numPr>
          <w:ilvl w:val="0"/>
          <w:numId w:val="11"/>
        </w:numPr>
        <w:rPr>
          <w:rFonts w:ascii="Lato" w:hAnsi="Lato"/>
        </w:rPr>
      </w:pPr>
      <w:r w:rsidRPr="007F6C12">
        <w:rPr>
          <w:rFonts w:ascii="Lato" w:hAnsi="Lato"/>
        </w:rPr>
        <w:t>Where a default assessment is issued, in addition to the amount of royalty payable, the royalty payer will incur:</w:t>
      </w:r>
    </w:p>
    <w:p w14:paraId="2ACF3136" w14:textId="77777777" w:rsidR="001B7C60" w:rsidRPr="007F6C12" w:rsidRDefault="001B7C60" w:rsidP="00202213">
      <w:pPr>
        <w:pStyle w:val="BlockText"/>
        <w:numPr>
          <w:ilvl w:val="1"/>
          <w:numId w:val="26"/>
        </w:numPr>
        <w:tabs>
          <w:tab w:val="clear" w:pos="1080"/>
          <w:tab w:val="num" w:pos="709"/>
        </w:tabs>
        <w:spacing w:after="120"/>
        <w:ind w:left="709" w:hanging="425"/>
        <w:rPr>
          <w:rFonts w:ascii="Lato" w:hAnsi="Lato"/>
        </w:rPr>
      </w:pPr>
      <w:r w:rsidRPr="007F6C12">
        <w:rPr>
          <w:rFonts w:ascii="Lato" w:hAnsi="Lato"/>
        </w:rPr>
        <w:t>an additional amount of penalty royalty equivalent to 75 per cent of the amount of royalty payable on the default assessment</w:t>
      </w:r>
    </w:p>
    <w:p w14:paraId="699FB550" w14:textId="77777777" w:rsidR="001B7C60" w:rsidRPr="007F6C12" w:rsidRDefault="001B7C60" w:rsidP="00202213">
      <w:pPr>
        <w:pStyle w:val="BlockText"/>
        <w:tabs>
          <w:tab w:val="num" w:pos="709"/>
        </w:tabs>
        <w:ind w:left="709"/>
        <w:rPr>
          <w:rFonts w:ascii="Lato" w:hAnsi="Lato"/>
        </w:rPr>
      </w:pPr>
      <w:proofErr w:type="gramStart"/>
      <w:r w:rsidRPr="007F6C12">
        <w:rPr>
          <w:rFonts w:ascii="Lato" w:hAnsi="Lato"/>
        </w:rPr>
        <w:t>and</w:t>
      </w:r>
      <w:proofErr w:type="gramEnd"/>
    </w:p>
    <w:p w14:paraId="2EFBAFF4" w14:textId="57FF5660" w:rsidR="001B7C60" w:rsidRPr="007F6C12" w:rsidRDefault="001B7C60" w:rsidP="00202213">
      <w:pPr>
        <w:pStyle w:val="BlockText"/>
        <w:numPr>
          <w:ilvl w:val="1"/>
          <w:numId w:val="26"/>
        </w:numPr>
        <w:tabs>
          <w:tab w:val="clear" w:pos="1080"/>
          <w:tab w:val="num" w:pos="709"/>
        </w:tabs>
        <w:spacing w:after="120"/>
        <w:ind w:left="709" w:hanging="425"/>
        <w:rPr>
          <w:rFonts w:ascii="Lato" w:hAnsi="Lato"/>
        </w:rPr>
      </w:pPr>
      <w:proofErr w:type="gramStart"/>
      <w:r w:rsidRPr="007F6C12">
        <w:rPr>
          <w:rFonts w:ascii="Lato" w:hAnsi="Lato"/>
        </w:rPr>
        <w:t>interest</w:t>
      </w:r>
      <w:proofErr w:type="gramEnd"/>
      <w:r w:rsidRPr="007F6C12">
        <w:rPr>
          <w:rFonts w:ascii="Lato" w:hAnsi="Lato"/>
        </w:rPr>
        <w:t xml:space="preserve"> on the outstanding royalty amount, excluding penalty royalty, at the annual inter</w:t>
      </w:r>
      <w:r w:rsidR="00202213">
        <w:rPr>
          <w:rFonts w:ascii="Lato" w:hAnsi="Lato"/>
        </w:rPr>
        <w:t>est rate (see paragraph 63</w:t>
      </w:r>
      <w:r w:rsidRPr="007F6C12">
        <w:rPr>
          <w:rFonts w:ascii="Lato" w:hAnsi="Lato"/>
        </w:rPr>
        <w:t xml:space="preserve">). </w:t>
      </w:r>
    </w:p>
    <w:p w14:paraId="089A0114" w14:textId="77777777" w:rsidR="001B7C60" w:rsidRPr="007F6C12" w:rsidRDefault="001B7C60" w:rsidP="00731286">
      <w:pPr>
        <w:pStyle w:val="ListNumber"/>
        <w:numPr>
          <w:ilvl w:val="0"/>
          <w:numId w:val="11"/>
        </w:numPr>
        <w:rPr>
          <w:rFonts w:ascii="Lato" w:hAnsi="Lato"/>
        </w:rPr>
      </w:pPr>
      <w:r w:rsidRPr="007F6C12">
        <w:rPr>
          <w:rFonts w:ascii="Lato" w:hAnsi="Lato"/>
        </w:rPr>
        <w:t xml:space="preserve">In exceptional circumstances, some or all of the penalty royalty may be remitted. </w:t>
      </w:r>
    </w:p>
    <w:p w14:paraId="17282327" w14:textId="77777777" w:rsidR="001B7C60" w:rsidRDefault="001B7C60" w:rsidP="00731286">
      <w:pPr>
        <w:pStyle w:val="Heading1"/>
        <w:numPr>
          <w:ilvl w:val="0"/>
          <w:numId w:val="0"/>
        </w:numPr>
      </w:pPr>
      <w:r w:rsidRPr="00DB6BD7">
        <w:t>Record</w:t>
      </w:r>
      <w:r>
        <w:t xml:space="preserve"> keeping requirements</w:t>
      </w:r>
    </w:p>
    <w:p w14:paraId="79D93C32" w14:textId="77777777" w:rsidR="001B7C60" w:rsidRPr="007F6C12" w:rsidRDefault="001B7C60" w:rsidP="00731286">
      <w:pPr>
        <w:pStyle w:val="ListNumber"/>
        <w:numPr>
          <w:ilvl w:val="0"/>
          <w:numId w:val="11"/>
        </w:numPr>
        <w:rPr>
          <w:rFonts w:ascii="Lato" w:hAnsi="Lato"/>
        </w:rPr>
      </w:pPr>
      <w:r w:rsidRPr="007F6C12">
        <w:rPr>
          <w:rFonts w:ascii="Lato" w:hAnsi="Lato"/>
        </w:rPr>
        <w:t xml:space="preserve">Royalty payers are required to maintain proper and accurate records relating to minerals recovered and which substantiate details contained in royalty returns. The records are to be kept at the production unit or at some other place in </w:t>
      </w:r>
      <w:smartTag w:uri="urn:schemas-microsoft-com:office:smarttags" w:element="country-region">
        <w:smartTag w:uri="urn:schemas-microsoft-com:office:smarttags" w:element="place">
          <w:r w:rsidRPr="007F6C12">
            <w:rPr>
              <w:rFonts w:ascii="Lato" w:hAnsi="Lato"/>
            </w:rPr>
            <w:t>Australia</w:t>
          </w:r>
        </w:smartTag>
      </w:smartTag>
      <w:r w:rsidRPr="007F6C12">
        <w:rPr>
          <w:rFonts w:ascii="Lato" w:hAnsi="Lato"/>
        </w:rPr>
        <w:t xml:space="preserve"> as agreed between the royalty payer and the Secretary. </w:t>
      </w:r>
    </w:p>
    <w:p w14:paraId="1DE750BD" w14:textId="77777777" w:rsidR="001B7C60" w:rsidRPr="007F6C12" w:rsidRDefault="001B7C60" w:rsidP="00731286">
      <w:pPr>
        <w:pStyle w:val="ListNumber"/>
        <w:numPr>
          <w:ilvl w:val="0"/>
          <w:numId w:val="11"/>
        </w:numPr>
        <w:rPr>
          <w:rFonts w:ascii="Lato" w:hAnsi="Lato"/>
        </w:rPr>
      </w:pPr>
      <w:r w:rsidRPr="007F6C12">
        <w:rPr>
          <w:rFonts w:ascii="Lato" w:hAnsi="Lato"/>
        </w:rPr>
        <w:t xml:space="preserve">The Secretary or any authorised officer is to have access to accounts, books, documents and other records relating to the production unit. </w:t>
      </w:r>
    </w:p>
    <w:p w14:paraId="4E111ED4" w14:textId="77777777" w:rsidR="001B7C60" w:rsidRPr="00577C22" w:rsidRDefault="001B7C60" w:rsidP="00731286">
      <w:pPr>
        <w:pStyle w:val="Heading1"/>
        <w:numPr>
          <w:ilvl w:val="0"/>
          <w:numId w:val="0"/>
        </w:numPr>
      </w:pPr>
      <w:r w:rsidRPr="00577C22">
        <w:t xml:space="preserve">Confidentiality </w:t>
      </w:r>
    </w:p>
    <w:p w14:paraId="01D87F64" w14:textId="77777777" w:rsidR="001B7C60" w:rsidRPr="007F6C12" w:rsidRDefault="001B7C60" w:rsidP="00731286">
      <w:pPr>
        <w:pStyle w:val="ListNumber"/>
        <w:numPr>
          <w:ilvl w:val="0"/>
          <w:numId w:val="11"/>
        </w:numPr>
        <w:rPr>
          <w:rFonts w:ascii="Lato" w:hAnsi="Lato"/>
        </w:rPr>
      </w:pPr>
      <w:r w:rsidRPr="007F6C12">
        <w:rPr>
          <w:rFonts w:ascii="Lato" w:hAnsi="Lato"/>
        </w:rPr>
        <w:t>Information collected by the Secretary or an authorised officer for the purposes of royalty is used only for the purpose of administering and enforcing the MRA</w:t>
      </w:r>
      <w:r w:rsidRPr="007F6C12">
        <w:rPr>
          <w:rFonts w:ascii="Lato" w:hAnsi="Lato"/>
          <w:i/>
        </w:rPr>
        <w:t>.</w:t>
      </w:r>
    </w:p>
    <w:p w14:paraId="699BC0AB" w14:textId="77777777" w:rsidR="001B7C60" w:rsidRPr="007F6C12" w:rsidRDefault="001B7C60" w:rsidP="00731286">
      <w:pPr>
        <w:pStyle w:val="ListNumber"/>
        <w:numPr>
          <w:ilvl w:val="0"/>
          <w:numId w:val="11"/>
        </w:numPr>
        <w:rPr>
          <w:rFonts w:ascii="Lato" w:hAnsi="Lato"/>
        </w:rPr>
      </w:pPr>
      <w:r w:rsidRPr="007F6C12">
        <w:rPr>
          <w:rFonts w:ascii="Lato" w:hAnsi="Lato"/>
        </w:rPr>
        <w:t>The confidentiality of this information is strictly maintained and any disclosure will only be made if consistent with the confidentiality requirements in section 50 of the MRA, or when required or authorised by law.</w:t>
      </w:r>
    </w:p>
    <w:p w14:paraId="173B59CF" w14:textId="77777777" w:rsidR="001B7C60" w:rsidRPr="009B4122" w:rsidRDefault="001B7C60" w:rsidP="00731286">
      <w:pPr>
        <w:pStyle w:val="Heading1"/>
        <w:numPr>
          <w:ilvl w:val="0"/>
          <w:numId w:val="0"/>
        </w:numPr>
      </w:pPr>
      <w:r>
        <w:t>Review and appeal processes</w:t>
      </w:r>
    </w:p>
    <w:p w14:paraId="5AF12414" w14:textId="77777777" w:rsidR="001B7C60" w:rsidRPr="007F6C12" w:rsidRDefault="001B7C60" w:rsidP="00731286">
      <w:pPr>
        <w:pStyle w:val="ListNumber"/>
        <w:numPr>
          <w:ilvl w:val="0"/>
          <w:numId w:val="11"/>
        </w:numPr>
        <w:rPr>
          <w:rFonts w:ascii="Lato" w:hAnsi="Lato"/>
        </w:rPr>
      </w:pPr>
      <w:r w:rsidRPr="007F6C12">
        <w:rPr>
          <w:rFonts w:ascii="Lato" w:hAnsi="Lato"/>
        </w:rPr>
        <w:t xml:space="preserve">The process to be followed by royalty payers who wish to dispute an assessment (including a default assessment) is established in Part 11 of the </w:t>
      </w:r>
      <w:r w:rsidRPr="007F6C12">
        <w:rPr>
          <w:rFonts w:ascii="Lato" w:hAnsi="Lato"/>
          <w:i/>
        </w:rPr>
        <w:t>Taxation Administration Act</w:t>
      </w:r>
      <w:r w:rsidRPr="007F6C12">
        <w:rPr>
          <w:rFonts w:ascii="Lato" w:hAnsi="Lato"/>
        </w:rPr>
        <w:t xml:space="preserve"> </w:t>
      </w:r>
      <w:r w:rsidRPr="007F6C12">
        <w:rPr>
          <w:rFonts w:ascii="Lato" w:hAnsi="Lato"/>
          <w:i/>
        </w:rPr>
        <w:t>2007</w:t>
      </w:r>
      <w:r w:rsidRPr="007F6C12">
        <w:rPr>
          <w:rFonts w:ascii="Lato" w:hAnsi="Lato"/>
        </w:rPr>
        <w:t xml:space="preserve"> (NT) (the TAA).  </w:t>
      </w:r>
    </w:p>
    <w:p w14:paraId="7001F0D9" w14:textId="77777777" w:rsidR="001B7C60" w:rsidRPr="007F6C12" w:rsidRDefault="001B7C60" w:rsidP="00731286">
      <w:pPr>
        <w:pStyle w:val="ListNumber"/>
        <w:numPr>
          <w:ilvl w:val="0"/>
          <w:numId w:val="11"/>
        </w:numPr>
        <w:rPr>
          <w:rFonts w:ascii="Lato" w:hAnsi="Lato"/>
        </w:rPr>
      </w:pPr>
      <w:r w:rsidRPr="007F6C12">
        <w:rPr>
          <w:rFonts w:ascii="Lato" w:hAnsi="Lato"/>
        </w:rPr>
        <w:t>The process is, as follows:</w:t>
      </w:r>
    </w:p>
    <w:p w14:paraId="1581B004" w14:textId="77777777" w:rsidR="001B7C60" w:rsidRPr="007F6C12" w:rsidRDefault="001B7C60" w:rsidP="00202213">
      <w:pPr>
        <w:pStyle w:val="BlockText"/>
        <w:numPr>
          <w:ilvl w:val="1"/>
          <w:numId w:val="27"/>
        </w:numPr>
        <w:tabs>
          <w:tab w:val="clear" w:pos="1080"/>
          <w:tab w:val="num" w:pos="709"/>
        </w:tabs>
        <w:spacing w:after="120"/>
        <w:ind w:left="709" w:hanging="425"/>
        <w:rPr>
          <w:rFonts w:ascii="Lato" w:hAnsi="Lato"/>
        </w:rPr>
      </w:pPr>
      <w:r w:rsidRPr="007F6C12">
        <w:rPr>
          <w:rFonts w:ascii="Lato" w:hAnsi="Lato"/>
        </w:rPr>
        <w:t>first, a royalty payer must lodge a written objection to the assessment within 60 days of the assessment being issued. The objection is determined by a TRO business unit that is organisationally separate to the business unit which issued the royalty assessment</w:t>
      </w:r>
    </w:p>
    <w:p w14:paraId="2B4A549C" w14:textId="77777777" w:rsidR="001B7C60" w:rsidRPr="00202213" w:rsidRDefault="001B7C60" w:rsidP="00202213">
      <w:pPr>
        <w:pStyle w:val="BlockText"/>
        <w:numPr>
          <w:ilvl w:val="1"/>
          <w:numId w:val="27"/>
        </w:numPr>
        <w:tabs>
          <w:tab w:val="clear" w:pos="1080"/>
          <w:tab w:val="num" w:pos="709"/>
        </w:tabs>
        <w:spacing w:after="120"/>
        <w:ind w:left="709" w:hanging="425"/>
        <w:rPr>
          <w:rFonts w:ascii="Lato" w:hAnsi="Lato"/>
        </w:rPr>
      </w:pPr>
      <w:r w:rsidRPr="007F6C12">
        <w:rPr>
          <w:rFonts w:ascii="Lato" w:hAnsi="Lato"/>
        </w:rPr>
        <w:t>secondly, if the royalty payer is dissatisfied with the objection decision, the royalty payer may under section 115 of the TAA, lodge an appeal to either</w:t>
      </w:r>
      <w:r w:rsidRPr="00202213">
        <w:rPr>
          <w:rFonts w:ascii="Lato" w:hAnsi="Lato"/>
        </w:rPr>
        <w:t>:</w:t>
      </w:r>
    </w:p>
    <w:p w14:paraId="5D9C9F44" w14:textId="77777777" w:rsidR="001B7C60" w:rsidRPr="007F6C12" w:rsidRDefault="001B7C60" w:rsidP="00202213">
      <w:pPr>
        <w:pStyle w:val="BlockText"/>
        <w:numPr>
          <w:ilvl w:val="2"/>
          <w:numId w:val="16"/>
        </w:numPr>
        <w:tabs>
          <w:tab w:val="num" w:pos="993"/>
        </w:tabs>
        <w:spacing w:after="120"/>
        <w:ind w:left="993" w:hanging="284"/>
        <w:rPr>
          <w:rFonts w:ascii="Lato" w:hAnsi="Lato"/>
          <w:i/>
        </w:rPr>
      </w:pPr>
      <w:r w:rsidRPr="007F6C12">
        <w:rPr>
          <w:rFonts w:ascii="Lato" w:hAnsi="Lato"/>
        </w:rPr>
        <w:t>the Taxation and Royalty Appeals Tribunal under Division 4 of Part 11 of the TAA by lodging a notice of appeal with the Registrar of the Local Court</w:t>
      </w:r>
    </w:p>
    <w:p w14:paraId="5C96CF30" w14:textId="77777777" w:rsidR="001B7C60" w:rsidRPr="007F6C12" w:rsidRDefault="001B7C60" w:rsidP="00202213">
      <w:pPr>
        <w:pStyle w:val="BlockText"/>
        <w:tabs>
          <w:tab w:val="num" w:pos="993"/>
        </w:tabs>
        <w:ind w:left="993"/>
        <w:rPr>
          <w:rFonts w:ascii="Lato" w:hAnsi="Lato"/>
          <w:szCs w:val="24"/>
        </w:rPr>
      </w:pPr>
      <w:r w:rsidRPr="007F6C12">
        <w:rPr>
          <w:rFonts w:ascii="Lato" w:hAnsi="Lato"/>
          <w:szCs w:val="24"/>
        </w:rPr>
        <w:t>or</w:t>
      </w:r>
    </w:p>
    <w:p w14:paraId="20975C53" w14:textId="77777777" w:rsidR="001B7C60" w:rsidRPr="007F6C12" w:rsidRDefault="001B7C60" w:rsidP="00202213">
      <w:pPr>
        <w:pStyle w:val="BlockText"/>
        <w:numPr>
          <w:ilvl w:val="2"/>
          <w:numId w:val="16"/>
        </w:numPr>
        <w:tabs>
          <w:tab w:val="num" w:pos="993"/>
        </w:tabs>
        <w:spacing w:after="120"/>
        <w:ind w:left="993" w:hanging="284"/>
        <w:rPr>
          <w:rFonts w:ascii="Lato" w:hAnsi="Lato"/>
          <w:szCs w:val="24"/>
        </w:rPr>
      </w:pPr>
      <w:r w:rsidRPr="007F6C12">
        <w:rPr>
          <w:rFonts w:ascii="Lato" w:hAnsi="Lato"/>
        </w:rPr>
        <w:lastRenderedPageBreak/>
        <w:t xml:space="preserve">the Supreme Court under Division 4 of Part 11 of the TAA by filing a notice of appeal in the Registry of the Supreme </w:t>
      </w:r>
      <w:r w:rsidRPr="007F6C12">
        <w:rPr>
          <w:rFonts w:ascii="Lato" w:hAnsi="Lato"/>
          <w:szCs w:val="24"/>
        </w:rPr>
        <w:t>Court.</w:t>
      </w:r>
    </w:p>
    <w:p w14:paraId="69BDA79A" w14:textId="77777777" w:rsidR="001B7C60" w:rsidRPr="007F6C12" w:rsidRDefault="001B7C60" w:rsidP="00731286">
      <w:pPr>
        <w:pStyle w:val="BlockText"/>
        <w:ind w:left="1134"/>
        <w:rPr>
          <w:rFonts w:ascii="Lato" w:hAnsi="Lato"/>
        </w:rPr>
      </w:pPr>
      <w:r w:rsidRPr="007F6C12">
        <w:rPr>
          <w:rFonts w:ascii="Lato" w:hAnsi="Lato"/>
        </w:rPr>
        <w:t>An appeal must be commenced within 60 days after the date of issue of the objection decision.</w:t>
      </w:r>
    </w:p>
    <w:p w14:paraId="2BD3BBC7" w14:textId="519181DD" w:rsidR="001B7C60" w:rsidRPr="007F6C12" w:rsidRDefault="001B7C60" w:rsidP="00731286">
      <w:pPr>
        <w:pStyle w:val="ListNumber"/>
        <w:numPr>
          <w:ilvl w:val="0"/>
          <w:numId w:val="11"/>
        </w:numPr>
        <w:rPr>
          <w:rFonts w:ascii="Lato" w:hAnsi="Lato"/>
        </w:rPr>
      </w:pPr>
      <w:r w:rsidRPr="007F6C12">
        <w:rPr>
          <w:rFonts w:ascii="Lato" w:hAnsi="Lato"/>
        </w:rPr>
        <w:t>The Commissioner of Territory Revenue has issued a non-legally binding Guideline regarding the review and appeal processes/procedures under Part 11 of the TAA (Guideline</w:t>
      </w:r>
      <w:r w:rsidR="007F6C12" w:rsidRPr="007F6C12">
        <w:rPr>
          <w:rFonts w:ascii="Lato" w:hAnsi="Lato"/>
        </w:rPr>
        <w:t xml:space="preserve"> </w:t>
      </w:r>
      <w:r w:rsidRPr="00451408">
        <w:rPr>
          <w:rFonts w:ascii="Lato" w:hAnsi="Lato"/>
        </w:rPr>
        <w:t>CG-GEN-003:</w:t>
      </w:r>
      <w:r w:rsidRPr="00D86B6F">
        <w:rPr>
          <w:rFonts w:ascii="Lato" w:hAnsi="Lato"/>
        </w:rPr>
        <w:t xml:space="preserve"> Objections and Appeals Policy</w:t>
      </w:r>
      <w:r w:rsidRPr="007F6C12">
        <w:rPr>
          <w:rFonts w:ascii="Lato" w:hAnsi="Lato"/>
        </w:rPr>
        <w:t>).</w:t>
      </w:r>
    </w:p>
    <w:p w14:paraId="74D78C4B" w14:textId="77777777" w:rsidR="001B7C60" w:rsidRPr="007F6C12" w:rsidRDefault="001B7C60" w:rsidP="00731286">
      <w:pPr>
        <w:pStyle w:val="ListNumber"/>
        <w:numPr>
          <w:ilvl w:val="0"/>
          <w:numId w:val="11"/>
        </w:numPr>
        <w:rPr>
          <w:rFonts w:ascii="Lato" w:hAnsi="Lato"/>
        </w:rPr>
      </w:pPr>
      <w:r w:rsidRPr="007F6C12">
        <w:rPr>
          <w:rFonts w:ascii="Lato" w:hAnsi="Lato"/>
        </w:rPr>
        <w:t>Royalty payers should note that the lodgement of an objection or appeal does not affect the liability to pay an outstanding amount of royalty, penalty royalty or interest by the due date.</w:t>
      </w:r>
    </w:p>
    <w:p w14:paraId="5E8D8E37" w14:textId="39EADFF8" w:rsidR="001B7C60" w:rsidRPr="002D6C77" w:rsidRDefault="001B7C60" w:rsidP="00731286">
      <w:pPr>
        <w:rPr>
          <w:rFonts w:ascii="Lato" w:hAnsi="Lato"/>
        </w:rPr>
      </w:pPr>
    </w:p>
    <w:p w14:paraId="7795CB1D" w14:textId="029F128D" w:rsidR="001B7C60" w:rsidRPr="002D6C77" w:rsidRDefault="002D6C77" w:rsidP="00731286">
      <w:pPr>
        <w:rPr>
          <w:rFonts w:ascii="Lato" w:hAnsi="Lato"/>
        </w:rPr>
      </w:pPr>
      <w:r>
        <w:rPr>
          <w:noProof/>
          <w:lang w:eastAsia="en-AU"/>
        </w:rPr>
        <w:drawing>
          <wp:anchor distT="0" distB="0" distL="114300" distR="114300" simplePos="0" relativeHeight="251658240" behindDoc="0" locked="0" layoutInCell="1" allowOverlap="1" wp14:anchorId="26E4D96D" wp14:editId="39015AAC">
            <wp:simplePos x="0" y="0"/>
            <wp:positionH relativeFrom="column">
              <wp:posOffset>-153035</wp:posOffset>
            </wp:positionH>
            <wp:positionV relativeFrom="paragraph">
              <wp:posOffset>67945</wp:posOffset>
            </wp:positionV>
            <wp:extent cx="1390650" cy="456967"/>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ck-Butler_signatur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90650" cy="456967"/>
                    </a:xfrm>
                    <a:prstGeom prst="rect">
                      <a:avLst/>
                    </a:prstGeom>
                  </pic:spPr>
                </pic:pic>
              </a:graphicData>
            </a:graphic>
            <wp14:sizeRelH relativeFrom="page">
              <wp14:pctWidth>0</wp14:pctWidth>
            </wp14:sizeRelH>
            <wp14:sizeRelV relativeFrom="page">
              <wp14:pctHeight>0</wp14:pctHeight>
            </wp14:sizeRelV>
          </wp:anchor>
        </w:drawing>
      </w:r>
    </w:p>
    <w:p w14:paraId="489E1065" w14:textId="77777777" w:rsidR="001B7C60" w:rsidRPr="002D6C77" w:rsidRDefault="001B7C60" w:rsidP="002D6C77">
      <w:pPr>
        <w:rPr>
          <w:rFonts w:ascii="Lato" w:hAnsi="Lato"/>
        </w:rPr>
      </w:pPr>
    </w:p>
    <w:p w14:paraId="72E7CC14" w14:textId="77777777" w:rsidR="001B7C60" w:rsidRPr="007F6C12" w:rsidRDefault="001B7C60" w:rsidP="002D6C77">
      <w:pPr>
        <w:spacing w:after="0"/>
        <w:rPr>
          <w:rFonts w:ascii="Lato" w:hAnsi="Lato"/>
        </w:rPr>
      </w:pPr>
      <w:r w:rsidRPr="007F6C12">
        <w:rPr>
          <w:rFonts w:ascii="Lato" w:hAnsi="Lato"/>
        </w:rPr>
        <w:t xml:space="preserve">Michael Butler </w:t>
      </w:r>
    </w:p>
    <w:p w14:paraId="418D0FDB" w14:textId="77777777" w:rsidR="001B7C60" w:rsidRPr="007F6C12" w:rsidRDefault="001B7C60" w:rsidP="002D6C77">
      <w:pPr>
        <w:spacing w:after="0"/>
        <w:rPr>
          <w:rFonts w:ascii="Lato" w:hAnsi="Lato"/>
        </w:rPr>
      </w:pPr>
      <w:r w:rsidRPr="007F6C12">
        <w:rPr>
          <w:rFonts w:ascii="Lato" w:hAnsi="Lato"/>
        </w:rPr>
        <w:t>Secretary</w:t>
      </w:r>
    </w:p>
    <w:p w14:paraId="5BA6104F" w14:textId="77777777" w:rsidR="001B7C60" w:rsidRPr="007F6C12" w:rsidRDefault="001B7C60" w:rsidP="00731286">
      <w:pPr>
        <w:spacing w:after="0"/>
        <w:rPr>
          <w:rFonts w:ascii="Lato" w:hAnsi="Lato"/>
        </w:rPr>
      </w:pPr>
    </w:p>
    <w:p w14:paraId="0CCC990B" w14:textId="3B3C0B12" w:rsidR="001B7C60" w:rsidRPr="007F6C12" w:rsidRDefault="001B7C60" w:rsidP="002D6C77">
      <w:pPr>
        <w:spacing w:after="0"/>
        <w:rPr>
          <w:rFonts w:ascii="Lato" w:hAnsi="Lato"/>
        </w:rPr>
      </w:pPr>
      <w:r w:rsidRPr="007F6C12">
        <w:rPr>
          <w:rFonts w:ascii="Lato" w:hAnsi="Lato"/>
        </w:rPr>
        <w:t xml:space="preserve">Date of Issue: </w:t>
      </w:r>
      <w:r w:rsidR="00356DA6">
        <w:t>29 June 2018</w:t>
      </w:r>
    </w:p>
    <w:p w14:paraId="2017F584" w14:textId="77777777" w:rsidR="001B7C60" w:rsidRPr="007F6C12" w:rsidRDefault="001B7C60" w:rsidP="002D6C77">
      <w:pPr>
        <w:spacing w:after="0"/>
        <w:rPr>
          <w:rFonts w:ascii="Lato" w:hAnsi="Lato"/>
        </w:rPr>
      </w:pPr>
    </w:p>
    <w:tbl>
      <w:tblPr>
        <w:tblW w:w="0" w:type="auto"/>
        <w:tblBorders>
          <w:top w:val="single" w:sz="4" w:space="0" w:color="auto"/>
          <w:bottom w:val="single" w:sz="4" w:space="0" w:color="auto"/>
          <w:insideH w:val="single" w:sz="4" w:space="0" w:color="auto"/>
        </w:tblBorders>
        <w:tblCellMar>
          <w:top w:w="62" w:type="dxa"/>
          <w:bottom w:w="62" w:type="dxa"/>
        </w:tblCellMar>
        <w:tblLook w:val="01E0" w:firstRow="1" w:lastRow="1" w:firstColumn="1" w:lastColumn="1" w:noHBand="0" w:noVBand="0"/>
      </w:tblPr>
      <w:tblGrid>
        <w:gridCol w:w="4560"/>
        <w:gridCol w:w="4171"/>
      </w:tblGrid>
      <w:tr w:rsidR="001B7C60" w:rsidRPr="007F6C12" w14:paraId="7AD00099" w14:textId="77777777" w:rsidTr="001E3A5F">
        <w:tc>
          <w:tcPr>
            <w:tcW w:w="9854" w:type="dxa"/>
            <w:gridSpan w:val="2"/>
          </w:tcPr>
          <w:p w14:paraId="52329D79" w14:textId="77777777" w:rsidR="001B7C60" w:rsidRPr="007F6C12" w:rsidRDefault="001B7C60" w:rsidP="007F6C12">
            <w:pPr>
              <w:spacing w:after="0"/>
              <w:rPr>
                <w:rFonts w:ascii="Lato" w:hAnsi="Lato"/>
              </w:rPr>
            </w:pPr>
            <w:r w:rsidRPr="007F6C12">
              <w:rPr>
                <w:rFonts w:ascii="Lato" w:hAnsi="Lato"/>
              </w:rPr>
              <w:t>For further information please contact the Territory Revenue Office:</w:t>
            </w:r>
          </w:p>
        </w:tc>
      </w:tr>
      <w:tr w:rsidR="001B7C60" w:rsidRPr="007F6C12" w14:paraId="55DA3842" w14:textId="77777777" w:rsidTr="001E3A5F">
        <w:tc>
          <w:tcPr>
            <w:tcW w:w="4927" w:type="dxa"/>
          </w:tcPr>
          <w:p w14:paraId="18B3DF07" w14:textId="02080E8E" w:rsidR="001B7C60" w:rsidRPr="007F6C12" w:rsidRDefault="001B7C60" w:rsidP="007F6C12">
            <w:pPr>
              <w:spacing w:after="0"/>
              <w:rPr>
                <w:rFonts w:ascii="Lato" w:hAnsi="Lato"/>
              </w:rPr>
            </w:pPr>
            <w:r w:rsidRPr="007F6C12">
              <w:rPr>
                <w:rFonts w:ascii="Lato" w:hAnsi="Lato"/>
              </w:rPr>
              <w:t>GPO Box 1</w:t>
            </w:r>
            <w:r w:rsidR="007C4921">
              <w:rPr>
                <w:rFonts w:ascii="Lato" w:hAnsi="Lato"/>
              </w:rPr>
              <w:t>974</w:t>
            </w:r>
            <w:bookmarkStart w:id="1" w:name="_GoBack"/>
            <w:bookmarkEnd w:id="1"/>
          </w:p>
          <w:p w14:paraId="477FC351" w14:textId="77777777" w:rsidR="001B7C60" w:rsidRPr="007F6C12" w:rsidRDefault="001B7C60" w:rsidP="007F6C12">
            <w:pPr>
              <w:spacing w:after="0"/>
              <w:rPr>
                <w:rFonts w:ascii="Lato" w:hAnsi="Lato"/>
              </w:rPr>
            </w:pPr>
            <w:smartTag w:uri="urn:schemas-microsoft-com:office:smarttags" w:element="place">
              <w:smartTag w:uri="urn:schemas-microsoft-com:office:smarttags" w:element="City">
                <w:r w:rsidRPr="007F6C12">
                  <w:rPr>
                    <w:rFonts w:ascii="Lato" w:hAnsi="Lato"/>
                  </w:rPr>
                  <w:t>Darwin</w:t>
                </w:r>
              </w:smartTag>
              <w:r w:rsidRPr="007F6C12">
                <w:rPr>
                  <w:rFonts w:ascii="Lato" w:hAnsi="Lato"/>
                </w:rPr>
                <w:t xml:space="preserve">  </w:t>
              </w:r>
              <w:smartTag w:uri="urn:schemas-microsoft-com:office:smarttags" w:element="State">
                <w:r w:rsidRPr="007F6C12">
                  <w:rPr>
                    <w:rFonts w:ascii="Lato" w:hAnsi="Lato"/>
                  </w:rPr>
                  <w:t>NT</w:t>
                </w:r>
              </w:smartTag>
            </w:smartTag>
            <w:r w:rsidRPr="007F6C12">
              <w:rPr>
                <w:rFonts w:ascii="Lato" w:hAnsi="Lato"/>
              </w:rPr>
              <w:t xml:space="preserve">  0801</w:t>
            </w:r>
          </w:p>
          <w:p w14:paraId="0B74E7F9" w14:textId="77777777" w:rsidR="001B7C60" w:rsidRPr="007F6C12" w:rsidRDefault="001B7C60" w:rsidP="007F6C12">
            <w:pPr>
              <w:spacing w:after="0"/>
              <w:rPr>
                <w:rFonts w:ascii="Lato" w:hAnsi="Lato"/>
              </w:rPr>
            </w:pPr>
            <w:r w:rsidRPr="007F6C12">
              <w:rPr>
                <w:rFonts w:ascii="Lato" w:hAnsi="Lato"/>
              </w:rPr>
              <w:t xml:space="preserve">Email: </w:t>
            </w:r>
            <w:hyperlink r:id="rId10" w:history="1">
              <w:r w:rsidRPr="007F6C12">
                <w:rPr>
                  <w:rStyle w:val="Hyperlink"/>
                  <w:rFonts w:ascii="Lato" w:hAnsi="Lato"/>
                </w:rPr>
                <w:t>royaltiesandassurance.dtf@nt.gov.au</w:t>
              </w:r>
            </w:hyperlink>
          </w:p>
        </w:tc>
        <w:tc>
          <w:tcPr>
            <w:tcW w:w="4927" w:type="dxa"/>
          </w:tcPr>
          <w:p w14:paraId="1EF4045D" w14:textId="77777777" w:rsidR="001B7C60" w:rsidRPr="007F6C12" w:rsidRDefault="001B7C60" w:rsidP="007F6C12">
            <w:pPr>
              <w:spacing w:after="0"/>
              <w:rPr>
                <w:rFonts w:ascii="Lato" w:hAnsi="Lato"/>
              </w:rPr>
            </w:pPr>
            <w:r w:rsidRPr="007F6C12">
              <w:rPr>
                <w:rFonts w:ascii="Lato" w:hAnsi="Lato"/>
              </w:rPr>
              <w:t>Phone: 1300 305 353</w:t>
            </w:r>
          </w:p>
          <w:p w14:paraId="12583383" w14:textId="77777777" w:rsidR="001B7C60" w:rsidRPr="007F6C12" w:rsidRDefault="001B7C60" w:rsidP="007F6C12">
            <w:pPr>
              <w:spacing w:after="0"/>
              <w:rPr>
                <w:rFonts w:ascii="Lato" w:hAnsi="Lato"/>
              </w:rPr>
            </w:pPr>
            <w:r w:rsidRPr="007F6C12">
              <w:rPr>
                <w:rFonts w:ascii="Lato" w:hAnsi="Lato"/>
              </w:rPr>
              <w:t>Fax: 08 8999 5577</w:t>
            </w:r>
          </w:p>
          <w:p w14:paraId="5CBCE641" w14:textId="77777777" w:rsidR="001B7C60" w:rsidRPr="007F6C12" w:rsidRDefault="001B7C60" w:rsidP="007F6C12">
            <w:pPr>
              <w:spacing w:after="0"/>
              <w:rPr>
                <w:rFonts w:ascii="Lato" w:hAnsi="Lato"/>
              </w:rPr>
            </w:pPr>
            <w:r w:rsidRPr="007F6C12">
              <w:rPr>
                <w:rFonts w:ascii="Lato" w:hAnsi="Lato"/>
              </w:rPr>
              <w:t xml:space="preserve">Website: </w:t>
            </w:r>
            <w:hyperlink r:id="rId11" w:history="1">
              <w:r w:rsidRPr="007F6C12">
                <w:rPr>
                  <w:rStyle w:val="Hyperlink"/>
                  <w:rFonts w:ascii="Lato" w:hAnsi="Lato"/>
                </w:rPr>
                <w:t>www.revenue.nt.gov.au</w:t>
              </w:r>
            </w:hyperlink>
          </w:p>
        </w:tc>
      </w:tr>
    </w:tbl>
    <w:p w14:paraId="2FAD245A" w14:textId="77777777" w:rsidR="001B7C60" w:rsidRPr="00364D5F" w:rsidRDefault="001B7C60" w:rsidP="001B7C60"/>
    <w:p w14:paraId="20586B83" w14:textId="77777777" w:rsidR="001B7C60" w:rsidRPr="001B7C60" w:rsidRDefault="001B7C60" w:rsidP="007F6C12">
      <w:pPr>
        <w:pStyle w:val="ListNumber"/>
        <w:numPr>
          <w:ilvl w:val="0"/>
          <w:numId w:val="0"/>
        </w:numPr>
        <w:ind w:left="357" w:hanging="357"/>
        <w:rPr>
          <w:rFonts w:ascii="Lato" w:hAnsi="Lato"/>
        </w:rPr>
      </w:pPr>
    </w:p>
    <w:p w14:paraId="7B2139C2" w14:textId="77777777" w:rsidR="003A2424" w:rsidRPr="004301EA" w:rsidRDefault="003A2424" w:rsidP="003A2424">
      <w:pPr>
        <w:pStyle w:val="ListNumber"/>
        <w:numPr>
          <w:ilvl w:val="0"/>
          <w:numId w:val="0"/>
        </w:numPr>
        <w:rPr>
          <w:rFonts w:ascii="Lato" w:hAnsi="Lato"/>
        </w:rPr>
      </w:pPr>
    </w:p>
    <w:p w14:paraId="44B1B805" w14:textId="77777777" w:rsidR="003A2424" w:rsidRDefault="003A2424" w:rsidP="003A2424">
      <w:pPr>
        <w:pStyle w:val="ListNumber"/>
        <w:numPr>
          <w:ilvl w:val="0"/>
          <w:numId w:val="0"/>
        </w:numPr>
        <w:rPr>
          <w:rFonts w:ascii="Lato" w:hAnsi="Lato"/>
        </w:rPr>
      </w:pPr>
    </w:p>
    <w:p w14:paraId="7A915864" w14:textId="77777777" w:rsidR="006B22E1" w:rsidRPr="004301EA" w:rsidRDefault="006B22E1" w:rsidP="003A2424">
      <w:pPr>
        <w:pStyle w:val="ListNumber"/>
        <w:numPr>
          <w:ilvl w:val="0"/>
          <w:numId w:val="0"/>
        </w:numPr>
        <w:rPr>
          <w:rFonts w:ascii="Lato" w:hAnsi="Lato"/>
        </w:rPr>
      </w:pPr>
    </w:p>
    <w:sectPr w:rsidR="006B22E1" w:rsidRPr="004301EA" w:rsidSect="006B36CF">
      <w:headerReference w:type="default" r:id="rId12"/>
      <w:footerReference w:type="default" r:id="rId13"/>
      <w:headerReference w:type="first" r:id="rId14"/>
      <w:footerReference w:type="first" r:id="rId15"/>
      <w:pgSz w:w="11906" w:h="16838" w:code="9"/>
      <w:pgMar w:top="1134" w:right="1644" w:bottom="1134" w:left="153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561F9" w14:textId="77777777" w:rsidR="001A03E5" w:rsidRDefault="001A03E5" w:rsidP="007332FF">
      <w:r>
        <w:separator/>
      </w:r>
    </w:p>
  </w:endnote>
  <w:endnote w:type="continuationSeparator" w:id="0">
    <w:p w14:paraId="1B6F5BD5" w14:textId="77777777" w:rsidR="001A03E5" w:rsidRDefault="001A03E5"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10022FF" w:usb1="C000E47F" w:usb2="00000029" w:usb3="00000000" w:csb0="000001DF" w:csb1="00000000"/>
  </w:font>
  <w:font w:name="Lato Heavy">
    <w:panose1 w:val="020F0502020204030203"/>
    <w:charset w:val="00"/>
    <w:family w:val="swiss"/>
    <w:pitch w:val="variable"/>
    <w:sig w:usb0="E10002FF" w:usb1="5000ECFF" w:usb2="00000021" w:usb3="00000000" w:csb0="0000019F" w:csb1="00000000"/>
  </w:font>
  <w:font w:name="Lato">
    <w:altName w:val="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6C0BC" w14:textId="77777777" w:rsidR="005F5072" w:rsidRPr="00AE306C" w:rsidRDefault="001A03E5" w:rsidP="002926BC">
    <w:pPr>
      <w:tabs>
        <w:tab w:val="right" w:pos="10206"/>
      </w:tabs>
      <w:spacing w:after="120"/>
      <w:ind w:left="-567" w:right="-568"/>
      <w:rPr>
        <w:sz w:val="16"/>
        <w:szCs w:val="16"/>
      </w:rPr>
    </w:pPr>
    <w:r>
      <w:rPr>
        <w:sz w:val="16"/>
        <w:szCs w:val="16"/>
      </w:rPr>
      <w:pict w14:anchorId="10EE6FC7">
        <v:rect id="_x0000_i1025" style="width:481.9pt;height:.5pt" o:hralign="center" o:hrstd="t" o:hrnoshade="t" o:hr="t" fillcolor="black [3213]" stroked="f"/>
      </w:pict>
    </w:r>
  </w:p>
  <w:p w14:paraId="6AAC998D" w14:textId="1349DFF9" w:rsidR="005F5072" w:rsidRPr="004D1B76" w:rsidRDefault="005F5072" w:rsidP="002926BC">
    <w:pPr>
      <w:pStyle w:val="NTGFooter2deptpagenum"/>
      <w:tabs>
        <w:tab w:val="clear" w:pos="9639"/>
        <w:tab w:val="right" w:pos="10206"/>
      </w:tabs>
      <w:ind w:left="-567" w:right="-568"/>
    </w:pPr>
    <w:r w:rsidRPr="007B5DA2">
      <w:rPr>
        <w:rStyle w:val="NTGFooterDepartmentofChar"/>
      </w:rPr>
      <w:fldChar w:fldCharType="begin"/>
    </w:r>
    <w:r w:rsidRPr="007B5DA2">
      <w:rPr>
        <w:rStyle w:val="NTGFooterDepartmentofChar"/>
      </w:rPr>
      <w:instrText xml:space="preserve"> DOCPROPERTY  DepartmentOf  \* MERGEFORMAT </w:instrText>
    </w:r>
    <w:r w:rsidRPr="007B5DA2">
      <w:rPr>
        <w:rStyle w:val="NTGFooterDepartmentofChar"/>
      </w:rPr>
      <w:fldChar w:fldCharType="separate"/>
    </w:r>
    <w:r w:rsidR="003A2424">
      <w:rPr>
        <w:rStyle w:val="NTGFooterDepartmentofChar"/>
      </w:rPr>
      <w:t xml:space="preserve">Department of </w:t>
    </w:r>
    <w:r w:rsidRPr="007B5DA2">
      <w:rPr>
        <w:rStyle w:val="NTGFooterDepartmentofChar"/>
      </w:rPr>
      <w:fldChar w:fldCharType="end"/>
    </w:r>
    <w:r w:rsidRPr="007B5DA2">
      <w:rPr>
        <w:rStyle w:val="NTGFooterDepartmentNameChar"/>
      </w:rPr>
      <w:fldChar w:fldCharType="begin"/>
    </w:r>
    <w:r w:rsidRPr="007B5DA2">
      <w:rPr>
        <w:rStyle w:val="NTGFooterDepartmentNameChar"/>
      </w:rPr>
      <w:instrText xml:space="preserve"> DOCPROPERTY  DepartmentName  \* MERGEFORMAT </w:instrText>
    </w:r>
    <w:r w:rsidRPr="007B5DA2">
      <w:rPr>
        <w:rStyle w:val="NTGFooterDepartmentNameChar"/>
      </w:rPr>
      <w:fldChar w:fldCharType="separate"/>
    </w:r>
    <w:r w:rsidR="003A2424">
      <w:rPr>
        <w:rStyle w:val="NTGFooterDepartmentNameChar"/>
      </w:rPr>
      <w:t>Treasury and Finance</w:t>
    </w:r>
    <w:r w:rsidRPr="007B5DA2">
      <w:rPr>
        <w:rStyle w:val="NTGFooterDepartmentNameChar"/>
      </w:rPr>
      <w:fldChar w:fldCharType="end"/>
    </w:r>
    <w:r w:rsidRPr="004D1B76">
      <w:tab/>
    </w:r>
    <w:r w:rsidRPr="007B5DA2">
      <w:rPr>
        <w:rStyle w:val="NTGFooter2deptpagenumChar"/>
        <w:rFonts w:eastAsia="Calibri"/>
      </w:rPr>
      <w:t xml:space="preserve">Page </w:t>
    </w:r>
    <w:r w:rsidRPr="007B5DA2">
      <w:rPr>
        <w:rStyle w:val="NTGFooter2deptpagenumChar"/>
        <w:rFonts w:eastAsia="Calibri"/>
      </w:rPr>
      <w:fldChar w:fldCharType="begin"/>
    </w:r>
    <w:r w:rsidRPr="007B5DA2">
      <w:rPr>
        <w:rStyle w:val="NTGFooter2deptpagenumChar"/>
        <w:rFonts w:eastAsia="Calibri"/>
      </w:rPr>
      <w:instrText xml:space="preserve"> PAGE  \* Arabic  \* MERGEFORMAT </w:instrText>
    </w:r>
    <w:r w:rsidRPr="007B5DA2">
      <w:rPr>
        <w:rStyle w:val="NTGFooter2deptpagenumChar"/>
        <w:rFonts w:eastAsia="Calibri"/>
      </w:rPr>
      <w:fldChar w:fldCharType="separate"/>
    </w:r>
    <w:r w:rsidR="007C4921">
      <w:rPr>
        <w:rStyle w:val="NTGFooter2deptpagenumChar"/>
        <w:rFonts w:eastAsia="Calibri"/>
        <w:noProof/>
      </w:rPr>
      <w:t>11</w:t>
    </w:r>
    <w:r w:rsidRPr="007B5DA2">
      <w:rPr>
        <w:rStyle w:val="NTGFooter2deptpagenumChar"/>
        <w:rFonts w:eastAsia="Calibri"/>
      </w:rPr>
      <w:fldChar w:fldCharType="end"/>
    </w:r>
    <w:r w:rsidRPr="007B5DA2">
      <w:rPr>
        <w:rStyle w:val="NTGFooter2deptpagenumChar"/>
        <w:rFonts w:eastAsia="Calibri"/>
      </w:rPr>
      <w:t xml:space="preserve"> of </w:t>
    </w:r>
    <w:r w:rsidRPr="007B5DA2">
      <w:rPr>
        <w:rStyle w:val="NTGFooter2deptpagenumChar"/>
        <w:rFonts w:eastAsia="Calibri"/>
      </w:rPr>
      <w:fldChar w:fldCharType="begin"/>
    </w:r>
    <w:r w:rsidRPr="007B5DA2">
      <w:rPr>
        <w:rStyle w:val="NTGFooter2deptpagenumChar"/>
        <w:rFonts w:eastAsia="Calibri"/>
      </w:rPr>
      <w:instrText xml:space="preserve"> NUMPAGES  \* Arabic  \* MERGEFORMAT </w:instrText>
    </w:r>
    <w:r w:rsidRPr="007B5DA2">
      <w:rPr>
        <w:rStyle w:val="NTGFooter2deptpagenumChar"/>
        <w:rFonts w:eastAsia="Calibri"/>
      </w:rPr>
      <w:fldChar w:fldCharType="separate"/>
    </w:r>
    <w:r w:rsidR="007C4921">
      <w:rPr>
        <w:rStyle w:val="NTGFooter2deptpagenumChar"/>
        <w:rFonts w:eastAsia="Calibri"/>
        <w:noProof/>
      </w:rPr>
      <w:t>11</w:t>
    </w:r>
    <w:r w:rsidRPr="007B5DA2">
      <w:rPr>
        <w:rStyle w:val="NTGFooter2deptpagenumChar"/>
        <w:rFonts w:eastAsia="Calibri"/>
      </w:rPr>
      <w:fldChar w:fldCharType="end"/>
    </w:r>
  </w:p>
  <w:p w14:paraId="7A8BAB55" w14:textId="77777777" w:rsidR="005F5072" w:rsidRPr="007B5DA2" w:rsidRDefault="005F5072" w:rsidP="002926BC">
    <w:pPr>
      <w:pStyle w:val="NTGFooter2DateVersion"/>
      <w:tabs>
        <w:tab w:val="clear" w:pos="9639"/>
        <w:tab w:val="right" w:pos="10206"/>
      </w:tabs>
      <w:ind w:left="-567" w:right="-568"/>
      <w:rPr>
        <w:rStyle w:val="NTGFooter2deptpagenumChar"/>
        <w:rFonts w:eastAsia="Calibr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Ind w:w="-567"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7655"/>
      <w:gridCol w:w="2268"/>
    </w:tblGrid>
    <w:tr w:rsidR="005F5072" w:rsidRPr="00132658" w14:paraId="647A6D68" w14:textId="77777777" w:rsidTr="006B36CF">
      <w:trPr>
        <w:cantSplit/>
        <w:trHeight w:hRule="exact" w:val="1400"/>
        <w:tblHeader/>
      </w:trPr>
      <w:tc>
        <w:tcPr>
          <w:tcW w:w="7655" w:type="dxa"/>
          <w:vAlign w:val="center"/>
        </w:tcPr>
        <w:p w14:paraId="413BD63E" w14:textId="77777777" w:rsidR="005F5072" w:rsidRPr="00705C9D" w:rsidRDefault="005F5072" w:rsidP="007B5DA2">
          <w:pPr>
            <w:pStyle w:val="NTGFooter1items"/>
            <w:rPr>
              <w:rStyle w:val="NTGFooterDepartmentNameChar"/>
            </w:rPr>
          </w:pPr>
          <w:r w:rsidRPr="00705C9D">
            <w:rPr>
              <w:rStyle w:val="NTGFooterDepartmentofChar"/>
            </w:rPr>
            <w:fldChar w:fldCharType="begin"/>
          </w:r>
          <w:r w:rsidRPr="00705C9D">
            <w:rPr>
              <w:rStyle w:val="NTGFooterDepartmentofChar"/>
            </w:rPr>
            <w:instrText xml:space="preserve"> DOCPROPERTY  DepartmentOf  \* MERGEFORMAT </w:instrText>
          </w:r>
          <w:r w:rsidRPr="00705C9D">
            <w:rPr>
              <w:rStyle w:val="NTGFooterDepartmentofChar"/>
            </w:rPr>
            <w:fldChar w:fldCharType="separate"/>
          </w:r>
          <w:r w:rsidR="003A2424">
            <w:rPr>
              <w:rStyle w:val="NTGFooterDepartmentofChar"/>
            </w:rPr>
            <w:t xml:space="preserve">Department of </w:t>
          </w:r>
          <w:r w:rsidRPr="00705C9D">
            <w:rPr>
              <w:rStyle w:val="NTGFooterDepartmentofChar"/>
            </w:rPr>
            <w:fldChar w:fldCharType="end"/>
          </w:r>
          <w:r w:rsidRPr="00705C9D">
            <w:rPr>
              <w:rStyle w:val="NTGFooterDepartmentNameChar"/>
            </w:rPr>
            <w:fldChar w:fldCharType="begin"/>
          </w:r>
          <w:r w:rsidRPr="00705C9D">
            <w:rPr>
              <w:rStyle w:val="NTGFooterDepartmentNameChar"/>
            </w:rPr>
            <w:instrText xml:space="preserve"> DOCPROPERTY  DepartmentName  \* MERGEFORMAT </w:instrText>
          </w:r>
          <w:r w:rsidRPr="00705C9D">
            <w:rPr>
              <w:rStyle w:val="NTGFooterDepartmentNameChar"/>
            </w:rPr>
            <w:fldChar w:fldCharType="separate"/>
          </w:r>
          <w:r w:rsidR="003A2424">
            <w:rPr>
              <w:rStyle w:val="NTGFooterDepartmentNameChar"/>
            </w:rPr>
            <w:t>Treasury and Finance</w:t>
          </w:r>
          <w:r w:rsidRPr="00705C9D">
            <w:rPr>
              <w:rStyle w:val="NTGFooterDepartmentNameChar"/>
            </w:rPr>
            <w:fldChar w:fldCharType="end"/>
          </w:r>
        </w:p>
        <w:p w14:paraId="2F96E0A4" w14:textId="6E9D841E" w:rsidR="005F5072" w:rsidRPr="007B5DA2" w:rsidRDefault="005F5072" w:rsidP="004301EA">
          <w:pPr>
            <w:pStyle w:val="NTGFooter1items"/>
          </w:pPr>
          <w:r w:rsidRPr="007B5DA2">
            <w:t xml:space="preserve">Page </w:t>
          </w:r>
          <w:r w:rsidRPr="007B5DA2">
            <w:fldChar w:fldCharType="begin"/>
          </w:r>
          <w:r w:rsidRPr="007B5DA2">
            <w:instrText xml:space="preserve"> PAGE  \* Arabic  \* MERGEFORMAT </w:instrText>
          </w:r>
          <w:r w:rsidRPr="007B5DA2">
            <w:fldChar w:fldCharType="separate"/>
          </w:r>
          <w:r w:rsidR="007C4921">
            <w:rPr>
              <w:noProof/>
            </w:rPr>
            <w:t>1</w:t>
          </w:r>
          <w:r w:rsidRPr="007B5DA2">
            <w:fldChar w:fldCharType="end"/>
          </w:r>
          <w:r w:rsidRPr="007B5DA2">
            <w:t xml:space="preserve"> of </w:t>
          </w:r>
          <w:r w:rsidR="001A03E5">
            <w:fldChar w:fldCharType="begin"/>
          </w:r>
          <w:r w:rsidR="001A03E5">
            <w:instrText xml:space="preserve"> NUMPAGES  \* Arabic  \* MERGEFORMAT </w:instrText>
          </w:r>
          <w:r w:rsidR="001A03E5">
            <w:fldChar w:fldCharType="separate"/>
          </w:r>
          <w:r w:rsidR="007C4921">
            <w:rPr>
              <w:noProof/>
            </w:rPr>
            <w:t>11</w:t>
          </w:r>
          <w:r w:rsidR="001A03E5">
            <w:rPr>
              <w:noProof/>
            </w:rPr>
            <w:fldChar w:fldCharType="end"/>
          </w:r>
          <w:r w:rsidRPr="007B5DA2">
            <w:tab/>
          </w:r>
        </w:p>
      </w:tc>
      <w:tc>
        <w:tcPr>
          <w:tcW w:w="2268" w:type="dxa"/>
          <w:vAlign w:val="center"/>
        </w:tcPr>
        <w:p w14:paraId="4A34BE6E" w14:textId="77777777" w:rsidR="005F5072" w:rsidRPr="001E14EB" w:rsidRDefault="005F5072" w:rsidP="00543BD1">
          <w:pPr>
            <w:spacing w:after="0"/>
            <w:jc w:val="right"/>
          </w:pPr>
          <w:r w:rsidRPr="00132658">
            <w:rPr>
              <w:noProof/>
              <w:lang w:eastAsia="en-AU"/>
            </w:rPr>
            <w:drawing>
              <wp:inline distT="0" distB="0" distL="0" distR="0" wp14:anchorId="2642E8CE" wp14:editId="6FE9F38F">
                <wp:extent cx="1347470" cy="481330"/>
                <wp:effectExtent l="0" t="0" r="5080" b="0"/>
                <wp:docPr id="1" name="Picture 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14:paraId="47C41AC1" w14:textId="77777777" w:rsidR="005F5072" w:rsidRPr="00543BD1" w:rsidRDefault="005F5072" w:rsidP="00543BD1">
    <w:pPr>
      <w:pStyle w:val="NoSpacing"/>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1A7F6" w14:textId="77777777" w:rsidR="001A03E5" w:rsidRDefault="001A03E5" w:rsidP="007332FF">
      <w:r>
        <w:separator/>
      </w:r>
    </w:p>
  </w:footnote>
  <w:footnote w:type="continuationSeparator" w:id="0">
    <w:p w14:paraId="6AF3B806" w14:textId="77777777" w:rsidR="001A03E5" w:rsidRDefault="001A03E5"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804B4" w14:textId="77777777" w:rsidR="005F5072" w:rsidRPr="00D275E8" w:rsidRDefault="00AB5894" w:rsidP="00D275E8">
    <w:pPr>
      <w:pStyle w:val="Header"/>
    </w:pPr>
    <w:r>
      <w:t>MRA Overview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309CA" w14:textId="77777777" w:rsidR="00795FAA" w:rsidRDefault="001A03E5" w:rsidP="0050530C">
    <w:pPr>
      <w:pStyle w:val="Title"/>
      <w:rPr>
        <w:rStyle w:val="Title2Char"/>
      </w:rPr>
    </w:pPr>
    <w:sdt>
      <w:sdtPr>
        <w:rPr>
          <w:rStyle w:val="Title2Char"/>
        </w:rPr>
        <w:alias w:val="Title"/>
        <w:tag w:val=""/>
        <w:id w:val="1748683773"/>
        <w:placeholder>
          <w:docPart w:val="C93E848B27CA4F81BE0DCEB960A204D0"/>
        </w:placeholder>
        <w:dataBinding w:prefixMappings="xmlns:ns0='http://purl.org/dc/elements/1.1/' xmlns:ns1='http://schemas.openxmlformats.org/package/2006/metadata/core-properties' " w:xpath="/ns1:coreProperties[1]/ns0:title[1]" w:storeItemID="{6C3C8BC8-F283-45AE-878A-BAB7291924A1}"/>
        <w:text/>
      </w:sdtPr>
      <w:sdtEndPr>
        <w:rPr>
          <w:rStyle w:val="Title2Char"/>
        </w:rPr>
      </w:sdtEndPr>
      <w:sdtContent>
        <w:r w:rsidR="00AB5894">
          <w:rPr>
            <w:rStyle w:val="Title2Char"/>
          </w:rPr>
          <w:t>MINERAL ROYALTY ACT</w:t>
        </w:r>
      </w:sdtContent>
    </w:sdt>
    <w:r w:rsidR="00795FAA">
      <w:rPr>
        <w:rStyle w:val="Title2Char"/>
      </w:rPr>
      <w:t xml:space="preserve"> </w:t>
    </w:r>
  </w:p>
  <w:p w14:paraId="712B5575" w14:textId="77777777" w:rsidR="005F5072" w:rsidRPr="004301EA" w:rsidRDefault="00795FAA" w:rsidP="0050530C">
    <w:pPr>
      <w:pStyle w:val="Title"/>
      <w:rPr>
        <w:rFonts w:ascii="Lato Heavy" w:hAnsi="Lato Heavy"/>
      </w:rPr>
    </w:pPr>
    <w:r>
      <w:rPr>
        <w:rStyle w:val="Title2Char"/>
      </w:rPr>
      <w:t>OVERVIEW</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ED66272"/>
    <w:lvl w:ilvl="0">
      <w:start w:val="1"/>
      <w:numFmt w:val="decimal"/>
      <w:lvlText w:val="%1."/>
      <w:lvlJc w:val="left"/>
      <w:pPr>
        <w:tabs>
          <w:tab w:val="num" w:pos="360"/>
        </w:tabs>
        <w:ind w:left="360" w:hanging="360"/>
      </w:pPr>
    </w:lvl>
  </w:abstractNum>
  <w:abstractNum w:abstractNumId="1" w15:restartNumberingAfterBreak="0">
    <w:nsid w:val="030F0990"/>
    <w:multiLevelType w:val="multilevel"/>
    <w:tmpl w:val="0C78A7AC"/>
    <w:name w:val="NTG Table Bullet List33222222222222222"/>
    <w:styleLink w:val="NTGTableList"/>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2" w15:restartNumberingAfterBreak="0">
    <w:nsid w:val="05C03AEC"/>
    <w:multiLevelType w:val="multilevel"/>
    <w:tmpl w:val="BD7A8414"/>
    <w:name w:val="NTG Table Bullet List3322222"/>
    <w:numStyleLink w:val="NTGStandardList"/>
  </w:abstractNum>
  <w:abstractNum w:abstractNumId="3" w15:restartNumberingAfterBreak="0">
    <w:nsid w:val="068B22E4"/>
    <w:multiLevelType w:val="multilevel"/>
    <w:tmpl w:val="4E6AC8F6"/>
    <w:name w:val="NTG Table Bullet List33222222"/>
    <w:numStyleLink w:val="NTGStandardNumList"/>
  </w:abstractNum>
  <w:abstractNum w:abstractNumId="4" w15:restartNumberingAfterBreak="0">
    <w:nsid w:val="068E345D"/>
    <w:multiLevelType w:val="multilevel"/>
    <w:tmpl w:val="C5085EE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6DB268B"/>
    <w:multiLevelType w:val="multilevel"/>
    <w:tmpl w:val="BD7A8414"/>
    <w:name w:val="NTG Table Bullet List32223"/>
    <w:numStyleLink w:val="NTGStandardList"/>
  </w:abstractNum>
  <w:abstractNum w:abstractNumId="6" w15:restartNumberingAfterBreak="0">
    <w:nsid w:val="09CD3ABE"/>
    <w:multiLevelType w:val="multilevel"/>
    <w:tmpl w:val="0C78A7AC"/>
    <w:name w:val="NTG Table Bullet List332222"/>
    <w:numStyleLink w:val="NTGTableList"/>
  </w:abstractNum>
  <w:abstractNum w:abstractNumId="7" w15:restartNumberingAfterBreak="0">
    <w:nsid w:val="10111492"/>
    <w:multiLevelType w:val="multilevel"/>
    <w:tmpl w:val="0C78A7AC"/>
    <w:name w:val="NTG Table Bullet List332"/>
    <w:numStyleLink w:val="NTGTableList"/>
  </w:abstractNum>
  <w:abstractNum w:abstractNumId="8" w15:restartNumberingAfterBreak="0">
    <w:nsid w:val="10C33685"/>
    <w:multiLevelType w:val="hybridMultilevel"/>
    <w:tmpl w:val="290880E6"/>
    <w:lvl w:ilvl="0" w:tplc="D8DCF93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125C0BF5"/>
    <w:multiLevelType w:val="multilevel"/>
    <w:tmpl w:val="C5085EE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15C55E97"/>
    <w:multiLevelType w:val="multilevel"/>
    <w:tmpl w:val="BD7A8414"/>
    <w:name w:val="NTG Table Bullet List332222222222222222"/>
    <w:numStyleLink w:val="NTGStandardList"/>
  </w:abstractNum>
  <w:abstractNum w:abstractNumId="11" w15:restartNumberingAfterBreak="0">
    <w:nsid w:val="176B0CE3"/>
    <w:multiLevelType w:val="multilevel"/>
    <w:tmpl w:val="39746A98"/>
    <w:name w:val="NTG Table Bullet List332222222222222"/>
    <w:numStyleLink w:val="NTGTableNumList"/>
  </w:abstractNum>
  <w:abstractNum w:abstractNumId="12" w15:restartNumberingAfterBreak="0">
    <w:nsid w:val="18AE0D72"/>
    <w:multiLevelType w:val="multilevel"/>
    <w:tmpl w:val="0C78A7AC"/>
    <w:name w:val="NTG Table Bullet List322"/>
    <w:numStyleLink w:val="NTGTableList"/>
  </w:abstractNum>
  <w:abstractNum w:abstractNumId="13" w15:restartNumberingAfterBreak="0">
    <w:nsid w:val="19B5593C"/>
    <w:multiLevelType w:val="multilevel"/>
    <w:tmpl w:val="C5085EE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1BB400DD"/>
    <w:multiLevelType w:val="multilevel"/>
    <w:tmpl w:val="39746A98"/>
    <w:name w:val="NTG Table Bullet List33"/>
    <w:numStyleLink w:val="NTGTableNumList"/>
  </w:abstractNum>
  <w:abstractNum w:abstractNumId="15" w15:restartNumberingAfterBreak="0">
    <w:nsid w:val="1CFF291F"/>
    <w:multiLevelType w:val="multilevel"/>
    <w:tmpl w:val="39746A98"/>
    <w:name w:val="NTG Table Bullet List3222323"/>
    <w:numStyleLink w:val="NTGTableNumList"/>
  </w:abstractNum>
  <w:abstractNum w:abstractNumId="16" w15:restartNumberingAfterBreak="0">
    <w:nsid w:val="1DFB58DB"/>
    <w:multiLevelType w:val="multilevel"/>
    <w:tmpl w:val="C5085EE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E903CE7"/>
    <w:multiLevelType w:val="multilevel"/>
    <w:tmpl w:val="A03467FE"/>
    <w:styleLink w:val="Text"/>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241D1D87"/>
    <w:multiLevelType w:val="multilevel"/>
    <w:tmpl w:val="0C78A7AC"/>
    <w:name w:val="NTG Table Bullet List32"/>
    <w:numStyleLink w:val="NTGTableList"/>
  </w:abstractNum>
  <w:abstractNum w:abstractNumId="19" w15:restartNumberingAfterBreak="0">
    <w:nsid w:val="24E93944"/>
    <w:multiLevelType w:val="multilevel"/>
    <w:tmpl w:val="BD7A8414"/>
    <w:styleLink w:val="NTGStandardList"/>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0" w15:restartNumberingAfterBreak="0">
    <w:nsid w:val="26345893"/>
    <w:multiLevelType w:val="multilevel"/>
    <w:tmpl w:val="4E6AC8F6"/>
    <w:name w:val="NTG Table Bullet List3322222222"/>
    <w:numStyleLink w:val="NTGStandardNumList"/>
  </w:abstractNum>
  <w:abstractNum w:abstractNumId="21" w15:restartNumberingAfterBreak="0">
    <w:nsid w:val="2EF077BC"/>
    <w:multiLevelType w:val="multilevel"/>
    <w:tmpl w:val="0C78A7AC"/>
    <w:name w:val="NTG Table Bullet List33222222222222222222"/>
    <w:numStyleLink w:val="NTGTableList"/>
  </w:abstractNum>
  <w:abstractNum w:abstractNumId="22" w15:restartNumberingAfterBreak="0">
    <w:nsid w:val="33AC0BD5"/>
    <w:multiLevelType w:val="multilevel"/>
    <w:tmpl w:val="39746A98"/>
    <w:name w:val="NTG Table Bullet List322232"/>
    <w:styleLink w:val="NTGTableNumList"/>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23" w15:restartNumberingAfterBreak="0">
    <w:nsid w:val="34986FDF"/>
    <w:multiLevelType w:val="multilevel"/>
    <w:tmpl w:val="A03467FE"/>
    <w:numStyleLink w:val="Text"/>
  </w:abstractNum>
  <w:abstractNum w:abstractNumId="24" w15:restartNumberingAfterBreak="0">
    <w:nsid w:val="396E7845"/>
    <w:multiLevelType w:val="multilevel"/>
    <w:tmpl w:val="D0888E6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418B29E3"/>
    <w:multiLevelType w:val="multilevel"/>
    <w:tmpl w:val="0C78A7AC"/>
    <w:name w:val="NTG Table Bullet List33222222222222"/>
    <w:numStyleLink w:val="NTGTableList"/>
  </w:abstractNum>
  <w:abstractNum w:abstractNumId="26" w15:restartNumberingAfterBreak="0">
    <w:nsid w:val="426F70CC"/>
    <w:multiLevelType w:val="multilevel"/>
    <w:tmpl w:val="39746A98"/>
    <w:name w:val="NTG Table Bullet List33222222222222222"/>
    <w:numStyleLink w:val="NTGTableNumList"/>
  </w:abstractNum>
  <w:abstractNum w:abstractNumId="27" w15:restartNumberingAfterBreak="0">
    <w:nsid w:val="44DE4C6C"/>
    <w:multiLevelType w:val="multilevel"/>
    <w:tmpl w:val="C5085EE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4B1A66A3"/>
    <w:multiLevelType w:val="multilevel"/>
    <w:tmpl w:val="C5085EE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15:restartNumberingAfterBreak="0">
    <w:nsid w:val="4B9C702E"/>
    <w:multiLevelType w:val="multilevel"/>
    <w:tmpl w:val="BD7A8414"/>
    <w:name w:val="NTG Table Bullet List3222"/>
    <w:numStyleLink w:val="NTGStandardList"/>
  </w:abstractNum>
  <w:abstractNum w:abstractNumId="30" w15:restartNumberingAfterBreak="0">
    <w:nsid w:val="4D435BB4"/>
    <w:multiLevelType w:val="multilevel"/>
    <w:tmpl w:val="39746A98"/>
    <w:name w:val="NTG Table Bullet List3322"/>
    <w:numStyleLink w:val="NTGTableNumList"/>
  </w:abstractNum>
  <w:abstractNum w:abstractNumId="3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4D90555D"/>
    <w:multiLevelType w:val="multilevel"/>
    <w:tmpl w:val="4E6AC8F6"/>
    <w:styleLink w:val="NTGStandardNumList"/>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tabs>
          <w:tab w:val="num" w:pos="714"/>
        </w:tabs>
        <w:ind w:left="1071" w:hanging="357"/>
      </w:pPr>
      <w:rPr>
        <w:rFonts w:hint="default"/>
      </w:rPr>
    </w:lvl>
    <w:lvl w:ilvl="3">
      <w:start w:val="1"/>
      <w:numFmt w:val="decimal"/>
      <w:pStyle w:val="ListNumber4"/>
      <w:lvlText w:val="(%4)"/>
      <w:lvlJc w:val="left"/>
      <w:pPr>
        <w:tabs>
          <w:tab w:val="num" w:pos="1072"/>
        </w:tabs>
        <w:ind w:left="1428" w:hanging="357"/>
      </w:pPr>
      <w:rPr>
        <w:rFonts w:hint="default"/>
      </w:rPr>
    </w:lvl>
    <w:lvl w:ilvl="4">
      <w:start w:val="1"/>
      <w:numFmt w:val="lowerLetter"/>
      <w:pStyle w:val="ListNumber5"/>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3" w15:restartNumberingAfterBreak="0">
    <w:nsid w:val="4E002A10"/>
    <w:multiLevelType w:val="multilevel"/>
    <w:tmpl w:val="39746A98"/>
    <w:name w:val="NTG Table Bullet List332222222"/>
    <w:numStyleLink w:val="NTGTableNumList"/>
  </w:abstractNum>
  <w:abstractNum w:abstractNumId="34" w15:restartNumberingAfterBreak="0">
    <w:nsid w:val="4E597CFE"/>
    <w:multiLevelType w:val="multilevel"/>
    <w:tmpl w:val="39746A98"/>
    <w:name w:val="NTG Table Bullet List33222222222"/>
    <w:numStyleLink w:val="NTGTableNumList"/>
  </w:abstractNum>
  <w:abstractNum w:abstractNumId="35"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6" w15:restartNumberingAfterBreak="0">
    <w:nsid w:val="556D7E52"/>
    <w:multiLevelType w:val="multilevel"/>
    <w:tmpl w:val="D0888E6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15:restartNumberingAfterBreak="0">
    <w:nsid w:val="573B315C"/>
    <w:multiLevelType w:val="multilevel"/>
    <w:tmpl w:val="39746A98"/>
    <w:name w:val="NTG Table Bullet List3222322"/>
    <w:numStyleLink w:val="NTGTableNumList"/>
  </w:abstractNum>
  <w:abstractNum w:abstractNumId="38" w15:restartNumberingAfterBreak="0">
    <w:nsid w:val="5BCE2A25"/>
    <w:multiLevelType w:val="multilevel"/>
    <w:tmpl w:val="0C78A7AC"/>
    <w:name w:val="NTG Table Bullet List332222222222"/>
    <w:numStyleLink w:val="NTGTableList"/>
  </w:abstractNum>
  <w:abstractNum w:abstractNumId="39" w15:restartNumberingAfterBreak="0">
    <w:nsid w:val="65D566F7"/>
    <w:multiLevelType w:val="multilevel"/>
    <w:tmpl w:val="39746A98"/>
    <w:name w:val="NTG Table Bullet List3322222222222222"/>
    <w:numStyleLink w:val="NTGTableNumList"/>
  </w:abstractNum>
  <w:abstractNum w:abstractNumId="40" w15:restartNumberingAfterBreak="0">
    <w:nsid w:val="65E42498"/>
    <w:multiLevelType w:val="multilevel"/>
    <w:tmpl w:val="C5085EE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15:restartNumberingAfterBreak="0">
    <w:nsid w:val="66576918"/>
    <w:multiLevelType w:val="hybridMultilevel"/>
    <w:tmpl w:val="804433A2"/>
    <w:lvl w:ilvl="0" w:tplc="C644AADC">
      <w:start w:val="1"/>
      <w:numFmt w:val="lowerRoman"/>
      <w:lvlText w:val="(%1)"/>
      <w:lvlJc w:val="right"/>
      <w:pPr>
        <w:ind w:left="1800" w:hanging="360"/>
      </w:pPr>
      <w:rPr>
        <w:rFont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2" w15:restartNumberingAfterBreak="0">
    <w:nsid w:val="68BC50AA"/>
    <w:multiLevelType w:val="multilevel"/>
    <w:tmpl w:val="AA004AB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15:restartNumberingAfterBreak="0">
    <w:nsid w:val="6AB5665C"/>
    <w:multiLevelType w:val="hybridMultilevel"/>
    <w:tmpl w:val="4D2E2D66"/>
    <w:lvl w:ilvl="0" w:tplc="0A70CDDA">
      <w:start w:val="1"/>
      <w:numFmt w:val="decimal"/>
      <w:lvlText w:val="(%1)"/>
      <w:lvlJc w:val="left"/>
      <w:pPr>
        <w:ind w:left="1069" w:hanging="360"/>
      </w:pPr>
      <w:rPr>
        <w:rFonts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44" w15:restartNumberingAfterBreak="0">
    <w:nsid w:val="6B0037F6"/>
    <w:multiLevelType w:val="multilevel"/>
    <w:tmpl w:val="C5085EE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5" w15:restartNumberingAfterBreak="0">
    <w:nsid w:val="6CC62A3C"/>
    <w:multiLevelType w:val="multilevel"/>
    <w:tmpl w:val="39746A98"/>
    <w:name w:val="NTG Table Bullet List33222"/>
    <w:numStyleLink w:val="NTGTableNumList"/>
  </w:abstractNum>
  <w:abstractNum w:abstractNumId="46" w15:restartNumberingAfterBreak="0">
    <w:nsid w:val="70105C45"/>
    <w:multiLevelType w:val="multilevel"/>
    <w:tmpl w:val="39746A98"/>
    <w:name w:val="NTG Table Bullet List3322222222222"/>
    <w:numStyleLink w:val="NTGTableNumList"/>
  </w:abstractNum>
  <w:abstractNum w:abstractNumId="47" w15:restartNumberingAfterBreak="0">
    <w:nsid w:val="72003AFE"/>
    <w:multiLevelType w:val="multilevel"/>
    <w:tmpl w:val="C5085EE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8" w15:restartNumberingAfterBreak="0">
    <w:nsid w:val="7453664D"/>
    <w:multiLevelType w:val="multilevel"/>
    <w:tmpl w:val="0C78A7AC"/>
    <w:name w:val="NTG Table Bullet List3322222222222222222"/>
    <w:numStyleLink w:val="NTGTableList"/>
  </w:abstractNum>
  <w:abstractNum w:abstractNumId="49" w15:restartNumberingAfterBreak="0">
    <w:nsid w:val="79CC6470"/>
    <w:multiLevelType w:val="multilevel"/>
    <w:tmpl w:val="0D62A852"/>
    <w:lvl w:ilvl="0">
      <w:start w:val="1"/>
      <w:numFmt w:val="decimal"/>
      <w:pStyle w:val="Heading1"/>
      <w:lvlText w:val="%1"/>
      <w:lvlJc w:val="left"/>
      <w:pPr>
        <w:ind w:left="432" w:hanging="432"/>
      </w:pPr>
      <w:rPr>
        <w:rFonts w:hint="default"/>
        <w:b/>
        <w:i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19"/>
  </w:num>
  <w:num w:numId="2">
    <w:abstractNumId w:val="32"/>
  </w:num>
  <w:num w:numId="3">
    <w:abstractNumId w:val="49"/>
  </w:num>
  <w:num w:numId="4">
    <w:abstractNumId w:val="1"/>
  </w:num>
  <w:num w:numId="5">
    <w:abstractNumId w:val="22"/>
  </w:num>
  <w:num w:numId="6">
    <w:abstractNumId w:val="20"/>
  </w:num>
  <w:num w:numId="7">
    <w:abstractNumId w:val="26"/>
  </w:num>
  <w:num w:numId="8">
    <w:abstractNumId w:val="10"/>
  </w:num>
  <w:num w:numId="9">
    <w:abstractNumId w:val="21"/>
  </w:num>
  <w:num w:numId="10">
    <w:abstractNumId w:val="17"/>
    <w:lvlOverride w:ilvl="0">
      <w:lvl w:ilvl="0">
        <w:start w:val="1"/>
        <w:numFmt w:val="decimal"/>
        <w:lvlText w:val="%1."/>
        <w:lvlJc w:val="left"/>
        <w:pPr>
          <w:tabs>
            <w:tab w:val="num" w:pos="567"/>
          </w:tabs>
          <w:ind w:left="567" w:hanging="567"/>
        </w:pPr>
        <w:rPr>
          <w:rFonts w:hint="default"/>
        </w:rPr>
      </w:lvl>
    </w:lvlOverride>
    <w:lvlOverride w:ilvl="1">
      <w:lvl w:ilvl="1">
        <w:start w:val="1"/>
        <w:numFmt w:val="decimal"/>
        <w:lvlText w:val="(%2)"/>
        <w:lvlJc w:val="left"/>
        <w:pPr>
          <w:tabs>
            <w:tab w:val="num" w:pos="1134"/>
          </w:tabs>
          <w:ind w:left="1134" w:hanging="567"/>
        </w:pPr>
        <w:rPr>
          <w:rFonts w:hint="default"/>
          <w:i w:val="0"/>
        </w:rPr>
      </w:lvl>
    </w:lvlOverride>
    <w:lvlOverride w:ilvl="2">
      <w:lvl w:ilvl="2">
        <w:start w:val="1"/>
        <w:numFmt w:val="lowerLetter"/>
        <w:lvlRestart w:val="0"/>
        <w:lvlText w:val="(%3)"/>
        <w:lvlJc w:val="left"/>
        <w:pPr>
          <w:tabs>
            <w:tab w:val="num" w:pos="1985"/>
          </w:tabs>
          <w:ind w:left="1985" w:hanging="851"/>
        </w:pPr>
      </w:lvl>
    </w:lvlOverride>
    <w:lvlOverride w:ilvl="3">
      <w:lvl w:ilvl="3">
        <w:start w:val="1"/>
        <w:numFmt w:val="lowerRoman"/>
        <w:lvlText w:val="%1(%2)(%3)(%4)"/>
        <w:lvlJc w:val="left"/>
        <w:pPr>
          <w:tabs>
            <w:tab w:val="num" w:pos="2948"/>
          </w:tabs>
          <w:ind w:left="2948" w:hanging="963"/>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1">
    <w:abstractNumId w:val="23"/>
  </w:num>
  <w:num w:numId="12">
    <w:abstractNumId w:val="41"/>
  </w:num>
  <w:num w:numId="13">
    <w:abstractNumId w:val="42"/>
  </w:num>
  <w:num w:numId="14">
    <w:abstractNumId w:val="17"/>
    <w:lvlOverride w:ilvl="0">
      <w:lvl w:ilvl="0">
        <w:start w:val="1"/>
        <w:numFmt w:val="decimal"/>
        <w:lvlText w:val="%1."/>
        <w:lvlJc w:val="left"/>
        <w:pPr>
          <w:tabs>
            <w:tab w:val="num" w:pos="567"/>
          </w:tabs>
          <w:ind w:left="567" w:hanging="567"/>
        </w:pPr>
        <w:rPr>
          <w:rFonts w:hint="default"/>
        </w:rPr>
      </w:lvl>
    </w:lvlOverride>
    <w:lvlOverride w:ilvl="1">
      <w:lvl w:ilvl="1">
        <w:start w:val="1"/>
        <w:numFmt w:val="decimal"/>
        <w:lvlText w:val="(%2)"/>
        <w:lvlJc w:val="left"/>
        <w:pPr>
          <w:tabs>
            <w:tab w:val="num" w:pos="1134"/>
          </w:tabs>
          <w:ind w:left="1134" w:hanging="567"/>
        </w:pPr>
      </w:lvl>
    </w:lvlOverride>
    <w:lvlOverride w:ilvl="2">
      <w:lvl w:ilvl="2">
        <w:start w:val="2"/>
        <w:numFmt w:val="lowerLetter"/>
        <w:lvlRestart w:val="0"/>
        <w:lvlText w:val="(%3)"/>
        <w:lvlJc w:val="left"/>
        <w:pPr>
          <w:tabs>
            <w:tab w:val="num" w:pos="1985"/>
          </w:tabs>
          <w:ind w:left="1985" w:hanging="851"/>
        </w:pPr>
      </w:lvl>
    </w:lvlOverride>
  </w:num>
  <w:num w:numId="15">
    <w:abstractNumId w:val="17"/>
    <w:lvlOverride w:ilvl="0">
      <w:startOverride w:val="1"/>
      <w:lvl w:ilvl="0">
        <w:start w:val="1"/>
        <w:numFmt w:val="decimal"/>
        <w:lvlText w:val="%1."/>
        <w:lvlJc w:val="left"/>
        <w:pPr>
          <w:tabs>
            <w:tab w:val="num" w:pos="567"/>
          </w:tabs>
          <w:ind w:left="567" w:hanging="567"/>
        </w:pPr>
        <w:rPr>
          <w:rFonts w:hint="default"/>
        </w:rPr>
      </w:lvl>
    </w:lvlOverride>
    <w:lvlOverride w:ilvl="1">
      <w:startOverride w:val="1"/>
      <w:lvl w:ilvl="1">
        <w:start w:val="1"/>
        <w:numFmt w:val="decimal"/>
        <w:lvlText w:val="(%2)"/>
        <w:lvlJc w:val="left"/>
        <w:pPr>
          <w:tabs>
            <w:tab w:val="num" w:pos="1134"/>
          </w:tabs>
          <w:ind w:left="1134" w:hanging="567"/>
        </w:pPr>
      </w:lvl>
    </w:lvlOverride>
    <w:lvlOverride w:ilvl="2">
      <w:startOverride w:val="1"/>
      <w:lvl w:ilvl="2">
        <w:start w:val="1"/>
        <w:numFmt w:val="lowerLetter"/>
        <w:lvlRestart w:val="0"/>
        <w:lvlText w:val="(%3)"/>
        <w:lvlJc w:val="left"/>
        <w:pPr>
          <w:tabs>
            <w:tab w:val="num" w:pos="1985"/>
          </w:tabs>
          <w:ind w:left="1985" w:hanging="851"/>
        </w:pPr>
      </w:lvl>
    </w:lvlOverride>
  </w:num>
  <w:num w:numId="16">
    <w:abstractNumId w:val="17"/>
    <w:lvlOverride w:ilvl="0">
      <w:startOverride w:val="1"/>
      <w:lvl w:ilvl="0">
        <w:start w:val="1"/>
        <w:numFmt w:val="decimal"/>
        <w:lvlText w:val="%1."/>
        <w:lvlJc w:val="left"/>
        <w:pPr>
          <w:tabs>
            <w:tab w:val="num" w:pos="567"/>
          </w:tabs>
          <w:ind w:left="567" w:hanging="567"/>
        </w:pPr>
        <w:rPr>
          <w:rFonts w:hint="default"/>
        </w:rPr>
      </w:lvl>
    </w:lvlOverride>
    <w:lvlOverride w:ilvl="1">
      <w:startOverride w:val="1"/>
      <w:lvl w:ilvl="1">
        <w:start w:val="1"/>
        <w:numFmt w:val="decimal"/>
        <w:lvlText w:val="(%2)"/>
        <w:lvlJc w:val="left"/>
        <w:pPr>
          <w:tabs>
            <w:tab w:val="num" w:pos="1134"/>
          </w:tabs>
          <w:ind w:left="1134" w:hanging="567"/>
        </w:pPr>
        <w:rPr>
          <w:rFonts w:hint="default"/>
          <w:i w:val="0"/>
        </w:rPr>
      </w:lvl>
    </w:lvlOverride>
    <w:lvlOverride w:ilvl="2">
      <w:startOverride w:val="1"/>
      <w:lvl w:ilvl="2">
        <w:start w:val="1"/>
        <w:numFmt w:val="lowerLetter"/>
        <w:lvlRestart w:val="0"/>
        <w:lvlText w:val="(%3)"/>
        <w:lvlJc w:val="left"/>
        <w:pPr>
          <w:tabs>
            <w:tab w:val="num" w:pos="1985"/>
          </w:tabs>
          <w:ind w:left="1985" w:hanging="851"/>
        </w:pPr>
        <w:rPr>
          <w:rFonts w:hint="default"/>
          <w:i w:val="0"/>
        </w:rPr>
      </w:lvl>
    </w:lvlOverride>
  </w:num>
  <w:num w:numId="17">
    <w:abstractNumId w:val="43"/>
  </w:num>
  <w:num w:numId="18">
    <w:abstractNumId w:val="4"/>
  </w:num>
  <w:num w:numId="19">
    <w:abstractNumId w:val="8"/>
  </w:num>
  <w:num w:numId="20">
    <w:abstractNumId w:val="27"/>
  </w:num>
  <w:num w:numId="21">
    <w:abstractNumId w:val="40"/>
  </w:num>
  <w:num w:numId="22">
    <w:abstractNumId w:val="13"/>
  </w:num>
  <w:num w:numId="23">
    <w:abstractNumId w:val="9"/>
  </w:num>
  <w:num w:numId="24">
    <w:abstractNumId w:val="28"/>
  </w:num>
  <w:num w:numId="25">
    <w:abstractNumId w:val="47"/>
  </w:num>
  <w:num w:numId="26">
    <w:abstractNumId w:val="44"/>
  </w:num>
  <w:num w:numId="27">
    <w:abstractNumId w:val="16"/>
  </w:num>
  <w:num w:numId="28">
    <w:abstractNumId w:val="17"/>
  </w:num>
  <w:num w:numId="29">
    <w:abstractNumId w:val="0"/>
  </w:num>
  <w:num w:numId="30">
    <w:abstractNumId w:val="24"/>
  </w:num>
  <w:num w:numId="31">
    <w:abstractNumId w:val="3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D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1"/>
  <w:documentProtection w:edit="readOnly" w:enforcement="0"/>
  <w:defaultTabStop w:val="284"/>
  <w:defaultTableStyle w:val="NTGTable"/>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169"/>
    <w:rsid w:val="00001DDF"/>
    <w:rsid w:val="0000322D"/>
    <w:rsid w:val="00010665"/>
    <w:rsid w:val="00027DB8"/>
    <w:rsid w:val="00031A96"/>
    <w:rsid w:val="000372E6"/>
    <w:rsid w:val="00040BF3"/>
    <w:rsid w:val="00046028"/>
    <w:rsid w:val="00046C59"/>
    <w:rsid w:val="00047693"/>
    <w:rsid w:val="00051362"/>
    <w:rsid w:val="00051F45"/>
    <w:rsid w:val="000555A2"/>
    <w:rsid w:val="00056DEF"/>
    <w:rsid w:val="00061775"/>
    <w:rsid w:val="000720BE"/>
    <w:rsid w:val="0007259C"/>
    <w:rsid w:val="00080202"/>
    <w:rsid w:val="00080DCD"/>
    <w:rsid w:val="00080E22"/>
    <w:rsid w:val="000840A3"/>
    <w:rsid w:val="00086A5F"/>
    <w:rsid w:val="000911EF"/>
    <w:rsid w:val="000962C5"/>
    <w:rsid w:val="000A1759"/>
    <w:rsid w:val="000A25E1"/>
    <w:rsid w:val="000A559C"/>
    <w:rsid w:val="000B29D7"/>
    <w:rsid w:val="000B2CA1"/>
    <w:rsid w:val="000B5F27"/>
    <w:rsid w:val="000C222D"/>
    <w:rsid w:val="000D1F29"/>
    <w:rsid w:val="000D3B9F"/>
    <w:rsid w:val="000E2577"/>
    <w:rsid w:val="000F2710"/>
    <w:rsid w:val="000F2958"/>
    <w:rsid w:val="000F754E"/>
    <w:rsid w:val="00104E7F"/>
    <w:rsid w:val="001137EC"/>
    <w:rsid w:val="001152F5"/>
    <w:rsid w:val="00117743"/>
    <w:rsid w:val="00117F5B"/>
    <w:rsid w:val="00132658"/>
    <w:rsid w:val="00150DC0"/>
    <w:rsid w:val="00156CD4"/>
    <w:rsid w:val="001639F7"/>
    <w:rsid w:val="00164A3E"/>
    <w:rsid w:val="00173DFB"/>
    <w:rsid w:val="001777CE"/>
    <w:rsid w:val="00181620"/>
    <w:rsid w:val="001957AD"/>
    <w:rsid w:val="001A03E5"/>
    <w:rsid w:val="001A2B7F"/>
    <w:rsid w:val="001A3AFD"/>
    <w:rsid w:val="001A496C"/>
    <w:rsid w:val="001B188F"/>
    <w:rsid w:val="001B2B6C"/>
    <w:rsid w:val="001B7C60"/>
    <w:rsid w:val="001D01C4"/>
    <w:rsid w:val="001D52B0"/>
    <w:rsid w:val="001D7CA4"/>
    <w:rsid w:val="001E057F"/>
    <w:rsid w:val="001E14EB"/>
    <w:rsid w:val="001F59E6"/>
    <w:rsid w:val="00202213"/>
    <w:rsid w:val="00206936"/>
    <w:rsid w:val="00206C6F"/>
    <w:rsid w:val="00206FBD"/>
    <w:rsid w:val="00207746"/>
    <w:rsid w:val="00230031"/>
    <w:rsid w:val="00235EF0"/>
    <w:rsid w:val="00247343"/>
    <w:rsid w:val="00247646"/>
    <w:rsid w:val="00251643"/>
    <w:rsid w:val="00255CF1"/>
    <w:rsid w:val="002649B2"/>
    <w:rsid w:val="00265C56"/>
    <w:rsid w:val="002716CD"/>
    <w:rsid w:val="00274D4B"/>
    <w:rsid w:val="002806F5"/>
    <w:rsid w:val="00281577"/>
    <w:rsid w:val="002926BC"/>
    <w:rsid w:val="00293A72"/>
    <w:rsid w:val="002A30C3"/>
    <w:rsid w:val="002A7712"/>
    <w:rsid w:val="002B38F7"/>
    <w:rsid w:val="002B5591"/>
    <w:rsid w:val="002C1FE9"/>
    <w:rsid w:val="002C483D"/>
    <w:rsid w:val="002D3A57"/>
    <w:rsid w:val="002D6C77"/>
    <w:rsid w:val="002D7D05"/>
    <w:rsid w:val="002E20C8"/>
    <w:rsid w:val="002E4290"/>
    <w:rsid w:val="002E66A6"/>
    <w:rsid w:val="002F0DB1"/>
    <w:rsid w:val="002F2885"/>
    <w:rsid w:val="003037F9"/>
    <w:rsid w:val="0030583E"/>
    <w:rsid w:val="00307FE1"/>
    <w:rsid w:val="00324DE5"/>
    <w:rsid w:val="003258E6"/>
    <w:rsid w:val="00332357"/>
    <w:rsid w:val="00342283"/>
    <w:rsid w:val="00343A87"/>
    <w:rsid w:val="00347FB6"/>
    <w:rsid w:val="003504FD"/>
    <w:rsid w:val="00350881"/>
    <w:rsid w:val="00353A36"/>
    <w:rsid w:val="00356DA6"/>
    <w:rsid w:val="00357D55"/>
    <w:rsid w:val="00363513"/>
    <w:rsid w:val="003657E5"/>
    <w:rsid w:val="0036589C"/>
    <w:rsid w:val="00365FE9"/>
    <w:rsid w:val="0037058F"/>
    <w:rsid w:val="00371312"/>
    <w:rsid w:val="00371DC7"/>
    <w:rsid w:val="00377B21"/>
    <w:rsid w:val="003811CE"/>
    <w:rsid w:val="00394876"/>
    <w:rsid w:val="00394AAF"/>
    <w:rsid w:val="00394CE5"/>
    <w:rsid w:val="00397E80"/>
    <w:rsid w:val="003A2424"/>
    <w:rsid w:val="003A7EAC"/>
    <w:rsid w:val="003B67FD"/>
    <w:rsid w:val="003B6A61"/>
    <w:rsid w:val="003D42C0"/>
    <w:rsid w:val="003D5B29"/>
    <w:rsid w:val="003D6869"/>
    <w:rsid w:val="003D7818"/>
    <w:rsid w:val="003E2445"/>
    <w:rsid w:val="003E3BB2"/>
    <w:rsid w:val="003F5294"/>
    <w:rsid w:val="003F5B58"/>
    <w:rsid w:val="0040222A"/>
    <w:rsid w:val="004047BC"/>
    <w:rsid w:val="004049B8"/>
    <w:rsid w:val="004100F7"/>
    <w:rsid w:val="00414CB3"/>
    <w:rsid w:val="0041563D"/>
    <w:rsid w:val="00426E25"/>
    <w:rsid w:val="00427D9C"/>
    <w:rsid w:val="004301EA"/>
    <w:rsid w:val="004416E6"/>
    <w:rsid w:val="00443B6E"/>
    <w:rsid w:val="00451408"/>
    <w:rsid w:val="0045420A"/>
    <w:rsid w:val="004554D4"/>
    <w:rsid w:val="00461744"/>
    <w:rsid w:val="00466D96"/>
    <w:rsid w:val="00467747"/>
    <w:rsid w:val="00473C98"/>
    <w:rsid w:val="00482DF8"/>
    <w:rsid w:val="004864DE"/>
    <w:rsid w:val="00494BE5"/>
    <w:rsid w:val="0049513B"/>
    <w:rsid w:val="004A2538"/>
    <w:rsid w:val="004B0C15"/>
    <w:rsid w:val="004B35EA"/>
    <w:rsid w:val="004B69E4"/>
    <w:rsid w:val="004C6C39"/>
    <w:rsid w:val="004D075F"/>
    <w:rsid w:val="004D1B76"/>
    <w:rsid w:val="004D344E"/>
    <w:rsid w:val="004D4464"/>
    <w:rsid w:val="004E019E"/>
    <w:rsid w:val="004E06EC"/>
    <w:rsid w:val="004E2CB7"/>
    <w:rsid w:val="004E6214"/>
    <w:rsid w:val="004F016A"/>
    <w:rsid w:val="004F2841"/>
    <w:rsid w:val="004F566D"/>
    <w:rsid w:val="00500F94"/>
    <w:rsid w:val="00502FB3"/>
    <w:rsid w:val="00503DE9"/>
    <w:rsid w:val="0050530C"/>
    <w:rsid w:val="00505DEA"/>
    <w:rsid w:val="00507782"/>
    <w:rsid w:val="00512A04"/>
    <w:rsid w:val="005249F5"/>
    <w:rsid w:val="005260F7"/>
    <w:rsid w:val="0053708D"/>
    <w:rsid w:val="00543BD1"/>
    <w:rsid w:val="00552D2E"/>
    <w:rsid w:val="00556113"/>
    <w:rsid w:val="00564C12"/>
    <w:rsid w:val="005654B8"/>
    <w:rsid w:val="005762CC"/>
    <w:rsid w:val="00576DD6"/>
    <w:rsid w:val="00582D3D"/>
    <w:rsid w:val="0058778F"/>
    <w:rsid w:val="00595386"/>
    <w:rsid w:val="005A4AC0"/>
    <w:rsid w:val="005A50AF"/>
    <w:rsid w:val="005A5FDF"/>
    <w:rsid w:val="005B0FB7"/>
    <w:rsid w:val="005B122A"/>
    <w:rsid w:val="005B5AC2"/>
    <w:rsid w:val="005B6F16"/>
    <w:rsid w:val="005C2833"/>
    <w:rsid w:val="005D0997"/>
    <w:rsid w:val="005D7224"/>
    <w:rsid w:val="005E144D"/>
    <w:rsid w:val="005E1500"/>
    <w:rsid w:val="005E3A43"/>
    <w:rsid w:val="005F5072"/>
    <w:rsid w:val="00620675"/>
    <w:rsid w:val="006433C3"/>
    <w:rsid w:val="00650F5B"/>
    <w:rsid w:val="006670D7"/>
    <w:rsid w:val="006719EA"/>
    <w:rsid w:val="00671F13"/>
    <w:rsid w:val="0067400A"/>
    <w:rsid w:val="006846EE"/>
    <w:rsid w:val="006847AD"/>
    <w:rsid w:val="0069114B"/>
    <w:rsid w:val="006A673C"/>
    <w:rsid w:val="006B05A3"/>
    <w:rsid w:val="006B22E1"/>
    <w:rsid w:val="006B36CF"/>
    <w:rsid w:val="006C238B"/>
    <w:rsid w:val="006D5CBC"/>
    <w:rsid w:val="006D66F7"/>
    <w:rsid w:val="006F3FD0"/>
    <w:rsid w:val="007003A4"/>
    <w:rsid w:val="00705C9D"/>
    <w:rsid w:val="00705F13"/>
    <w:rsid w:val="00714F1D"/>
    <w:rsid w:val="00720016"/>
    <w:rsid w:val="00722DDB"/>
    <w:rsid w:val="00724728"/>
    <w:rsid w:val="00724A5F"/>
    <w:rsid w:val="00724F98"/>
    <w:rsid w:val="00730B9B"/>
    <w:rsid w:val="00731286"/>
    <w:rsid w:val="007332FF"/>
    <w:rsid w:val="007408F5"/>
    <w:rsid w:val="00741EAE"/>
    <w:rsid w:val="00745B60"/>
    <w:rsid w:val="00756AEE"/>
    <w:rsid w:val="0076190B"/>
    <w:rsid w:val="0076355D"/>
    <w:rsid w:val="00763A2D"/>
    <w:rsid w:val="007728B8"/>
    <w:rsid w:val="007764A1"/>
    <w:rsid w:val="00777795"/>
    <w:rsid w:val="00783A57"/>
    <w:rsid w:val="00784C92"/>
    <w:rsid w:val="007859CD"/>
    <w:rsid w:val="00786881"/>
    <w:rsid w:val="00787FA6"/>
    <w:rsid w:val="007907E4"/>
    <w:rsid w:val="00795FAA"/>
    <w:rsid w:val="00796461"/>
    <w:rsid w:val="007A5777"/>
    <w:rsid w:val="007A6A4F"/>
    <w:rsid w:val="007B03F5"/>
    <w:rsid w:val="007B5C09"/>
    <w:rsid w:val="007B5DA2"/>
    <w:rsid w:val="007C0966"/>
    <w:rsid w:val="007C19E7"/>
    <w:rsid w:val="007C4921"/>
    <w:rsid w:val="007C5CFD"/>
    <w:rsid w:val="007C6D9F"/>
    <w:rsid w:val="007C788A"/>
    <w:rsid w:val="007D4893"/>
    <w:rsid w:val="007E70CF"/>
    <w:rsid w:val="007E74A4"/>
    <w:rsid w:val="007F263F"/>
    <w:rsid w:val="007F4177"/>
    <w:rsid w:val="007F6C12"/>
    <w:rsid w:val="0080766E"/>
    <w:rsid w:val="00811169"/>
    <w:rsid w:val="00815297"/>
    <w:rsid w:val="00817BA1"/>
    <w:rsid w:val="00823022"/>
    <w:rsid w:val="0082634E"/>
    <w:rsid w:val="008313C4"/>
    <w:rsid w:val="00835434"/>
    <w:rsid w:val="008358C0"/>
    <w:rsid w:val="00842838"/>
    <w:rsid w:val="00854EC1"/>
    <w:rsid w:val="00855B96"/>
    <w:rsid w:val="0085797F"/>
    <w:rsid w:val="00861DC3"/>
    <w:rsid w:val="00867019"/>
    <w:rsid w:val="008735A9"/>
    <w:rsid w:val="00877D20"/>
    <w:rsid w:val="00881C48"/>
    <w:rsid w:val="00885B80"/>
    <w:rsid w:val="00885C30"/>
    <w:rsid w:val="00885E9B"/>
    <w:rsid w:val="00893C96"/>
    <w:rsid w:val="008A317D"/>
    <w:rsid w:val="008A7C12"/>
    <w:rsid w:val="008B10F3"/>
    <w:rsid w:val="008B3358"/>
    <w:rsid w:val="008B529E"/>
    <w:rsid w:val="008C17FB"/>
    <w:rsid w:val="008D57B8"/>
    <w:rsid w:val="008E03FC"/>
    <w:rsid w:val="008E11F4"/>
    <w:rsid w:val="008E510B"/>
    <w:rsid w:val="00902B13"/>
    <w:rsid w:val="00911941"/>
    <w:rsid w:val="00916708"/>
    <w:rsid w:val="00925F0F"/>
    <w:rsid w:val="00932F6B"/>
    <w:rsid w:val="009468BC"/>
    <w:rsid w:val="009616DF"/>
    <w:rsid w:val="0096542F"/>
    <w:rsid w:val="00967FA7"/>
    <w:rsid w:val="00971645"/>
    <w:rsid w:val="00977919"/>
    <w:rsid w:val="009870FA"/>
    <w:rsid w:val="0099551D"/>
    <w:rsid w:val="009A5897"/>
    <w:rsid w:val="009A5F24"/>
    <w:rsid w:val="009B0B3E"/>
    <w:rsid w:val="009B1913"/>
    <w:rsid w:val="009B6657"/>
    <w:rsid w:val="009D0EB5"/>
    <w:rsid w:val="009D14F9"/>
    <w:rsid w:val="009D2B74"/>
    <w:rsid w:val="009E175D"/>
    <w:rsid w:val="009E3CC2"/>
    <w:rsid w:val="009F06BD"/>
    <w:rsid w:val="009F205A"/>
    <w:rsid w:val="009F2A4D"/>
    <w:rsid w:val="00A00828"/>
    <w:rsid w:val="00A03290"/>
    <w:rsid w:val="00A07490"/>
    <w:rsid w:val="00A10655"/>
    <w:rsid w:val="00A15791"/>
    <w:rsid w:val="00A2096E"/>
    <w:rsid w:val="00A22C38"/>
    <w:rsid w:val="00A25193"/>
    <w:rsid w:val="00A31AE8"/>
    <w:rsid w:val="00A35FBB"/>
    <w:rsid w:val="00A3739D"/>
    <w:rsid w:val="00A37DDA"/>
    <w:rsid w:val="00A6456C"/>
    <w:rsid w:val="00A84366"/>
    <w:rsid w:val="00A925EC"/>
    <w:rsid w:val="00A929AA"/>
    <w:rsid w:val="00A92B6B"/>
    <w:rsid w:val="00AA541E"/>
    <w:rsid w:val="00AB5894"/>
    <w:rsid w:val="00AD0DA4"/>
    <w:rsid w:val="00AD4169"/>
    <w:rsid w:val="00AE25C6"/>
    <w:rsid w:val="00AE306C"/>
    <w:rsid w:val="00AF235C"/>
    <w:rsid w:val="00AF3019"/>
    <w:rsid w:val="00B02EF1"/>
    <w:rsid w:val="00B07C97"/>
    <w:rsid w:val="00B15754"/>
    <w:rsid w:val="00B2046E"/>
    <w:rsid w:val="00B20E8B"/>
    <w:rsid w:val="00B20EFF"/>
    <w:rsid w:val="00B24CB6"/>
    <w:rsid w:val="00B257E1"/>
    <w:rsid w:val="00B258D9"/>
    <w:rsid w:val="00B32B1B"/>
    <w:rsid w:val="00B343CC"/>
    <w:rsid w:val="00B5084A"/>
    <w:rsid w:val="00B614F7"/>
    <w:rsid w:val="00B61B26"/>
    <w:rsid w:val="00B675B2"/>
    <w:rsid w:val="00B70A37"/>
    <w:rsid w:val="00B81261"/>
    <w:rsid w:val="00B8223E"/>
    <w:rsid w:val="00B832AE"/>
    <w:rsid w:val="00B86678"/>
    <w:rsid w:val="00B90BA4"/>
    <w:rsid w:val="00B90D39"/>
    <w:rsid w:val="00B92F9B"/>
    <w:rsid w:val="00B941B3"/>
    <w:rsid w:val="00B96513"/>
    <w:rsid w:val="00B97A70"/>
    <w:rsid w:val="00BA09CA"/>
    <w:rsid w:val="00BA1D47"/>
    <w:rsid w:val="00BA66F0"/>
    <w:rsid w:val="00BB1E58"/>
    <w:rsid w:val="00BB2239"/>
    <w:rsid w:val="00BB2AE7"/>
    <w:rsid w:val="00BB6464"/>
    <w:rsid w:val="00BC1BB8"/>
    <w:rsid w:val="00BC3B3F"/>
    <w:rsid w:val="00BD7FE1"/>
    <w:rsid w:val="00BE37CA"/>
    <w:rsid w:val="00BE6144"/>
    <w:rsid w:val="00BE635A"/>
    <w:rsid w:val="00BF2ABB"/>
    <w:rsid w:val="00BF5099"/>
    <w:rsid w:val="00C10F10"/>
    <w:rsid w:val="00C15D4D"/>
    <w:rsid w:val="00C175DC"/>
    <w:rsid w:val="00C30171"/>
    <w:rsid w:val="00C309D8"/>
    <w:rsid w:val="00C31137"/>
    <w:rsid w:val="00C56F27"/>
    <w:rsid w:val="00C60417"/>
    <w:rsid w:val="00C61AFA"/>
    <w:rsid w:val="00C62099"/>
    <w:rsid w:val="00C64EA3"/>
    <w:rsid w:val="00C72867"/>
    <w:rsid w:val="00C75E81"/>
    <w:rsid w:val="00C81AB6"/>
    <w:rsid w:val="00C82F23"/>
    <w:rsid w:val="00C86609"/>
    <w:rsid w:val="00C92B4C"/>
    <w:rsid w:val="00C954F6"/>
    <w:rsid w:val="00C96BFB"/>
    <w:rsid w:val="00CA09C9"/>
    <w:rsid w:val="00CA6BC5"/>
    <w:rsid w:val="00CC4B11"/>
    <w:rsid w:val="00CC61CD"/>
    <w:rsid w:val="00CD5011"/>
    <w:rsid w:val="00CE5E00"/>
    <w:rsid w:val="00CE640F"/>
    <w:rsid w:val="00CF540E"/>
    <w:rsid w:val="00D00FAA"/>
    <w:rsid w:val="00D02F07"/>
    <w:rsid w:val="00D10D17"/>
    <w:rsid w:val="00D12D4F"/>
    <w:rsid w:val="00D24248"/>
    <w:rsid w:val="00D275E8"/>
    <w:rsid w:val="00D36A49"/>
    <w:rsid w:val="00D517C6"/>
    <w:rsid w:val="00D547E3"/>
    <w:rsid w:val="00D54AA8"/>
    <w:rsid w:val="00D57D78"/>
    <w:rsid w:val="00D65365"/>
    <w:rsid w:val="00D71D84"/>
    <w:rsid w:val="00D72464"/>
    <w:rsid w:val="00D768EB"/>
    <w:rsid w:val="00D82D1E"/>
    <w:rsid w:val="00D832D9"/>
    <w:rsid w:val="00D86B6F"/>
    <w:rsid w:val="00D90F00"/>
    <w:rsid w:val="00D95121"/>
    <w:rsid w:val="00D975C0"/>
    <w:rsid w:val="00DA5285"/>
    <w:rsid w:val="00DB191D"/>
    <w:rsid w:val="00DB4F91"/>
    <w:rsid w:val="00DB63EA"/>
    <w:rsid w:val="00DC3117"/>
    <w:rsid w:val="00DC5DD9"/>
    <w:rsid w:val="00DC6D2D"/>
    <w:rsid w:val="00DD3B4D"/>
    <w:rsid w:val="00DE33B5"/>
    <w:rsid w:val="00DE5E18"/>
    <w:rsid w:val="00DE6277"/>
    <w:rsid w:val="00DF0487"/>
    <w:rsid w:val="00DF5EA4"/>
    <w:rsid w:val="00E02681"/>
    <w:rsid w:val="00E02792"/>
    <w:rsid w:val="00E034D8"/>
    <w:rsid w:val="00E04CC0"/>
    <w:rsid w:val="00E15816"/>
    <w:rsid w:val="00E160D5"/>
    <w:rsid w:val="00E16B3D"/>
    <w:rsid w:val="00E30556"/>
    <w:rsid w:val="00E30981"/>
    <w:rsid w:val="00E31F5F"/>
    <w:rsid w:val="00E33136"/>
    <w:rsid w:val="00E34D7C"/>
    <w:rsid w:val="00E3723D"/>
    <w:rsid w:val="00E44C89"/>
    <w:rsid w:val="00E61BA2"/>
    <w:rsid w:val="00E6403F"/>
    <w:rsid w:val="00E84C5A"/>
    <w:rsid w:val="00E861DB"/>
    <w:rsid w:val="00E93406"/>
    <w:rsid w:val="00E956C5"/>
    <w:rsid w:val="00E95C39"/>
    <w:rsid w:val="00EA1B11"/>
    <w:rsid w:val="00EA2C39"/>
    <w:rsid w:val="00EB0A96"/>
    <w:rsid w:val="00EB60EC"/>
    <w:rsid w:val="00EB77F9"/>
    <w:rsid w:val="00EC5769"/>
    <w:rsid w:val="00EC7D00"/>
    <w:rsid w:val="00ED0304"/>
    <w:rsid w:val="00ED566E"/>
    <w:rsid w:val="00EE18E9"/>
    <w:rsid w:val="00EE1A0A"/>
    <w:rsid w:val="00EE38FA"/>
    <w:rsid w:val="00EE3E2C"/>
    <w:rsid w:val="00EE5D23"/>
    <w:rsid w:val="00EF3CA4"/>
    <w:rsid w:val="00F014DA"/>
    <w:rsid w:val="00F24EB2"/>
    <w:rsid w:val="00F373C0"/>
    <w:rsid w:val="00F60EFF"/>
    <w:rsid w:val="00F725EE"/>
    <w:rsid w:val="00F82EBB"/>
    <w:rsid w:val="00F879B3"/>
    <w:rsid w:val="00F94398"/>
    <w:rsid w:val="00FB2B56"/>
    <w:rsid w:val="00FC12BF"/>
    <w:rsid w:val="00FD3E6F"/>
    <w:rsid w:val="00FD51B9"/>
    <w:rsid w:val="00FE2A39"/>
    <w:rsid w:val="00FE7BF4"/>
    <w:rsid w:val="00FF0818"/>
    <w:rsid w:val="00FF2023"/>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76FF6AE9"/>
  <w15:docId w15:val="{A8252137-6A5C-446E-BFBA-68EB03245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F5EA4"/>
  </w:style>
  <w:style w:type="paragraph" w:styleId="Heading1">
    <w:name w:val="heading 1"/>
    <w:basedOn w:val="Normal"/>
    <w:next w:val="Normal"/>
    <w:link w:val="Heading1Char"/>
    <w:uiPriority w:val="1"/>
    <w:qFormat/>
    <w:rsid w:val="009A5F24"/>
    <w:pPr>
      <w:keepNext/>
      <w:keepLines/>
      <w:numPr>
        <w:numId w:val="3"/>
      </w:numPr>
      <w:spacing w:before="240"/>
      <w:outlineLvl w:val="0"/>
    </w:pPr>
    <w:rPr>
      <w:rFonts w:eastAsiaTheme="majorEastAsia" w:cstheme="majorBidi"/>
      <w:b/>
      <w:bCs/>
      <w:kern w:val="32"/>
      <w:sz w:val="32"/>
      <w:szCs w:val="32"/>
    </w:rPr>
  </w:style>
  <w:style w:type="paragraph" w:styleId="Heading2">
    <w:name w:val="heading 2"/>
    <w:basedOn w:val="Normal"/>
    <w:next w:val="Normal"/>
    <w:link w:val="Heading2Char"/>
    <w:uiPriority w:val="1"/>
    <w:qFormat/>
    <w:rsid w:val="009A5F24"/>
    <w:pPr>
      <w:keepNext/>
      <w:keepLines/>
      <w:numPr>
        <w:ilvl w:val="1"/>
        <w:numId w:val="3"/>
      </w:numPr>
      <w:spacing w:before="240"/>
      <w:outlineLvl w:val="1"/>
    </w:pPr>
    <w:rPr>
      <w:rFonts w:eastAsiaTheme="majorEastAsia" w:cstheme="majorBidi"/>
      <w:b/>
      <w:bCs/>
      <w:iCs/>
      <w:color w:val="606060"/>
      <w:sz w:val="28"/>
      <w:szCs w:val="28"/>
    </w:rPr>
  </w:style>
  <w:style w:type="paragraph" w:styleId="Heading3">
    <w:name w:val="heading 3"/>
    <w:basedOn w:val="Normal"/>
    <w:next w:val="Normal"/>
    <w:link w:val="Heading3Char"/>
    <w:uiPriority w:val="1"/>
    <w:qFormat/>
    <w:rsid w:val="009A5F24"/>
    <w:pPr>
      <w:keepNext/>
      <w:keepLines/>
      <w:numPr>
        <w:ilvl w:val="2"/>
        <w:numId w:val="3"/>
      </w:numPr>
      <w:spacing w:before="240"/>
      <w:outlineLvl w:val="2"/>
    </w:pPr>
    <w:rPr>
      <w:rFonts w:cs="Arial"/>
      <w:b/>
      <w:bCs/>
      <w:sz w:val="24"/>
      <w:szCs w:val="26"/>
    </w:rPr>
  </w:style>
  <w:style w:type="paragraph" w:styleId="Heading4">
    <w:name w:val="heading 4"/>
    <w:basedOn w:val="Normal"/>
    <w:next w:val="Normal"/>
    <w:link w:val="Heading4Char"/>
    <w:uiPriority w:val="1"/>
    <w:qFormat/>
    <w:rsid w:val="009A5F24"/>
    <w:pPr>
      <w:keepNext/>
      <w:keepLines/>
      <w:numPr>
        <w:ilvl w:val="3"/>
        <w:numId w:val="3"/>
      </w:numPr>
      <w:spacing w:before="240"/>
      <w:outlineLvl w:val="3"/>
    </w:pPr>
    <w:rPr>
      <w:rFonts w:eastAsiaTheme="majorEastAsia" w:cstheme="majorBidi"/>
      <w:b/>
      <w:bCs/>
      <w:iCs/>
      <w:color w:val="606060"/>
    </w:rPr>
  </w:style>
  <w:style w:type="paragraph" w:styleId="Heading5">
    <w:name w:val="heading 5"/>
    <w:basedOn w:val="Normal"/>
    <w:next w:val="Normal"/>
    <w:link w:val="Heading5Char"/>
    <w:uiPriority w:val="9"/>
    <w:rsid w:val="009A5F24"/>
    <w:pPr>
      <w:keepNext/>
      <w:keepLines/>
      <w:numPr>
        <w:ilvl w:val="4"/>
        <w:numId w:val="3"/>
      </w:numPr>
      <w:outlineLvl w:val="4"/>
    </w:pPr>
    <w:rPr>
      <w:b/>
      <w:color w:val="000000" w:themeColor="text1"/>
    </w:rPr>
  </w:style>
  <w:style w:type="paragraph" w:styleId="Heading6">
    <w:name w:val="heading 6"/>
    <w:basedOn w:val="Normal"/>
    <w:next w:val="Normal"/>
    <w:link w:val="Heading6Char"/>
    <w:uiPriority w:val="9"/>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9"/>
    <w:rsid w:val="009A5F24"/>
    <w:pPr>
      <w:keepNext/>
      <w:keepLines/>
      <w:numPr>
        <w:ilvl w:val="6"/>
        <w:numId w:val="3"/>
      </w:numPr>
      <w:outlineLvl w:val="6"/>
    </w:pPr>
    <w:rPr>
      <w:b/>
      <w:color w:val="000000" w:themeColor="text1"/>
    </w:rPr>
  </w:style>
  <w:style w:type="paragraph" w:styleId="Heading8">
    <w:name w:val="heading 8"/>
    <w:basedOn w:val="Normal"/>
    <w:next w:val="Normal"/>
    <w:link w:val="Heading8Char"/>
    <w:uiPriority w:val="9"/>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9"/>
    <w:rsid w:val="009A5F24"/>
    <w:pPr>
      <w:keepNext/>
      <w:keepLines/>
      <w:numPr>
        <w:ilvl w:val="8"/>
        <w:numId w:val="3"/>
      </w:numPr>
      <w:outlineLvl w:val="8"/>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5"/>
    <w:rsid w:val="003504FD"/>
  </w:style>
  <w:style w:type="character" w:customStyle="1" w:styleId="Heading1Char">
    <w:name w:val="Heading 1 Char"/>
    <w:basedOn w:val="DefaultParagraphFont"/>
    <w:link w:val="Heading1"/>
    <w:uiPriority w:val="1"/>
    <w:rsid w:val="009A5F24"/>
    <w:rPr>
      <w:rFonts w:eastAsiaTheme="majorEastAsia" w:cstheme="majorBidi"/>
      <w:b/>
      <w:bCs/>
      <w:kern w:val="32"/>
      <w:sz w:val="32"/>
      <w:szCs w:val="32"/>
    </w:rPr>
  </w:style>
  <w:style w:type="character" w:customStyle="1" w:styleId="Heading2Char">
    <w:name w:val="Heading 2 Char"/>
    <w:basedOn w:val="DefaultParagraphFont"/>
    <w:link w:val="Heading2"/>
    <w:uiPriority w:val="1"/>
    <w:rsid w:val="009A5F24"/>
    <w:rPr>
      <w:rFonts w:eastAsiaTheme="majorEastAsia" w:cstheme="majorBidi"/>
      <w:b/>
      <w:bCs/>
      <w:iCs/>
      <w:color w:val="606060"/>
      <w:sz w:val="28"/>
      <w:szCs w:val="28"/>
    </w:rPr>
  </w:style>
  <w:style w:type="paragraph" w:styleId="Title">
    <w:name w:val="Title"/>
    <w:next w:val="Normal"/>
    <w:link w:val="TitleChar"/>
    <w:uiPriority w:val="10"/>
    <w:rsid w:val="00BF5099"/>
    <w:pPr>
      <w:spacing w:after="240"/>
    </w:pPr>
    <w:rPr>
      <w:rFonts w:ascii="Arial Black" w:eastAsia="Times New Roman" w:hAnsi="Arial Black" w:cs="Arial"/>
      <w:b/>
      <w:color w:val="CB6015"/>
      <w:sz w:val="36"/>
      <w:szCs w:val="36"/>
      <w:lang w:eastAsia="en-AU"/>
    </w:rPr>
  </w:style>
  <w:style w:type="character" w:customStyle="1" w:styleId="TitleChar">
    <w:name w:val="Title Char"/>
    <w:basedOn w:val="DefaultParagraphFont"/>
    <w:link w:val="Title"/>
    <w:uiPriority w:val="10"/>
    <w:rsid w:val="00BF5099"/>
    <w:rPr>
      <w:rFonts w:ascii="Arial Black" w:eastAsia="Times New Roman" w:hAnsi="Arial Black" w:cs="Arial"/>
      <w:b/>
      <w:color w:val="CB6015"/>
      <w:sz w:val="36"/>
      <w:szCs w:val="36"/>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1"/>
    <w:rsid w:val="009A5F24"/>
    <w:rPr>
      <w:rFonts w:cs="Arial"/>
      <w:b/>
      <w:bCs/>
      <w:sz w:val="24"/>
      <w:szCs w:val="26"/>
    </w:rPr>
  </w:style>
  <w:style w:type="paragraph" w:styleId="BlockText">
    <w:name w:val="Block Text"/>
    <w:basedOn w:val="Normal"/>
    <w:link w:val="BlockTextChar"/>
    <w:rsid w:val="00414CB3"/>
    <w:rPr>
      <w:rFonts w:eastAsiaTheme="minorEastAsia"/>
      <w:iCs/>
    </w:rPr>
  </w:style>
  <w:style w:type="paragraph" w:styleId="Header">
    <w:name w:val="header"/>
    <w:aliases w:val="NTG Page Header"/>
    <w:basedOn w:val="Normal"/>
    <w:next w:val="Normal"/>
    <w:link w:val="HeaderChar"/>
    <w:uiPriority w:val="11"/>
    <w:rsid w:val="005A4AC0"/>
    <w:pPr>
      <w:tabs>
        <w:tab w:val="center" w:pos="4513"/>
        <w:tab w:val="right" w:pos="9026"/>
      </w:tabs>
      <w:jc w:val="right"/>
    </w:pPr>
    <w:rPr>
      <w:b/>
    </w:rPr>
  </w:style>
  <w:style w:type="character" w:customStyle="1" w:styleId="HeaderChar">
    <w:name w:val="Header Char"/>
    <w:aliases w:val="NTG Page Header Char"/>
    <w:basedOn w:val="DefaultParagraphFont"/>
    <w:link w:val="Header"/>
    <w:uiPriority w:val="11"/>
    <w:rsid w:val="00595386"/>
    <w:rPr>
      <w:rFonts w:ascii="Arial" w:eastAsia="Times New Roman" w:hAnsi="Arial"/>
      <w:b/>
      <w:sz w:val="22"/>
      <w:lang w:eastAsia="en-AU"/>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character" w:customStyle="1" w:styleId="Heading4Char">
    <w:name w:val="Heading 4 Char"/>
    <w:basedOn w:val="DefaultParagraphFont"/>
    <w:link w:val="Heading4"/>
    <w:uiPriority w:val="1"/>
    <w:rsid w:val="009A5F24"/>
    <w:rPr>
      <w:rFonts w:eastAsiaTheme="majorEastAsia" w:cstheme="majorBidi"/>
      <w:b/>
      <w:bCs/>
      <w:iCs/>
      <w:color w:val="606060"/>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Footer1items">
    <w:name w:val="NTG Footer 1 items"/>
    <w:basedOn w:val="Normal"/>
    <w:link w:val="NTGFooter1itemsChar"/>
    <w:uiPriority w:val="7"/>
    <w:rsid w:val="00705C9D"/>
    <w:pPr>
      <w:widowControl w:val="0"/>
      <w:tabs>
        <w:tab w:val="left" w:pos="1778"/>
        <w:tab w:val="right" w:pos="9026"/>
      </w:tabs>
      <w:spacing w:after="0"/>
    </w:pPr>
    <w:rPr>
      <w:rFonts w:cs="Arial"/>
      <w:sz w:val="20"/>
      <w:szCs w:val="16"/>
    </w:rPr>
  </w:style>
  <w:style w:type="paragraph" w:customStyle="1" w:styleId="NTGFooterDepartmentof">
    <w:name w:val="NTG Footer Department of"/>
    <w:link w:val="NTGFooterDepartmentofChar"/>
    <w:uiPriority w:val="7"/>
    <w:rsid w:val="00705C9D"/>
    <w:pPr>
      <w:widowControl w:val="0"/>
      <w:tabs>
        <w:tab w:val="right" w:pos="9026"/>
      </w:tabs>
    </w:pPr>
    <w:rPr>
      <w:rFonts w:cs="Arial"/>
      <w:caps/>
      <w:szCs w:val="16"/>
    </w:rPr>
  </w:style>
  <w:style w:type="paragraph" w:customStyle="1" w:styleId="NTGFooterDepartmentName">
    <w:name w:val="NTG Footer Department Name"/>
    <w:link w:val="NTGFooterDepartmentNameChar"/>
    <w:uiPriority w:val="7"/>
    <w:rsid w:val="00705C9D"/>
    <w:pPr>
      <w:widowControl w:val="0"/>
      <w:tabs>
        <w:tab w:val="right" w:pos="9026"/>
      </w:tabs>
    </w:pPr>
    <w:rPr>
      <w:rFonts w:ascii="Arial Black" w:hAnsi="Arial Black" w:cs="Arial"/>
      <w:caps/>
      <w:szCs w:val="16"/>
    </w:rPr>
  </w:style>
  <w:style w:type="character" w:customStyle="1" w:styleId="NTGFooter1itemsChar">
    <w:name w:val="NTG Footer 1 items Char"/>
    <w:basedOn w:val="DefaultParagraphFont"/>
    <w:link w:val="NTGFooter1items"/>
    <w:uiPriority w:val="7"/>
    <w:rsid w:val="00705C9D"/>
    <w:rPr>
      <w:rFonts w:ascii="Arial" w:hAnsi="Arial" w:cs="Arial"/>
      <w:szCs w:val="16"/>
    </w:rPr>
  </w:style>
  <w:style w:type="character" w:customStyle="1" w:styleId="NTGFooterDepartmentofChar">
    <w:name w:val="NTG Footer Department of Char"/>
    <w:basedOn w:val="DefaultParagraphFont"/>
    <w:link w:val="NTGFooterDepartmentof"/>
    <w:uiPriority w:val="7"/>
    <w:rsid w:val="00705C9D"/>
    <w:rPr>
      <w:rFonts w:ascii="Arial" w:hAnsi="Arial" w:cs="Arial"/>
      <w:caps/>
      <w:szCs w:val="16"/>
    </w:rPr>
  </w:style>
  <w:style w:type="character" w:customStyle="1" w:styleId="NTGFooterDepartmentNameChar">
    <w:name w:val="NTG Footer Department Name Char"/>
    <w:basedOn w:val="NTGFooterDepartmentofChar"/>
    <w:link w:val="NTGFooterDepartmentName"/>
    <w:uiPriority w:val="7"/>
    <w:rsid w:val="00595386"/>
    <w:rPr>
      <w:rFonts w:ascii="Arial Black" w:hAnsi="Arial Black" w:cs="Arial"/>
      <w:caps/>
      <w:szCs w:val="16"/>
    </w:rPr>
  </w:style>
  <w:style w:type="paragraph" w:customStyle="1" w:styleId="Appendix">
    <w:name w:val="Appendix"/>
    <w:basedOn w:val="Heading1"/>
    <w:next w:val="Normal"/>
    <w:uiPriority w:val="11"/>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paragraph" w:customStyle="1" w:styleId="NTGFooter2DateVersion">
    <w:name w:val="NTG Footer 2 Date &amp; Version"/>
    <w:basedOn w:val="NTGFooter2deptpagenum"/>
    <w:link w:val="NTGFooter2DateVersionChar"/>
    <w:uiPriority w:val="7"/>
    <w:rsid w:val="002926BC"/>
    <w:pPr>
      <w:spacing w:after="480"/>
    </w:pPr>
  </w:style>
  <w:style w:type="numbering" w:customStyle="1" w:styleId="NTGStandardList">
    <w:name w:val="NTG Standard List"/>
    <w:basedOn w:val="NoList"/>
    <w:rsid w:val="009F2A4D"/>
    <w:pPr>
      <w:numPr>
        <w:numId w:val="1"/>
      </w:numPr>
    </w:p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9A5F24"/>
    <w:rPr>
      <w:b/>
      <w:color w:val="000000" w:themeColor="text1"/>
    </w:rPr>
  </w:style>
  <w:style w:type="character" w:customStyle="1" w:styleId="Heading6Char">
    <w:name w:val="Heading 6 Char"/>
    <w:basedOn w:val="DefaultParagraphFont"/>
    <w:link w:val="Heading6"/>
    <w:uiPriority w:val="9"/>
    <w:rsid w:val="009A5F24"/>
    <w:rPr>
      <w:b/>
      <w:color w:val="606060"/>
    </w:rPr>
  </w:style>
  <w:style w:type="character" w:customStyle="1" w:styleId="Heading7Char">
    <w:name w:val="Heading 7 Char"/>
    <w:basedOn w:val="DefaultParagraphFont"/>
    <w:link w:val="Heading7"/>
    <w:uiPriority w:val="9"/>
    <w:rsid w:val="009A5F24"/>
    <w:rPr>
      <w:b/>
      <w:color w:val="000000" w:themeColor="text1"/>
    </w:rPr>
  </w:style>
  <w:style w:type="character" w:customStyle="1" w:styleId="Heading8Char">
    <w:name w:val="Heading 8 Char"/>
    <w:basedOn w:val="DefaultParagraphFont"/>
    <w:link w:val="Heading8"/>
    <w:uiPriority w:val="9"/>
    <w:rsid w:val="009A5F24"/>
    <w:rPr>
      <w:b/>
      <w:color w:val="606060"/>
    </w:rPr>
  </w:style>
  <w:style w:type="character" w:customStyle="1" w:styleId="Heading9Char">
    <w:name w:val="Heading 9 Char"/>
    <w:basedOn w:val="DefaultParagraphFont"/>
    <w:link w:val="Heading9"/>
    <w:uiPriority w:val="9"/>
    <w:rsid w:val="009A5F24"/>
    <w:rPr>
      <w:b/>
      <w:color w:val="000000" w:themeColor="text1"/>
    </w:rPr>
  </w:style>
  <w:style w:type="paragraph" w:customStyle="1" w:styleId="NTGFooter2deptpagenum">
    <w:name w:val="NTG Footer 2 dept &amp; page num"/>
    <w:basedOn w:val="Normal"/>
    <w:link w:val="NTGFooter2deptpagenumChar"/>
    <w:uiPriority w:val="7"/>
    <w:rsid w:val="002926BC"/>
    <w:pPr>
      <w:tabs>
        <w:tab w:val="right" w:pos="9639"/>
      </w:tabs>
      <w:spacing w:after="0"/>
    </w:pPr>
    <w:rPr>
      <w:sz w:val="20"/>
    </w:rPr>
  </w:style>
  <w:style w:type="character" w:customStyle="1" w:styleId="NTGFooter2deptpagenumChar">
    <w:name w:val="NTG Footer 2 dept &amp; page num Char"/>
    <w:basedOn w:val="DefaultParagraphFont"/>
    <w:link w:val="NTGFooter2deptpagenum"/>
    <w:uiPriority w:val="7"/>
    <w:rsid w:val="002926BC"/>
    <w:rPr>
      <w:rFonts w:ascii="Arial" w:eastAsia="Times New Roman" w:hAnsi="Arial"/>
      <w:lang w:eastAsia="en-AU"/>
    </w:rPr>
  </w:style>
  <w:style w:type="character" w:customStyle="1" w:styleId="NTGFooter2DateVersionChar">
    <w:name w:val="NTG Footer 2 Date &amp; Version Char"/>
    <w:basedOn w:val="NTGFooter2deptpagenumChar"/>
    <w:link w:val="NTGFooter2DateVersion"/>
    <w:uiPriority w:val="7"/>
    <w:rsid w:val="002926BC"/>
    <w:rPr>
      <w:rFonts w:ascii="Arial" w:eastAsia="Times New Roman" w:hAnsi="Arial"/>
      <w:lang w:eastAsia="en-AU"/>
    </w:rPr>
  </w:style>
  <w:style w:type="numbering" w:customStyle="1" w:styleId="NTGStandardNumList">
    <w:name w:val="NTG Standard Num List"/>
    <w:uiPriority w:val="99"/>
    <w:rsid w:val="007C6D9F"/>
    <w:pPr>
      <w:numPr>
        <w:numId w:val="2"/>
      </w:numPr>
    </w:pPr>
  </w:style>
  <w:style w:type="paragraph" w:styleId="ListNumber">
    <w:name w:val="List Number"/>
    <w:basedOn w:val="Normal"/>
    <w:link w:val="ListNumberChar"/>
    <w:uiPriority w:val="99"/>
    <w:qFormat/>
    <w:rsid w:val="00A22C38"/>
    <w:pPr>
      <w:numPr>
        <w:numId w:val="6"/>
      </w:numPr>
      <w:spacing w:after="120"/>
    </w:pPr>
  </w:style>
  <w:style w:type="paragraph" w:styleId="ListNumber2">
    <w:name w:val="List Number 2"/>
    <w:basedOn w:val="Normal"/>
    <w:uiPriority w:val="99"/>
    <w:rsid w:val="00A22C38"/>
    <w:pPr>
      <w:numPr>
        <w:ilvl w:val="1"/>
        <w:numId w:val="6"/>
      </w:numPr>
      <w:spacing w:after="120"/>
    </w:pPr>
  </w:style>
  <w:style w:type="paragraph" w:styleId="ListNumber3">
    <w:name w:val="List Number 3"/>
    <w:basedOn w:val="Normal"/>
    <w:uiPriority w:val="99"/>
    <w:rsid w:val="00A22C38"/>
    <w:pPr>
      <w:numPr>
        <w:ilvl w:val="2"/>
        <w:numId w:val="6"/>
      </w:numPr>
      <w:spacing w:after="120"/>
    </w:pPr>
  </w:style>
  <w:style w:type="paragraph" w:styleId="ListNumber4">
    <w:name w:val="List Number 4"/>
    <w:basedOn w:val="Normal"/>
    <w:uiPriority w:val="99"/>
    <w:rsid w:val="00A22C38"/>
    <w:pPr>
      <w:numPr>
        <w:ilvl w:val="3"/>
        <w:numId w:val="6"/>
      </w:numPr>
      <w:spacing w:after="120"/>
    </w:pPr>
  </w:style>
  <w:style w:type="paragraph" w:styleId="ListNumber5">
    <w:name w:val="List Number 5"/>
    <w:basedOn w:val="Normal"/>
    <w:uiPriority w:val="99"/>
    <w:rsid w:val="00A22C38"/>
    <w:pPr>
      <w:numPr>
        <w:ilvl w:val="4"/>
        <w:numId w:val="6"/>
      </w:numPr>
      <w:spacing w:after="120"/>
    </w:pPr>
  </w:style>
  <w:style w:type="paragraph" w:styleId="ListBullet">
    <w:name w:val="List Bullet"/>
    <w:basedOn w:val="Normal"/>
    <w:uiPriority w:val="99"/>
    <w:rsid w:val="003B6A61"/>
    <w:pPr>
      <w:numPr>
        <w:numId w:val="8"/>
      </w:numPr>
      <w:spacing w:after="120"/>
    </w:pPr>
  </w:style>
  <w:style w:type="paragraph" w:styleId="ListBullet2">
    <w:name w:val="List Bullet 2"/>
    <w:basedOn w:val="Normal"/>
    <w:uiPriority w:val="99"/>
    <w:rsid w:val="006847AD"/>
    <w:pPr>
      <w:numPr>
        <w:ilvl w:val="1"/>
        <w:numId w:val="8"/>
      </w:numPr>
      <w:spacing w:after="120"/>
    </w:pPr>
  </w:style>
  <w:style w:type="paragraph" w:styleId="ListBullet3">
    <w:name w:val="List Bullet 3"/>
    <w:basedOn w:val="Normal"/>
    <w:uiPriority w:val="99"/>
    <w:rsid w:val="006847AD"/>
    <w:pPr>
      <w:numPr>
        <w:ilvl w:val="2"/>
        <w:numId w:val="8"/>
      </w:numPr>
      <w:spacing w:after="120"/>
    </w:pPr>
  </w:style>
  <w:style w:type="paragraph" w:styleId="ListBullet4">
    <w:name w:val="List Bullet 4"/>
    <w:basedOn w:val="Normal"/>
    <w:uiPriority w:val="99"/>
    <w:rsid w:val="006847AD"/>
    <w:pPr>
      <w:numPr>
        <w:ilvl w:val="3"/>
        <w:numId w:val="8"/>
      </w:numPr>
      <w:spacing w:after="120"/>
    </w:pPr>
  </w:style>
  <w:style w:type="paragraph" w:styleId="ListBullet5">
    <w:name w:val="List Bullet 5"/>
    <w:basedOn w:val="Normal"/>
    <w:uiPriority w:val="99"/>
    <w:rsid w:val="004E2CB7"/>
    <w:pPr>
      <w:numPr>
        <w:ilvl w:val="4"/>
        <w:numId w:val="8"/>
      </w:numPr>
    </w:pPr>
  </w:style>
  <w:style w:type="character" w:styleId="Hyperlink">
    <w:name w:val="Hyperlink"/>
    <w:basedOn w:val="DefaultParagraphFont"/>
    <w:uiPriority w:val="99"/>
    <w:unhideWhenUsed/>
    <w:rsid w:val="002F0DB1"/>
    <w:rPr>
      <w:color w:val="0000FF" w:themeColor="hyperlink"/>
      <w:u w:val="single"/>
    </w:rPr>
  </w:style>
  <w:style w:type="paragraph" w:styleId="TOCHeading">
    <w:name w:val="TOC Heading"/>
    <w:basedOn w:val="Heading1"/>
    <w:next w:val="Normal"/>
    <w:uiPriority w:val="39"/>
    <w:unhideWhenUsed/>
    <w:qFormat/>
    <w:rsid w:val="003B67FD"/>
    <w:pPr>
      <w:spacing w:before="480" w:after="0"/>
      <w:outlineLvl w:val="9"/>
    </w:pPr>
    <w:rPr>
      <w:kern w:val="0"/>
      <w:szCs w:val="28"/>
    </w:rPr>
  </w:style>
  <w:style w:type="paragraph" w:styleId="TOC1">
    <w:name w:val="toc 1"/>
    <w:basedOn w:val="Normal"/>
    <w:next w:val="Normal"/>
    <w:autoRedefine/>
    <w:uiPriority w:val="39"/>
    <w:unhideWhenUsed/>
    <w:rsid w:val="007859CD"/>
    <w:pPr>
      <w:spacing w:after="100"/>
    </w:pPr>
  </w:style>
  <w:style w:type="paragraph" w:styleId="TOC2">
    <w:name w:val="toc 2"/>
    <w:basedOn w:val="Normal"/>
    <w:next w:val="Normal"/>
    <w:autoRedefine/>
    <w:uiPriority w:val="39"/>
    <w:unhideWhenUsed/>
    <w:rsid w:val="007859CD"/>
    <w:pPr>
      <w:spacing w:after="100"/>
      <w:ind w:left="220"/>
    </w:pPr>
  </w:style>
  <w:style w:type="paragraph" w:styleId="TOC3">
    <w:name w:val="toc 3"/>
    <w:basedOn w:val="Normal"/>
    <w:next w:val="Normal"/>
    <w:autoRedefine/>
    <w:uiPriority w:val="39"/>
    <w:unhideWhenUsed/>
    <w:rsid w:val="007859CD"/>
    <w:pPr>
      <w:spacing w:after="100"/>
      <w:ind w:left="440"/>
    </w:pPr>
  </w:style>
  <w:style w:type="paragraph" w:customStyle="1" w:styleId="NTGTableBulletList1">
    <w:name w:val="NTG Table Bullet List 1"/>
    <w:semiHidden/>
    <w:qFormat/>
    <w:rsid w:val="002716CD"/>
    <w:pPr>
      <w:numPr>
        <w:numId w:val="9"/>
      </w:numPr>
      <w:spacing w:after="20"/>
    </w:pPr>
  </w:style>
  <w:style w:type="paragraph" w:customStyle="1" w:styleId="NTGTableBulletList2">
    <w:name w:val="NTG Table Bullet List 2"/>
    <w:basedOn w:val="NTGTableBulletList1"/>
    <w:semiHidden/>
    <w:qFormat/>
    <w:rsid w:val="002716CD"/>
    <w:pPr>
      <w:numPr>
        <w:ilvl w:val="1"/>
      </w:numPr>
    </w:pPr>
  </w:style>
  <w:style w:type="paragraph" w:customStyle="1" w:styleId="NTGTableBulletList3">
    <w:name w:val="NTG Table Bullet List 3"/>
    <w:basedOn w:val="NTGTableBulletList2"/>
    <w:semiHidden/>
    <w:qFormat/>
    <w:rsid w:val="002716CD"/>
    <w:pPr>
      <w:numPr>
        <w:ilvl w:val="2"/>
      </w:numPr>
    </w:pPr>
  </w:style>
  <w:style w:type="paragraph" w:customStyle="1" w:styleId="NTGTableBulletList4">
    <w:name w:val="NTG Table Bullet List 4"/>
    <w:basedOn w:val="NTGTableBulletList3"/>
    <w:semiHidden/>
    <w:qFormat/>
    <w:rsid w:val="002716CD"/>
    <w:pPr>
      <w:numPr>
        <w:ilvl w:val="3"/>
      </w:numPr>
    </w:pPr>
  </w:style>
  <w:style w:type="paragraph" w:customStyle="1" w:styleId="NTGTableBulletList5">
    <w:name w:val="NTG Table Bullet List 5"/>
    <w:basedOn w:val="NTGTableBulletList4"/>
    <w:semiHidden/>
    <w:qFormat/>
    <w:rsid w:val="002716CD"/>
    <w:pPr>
      <w:numPr>
        <w:ilvl w:val="4"/>
      </w:numPr>
    </w:pPr>
  </w:style>
  <w:style w:type="paragraph" w:customStyle="1" w:styleId="NTGTableBulletList6">
    <w:name w:val="NTG Table Bullet List 6"/>
    <w:basedOn w:val="NTGTableBulletList5"/>
    <w:semiHidden/>
    <w:qFormat/>
    <w:rsid w:val="001D7CA4"/>
    <w:pPr>
      <w:numPr>
        <w:ilvl w:val="5"/>
      </w:numPr>
    </w:pPr>
  </w:style>
  <w:style w:type="paragraph" w:customStyle="1" w:styleId="NTGTableBulletList7">
    <w:name w:val="NTG Table Bullet List 7"/>
    <w:basedOn w:val="NTGTableBulletList6"/>
    <w:semiHidden/>
    <w:qFormat/>
    <w:rsid w:val="002716CD"/>
    <w:pPr>
      <w:numPr>
        <w:ilvl w:val="6"/>
      </w:numPr>
    </w:pPr>
  </w:style>
  <w:style w:type="paragraph" w:customStyle="1" w:styleId="NTGTableBulletList8">
    <w:name w:val="NTG Table Bullet List 8"/>
    <w:basedOn w:val="NTGTableBulletList7"/>
    <w:semiHidden/>
    <w:qFormat/>
    <w:rsid w:val="002716CD"/>
    <w:pPr>
      <w:numPr>
        <w:ilvl w:val="7"/>
      </w:numPr>
    </w:pPr>
  </w:style>
  <w:style w:type="paragraph" w:customStyle="1" w:styleId="NTGTableBulletList9">
    <w:name w:val="NTG Table Bullet List 9"/>
    <w:basedOn w:val="NTGTableBulletList8"/>
    <w:semiHidden/>
    <w:qFormat/>
    <w:rsid w:val="002716CD"/>
    <w:pPr>
      <w:numPr>
        <w:ilvl w:val="8"/>
      </w:numPr>
    </w:pPr>
  </w:style>
  <w:style w:type="numbering" w:customStyle="1" w:styleId="NTGTableList">
    <w:name w:val="NTG Table List"/>
    <w:uiPriority w:val="99"/>
    <w:rsid w:val="002716CD"/>
    <w:pPr>
      <w:numPr>
        <w:numId w:val="4"/>
      </w:numPr>
    </w:pPr>
  </w:style>
  <w:style w:type="paragraph" w:customStyle="1" w:styleId="NTGTableNumList1">
    <w:name w:val="NTG Table Num List 1"/>
    <w:semiHidden/>
    <w:qFormat/>
    <w:rsid w:val="002716CD"/>
    <w:pPr>
      <w:numPr>
        <w:numId w:val="7"/>
      </w:numPr>
      <w:spacing w:after="20"/>
    </w:pPr>
  </w:style>
  <w:style w:type="paragraph" w:customStyle="1" w:styleId="NTGTableNumList2">
    <w:name w:val="NTG Table Num List 2"/>
    <w:basedOn w:val="NTGTableNumList1"/>
    <w:semiHidden/>
    <w:qFormat/>
    <w:rsid w:val="002716CD"/>
    <w:pPr>
      <w:numPr>
        <w:ilvl w:val="1"/>
      </w:numPr>
    </w:pPr>
  </w:style>
  <w:style w:type="paragraph" w:customStyle="1" w:styleId="NTGTableNumList3">
    <w:name w:val="NTG Table Num List 3"/>
    <w:basedOn w:val="NTGTableNumList2"/>
    <w:semiHidden/>
    <w:qFormat/>
    <w:rsid w:val="002716CD"/>
    <w:pPr>
      <w:numPr>
        <w:ilvl w:val="2"/>
      </w:numPr>
    </w:pPr>
  </w:style>
  <w:style w:type="paragraph" w:customStyle="1" w:styleId="NTGTableNumList4">
    <w:name w:val="NTG Table Num List 4"/>
    <w:basedOn w:val="NTGTableNumList3"/>
    <w:semiHidden/>
    <w:qFormat/>
    <w:rsid w:val="002716CD"/>
    <w:pPr>
      <w:numPr>
        <w:ilvl w:val="3"/>
      </w:numPr>
    </w:pPr>
  </w:style>
  <w:style w:type="paragraph" w:customStyle="1" w:styleId="NTGTableNumList5">
    <w:name w:val="NTG Table Num List 5"/>
    <w:basedOn w:val="NTGTableNumList4"/>
    <w:semiHidden/>
    <w:qFormat/>
    <w:rsid w:val="002716CD"/>
    <w:pPr>
      <w:numPr>
        <w:ilvl w:val="4"/>
      </w:numPr>
    </w:pPr>
  </w:style>
  <w:style w:type="paragraph" w:customStyle="1" w:styleId="NTGTableNumList6">
    <w:name w:val="NTG Table Num List 6"/>
    <w:basedOn w:val="NTGTableNumList5"/>
    <w:semiHidden/>
    <w:qFormat/>
    <w:rsid w:val="002716CD"/>
    <w:pPr>
      <w:numPr>
        <w:ilvl w:val="5"/>
      </w:numPr>
    </w:pPr>
  </w:style>
  <w:style w:type="paragraph" w:customStyle="1" w:styleId="NTGTableNumList7">
    <w:name w:val="NTG Table Num List 7"/>
    <w:basedOn w:val="NTGTableNumList6"/>
    <w:semiHidden/>
    <w:qFormat/>
    <w:rsid w:val="002716CD"/>
    <w:pPr>
      <w:numPr>
        <w:ilvl w:val="6"/>
      </w:numPr>
    </w:pPr>
  </w:style>
  <w:style w:type="paragraph" w:customStyle="1" w:styleId="NTGTableNumList8">
    <w:name w:val="NTG Table Num List 8"/>
    <w:basedOn w:val="NTGTableNumList7"/>
    <w:semiHidden/>
    <w:qFormat/>
    <w:rsid w:val="002716CD"/>
    <w:pPr>
      <w:numPr>
        <w:ilvl w:val="7"/>
      </w:numPr>
    </w:pPr>
  </w:style>
  <w:style w:type="paragraph" w:customStyle="1" w:styleId="NTGTableNumList9">
    <w:name w:val="NTG Table Num List 9"/>
    <w:basedOn w:val="NTGTableNumList8"/>
    <w:semiHidden/>
    <w:qFormat/>
    <w:rsid w:val="002716CD"/>
    <w:pPr>
      <w:numPr>
        <w:ilvl w:val="8"/>
      </w:numPr>
    </w:pPr>
  </w:style>
  <w:style w:type="numbering" w:customStyle="1" w:styleId="NTGTableNumList">
    <w:name w:val="NTG Table Num List"/>
    <w:uiPriority w:val="99"/>
    <w:rsid w:val="002716CD"/>
    <w:pPr>
      <w:numPr>
        <w:numId w:val="5"/>
      </w:numPr>
    </w:pPr>
  </w:style>
  <w:style w:type="table" w:customStyle="1" w:styleId="NTGTable">
    <w:name w:val="NTG Table"/>
    <w:basedOn w:val="TableGrid"/>
    <w:uiPriority w:val="99"/>
    <w:rsid w:val="005B6F16"/>
    <w:pPr>
      <w:spacing w:after="40"/>
    </w:pPr>
    <w:tblPr>
      <w:tblStyleRowBandSize w:val="1"/>
      <w:tblStyleColBandSize w:val="1"/>
    </w:tblPr>
    <w:trPr>
      <w:cantSplit/>
    </w:trPr>
    <w:tcPr>
      <w:shd w:val="clear" w:color="auto" w:fill="auto"/>
    </w:tcPr>
    <w:tblStylePr w:type="firstRow">
      <w:pPr>
        <w:keepNext w:val="0"/>
        <w:keepLines w:val="0"/>
        <w:pageBreakBefore w:val="0"/>
        <w:widowControl/>
        <w:suppressLineNumbers w:val="0"/>
        <w:suppressAutoHyphens w:val="0"/>
        <w:wordWrap/>
        <w:spacing w:beforeLines="0" w:before="60" w:beforeAutospacing="0" w:afterLines="0" w:after="60" w:afterAutospacing="0" w:line="240" w:lineRule="auto"/>
        <w:ind w:leftChars="0" w:left="0" w:rightChars="0" w:right="0" w:firstLineChars="0" w:firstLine="0"/>
        <w:contextualSpacing w:val="0"/>
        <w:jc w:val="left"/>
        <w:outlineLvl w:val="9"/>
      </w:pPr>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b/>
        <w:sz w:val="22"/>
      </w:rPr>
      <w:tblPr/>
      <w:tcPr>
        <w:shd w:val="clear" w:color="auto" w:fill="BFBFBF" w:themeFill="background1" w:themeFillShade="BF"/>
      </w:tc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Pr/>
      <w:tcPr>
        <w:shd w:val="clear" w:color="auto" w:fill="F2F2F2" w:themeFill="background1" w:themeFillShade="F2"/>
      </w:tcPr>
    </w:tblStylePr>
    <w:tblStylePr w:type="band1Horz">
      <w:rPr>
        <w:rFonts w:ascii="Arial" w:hAnsi="Arial"/>
        <w:sz w:val="22"/>
      </w:rPr>
    </w:tblStylePr>
    <w:tblStylePr w:type="band2Horz">
      <w:rPr>
        <w:rFonts w:ascii="Arial" w:hAnsi="Arial"/>
        <w:sz w:val="22"/>
      </w:rPr>
      <w:tblPr/>
      <w:tcPr>
        <w:shd w:val="clear" w:color="auto" w:fill="F2F2F2" w:themeFill="background1" w:themeFillShade="F2"/>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BalloonText">
    <w:name w:val="Balloon Text"/>
    <w:basedOn w:val="Normal"/>
    <w:link w:val="BalloonTextChar"/>
    <w:uiPriority w:val="99"/>
    <w:semiHidden/>
    <w:unhideWhenUsed/>
    <w:rsid w:val="006846E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6EE"/>
    <w:rPr>
      <w:rFonts w:ascii="Segoe UI" w:hAnsi="Segoe UI" w:cs="Segoe UI"/>
      <w:sz w:val="18"/>
      <w:szCs w:val="18"/>
    </w:rPr>
  </w:style>
  <w:style w:type="table" w:styleId="TableGridLight">
    <w:name w:val="Grid Table Light"/>
    <w:basedOn w:val="TableNormal"/>
    <w:uiPriority w:val="40"/>
    <w:rsid w:val="004301E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tle2">
    <w:name w:val="Title2"/>
    <w:basedOn w:val="Title"/>
    <w:link w:val="Title2Char"/>
    <w:qFormat/>
    <w:rsid w:val="00047693"/>
    <w:rPr>
      <w:rFonts w:ascii="Lato Heavy" w:hAnsi="Lato Heavy"/>
    </w:rPr>
  </w:style>
  <w:style w:type="paragraph" w:customStyle="1" w:styleId="Heading1-Lato">
    <w:name w:val="Heading 1 - Lato"/>
    <w:basedOn w:val="Heading1"/>
    <w:link w:val="Heading1-LatoChar"/>
    <w:qFormat/>
    <w:rsid w:val="00047693"/>
    <w:pPr>
      <w:numPr>
        <w:numId w:val="0"/>
      </w:numPr>
      <w:ind w:left="432" w:hanging="432"/>
    </w:pPr>
    <w:rPr>
      <w:rFonts w:ascii="Lato" w:hAnsi="Lato"/>
    </w:rPr>
  </w:style>
  <w:style w:type="character" w:customStyle="1" w:styleId="Title2Char">
    <w:name w:val="Title2 Char"/>
    <w:basedOn w:val="TitleChar"/>
    <w:link w:val="Title2"/>
    <w:rsid w:val="00047693"/>
    <w:rPr>
      <w:rFonts w:ascii="Lato Heavy" w:eastAsia="Times New Roman" w:hAnsi="Lato Heavy" w:cs="Arial"/>
      <w:b/>
      <w:color w:val="CB6015"/>
      <w:sz w:val="36"/>
      <w:szCs w:val="36"/>
      <w:lang w:eastAsia="en-AU"/>
    </w:rPr>
  </w:style>
  <w:style w:type="paragraph" w:customStyle="1" w:styleId="Heading2-Lato">
    <w:name w:val="Heading 2 - Lato"/>
    <w:basedOn w:val="Heading1"/>
    <w:link w:val="Heading2-LatoChar"/>
    <w:qFormat/>
    <w:rsid w:val="00047693"/>
    <w:pPr>
      <w:numPr>
        <w:numId w:val="0"/>
      </w:numPr>
      <w:ind w:left="432" w:hanging="432"/>
    </w:pPr>
    <w:rPr>
      <w:rFonts w:ascii="Lato" w:hAnsi="Lato"/>
    </w:rPr>
  </w:style>
  <w:style w:type="character" w:customStyle="1" w:styleId="Heading1-LatoChar">
    <w:name w:val="Heading 1 - Lato Char"/>
    <w:basedOn w:val="Heading1Char"/>
    <w:link w:val="Heading1-Lato"/>
    <w:rsid w:val="00047693"/>
    <w:rPr>
      <w:rFonts w:ascii="Lato" w:eastAsiaTheme="majorEastAsia" w:hAnsi="Lato" w:cstheme="majorBidi"/>
      <w:b/>
      <w:bCs/>
      <w:kern w:val="32"/>
      <w:sz w:val="32"/>
      <w:szCs w:val="32"/>
    </w:rPr>
  </w:style>
  <w:style w:type="paragraph" w:customStyle="1" w:styleId="Normal-Lato">
    <w:name w:val="Normal - Lato"/>
    <w:basedOn w:val="ListNumber"/>
    <w:link w:val="Normal-LatoChar"/>
    <w:qFormat/>
    <w:rsid w:val="00047693"/>
    <w:pPr>
      <w:numPr>
        <w:numId w:val="0"/>
      </w:numPr>
      <w:ind w:left="357" w:hanging="357"/>
    </w:pPr>
    <w:rPr>
      <w:rFonts w:ascii="Lato" w:hAnsi="Lato"/>
    </w:rPr>
  </w:style>
  <w:style w:type="character" w:customStyle="1" w:styleId="Heading2-LatoChar">
    <w:name w:val="Heading 2 - Lato Char"/>
    <w:basedOn w:val="Heading1Char"/>
    <w:link w:val="Heading2-Lato"/>
    <w:rsid w:val="00047693"/>
    <w:rPr>
      <w:rFonts w:ascii="Lato" w:eastAsiaTheme="majorEastAsia" w:hAnsi="Lato" w:cstheme="majorBidi"/>
      <w:b/>
      <w:bCs/>
      <w:kern w:val="32"/>
      <w:sz w:val="32"/>
      <w:szCs w:val="32"/>
    </w:rPr>
  </w:style>
  <w:style w:type="character" w:customStyle="1" w:styleId="ListNumberChar">
    <w:name w:val="List Number Char"/>
    <w:basedOn w:val="DefaultParagraphFont"/>
    <w:link w:val="ListNumber"/>
    <w:uiPriority w:val="99"/>
    <w:rsid w:val="00047693"/>
  </w:style>
  <w:style w:type="character" w:customStyle="1" w:styleId="Normal-LatoChar">
    <w:name w:val="Normal - Lato Char"/>
    <w:basedOn w:val="ListNumberChar"/>
    <w:link w:val="Normal-Lato"/>
    <w:rsid w:val="00047693"/>
    <w:rPr>
      <w:rFonts w:ascii="Lato" w:hAnsi="Lato"/>
    </w:rPr>
  </w:style>
  <w:style w:type="numbering" w:customStyle="1" w:styleId="Text">
    <w:name w:val="Text"/>
    <w:rsid w:val="00795FAA"/>
    <w:pPr>
      <w:numPr>
        <w:numId w:val="28"/>
      </w:numPr>
    </w:pPr>
  </w:style>
  <w:style w:type="character" w:customStyle="1" w:styleId="BlockTextChar">
    <w:name w:val="Block Text Char"/>
    <w:link w:val="BlockText"/>
    <w:rsid w:val="00795FAA"/>
    <w:rPr>
      <w:rFonts w:eastAsiaTheme="minorEastAsia"/>
      <w:iCs/>
    </w:rPr>
  </w:style>
  <w:style w:type="paragraph" w:customStyle="1" w:styleId="HeadingTwo">
    <w:name w:val="Heading Two"/>
    <w:basedOn w:val="Normal"/>
    <w:rsid w:val="00795FAA"/>
    <w:pPr>
      <w:keepNext/>
      <w:pBdr>
        <w:bottom w:val="single" w:sz="4" w:space="1" w:color="auto"/>
      </w:pBdr>
      <w:spacing w:before="360" w:after="120"/>
    </w:pPr>
    <w:rPr>
      <w:rFonts w:eastAsia="Times New Roman"/>
      <w:b/>
      <w:bCs/>
      <w:szCs w:val="20"/>
      <w:lang w:eastAsia="en-AU"/>
    </w:rPr>
  </w:style>
  <w:style w:type="paragraph" w:customStyle="1" w:styleId="HeadingThree">
    <w:name w:val="Heading Three"/>
    <w:basedOn w:val="HeadingTwo"/>
    <w:rsid w:val="001B7C60"/>
    <w:pPr>
      <w:pBdr>
        <w:bottom w:val="none" w:sz="0" w:space="0" w:color="auto"/>
      </w:pBdr>
    </w:pPr>
    <w:rPr>
      <w:i/>
      <w:iCs/>
    </w:rPr>
  </w:style>
  <w:style w:type="character" w:styleId="CommentReference">
    <w:name w:val="annotation reference"/>
    <w:basedOn w:val="DefaultParagraphFont"/>
    <w:uiPriority w:val="99"/>
    <w:semiHidden/>
    <w:unhideWhenUsed/>
    <w:rsid w:val="000372E6"/>
    <w:rPr>
      <w:sz w:val="16"/>
      <w:szCs w:val="16"/>
    </w:rPr>
  </w:style>
  <w:style w:type="paragraph" w:styleId="CommentText">
    <w:name w:val="annotation text"/>
    <w:basedOn w:val="Normal"/>
    <w:link w:val="CommentTextChar"/>
    <w:uiPriority w:val="99"/>
    <w:semiHidden/>
    <w:unhideWhenUsed/>
    <w:rsid w:val="000372E6"/>
    <w:rPr>
      <w:sz w:val="20"/>
      <w:szCs w:val="20"/>
    </w:rPr>
  </w:style>
  <w:style w:type="character" w:customStyle="1" w:styleId="CommentTextChar">
    <w:name w:val="Comment Text Char"/>
    <w:basedOn w:val="DefaultParagraphFont"/>
    <w:link w:val="CommentText"/>
    <w:uiPriority w:val="99"/>
    <w:semiHidden/>
    <w:rsid w:val="000372E6"/>
    <w:rPr>
      <w:sz w:val="20"/>
      <w:szCs w:val="20"/>
    </w:rPr>
  </w:style>
  <w:style w:type="paragraph" w:styleId="CommentSubject">
    <w:name w:val="annotation subject"/>
    <w:basedOn w:val="CommentText"/>
    <w:next w:val="CommentText"/>
    <w:link w:val="CommentSubjectChar"/>
    <w:uiPriority w:val="99"/>
    <w:semiHidden/>
    <w:unhideWhenUsed/>
    <w:rsid w:val="000372E6"/>
    <w:rPr>
      <w:b/>
      <w:bCs/>
    </w:rPr>
  </w:style>
  <w:style w:type="character" w:customStyle="1" w:styleId="CommentSubjectChar">
    <w:name w:val="Comment Subject Char"/>
    <w:basedOn w:val="CommentTextChar"/>
    <w:link w:val="CommentSubject"/>
    <w:uiPriority w:val="99"/>
    <w:semiHidden/>
    <w:rsid w:val="000372E6"/>
    <w:rPr>
      <w:b/>
      <w:bCs/>
      <w:sz w:val="20"/>
      <w:szCs w:val="20"/>
    </w:rPr>
  </w:style>
  <w:style w:type="paragraph" w:styleId="Revision">
    <w:name w:val="Revision"/>
    <w:hidden/>
    <w:uiPriority w:val="99"/>
    <w:semiHidden/>
    <w:rsid w:val="000372E6"/>
    <w:pPr>
      <w:spacing w:after="0"/>
    </w:pPr>
  </w:style>
  <w:style w:type="character" w:styleId="FollowedHyperlink">
    <w:name w:val="FollowedHyperlink"/>
    <w:basedOn w:val="DefaultParagraphFont"/>
    <w:uiPriority w:val="99"/>
    <w:semiHidden/>
    <w:unhideWhenUsed/>
    <w:rsid w:val="00F373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venue.nt.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oyaltiesandassurance.dtf@nt.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3E848B27CA4F81BE0DCEB960A204D0"/>
        <w:category>
          <w:name w:val="General"/>
          <w:gallery w:val="placeholder"/>
        </w:category>
        <w:types>
          <w:type w:val="bbPlcHdr"/>
        </w:types>
        <w:behaviors>
          <w:behavior w:val="content"/>
        </w:behaviors>
        <w:guid w:val="{3A39528D-B092-4D1E-A05A-6B0777C56EB1}"/>
      </w:docPartPr>
      <w:docPartBody>
        <w:p w:rsidR="006E034F" w:rsidRDefault="006E034F" w:rsidP="006E034F">
          <w:pPr>
            <w:pStyle w:val="C93E848B27CA4F81BE0DCEB960A204D0"/>
          </w:pPr>
          <w:r w:rsidRPr="0024594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10022FF" w:usb1="C000E47F" w:usb2="00000029" w:usb3="00000000" w:csb0="000001DF" w:csb1="00000000"/>
  </w:font>
  <w:font w:name="Lato Heavy">
    <w:panose1 w:val="020F0502020204030203"/>
    <w:charset w:val="00"/>
    <w:family w:val="swiss"/>
    <w:pitch w:val="variable"/>
    <w:sig w:usb0="E10002FF" w:usb1="5000ECFF" w:usb2="00000021" w:usb3="00000000" w:csb0="0000019F" w:csb1="00000000"/>
  </w:font>
  <w:font w:name="Lato">
    <w:altName w:val="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71F"/>
    <w:rsid w:val="00036EB1"/>
    <w:rsid w:val="0004548D"/>
    <w:rsid w:val="001404CA"/>
    <w:rsid w:val="001746B8"/>
    <w:rsid w:val="001E17DD"/>
    <w:rsid w:val="0021620F"/>
    <w:rsid w:val="00223EB6"/>
    <w:rsid w:val="002837F9"/>
    <w:rsid w:val="002E492C"/>
    <w:rsid w:val="00322B5E"/>
    <w:rsid w:val="003232E4"/>
    <w:rsid w:val="00325354"/>
    <w:rsid w:val="00372309"/>
    <w:rsid w:val="003841C4"/>
    <w:rsid w:val="0039119F"/>
    <w:rsid w:val="003A631F"/>
    <w:rsid w:val="003B5063"/>
    <w:rsid w:val="003C5109"/>
    <w:rsid w:val="003E2DF4"/>
    <w:rsid w:val="00482D69"/>
    <w:rsid w:val="00483238"/>
    <w:rsid w:val="00571138"/>
    <w:rsid w:val="00576EC5"/>
    <w:rsid w:val="005E00CF"/>
    <w:rsid w:val="006046E0"/>
    <w:rsid w:val="00617D00"/>
    <w:rsid w:val="00623877"/>
    <w:rsid w:val="00642FDC"/>
    <w:rsid w:val="00651D07"/>
    <w:rsid w:val="00664FA8"/>
    <w:rsid w:val="0069676C"/>
    <w:rsid w:val="006E034F"/>
    <w:rsid w:val="0070471F"/>
    <w:rsid w:val="0071644D"/>
    <w:rsid w:val="00732B4E"/>
    <w:rsid w:val="00735EF5"/>
    <w:rsid w:val="007C748A"/>
    <w:rsid w:val="008164D1"/>
    <w:rsid w:val="00894EE6"/>
    <w:rsid w:val="008A2170"/>
    <w:rsid w:val="008A3D4B"/>
    <w:rsid w:val="008B2BA8"/>
    <w:rsid w:val="00984B8E"/>
    <w:rsid w:val="00AF0090"/>
    <w:rsid w:val="00B7389D"/>
    <w:rsid w:val="00B85F5F"/>
    <w:rsid w:val="00C26072"/>
    <w:rsid w:val="00C83456"/>
    <w:rsid w:val="00C9077B"/>
    <w:rsid w:val="00D2594F"/>
    <w:rsid w:val="00D61BEF"/>
    <w:rsid w:val="00DA3B5F"/>
    <w:rsid w:val="00DA7050"/>
    <w:rsid w:val="00E019F7"/>
    <w:rsid w:val="00E756F2"/>
    <w:rsid w:val="00EE2218"/>
    <w:rsid w:val="00F310A9"/>
    <w:rsid w:val="00FA16B0"/>
    <w:rsid w:val="00FA3F7D"/>
    <w:rsid w:val="00FA6F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71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44D"/>
    <w:rPr>
      <w:color w:val="808080"/>
    </w:rPr>
  </w:style>
  <w:style w:type="paragraph" w:customStyle="1" w:styleId="C93E848B27CA4F81BE0DCEB960A204D0">
    <w:name w:val="C93E848B27CA4F81BE0DCEB960A204D0"/>
    <w:rsid w:val="006E03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4E3AD-95FE-4957-B92D-4982718EE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3854</Words>
  <Characters>21973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MINERAL ROYALTY ACT</vt:lpstr>
    </vt:vector>
  </TitlesOfParts>
  <Company>Northern Territory Government</Company>
  <LinksUpToDate>false</LinksUpToDate>
  <CharactersWithSpaces>25776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MINERAL ROYALTY ACT</dc:title>
  <dc:subject/>
  <dc:creator>Financial Management Group</dc:creator>
  <cp:keywords/>
  <dc:description/>
  <cp:lastModifiedBy>Jessica Symonds</cp:lastModifiedBy>
  <cp:revision>9</cp:revision>
  <cp:lastPrinted>2018-01-24T05:22:00Z</cp:lastPrinted>
  <dcterms:created xsi:type="dcterms:W3CDTF">2018-06-29T03:47:00Z</dcterms:created>
  <dcterms:modified xsi:type="dcterms:W3CDTF">2021-09-14T05:04:00Z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Of">
    <vt:lpwstr>Department of </vt:lpwstr>
  </property>
  <property fmtid="{D5CDD505-2E9C-101B-9397-08002B2CF9AE}" pid="3" name="DepartmentName">
    <vt:lpwstr>Treasury and Finance</vt:lpwstr>
  </property>
  <property fmtid="{D5CDD505-2E9C-101B-9397-08002B2CF9AE}" pid="4" name="DocumentAuthor">
    <vt:lpwstr>&lt;Firstname Lastname&gt;</vt:lpwstr>
  </property>
  <property fmtid="{D5CDD505-2E9C-101B-9397-08002B2CF9AE}" pid="5" name="VersionNo">
    <vt:lpwstr>, Version 1.0</vt:lpwstr>
  </property>
  <property fmtid="{D5CDD505-2E9C-101B-9397-08002B2CF9AE}" pid="6" name="DocumentDate">
    <vt:lpwstr>22 February 2018</vt:lpwstr>
  </property>
</Properties>
</file>