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p>
    <w:p w:rsidR="00C27A0A" w:rsidRDefault="009E4A26" w:rsidP="0091635E">
      <w:pPr>
        <w:jc w:val="center"/>
        <w:rPr>
          <w:b/>
          <w:bCs/>
          <w:sz w:val="32"/>
          <w:szCs w:val="32"/>
        </w:rPr>
      </w:pPr>
      <w:r w:rsidRPr="000B1222">
        <w:rPr>
          <w:b/>
          <w:bCs/>
          <w:sz w:val="32"/>
          <w:szCs w:val="32"/>
        </w:rPr>
        <w:t>CG-SD-</w:t>
      </w:r>
      <w:r w:rsidR="00143EF8" w:rsidRPr="000B1222">
        <w:rPr>
          <w:b/>
          <w:bCs/>
          <w:sz w:val="32"/>
          <w:szCs w:val="32"/>
        </w:rPr>
        <w:t>01</w:t>
      </w:r>
      <w:r w:rsidR="00A8653F">
        <w:rPr>
          <w:b/>
          <w:bCs/>
          <w:sz w:val="32"/>
          <w:szCs w:val="32"/>
        </w:rPr>
        <w:t>7</w:t>
      </w:r>
      <w:r w:rsidR="00143EF8" w:rsidRPr="000B1222">
        <w:rPr>
          <w:b/>
          <w:bCs/>
          <w:sz w:val="32"/>
          <w:szCs w:val="32"/>
        </w:rPr>
        <w:t xml:space="preserve"> </w:t>
      </w:r>
      <w:r w:rsidRPr="000B1222">
        <w:rPr>
          <w:b/>
          <w:bCs/>
          <w:sz w:val="32"/>
          <w:szCs w:val="32"/>
        </w:rPr>
        <w:t xml:space="preserve">– </w:t>
      </w:r>
      <w:r w:rsidR="00294EC8">
        <w:rPr>
          <w:b/>
          <w:bCs/>
          <w:sz w:val="32"/>
          <w:szCs w:val="32"/>
        </w:rPr>
        <w:t>C</w:t>
      </w:r>
      <w:r w:rsidRPr="000B1222">
        <w:rPr>
          <w:b/>
          <w:bCs/>
          <w:sz w:val="32"/>
          <w:szCs w:val="32"/>
        </w:rPr>
        <w:t>ancelled and rescinded conveyances</w:t>
      </w:r>
    </w:p>
    <w:p w:rsidR="009E4A26" w:rsidRDefault="009E4A26" w:rsidP="00C27A0A">
      <w:pPr>
        <w:rPr>
          <w:szCs w:val="22"/>
        </w:rPr>
      </w:pPr>
    </w:p>
    <w:tbl>
      <w:tblPr>
        <w:tblStyle w:val="TableGrid"/>
        <w:tblW w:w="0" w:type="auto"/>
        <w:jc w:val="center"/>
        <w:tblCellMar>
          <w:top w:w="57" w:type="dxa"/>
          <w:bottom w:w="57" w:type="dxa"/>
        </w:tblCellMar>
        <w:tblLook w:val="01E0" w:firstRow="1" w:lastRow="1" w:firstColumn="1" w:lastColumn="1" w:noHBand="0" w:noVBand="0"/>
      </w:tblPr>
      <w:tblGrid>
        <w:gridCol w:w="1030"/>
        <w:gridCol w:w="1848"/>
        <w:gridCol w:w="1710"/>
        <w:gridCol w:w="1710"/>
      </w:tblGrid>
      <w:tr w:rsidR="00F65356" w:rsidRPr="00C27A0A" w:rsidTr="00F65356">
        <w:trPr>
          <w:jc w:val="center"/>
        </w:trPr>
        <w:tc>
          <w:tcPr>
            <w:tcW w:w="1030" w:type="dxa"/>
            <w:vMerge w:val="restart"/>
          </w:tcPr>
          <w:p w:rsidR="00F65356" w:rsidRPr="00C27A0A" w:rsidRDefault="00F65356" w:rsidP="00F65356">
            <w:pPr>
              <w:jc w:val="center"/>
              <w:rPr>
                <w:b/>
                <w:sz w:val="18"/>
                <w:szCs w:val="18"/>
              </w:rPr>
            </w:pPr>
            <w:r w:rsidRPr="00C27A0A">
              <w:rPr>
                <w:b/>
                <w:sz w:val="18"/>
                <w:szCs w:val="18"/>
              </w:rPr>
              <w:t>Version</w:t>
            </w:r>
          </w:p>
        </w:tc>
        <w:tc>
          <w:tcPr>
            <w:tcW w:w="1848" w:type="dxa"/>
            <w:vMerge w:val="restart"/>
            <w:tcBorders>
              <w:right w:val="single" w:sz="4" w:space="0" w:color="auto"/>
            </w:tcBorders>
          </w:tcPr>
          <w:p w:rsidR="00F65356" w:rsidRPr="00C27A0A" w:rsidRDefault="00F65356" w:rsidP="00AD2225">
            <w:pPr>
              <w:jc w:val="center"/>
              <w:rPr>
                <w:b/>
                <w:sz w:val="18"/>
                <w:szCs w:val="18"/>
              </w:rPr>
            </w:pPr>
            <w:r w:rsidRPr="00C27A0A">
              <w:rPr>
                <w:b/>
                <w:sz w:val="18"/>
                <w:szCs w:val="18"/>
              </w:rPr>
              <w:t>Issued</w:t>
            </w:r>
          </w:p>
        </w:tc>
        <w:tc>
          <w:tcPr>
            <w:tcW w:w="3420" w:type="dxa"/>
            <w:gridSpan w:val="2"/>
            <w:tcBorders>
              <w:top w:val="single" w:sz="4" w:space="0" w:color="auto"/>
              <w:left w:val="single" w:sz="4" w:space="0" w:color="auto"/>
              <w:bottom w:val="nil"/>
              <w:right w:val="single" w:sz="4" w:space="0" w:color="auto"/>
            </w:tcBorders>
          </w:tcPr>
          <w:p w:rsidR="00F65356" w:rsidRPr="00C27A0A" w:rsidRDefault="00F65356" w:rsidP="00C27A0A">
            <w:pPr>
              <w:jc w:val="center"/>
              <w:rPr>
                <w:b/>
                <w:sz w:val="18"/>
                <w:szCs w:val="18"/>
              </w:rPr>
            </w:pPr>
            <w:r w:rsidRPr="00C27A0A">
              <w:rPr>
                <w:b/>
                <w:sz w:val="18"/>
                <w:szCs w:val="18"/>
              </w:rPr>
              <w:t>Dates of Effect</w:t>
            </w:r>
          </w:p>
        </w:tc>
      </w:tr>
      <w:tr w:rsidR="00F65356" w:rsidRPr="00C27A0A" w:rsidTr="00F65356">
        <w:trPr>
          <w:jc w:val="center"/>
        </w:trPr>
        <w:tc>
          <w:tcPr>
            <w:tcW w:w="1030" w:type="dxa"/>
            <w:vMerge/>
          </w:tcPr>
          <w:p w:rsidR="00F65356" w:rsidRPr="00C27A0A" w:rsidRDefault="00F65356" w:rsidP="00AD2225">
            <w:pPr>
              <w:jc w:val="center"/>
              <w:rPr>
                <w:sz w:val="18"/>
                <w:szCs w:val="18"/>
              </w:rPr>
            </w:pPr>
          </w:p>
        </w:tc>
        <w:tc>
          <w:tcPr>
            <w:tcW w:w="1848" w:type="dxa"/>
            <w:vMerge/>
            <w:tcBorders>
              <w:right w:val="single" w:sz="4" w:space="0" w:color="auto"/>
            </w:tcBorders>
          </w:tcPr>
          <w:p w:rsidR="00F65356" w:rsidRPr="00C27A0A" w:rsidRDefault="00F65356" w:rsidP="00AD2225">
            <w:pPr>
              <w:jc w:val="center"/>
              <w:rPr>
                <w:sz w:val="18"/>
                <w:szCs w:val="18"/>
              </w:rPr>
            </w:pPr>
          </w:p>
        </w:tc>
        <w:tc>
          <w:tcPr>
            <w:tcW w:w="1710" w:type="dxa"/>
            <w:tcBorders>
              <w:top w:val="nil"/>
              <w:left w:val="single" w:sz="4" w:space="0" w:color="auto"/>
              <w:bottom w:val="single" w:sz="4" w:space="0" w:color="auto"/>
              <w:right w:val="nil"/>
            </w:tcBorders>
          </w:tcPr>
          <w:p w:rsidR="00F65356" w:rsidRPr="00F65356" w:rsidRDefault="00F65356" w:rsidP="00AD2225">
            <w:pPr>
              <w:rPr>
                <w:b/>
                <w:sz w:val="18"/>
                <w:szCs w:val="18"/>
              </w:rPr>
            </w:pPr>
            <w:r w:rsidRPr="00F65356">
              <w:rPr>
                <w:b/>
                <w:sz w:val="18"/>
                <w:szCs w:val="18"/>
              </w:rPr>
              <w:t>From:</w:t>
            </w:r>
          </w:p>
        </w:tc>
        <w:tc>
          <w:tcPr>
            <w:tcW w:w="1710" w:type="dxa"/>
            <w:tcBorders>
              <w:top w:val="nil"/>
              <w:left w:val="nil"/>
              <w:bottom w:val="single" w:sz="4" w:space="0" w:color="auto"/>
              <w:right w:val="single" w:sz="4" w:space="0" w:color="auto"/>
            </w:tcBorders>
          </w:tcPr>
          <w:p w:rsidR="00F65356" w:rsidRPr="00F65356" w:rsidRDefault="00F65356" w:rsidP="00A8653F">
            <w:pPr>
              <w:rPr>
                <w:b/>
                <w:sz w:val="18"/>
                <w:szCs w:val="18"/>
              </w:rPr>
            </w:pPr>
            <w:r w:rsidRPr="00F65356">
              <w:rPr>
                <w:b/>
                <w:sz w:val="18"/>
                <w:szCs w:val="18"/>
              </w:rPr>
              <w:t xml:space="preserve">To: </w:t>
            </w:r>
          </w:p>
        </w:tc>
      </w:tr>
      <w:tr w:rsidR="00F65356" w:rsidRPr="00C27A0A" w:rsidTr="00F65356">
        <w:trPr>
          <w:jc w:val="center"/>
        </w:trPr>
        <w:tc>
          <w:tcPr>
            <w:tcW w:w="1030" w:type="dxa"/>
          </w:tcPr>
          <w:p w:rsidR="00F65356" w:rsidRDefault="00A8653F" w:rsidP="00AD2225">
            <w:pPr>
              <w:jc w:val="center"/>
              <w:rPr>
                <w:sz w:val="18"/>
                <w:szCs w:val="18"/>
              </w:rPr>
            </w:pPr>
            <w:r>
              <w:rPr>
                <w:sz w:val="18"/>
                <w:szCs w:val="18"/>
              </w:rPr>
              <w:t>1</w:t>
            </w:r>
          </w:p>
        </w:tc>
        <w:tc>
          <w:tcPr>
            <w:tcW w:w="1848" w:type="dxa"/>
          </w:tcPr>
          <w:p w:rsidR="00F65356" w:rsidRDefault="000479D1" w:rsidP="00EE3CE1">
            <w:pPr>
              <w:jc w:val="center"/>
              <w:rPr>
                <w:sz w:val="18"/>
                <w:szCs w:val="18"/>
              </w:rPr>
            </w:pPr>
            <w:r>
              <w:rPr>
                <w:sz w:val="18"/>
                <w:szCs w:val="18"/>
              </w:rPr>
              <w:t>6</w:t>
            </w:r>
            <w:r w:rsidR="00830CE5">
              <w:rPr>
                <w:sz w:val="18"/>
                <w:szCs w:val="18"/>
              </w:rPr>
              <w:t xml:space="preserve"> August</w:t>
            </w:r>
            <w:r w:rsidR="00A8653F">
              <w:rPr>
                <w:sz w:val="18"/>
                <w:szCs w:val="18"/>
              </w:rPr>
              <w:t xml:space="preserve"> 2014</w:t>
            </w:r>
          </w:p>
        </w:tc>
        <w:tc>
          <w:tcPr>
            <w:tcW w:w="1710" w:type="dxa"/>
            <w:tcBorders>
              <w:top w:val="single" w:sz="4" w:space="0" w:color="auto"/>
              <w:bottom w:val="single" w:sz="4" w:space="0" w:color="auto"/>
            </w:tcBorders>
          </w:tcPr>
          <w:p w:rsidR="00F65356" w:rsidRDefault="00A8653F" w:rsidP="00AD2225">
            <w:pPr>
              <w:rPr>
                <w:sz w:val="18"/>
                <w:szCs w:val="18"/>
              </w:rPr>
            </w:pPr>
            <w:r>
              <w:rPr>
                <w:sz w:val="18"/>
                <w:szCs w:val="18"/>
              </w:rPr>
              <w:t>1 July 2009</w:t>
            </w:r>
          </w:p>
        </w:tc>
        <w:tc>
          <w:tcPr>
            <w:tcW w:w="1710" w:type="dxa"/>
            <w:tcBorders>
              <w:top w:val="single" w:sz="4" w:space="0" w:color="auto"/>
              <w:bottom w:val="single" w:sz="4" w:space="0" w:color="auto"/>
            </w:tcBorders>
          </w:tcPr>
          <w:p w:rsidR="00F65356" w:rsidRDefault="00A8653F" w:rsidP="00AD2225">
            <w:pPr>
              <w:rPr>
                <w:sz w:val="18"/>
                <w:szCs w:val="18"/>
              </w:rPr>
            </w:pPr>
            <w:r>
              <w:rPr>
                <w:sz w:val="18"/>
                <w:szCs w:val="18"/>
              </w:rPr>
              <w:t>Current</w:t>
            </w:r>
          </w:p>
        </w:tc>
      </w:tr>
    </w:tbl>
    <w:p w:rsidR="00C27A0A" w:rsidRPr="00C27A0A" w:rsidRDefault="00DE64A9" w:rsidP="00545D20">
      <w:pPr>
        <w:pStyle w:val="HeadingTwo"/>
      </w:pPr>
      <w:r>
        <w:t>Purpose</w:t>
      </w:r>
    </w:p>
    <w:p w:rsidR="000D6707" w:rsidRPr="00DA0CD2" w:rsidRDefault="00837738" w:rsidP="009E4A26">
      <w:pPr>
        <w:pStyle w:val="BlockText"/>
        <w:tabs>
          <w:tab w:val="num" w:pos="567"/>
        </w:tabs>
        <w:rPr>
          <w:b/>
          <w:szCs w:val="22"/>
        </w:rPr>
      </w:pPr>
      <w:r w:rsidRPr="000D6707">
        <w:rPr>
          <w:szCs w:val="22"/>
        </w:rPr>
        <w:t>The</w:t>
      </w:r>
      <w:r w:rsidR="009E4A26" w:rsidRPr="000D6707">
        <w:rPr>
          <w:szCs w:val="22"/>
        </w:rPr>
        <w:t xml:space="preserve"> </w:t>
      </w:r>
      <w:r w:rsidR="009E4A26" w:rsidRPr="000D6707">
        <w:rPr>
          <w:i/>
          <w:szCs w:val="22"/>
        </w:rPr>
        <w:t>Stamp Duty Act</w:t>
      </w:r>
      <w:r w:rsidR="009E4A26" w:rsidRPr="000D6707">
        <w:rPr>
          <w:szCs w:val="22"/>
        </w:rPr>
        <w:t xml:space="preserve"> (</w:t>
      </w:r>
      <w:r w:rsidR="00E747D1" w:rsidRPr="000D6707">
        <w:rPr>
          <w:szCs w:val="22"/>
        </w:rPr>
        <w:t>“</w:t>
      </w:r>
      <w:r w:rsidR="009E4A26" w:rsidRPr="000D6707">
        <w:rPr>
          <w:szCs w:val="22"/>
        </w:rPr>
        <w:t>the Act</w:t>
      </w:r>
      <w:r w:rsidR="00E747D1" w:rsidRPr="000D6707">
        <w:rPr>
          <w:szCs w:val="22"/>
        </w:rPr>
        <w:t>”</w:t>
      </w:r>
      <w:r w:rsidR="009E4A26" w:rsidRPr="000D6707">
        <w:rPr>
          <w:szCs w:val="22"/>
        </w:rPr>
        <w:t xml:space="preserve">) </w:t>
      </w:r>
      <w:r w:rsidRPr="000D6707">
        <w:rPr>
          <w:szCs w:val="22"/>
        </w:rPr>
        <w:t>generally</w:t>
      </w:r>
      <w:r w:rsidR="000D6707" w:rsidRPr="000D6707">
        <w:rPr>
          <w:szCs w:val="22"/>
        </w:rPr>
        <w:t xml:space="preserve"> </w:t>
      </w:r>
      <w:r w:rsidR="000D6707" w:rsidRPr="00DA0CD2">
        <w:rPr>
          <w:szCs w:val="22"/>
        </w:rPr>
        <w:t xml:space="preserve">provides that there is no requirement for conveyees to lodge a dutiable instrument that does not proceed, i.e. has been cancelled or rescinded. However, the Act </w:t>
      </w:r>
      <w:r w:rsidRPr="00DA0CD2">
        <w:rPr>
          <w:szCs w:val="22"/>
        </w:rPr>
        <w:t xml:space="preserve">imposes </w:t>
      </w:r>
      <w:r w:rsidR="009E4A26" w:rsidRPr="00DA0CD2">
        <w:rPr>
          <w:szCs w:val="22"/>
        </w:rPr>
        <w:t>obligation</w:t>
      </w:r>
      <w:r w:rsidRPr="00DA0CD2">
        <w:rPr>
          <w:szCs w:val="22"/>
        </w:rPr>
        <w:t>s</w:t>
      </w:r>
      <w:r w:rsidR="009E4A26" w:rsidRPr="00DA0CD2">
        <w:rPr>
          <w:szCs w:val="22"/>
        </w:rPr>
        <w:t xml:space="preserve"> on conveyees to lodge and </w:t>
      </w:r>
      <w:r w:rsidR="00F168F6" w:rsidRPr="00DA0CD2">
        <w:rPr>
          <w:szCs w:val="22"/>
        </w:rPr>
        <w:t>seek remission of stamp duty</w:t>
      </w:r>
      <w:r w:rsidR="00962C99">
        <w:rPr>
          <w:szCs w:val="22"/>
        </w:rPr>
        <w:t xml:space="preserve"> </w:t>
      </w:r>
      <w:r w:rsidR="00D338E5">
        <w:rPr>
          <w:szCs w:val="22"/>
        </w:rPr>
        <w:t xml:space="preserve">from the Territory Revenue Office (TRO) </w:t>
      </w:r>
      <w:r w:rsidR="00962C99">
        <w:rPr>
          <w:szCs w:val="22"/>
        </w:rPr>
        <w:t>on</w:t>
      </w:r>
      <w:r w:rsidR="009E4A26" w:rsidRPr="00DA0CD2">
        <w:rPr>
          <w:szCs w:val="22"/>
        </w:rPr>
        <w:t xml:space="preserve"> certain </w:t>
      </w:r>
      <w:r w:rsidR="000D6707" w:rsidRPr="00DA0CD2">
        <w:rPr>
          <w:szCs w:val="22"/>
        </w:rPr>
        <w:t xml:space="preserve">specified </w:t>
      </w:r>
      <w:r w:rsidR="009E4A26" w:rsidRPr="00DA0CD2">
        <w:rPr>
          <w:szCs w:val="22"/>
        </w:rPr>
        <w:t xml:space="preserve">conveyances that do not proceed. </w:t>
      </w:r>
    </w:p>
    <w:p w:rsidR="00545D20" w:rsidRPr="009E4A26" w:rsidRDefault="009E4A26" w:rsidP="009E4A26">
      <w:pPr>
        <w:pStyle w:val="BlockText"/>
        <w:tabs>
          <w:tab w:val="num" w:pos="567"/>
        </w:tabs>
        <w:rPr>
          <w:b/>
          <w:szCs w:val="22"/>
        </w:rPr>
      </w:pPr>
      <w:r w:rsidRPr="009E4A26">
        <w:rPr>
          <w:szCs w:val="22"/>
        </w:rPr>
        <w:t>This Guideline</w:t>
      </w:r>
      <w:r w:rsidR="00C92294" w:rsidRPr="00C92294">
        <w:rPr>
          <w:szCs w:val="22"/>
        </w:rPr>
        <w:t xml:space="preserve"> </w:t>
      </w:r>
      <w:r w:rsidR="00C92294" w:rsidRPr="009E4A26">
        <w:rPr>
          <w:szCs w:val="22"/>
        </w:rPr>
        <w:t>explains which instruments receive a remission of stamp duty</w:t>
      </w:r>
      <w:r w:rsidR="00C92294">
        <w:rPr>
          <w:szCs w:val="22"/>
        </w:rPr>
        <w:t xml:space="preserve"> without the need to be lodged with TRO</w:t>
      </w:r>
      <w:r w:rsidRPr="009E4A26">
        <w:rPr>
          <w:szCs w:val="22"/>
        </w:rPr>
        <w:t xml:space="preserve"> </w:t>
      </w:r>
      <w:r w:rsidR="00C92294">
        <w:rPr>
          <w:szCs w:val="22"/>
        </w:rPr>
        <w:t xml:space="preserve">and </w:t>
      </w:r>
      <w:r w:rsidRPr="009E4A26">
        <w:rPr>
          <w:szCs w:val="22"/>
        </w:rPr>
        <w:t>provides an overview of the process for seeking a refund or remission on cancelled conveyances</w:t>
      </w:r>
      <w:r w:rsidR="00C92294">
        <w:rPr>
          <w:szCs w:val="22"/>
        </w:rPr>
        <w:t xml:space="preserve"> that have been lodged with TRO</w:t>
      </w:r>
      <w:r w:rsidRPr="009E4A26">
        <w:rPr>
          <w:szCs w:val="22"/>
        </w:rPr>
        <w:t xml:space="preserve">. </w:t>
      </w:r>
    </w:p>
    <w:p w:rsidR="009E4A26" w:rsidRPr="00F8170C" w:rsidRDefault="009E4A26" w:rsidP="006C0A11">
      <w:pPr>
        <w:pStyle w:val="HeadingTwo"/>
      </w:pPr>
      <w:r>
        <w:t>Overview</w:t>
      </w:r>
    </w:p>
    <w:p w:rsidR="009E4A26" w:rsidRDefault="009E4A26" w:rsidP="005B2D9A">
      <w:pPr>
        <w:pStyle w:val="BlockText"/>
        <w:tabs>
          <w:tab w:val="num" w:pos="567"/>
        </w:tabs>
        <w:rPr>
          <w:szCs w:val="22"/>
        </w:rPr>
      </w:pPr>
      <w:r w:rsidRPr="005B2D9A">
        <w:rPr>
          <w:szCs w:val="22"/>
        </w:rPr>
        <w:t xml:space="preserve">Dutiable instruments </w:t>
      </w:r>
      <w:r w:rsidR="003D45B7" w:rsidRPr="005B2D9A">
        <w:rPr>
          <w:szCs w:val="22"/>
        </w:rPr>
        <w:t xml:space="preserve">are </w:t>
      </w:r>
      <w:r w:rsidRPr="005B2D9A">
        <w:rPr>
          <w:szCs w:val="22"/>
        </w:rPr>
        <w:t xml:space="preserve">generally </w:t>
      </w:r>
      <w:r w:rsidR="003D45B7" w:rsidRPr="005B2D9A">
        <w:rPr>
          <w:szCs w:val="22"/>
        </w:rPr>
        <w:t xml:space="preserve">required to </w:t>
      </w:r>
      <w:r w:rsidRPr="005B2D9A">
        <w:rPr>
          <w:szCs w:val="22"/>
        </w:rPr>
        <w:t xml:space="preserve">be lodged with </w:t>
      </w:r>
      <w:r w:rsidR="006F0771">
        <w:rPr>
          <w:szCs w:val="22"/>
        </w:rPr>
        <w:t xml:space="preserve">TRO </w:t>
      </w:r>
      <w:r w:rsidRPr="005B2D9A">
        <w:rPr>
          <w:szCs w:val="22"/>
        </w:rPr>
        <w:t xml:space="preserve">for assessment of </w:t>
      </w:r>
      <w:r w:rsidR="005B2D9A" w:rsidRPr="005B2D9A">
        <w:rPr>
          <w:szCs w:val="22"/>
        </w:rPr>
        <w:t>duty within 60</w:t>
      </w:r>
      <w:r w:rsidR="006F0771">
        <w:rPr>
          <w:szCs w:val="22"/>
        </w:rPr>
        <w:t> </w:t>
      </w:r>
      <w:r w:rsidR="005B2D9A" w:rsidRPr="005B2D9A">
        <w:rPr>
          <w:szCs w:val="22"/>
        </w:rPr>
        <w:t xml:space="preserve">days of a liability to duty arising. Refer to Commissioner’s Guideline </w:t>
      </w:r>
      <w:hyperlink r:id="rId11" w:history="1">
        <w:r w:rsidR="005B2D9A" w:rsidRPr="003C054E">
          <w:rPr>
            <w:rStyle w:val="Hyperlink"/>
            <w:szCs w:val="22"/>
          </w:rPr>
          <w:t>CG-SD-001</w:t>
        </w:r>
      </w:hyperlink>
      <w:r w:rsidR="005B2D9A" w:rsidRPr="005B2D9A">
        <w:rPr>
          <w:szCs w:val="22"/>
        </w:rPr>
        <w:t xml:space="preserve">: </w:t>
      </w:r>
      <w:r w:rsidR="005B2D9A" w:rsidRPr="005B2D9A">
        <w:rPr>
          <w:i/>
          <w:szCs w:val="22"/>
        </w:rPr>
        <w:t xml:space="preserve">Document </w:t>
      </w:r>
      <w:r w:rsidR="006F0771" w:rsidRPr="005B2D9A">
        <w:rPr>
          <w:i/>
          <w:szCs w:val="22"/>
        </w:rPr>
        <w:t>lodgement and payment periods</w:t>
      </w:r>
      <w:r w:rsidR="006F0771">
        <w:rPr>
          <w:szCs w:val="22"/>
        </w:rPr>
        <w:t xml:space="preserve"> </w:t>
      </w:r>
      <w:r w:rsidR="005B2D9A">
        <w:rPr>
          <w:szCs w:val="22"/>
        </w:rPr>
        <w:t>for more detail on when documents are required to be lodged with TRO.</w:t>
      </w:r>
    </w:p>
    <w:p w:rsidR="000D6707" w:rsidRDefault="00552FC1" w:rsidP="00552FC1">
      <w:pPr>
        <w:pStyle w:val="BlockText"/>
        <w:tabs>
          <w:tab w:val="num" w:pos="567"/>
        </w:tabs>
        <w:rPr>
          <w:szCs w:val="22"/>
        </w:rPr>
      </w:pPr>
      <w:r w:rsidRPr="00DA0CD2">
        <w:rPr>
          <w:szCs w:val="22"/>
        </w:rPr>
        <w:t xml:space="preserve">Section 9(3A) of the Act provides that </w:t>
      </w:r>
      <w:r w:rsidR="00FC0B4D" w:rsidRPr="00DA0CD2">
        <w:rPr>
          <w:szCs w:val="22"/>
        </w:rPr>
        <w:t>there is generally no requirement to lodge a dutiable instrument that does not proceed</w:t>
      </w:r>
      <w:r w:rsidR="004D2D4A" w:rsidRPr="00DA0CD2">
        <w:rPr>
          <w:szCs w:val="22"/>
        </w:rPr>
        <w:t>, i.e. has been cancelled or rescinded</w:t>
      </w:r>
      <w:r w:rsidR="00FC5EDA" w:rsidRPr="00DA0CD2">
        <w:rPr>
          <w:szCs w:val="22"/>
        </w:rPr>
        <w:t xml:space="preserve">. </w:t>
      </w:r>
    </w:p>
    <w:p w:rsidR="00FC5EDA" w:rsidRPr="00DA0CD2" w:rsidRDefault="00FC5EDA" w:rsidP="00552FC1">
      <w:pPr>
        <w:pStyle w:val="BlockText"/>
        <w:tabs>
          <w:tab w:val="num" w:pos="567"/>
        </w:tabs>
        <w:rPr>
          <w:szCs w:val="22"/>
        </w:rPr>
      </w:pPr>
      <w:r w:rsidRPr="00DA0CD2">
        <w:rPr>
          <w:szCs w:val="22"/>
        </w:rPr>
        <w:t xml:space="preserve">However, </w:t>
      </w:r>
      <w:r w:rsidR="004D2D4A" w:rsidRPr="00DA0CD2">
        <w:rPr>
          <w:szCs w:val="22"/>
        </w:rPr>
        <w:t>conveyees are still required</w:t>
      </w:r>
      <w:r w:rsidRPr="00DA0CD2">
        <w:rPr>
          <w:szCs w:val="22"/>
        </w:rPr>
        <w:t xml:space="preserve"> to lodge </w:t>
      </w:r>
      <w:r w:rsidR="004D2D4A" w:rsidRPr="00DA0CD2">
        <w:rPr>
          <w:szCs w:val="22"/>
        </w:rPr>
        <w:t>cancelled and rescinded conveyances where</w:t>
      </w:r>
      <w:r w:rsidR="00FC0B4D" w:rsidRPr="00DA0CD2">
        <w:rPr>
          <w:szCs w:val="22"/>
        </w:rPr>
        <w:t>:</w:t>
      </w:r>
      <w:r w:rsidRPr="00DA0CD2">
        <w:rPr>
          <w:szCs w:val="22"/>
        </w:rPr>
        <w:t xml:space="preserve"> </w:t>
      </w:r>
    </w:p>
    <w:p w:rsidR="00FC5EDA" w:rsidRDefault="00FC5EDA" w:rsidP="00DA0CD2">
      <w:pPr>
        <w:numPr>
          <w:ilvl w:val="0"/>
          <w:numId w:val="14"/>
        </w:numPr>
        <w:tabs>
          <w:tab w:val="clear" w:pos="1080"/>
          <w:tab w:val="num" w:pos="993"/>
        </w:tabs>
        <w:spacing w:after="120"/>
        <w:ind w:left="993" w:hanging="567"/>
        <w:jc w:val="both"/>
        <w:rPr>
          <w:szCs w:val="22"/>
        </w:rPr>
      </w:pPr>
      <w:r>
        <w:rPr>
          <w:szCs w:val="22"/>
        </w:rPr>
        <w:t>the conveyance</w:t>
      </w:r>
      <w:r w:rsidR="00552FC1" w:rsidRPr="006C0A11">
        <w:rPr>
          <w:szCs w:val="22"/>
        </w:rPr>
        <w:t xml:space="preserve"> </w:t>
      </w:r>
      <w:r>
        <w:rPr>
          <w:szCs w:val="22"/>
        </w:rPr>
        <w:t>arises</w:t>
      </w:r>
      <w:r w:rsidR="00552FC1" w:rsidRPr="006C0A11">
        <w:rPr>
          <w:szCs w:val="22"/>
        </w:rPr>
        <w:t xml:space="preserve"> from put</w:t>
      </w:r>
      <w:r w:rsidR="004D2D4A">
        <w:rPr>
          <w:szCs w:val="22"/>
        </w:rPr>
        <w:t xml:space="preserve"> </w:t>
      </w:r>
      <w:r w:rsidR="00552FC1" w:rsidRPr="006C0A11">
        <w:rPr>
          <w:szCs w:val="22"/>
        </w:rPr>
        <w:t>and call</w:t>
      </w:r>
      <w:r w:rsidR="004D2D4A">
        <w:rPr>
          <w:szCs w:val="22"/>
        </w:rPr>
        <w:t xml:space="preserve"> </w:t>
      </w:r>
      <w:r w:rsidR="00552FC1" w:rsidRPr="006C0A11">
        <w:rPr>
          <w:szCs w:val="22"/>
        </w:rPr>
        <w:t xml:space="preserve">options under </w:t>
      </w:r>
      <w:r w:rsidR="000D6707">
        <w:rPr>
          <w:szCs w:val="22"/>
        </w:rPr>
        <w:t xml:space="preserve">Part 3, </w:t>
      </w:r>
      <w:r w:rsidR="00552FC1" w:rsidRPr="006C0A11">
        <w:rPr>
          <w:szCs w:val="22"/>
        </w:rPr>
        <w:t>Division 8AB</w:t>
      </w:r>
      <w:r w:rsidR="00C81F73">
        <w:rPr>
          <w:szCs w:val="22"/>
        </w:rPr>
        <w:t xml:space="preserve"> </w:t>
      </w:r>
      <w:r w:rsidR="00C81F73" w:rsidRPr="00E73D2A">
        <w:rPr>
          <w:szCs w:val="22"/>
        </w:rPr>
        <w:t>of the Act</w:t>
      </w:r>
      <w:r w:rsidR="004D2D4A">
        <w:rPr>
          <w:szCs w:val="22"/>
        </w:rPr>
        <w:t>. Refer to</w:t>
      </w:r>
      <w:r w:rsidR="00C81F73">
        <w:rPr>
          <w:szCs w:val="22"/>
        </w:rPr>
        <w:t xml:space="preserve"> </w:t>
      </w:r>
      <w:r w:rsidR="00C81F73" w:rsidRPr="00E73D2A">
        <w:rPr>
          <w:szCs w:val="22"/>
        </w:rPr>
        <w:t xml:space="preserve">Commissioner’s Guideline </w:t>
      </w:r>
      <w:hyperlink r:id="rId12" w:history="1">
        <w:r w:rsidR="00C81F73" w:rsidRPr="00690321">
          <w:rPr>
            <w:rStyle w:val="Hyperlink"/>
            <w:szCs w:val="22"/>
          </w:rPr>
          <w:t>CG</w:t>
        </w:r>
        <w:r w:rsidR="00C81F73">
          <w:rPr>
            <w:rStyle w:val="Hyperlink"/>
            <w:szCs w:val="22"/>
          </w:rPr>
          <w:noBreakHyphen/>
        </w:r>
        <w:r w:rsidR="00C81F73" w:rsidRPr="00690321">
          <w:rPr>
            <w:rStyle w:val="Hyperlink"/>
            <w:szCs w:val="22"/>
          </w:rPr>
          <w:t>SD</w:t>
        </w:r>
        <w:r w:rsidR="00C81F73">
          <w:rPr>
            <w:rStyle w:val="Hyperlink"/>
            <w:szCs w:val="22"/>
          </w:rPr>
          <w:noBreakHyphen/>
        </w:r>
        <w:r w:rsidR="00C81F73" w:rsidRPr="00690321">
          <w:rPr>
            <w:rStyle w:val="Hyperlink"/>
            <w:szCs w:val="22"/>
          </w:rPr>
          <w:t>005</w:t>
        </w:r>
      </w:hyperlink>
      <w:r w:rsidR="00C81F73" w:rsidRPr="00712A97">
        <w:rPr>
          <w:szCs w:val="22"/>
        </w:rPr>
        <w:t>:</w:t>
      </w:r>
      <w:r w:rsidR="00C81F73" w:rsidRPr="006C0A11">
        <w:rPr>
          <w:i/>
          <w:szCs w:val="22"/>
        </w:rPr>
        <w:t xml:space="preserve"> Put and call options</w:t>
      </w:r>
      <w:r w:rsidR="00C81F73">
        <w:rPr>
          <w:szCs w:val="22"/>
        </w:rPr>
        <w:t xml:space="preserve"> for details of the rules applying to these option arrangements</w:t>
      </w:r>
      <w:r>
        <w:rPr>
          <w:szCs w:val="22"/>
        </w:rPr>
        <w:t>; or</w:t>
      </w:r>
    </w:p>
    <w:p w:rsidR="00552FC1" w:rsidRPr="006C0A11" w:rsidRDefault="00552FC1" w:rsidP="00DA0CD2">
      <w:pPr>
        <w:numPr>
          <w:ilvl w:val="0"/>
          <w:numId w:val="14"/>
        </w:numPr>
        <w:tabs>
          <w:tab w:val="clear" w:pos="1080"/>
          <w:tab w:val="num" w:pos="993"/>
        </w:tabs>
        <w:spacing w:after="120"/>
        <w:ind w:left="993" w:hanging="567"/>
        <w:jc w:val="both"/>
        <w:rPr>
          <w:szCs w:val="22"/>
        </w:rPr>
      </w:pPr>
      <w:r w:rsidRPr="006C0A11">
        <w:rPr>
          <w:szCs w:val="22"/>
        </w:rPr>
        <w:t>a subsequent sale or other disposition of the dutiable property the subject of the transaction (“the relevant transaction</w:t>
      </w:r>
      <w:r w:rsidR="00FC5EDA" w:rsidRPr="006C0A11">
        <w:rPr>
          <w:szCs w:val="22"/>
        </w:rPr>
        <w:t>”)</w:t>
      </w:r>
      <w:r w:rsidR="00FC5EDA">
        <w:rPr>
          <w:szCs w:val="22"/>
        </w:rPr>
        <w:t xml:space="preserve"> is either:</w:t>
      </w:r>
    </w:p>
    <w:p w:rsidR="00552FC1" w:rsidRPr="00F8170C" w:rsidRDefault="00552FC1" w:rsidP="00DA0CD2">
      <w:pPr>
        <w:numPr>
          <w:ilvl w:val="1"/>
          <w:numId w:val="28"/>
        </w:numPr>
        <w:spacing w:after="120"/>
        <w:jc w:val="both"/>
        <w:rPr>
          <w:szCs w:val="22"/>
        </w:rPr>
      </w:pPr>
      <w:r w:rsidRPr="00F8170C">
        <w:rPr>
          <w:szCs w:val="22"/>
        </w:rPr>
        <w:t>a sub-sale or transaction having the effect of a sub-sale, even if the subsequent conveyance is executed by the person who was the vendor in the relevant transaction; or</w:t>
      </w:r>
    </w:p>
    <w:p w:rsidR="00552FC1" w:rsidRDefault="00552FC1" w:rsidP="00DA0CD2">
      <w:pPr>
        <w:numPr>
          <w:ilvl w:val="1"/>
          <w:numId w:val="28"/>
        </w:numPr>
        <w:spacing w:after="120"/>
        <w:jc w:val="both"/>
        <w:rPr>
          <w:szCs w:val="22"/>
        </w:rPr>
      </w:pPr>
      <w:r w:rsidRPr="00F8170C">
        <w:rPr>
          <w:szCs w:val="22"/>
        </w:rPr>
        <w:t>is the result of a conveyance by direction, whether in writing or not, initiated by the conveyee in the relevant transaction.</w:t>
      </w:r>
    </w:p>
    <w:p w:rsidR="00253189" w:rsidRPr="006C0A11" w:rsidRDefault="00253189" w:rsidP="00253189">
      <w:pPr>
        <w:pStyle w:val="BlockText"/>
        <w:tabs>
          <w:tab w:val="num" w:pos="567"/>
        </w:tabs>
        <w:rPr>
          <w:szCs w:val="22"/>
        </w:rPr>
      </w:pPr>
      <w:r>
        <w:rPr>
          <w:szCs w:val="22"/>
        </w:rPr>
        <w:t>More detail</w:t>
      </w:r>
      <w:r w:rsidR="000D6707">
        <w:rPr>
          <w:szCs w:val="22"/>
        </w:rPr>
        <w:t>s</w:t>
      </w:r>
      <w:r>
        <w:rPr>
          <w:szCs w:val="22"/>
        </w:rPr>
        <w:t xml:space="preserve"> on what </w:t>
      </w:r>
      <w:r w:rsidR="000D6707">
        <w:rPr>
          <w:szCs w:val="22"/>
        </w:rPr>
        <w:t xml:space="preserve">transactions are </w:t>
      </w:r>
      <w:r>
        <w:rPr>
          <w:szCs w:val="22"/>
        </w:rPr>
        <w:t xml:space="preserve">considered to comprise sub-sales and conveyances by direction </w:t>
      </w:r>
      <w:r w:rsidR="00830CE5">
        <w:rPr>
          <w:szCs w:val="22"/>
        </w:rPr>
        <w:t xml:space="preserve">are </w:t>
      </w:r>
      <w:r>
        <w:rPr>
          <w:szCs w:val="22"/>
        </w:rPr>
        <w:t>provided later in this Guideline.</w:t>
      </w:r>
    </w:p>
    <w:p w:rsidR="00AA3FC6" w:rsidRPr="00DA0CD2" w:rsidRDefault="00253189" w:rsidP="00DA0CD2">
      <w:pPr>
        <w:pStyle w:val="BlockText"/>
        <w:tabs>
          <w:tab w:val="num" w:pos="567"/>
        </w:tabs>
        <w:rPr>
          <w:szCs w:val="22"/>
        </w:rPr>
      </w:pPr>
      <w:r>
        <w:rPr>
          <w:szCs w:val="22"/>
        </w:rPr>
        <w:t>An</w:t>
      </w:r>
      <w:r w:rsidR="00AA3FC6" w:rsidRPr="00253189">
        <w:rPr>
          <w:szCs w:val="22"/>
        </w:rPr>
        <w:t xml:space="preserve"> “eligible conditional agreement” (see Commissioner’s Guideline </w:t>
      </w:r>
      <w:hyperlink r:id="rId13" w:history="1">
        <w:r w:rsidR="00AA3FC6" w:rsidRPr="004D2D4A">
          <w:rPr>
            <w:rStyle w:val="Hyperlink"/>
            <w:szCs w:val="22"/>
          </w:rPr>
          <w:t>CG-SD-002</w:t>
        </w:r>
      </w:hyperlink>
      <w:r w:rsidR="00AA3FC6" w:rsidRPr="004D2D4A">
        <w:rPr>
          <w:szCs w:val="22"/>
        </w:rPr>
        <w:t>:</w:t>
      </w:r>
      <w:r w:rsidR="00AA3FC6" w:rsidRPr="004D2D4A">
        <w:rPr>
          <w:i/>
          <w:szCs w:val="22"/>
        </w:rPr>
        <w:t xml:space="preserve"> E</w:t>
      </w:r>
      <w:r w:rsidR="00AA3FC6" w:rsidRPr="00253189">
        <w:rPr>
          <w:i/>
          <w:szCs w:val="22"/>
        </w:rPr>
        <w:t>ligible conditional agreements – extension of time to lodge instrument and pay duty</w:t>
      </w:r>
      <w:r w:rsidR="00AA3FC6" w:rsidRPr="00DA0CD2">
        <w:rPr>
          <w:szCs w:val="22"/>
        </w:rPr>
        <w:t xml:space="preserve">) </w:t>
      </w:r>
      <w:r w:rsidR="004D2D4A" w:rsidRPr="00DA0CD2">
        <w:rPr>
          <w:szCs w:val="22"/>
        </w:rPr>
        <w:t>that</w:t>
      </w:r>
      <w:r w:rsidR="004D2D4A">
        <w:rPr>
          <w:szCs w:val="22"/>
        </w:rPr>
        <w:t xml:space="preserve"> </w:t>
      </w:r>
      <w:r w:rsidR="00AA3FC6" w:rsidRPr="00DA0CD2">
        <w:rPr>
          <w:szCs w:val="22"/>
        </w:rPr>
        <w:t xml:space="preserve">is not carried into effect because of the non-fulfilment of a condition </w:t>
      </w:r>
      <w:r w:rsidR="004D2D4A">
        <w:rPr>
          <w:szCs w:val="22"/>
        </w:rPr>
        <w:t>is</w:t>
      </w:r>
      <w:r w:rsidR="00AA3FC6" w:rsidRPr="00253189">
        <w:rPr>
          <w:szCs w:val="22"/>
        </w:rPr>
        <w:t xml:space="preserve"> not </w:t>
      </w:r>
      <w:r w:rsidR="00AA3FC6" w:rsidRPr="00DA0CD2">
        <w:rPr>
          <w:szCs w:val="22"/>
        </w:rPr>
        <w:t xml:space="preserve">liable for duty and there is no requirement to </w:t>
      </w:r>
      <w:r w:rsidR="004D2D4A">
        <w:rPr>
          <w:szCs w:val="22"/>
        </w:rPr>
        <w:t xml:space="preserve">lodge the document with TRO or </w:t>
      </w:r>
      <w:r w:rsidR="00AA3FC6" w:rsidRPr="00253189">
        <w:rPr>
          <w:szCs w:val="22"/>
        </w:rPr>
        <w:t>a</w:t>
      </w:r>
      <w:r w:rsidR="00AA3FC6" w:rsidRPr="00DA0CD2">
        <w:rPr>
          <w:szCs w:val="22"/>
        </w:rPr>
        <w:t xml:space="preserve">pply for duty on the transaction to be remitted. </w:t>
      </w:r>
    </w:p>
    <w:p w:rsidR="00253189" w:rsidRPr="00253189" w:rsidRDefault="00253189" w:rsidP="00253189">
      <w:pPr>
        <w:pStyle w:val="BlockText"/>
        <w:tabs>
          <w:tab w:val="num" w:pos="567"/>
        </w:tabs>
        <w:rPr>
          <w:szCs w:val="22"/>
        </w:rPr>
      </w:pPr>
      <w:r w:rsidRPr="00253189">
        <w:rPr>
          <w:szCs w:val="22"/>
        </w:rPr>
        <w:t xml:space="preserve">In order to provide a conveyee with certainty that duty is not payable, conveyees have the option of lodging the instrument with TRO, and following the steps outlined below at “Refund and remission process” in order to have TRO endorse the instrument as not being subject to stamp duty. </w:t>
      </w:r>
    </w:p>
    <w:p w:rsidR="00253189" w:rsidRDefault="000D6707" w:rsidP="00253189">
      <w:pPr>
        <w:pStyle w:val="BlockText"/>
        <w:tabs>
          <w:tab w:val="num" w:pos="567"/>
        </w:tabs>
        <w:rPr>
          <w:szCs w:val="22"/>
        </w:rPr>
      </w:pPr>
      <w:r>
        <w:rPr>
          <w:szCs w:val="22"/>
        </w:rPr>
        <w:lastRenderedPageBreak/>
        <w:t>Alternatively, w</w:t>
      </w:r>
      <w:r w:rsidR="00253189" w:rsidRPr="00515E1E">
        <w:rPr>
          <w:szCs w:val="22"/>
        </w:rPr>
        <w:t>here a conveyee determines</w:t>
      </w:r>
      <w:r w:rsidR="00253189" w:rsidRPr="006C0A11">
        <w:rPr>
          <w:szCs w:val="22"/>
        </w:rPr>
        <w:t xml:space="preserve"> that they are not required to lodge a</w:t>
      </w:r>
      <w:r w:rsidR="00253189">
        <w:rPr>
          <w:szCs w:val="22"/>
        </w:rPr>
        <w:t xml:space="preserve"> cancelled or rescinded</w:t>
      </w:r>
      <w:r w:rsidR="00253189" w:rsidRPr="006C0A11">
        <w:rPr>
          <w:szCs w:val="22"/>
        </w:rPr>
        <w:t xml:space="preserve"> instrument with </w:t>
      </w:r>
      <w:r w:rsidR="00253189">
        <w:rPr>
          <w:szCs w:val="22"/>
        </w:rPr>
        <w:t>TRO</w:t>
      </w:r>
      <w:r w:rsidR="00253189" w:rsidRPr="006C0A11">
        <w:rPr>
          <w:szCs w:val="22"/>
        </w:rPr>
        <w:t xml:space="preserve">, they should make a notation on the instrument using the words </w:t>
      </w:r>
      <w:r w:rsidR="00253189">
        <w:rPr>
          <w:szCs w:val="22"/>
        </w:rPr>
        <w:t>“</w:t>
      </w:r>
      <w:r w:rsidR="00253189" w:rsidRPr="006C0A11">
        <w:rPr>
          <w:szCs w:val="22"/>
        </w:rPr>
        <w:t>not liable to duty – section 9(3A)</w:t>
      </w:r>
      <w:r w:rsidR="00253189">
        <w:rPr>
          <w:szCs w:val="22"/>
        </w:rPr>
        <w:t>”. The conveyee should also</w:t>
      </w:r>
      <w:r w:rsidR="00253189" w:rsidRPr="006C0A11">
        <w:rPr>
          <w:szCs w:val="22"/>
        </w:rPr>
        <w:t xml:space="preserve"> retain sufficient evidence to validate that the dutiable instrument has been cancelled or the transaction rescinded.</w:t>
      </w:r>
    </w:p>
    <w:p w:rsidR="00AA3FC6" w:rsidRPr="00376393" w:rsidRDefault="00AA3FC6" w:rsidP="004634A5">
      <w:pPr>
        <w:pStyle w:val="HeadingFour"/>
      </w:pPr>
      <w:r>
        <w:t xml:space="preserve">Examples of </w:t>
      </w:r>
      <w:r w:rsidR="004634A5">
        <w:t>when</w:t>
      </w:r>
      <w:r>
        <w:t xml:space="preserve"> instruments are not required to be lodged with TRO</w:t>
      </w:r>
    </w:p>
    <w:p w:rsidR="00AA3FC6" w:rsidRDefault="00AA3FC6" w:rsidP="004634A5">
      <w:pPr>
        <w:pStyle w:val="ExampleBox"/>
        <w:jc w:val="both"/>
      </w:pPr>
      <w:r>
        <w:t>An agreement for the sale of land requires the conveyee to pay the purchase price at settlement in exchange for the conveyor delivering possession of the property. At settlement, the conveyee does not tender the purchase price even though the conveyor is able to settle.</w:t>
      </w:r>
    </w:p>
    <w:p w:rsidR="00AA3FC6" w:rsidRDefault="00AA3FC6" w:rsidP="004634A5">
      <w:pPr>
        <w:pStyle w:val="ExampleBox"/>
        <w:jc w:val="both"/>
      </w:pPr>
      <w:r>
        <w:t>The conveyor terminates the contract due to the conveyee’s breach and retains the deposit paid under the agreement.</w:t>
      </w:r>
    </w:p>
    <w:p w:rsidR="00AA3FC6" w:rsidRDefault="00AA3FC6" w:rsidP="004634A5">
      <w:pPr>
        <w:pStyle w:val="ExampleBox"/>
        <w:jc w:val="both"/>
      </w:pPr>
      <w:r>
        <w:t>In this instance the conveyance did not proceed, so there is no requirement to lodge the agreement with TRO or pay duty.</w:t>
      </w:r>
    </w:p>
    <w:p w:rsidR="00AA3FC6" w:rsidRPr="00C81F73" w:rsidRDefault="00AA3FC6" w:rsidP="004634A5">
      <w:pPr>
        <w:pStyle w:val="BlockText"/>
        <w:numPr>
          <w:ilvl w:val="0"/>
          <w:numId w:val="0"/>
        </w:numPr>
        <w:tabs>
          <w:tab w:val="num" w:pos="567"/>
        </w:tabs>
        <w:ind w:left="360" w:hanging="360"/>
        <w:rPr>
          <w:sz w:val="2"/>
          <w:szCs w:val="2"/>
        </w:rPr>
      </w:pPr>
    </w:p>
    <w:p w:rsidR="00AA3FC6" w:rsidRDefault="00AA3FC6" w:rsidP="004634A5">
      <w:pPr>
        <w:pStyle w:val="ExampleBox"/>
        <w:jc w:val="both"/>
      </w:pPr>
      <w:r>
        <w:t>An agreement for the sale of land is subject to the conveyee obtaining finance. The conveyee is unable to obtain finance approval.</w:t>
      </w:r>
    </w:p>
    <w:p w:rsidR="00AA3FC6" w:rsidRDefault="00AA3FC6" w:rsidP="004634A5">
      <w:pPr>
        <w:pStyle w:val="ExampleBox"/>
        <w:jc w:val="both"/>
      </w:pPr>
      <w:r>
        <w:t>The parties decide to terminate the agreement due to the conveyee being unable to obtain finance.</w:t>
      </w:r>
    </w:p>
    <w:p w:rsidR="00AA3FC6" w:rsidRDefault="00AA3FC6" w:rsidP="004634A5">
      <w:pPr>
        <w:pStyle w:val="ExampleBox"/>
        <w:jc w:val="both"/>
      </w:pPr>
      <w:r>
        <w:t>As the agreement was terminated and the conveyance did not proceed, there is no requirement to lodge the agreement with TRO or pay duty.</w:t>
      </w:r>
    </w:p>
    <w:p w:rsidR="004D2D4A" w:rsidRPr="00253189" w:rsidRDefault="004D2D4A" w:rsidP="00DA0CD2">
      <w:pPr>
        <w:pStyle w:val="HeadingTwo"/>
      </w:pPr>
      <w:r>
        <w:t>Refunds of duty</w:t>
      </w:r>
      <w:r w:rsidR="00253189">
        <w:t xml:space="preserve"> already</w:t>
      </w:r>
      <w:r>
        <w:t xml:space="preserve"> paid on cancelled </w:t>
      </w:r>
      <w:r w:rsidR="00253189">
        <w:t>or rescinded contracts</w:t>
      </w:r>
    </w:p>
    <w:p w:rsidR="009E4A26" w:rsidRPr="006C0A11" w:rsidRDefault="00253189" w:rsidP="006C0A11">
      <w:pPr>
        <w:pStyle w:val="BlockText"/>
        <w:tabs>
          <w:tab w:val="num" w:pos="567"/>
        </w:tabs>
        <w:rPr>
          <w:szCs w:val="22"/>
        </w:rPr>
      </w:pPr>
      <w:r>
        <w:rPr>
          <w:szCs w:val="22"/>
        </w:rPr>
        <w:t>Different circumstances apply</w:t>
      </w:r>
      <w:r w:rsidR="00933A8C">
        <w:rPr>
          <w:szCs w:val="22"/>
        </w:rPr>
        <w:t xml:space="preserve"> if duty on a conveyance has either been paid or assessed by TRO</w:t>
      </w:r>
      <w:r>
        <w:rPr>
          <w:szCs w:val="22"/>
        </w:rPr>
        <w:t xml:space="preserve"> and then the instrument is cancelled or rescinded</w:t>
      </w:r>
      <w:r w:rsidR="00933A8C">
        <w:rPr>
          <w:szCs w:val="22"/>
        </w:rPr>
        <w:t>. In particular,</w:t>
      </w:r>
      <w:r w:rsidR="00C81F73">
        <w:rPr>
          <w:szCs w:val="22"/>
        </w:rPr>
        <w:t xml:space="preserve"> s</w:t>
      </w:r>
      <w:r w:rsidR="009E4A26" w:rsidRPr="00E73D2A">
        <w:rPr>
          <w:szCs w:val="22"/>
        </w:rPr>
        <w:t xml:space="preserve">ection 56A of the Act provides that if duty has been paid or is payable on a conveyance </w:t>
      </w:r>
      <w:r w:rsidR="000D6707" w:rsidRPr="00F8170C">
        <w:rPr>
          <w:szCs w:val="22"/>
        </w:rPr>
        <w:t xml:space="preserve">then </w:t>
      </w:r>
      <w:r w:rsidR="000D6707">
        <w:rPr>
          <w:szCs w:val="22"/>
        </w:rPr>
        <w:t xml:space="preserve">TRO </w:t>
      </w:r>
      <w:r w:rsidR="000D6707" w:rsidRPr="00933A8C">
        <w:rPr>
          <w:szCs w:val="22"/>
          <w:u w:val="single"/>
        </w:rPr>
        <w:t>must</w:t>
      </w:r>
      <w:r w:rsidR="000D6707" w:rsidRPr="00F8170C">
        <w:rPr>
          <w:szCs w:val="22"/>
        </w:rPr>
        <w:t xml:space="preserve"> refund or remit the duty payable </w:t>
      </w:r>
      <w:r w:rsidR="000D6707">
        <w:rPr>
          <w:szCs w:val="22"/>
        </w:rPr>
        <w:t xml:space="preserve">if </w:t>
      </w:r>
      <w:r w:rsidR="002B2928">
        <w:rPr>
          <w:szCs w:val="22"/>
        </w:rPr>
        <w:t xml:space="preserve">the </w:t>
      </w:r>
      <w:r w:rsidR="009E4A26" w:rsidRPr="006C0A11">
        <w:rPr>
          <w:szCs w:val="22"/>
        </w:rPr>
        <w:t>conveyance does not proceed</w:t>
      </w:r>
      <w:r w:rsidR="00D5261B">
        <w:rPr>
          <w:szCs w:val="22"/>
        </w:rPr>
        <w:t xml:space="preserve"> because</w:t>
      </w:r>
      <w:r w:rsidR="009E4A26" w:rsidRPr="006C0A11">
        <w:rPr>
          <w:szCs w:val="22"/>
        </w:rPr>
        <w:t>:</w:t>
      </w:r>
    </w:p>
    <w:p w:rsidR="009E4A26" w:rsidRPr="00F8170C" w:rsidRDefault="009E4A26" w:rsidP="006C0A11">
      <w:pPr>
        <w:numPr>
          <w:ilvl w:val="0"/>
          <w:numId w:val="10"/>
        </w:numPr>
        <w:spacing w:after="120"/>
        <w:ind w:left="1077" w:hanging="510"/>
        <w:jc w:val="both"/>
        <w:rPr>
          <w:szCs w:val="22"/>
        </w:rPr>
      </w:pPr>
      <w:r w:rsidRPr="00F8170C">
        <w:rPr>
          <w:szCs w:val="22"/>
        </w:rPr>
        <w:t xml:space="preserve">of non-execution by an essential party, non-fulfilment of a condition precedent or the operation of some provision of the instrument; or </w:t>
      </w:r>
    </w:p>
    <w:p w:rsidR="009E4A26" w:rsidRPr="006C0A11" w:rsidRDefault="009E4A26" w:rsidP="006C0A11">
      <w:pPr>
        <w:numPr>
          <w:ilvl w:val="0"/>
          <w:numId w:val="10"/>
        </w:numPr>
        <w:spacing w:after="120"/>
        <w:ind w:hanging="513"/>
        <w:jc w:val="both"/>
        <w:rPr>
          <w:szCs w:val="22"/>
        </w:rPr>
      </w:pPr>
      <w:r w:rsidRPr="00F8170C">
        <w:rPr>
          <w:szCs w:val="22"/>
        </w:rPr>
        <w:t>the entitlements purportedly conferred by the conveyance are extinguished by rescission, cancellation or annulment of the conveyance</w:t>
      </w:r>
      <w:r w:rsidR="000D6707">
        <w:rPr>
          <w:szCs w:val="22"/>
        </w:rPr>
        <w:t>.</w:t>
      </w:r>
    </w:p>
    <w:p w:rsidR="009E4A26" w:rsidRPr="00F8170C" w:rsidRDefault="00FE46F3" w:rsidP="00DA0CD2">
      <w:pPr>
        <w:pStyle w:val="BlockText"/>
        <w:tabs>
          <w:tab w:val="num" w:pos="567"/>
        </w:tabs>
        <w:rPr>
          <w:szCs w:val="22"/>
        </w:rPr>
      </w:pPr>
      <w:r>
        <w:rPr>
          <w:szCs w:val="22"/>
        </w:rPr>
        <w:t>An exception to this is</w:t>
      </w:r>
      <w:r w:rsidRPr="00E73D2A">
        <w:rPr>
          <w:szCs w:val="22"/>
        </w:rPr>
        <w:t xml:space="preserve"> a conveyance to which the put and call option provisions at Part 3, Division 8AB of the Act apply</w:t>
      </w:r>
      <w:r w:rsidR="006F0771">
        <w:rPr>
          <w:szCs w:val="22"/>
        </w:rPr>
        <w:t>.</w:t>
      </w:r>
      <w:r w:rsidR="000D6707">
        <w:rPr>
          <w:szCs w:val="22"/>
        </w:rPr>
        <w:t xml:space="preserve"> Refer to </w:t>
      </w:r>
      <w:r w:rsidR="000D6707" w:rsidRPr="00E73D2A">
        <w:rPr>
          <w:szCs w:val="22"/>
        </w:rPr>
        <w:t xml:space="preserve">Commissioner’s Guideline </w:t>
      </w:r>
      <w:hyperlink r:id="rId14" w:history="1">
        <w:r w:rsidR="000D6707" w:rsidRPr="00690321">
          <w:rPr>
            <w:rStyle w:val="Hyperlink"/>
            <w:szCs w:val="22"/>
          </w:rPr>
          <w:t>CG</w:t>
        </w:r>
        <w:r w:rsidR="000D6707">
          <w:rPr>
            <w:rStyle w:val="Hyperlink"/>
            <w:szCs w:val="22"/>
          </w:rPr>
          <w:noBreakHyphen/>
        </w:r>
        <w:r w:rsidR="000D6707" w:rsidRPr="00690321">
          <w:rPr>
            <w:rStyle w:val="Hyperlink"/>
            <w:szCs w:val="22"/>
          </w:rPr>
          <w:t>SD</w:t>
        </w:r>
        <w:r w:rsidR="000D6707">
          <w:rPr>
            <w:rStyle w:val="Hyperlink"/>
            <w:szCs w:val="22"/>
          </w:rPr>
          <w:noBreakHyphen/>
        </w:r>
        <w:r w:rsidR="000D6707" w:rsidRPr="00690321">
          <w:rPr>
            <w:rStyle w:val="Hyperlink"/>
            <w:szCs w:val="22"/>
          </w:rPr>
          <w:t>005</w:t>
        </w:r>
      </w:hyperlink>
      <w:r w:rsidR="000D6707" w:rsidRPr="00712A97">
        <w:rPr>
          <w:szCs w:val="22"/>
        </w:rPr>
        <w:t>:</w:t>
      </w:r>
      <w:r w:rsidR="000D6707" w:rsidRPr="006C0A11">
        <w:rPr>
          <w:i/>
          <w:szCs w:val="22"/>
        </w:rPr>
        <w:t xml:space="preserve"> Put and call options</w:t>
      </w:r>
      <w:r w:rsidR="000D6707">
        <w:rPr>
          <w:szCs w:val="22"/>
        </w:rPr>
        <w:t xml:space="preserve"> for details of the rules applying to these option arrangements</w:t>
      </w:r>
    </w:p>
    <w:p w:rsidR="009E4A26" w:rsidRPr="001D69BE" w:rsidRDefault="009E4A26" w:rsidP="001D69BE">
      <w:pPr>
        <w:pStyle w:val="BlockText"/>
        <w:tabs>
          <w:tab w:val="num" w:pos="567"/>
        </w:tabs>
        <w:rPr>
          <w:szCs w:val="22"/>
        </w:rPr>
      </w:pPr>
      <w:r w:rsidRPr="00E73D2A">
        <w:rPr>
          <w:szCs w:val="22"/>
        </w:rPr>
        <w:t xml:space="preserve">Section 56A of the Act also sets out the process that </w:t>
      </w:r>
      <w:r w:rsidR="00076C89">
        <w:rPr>
          <w:szCs w:val="22"/>
        </w:rPr>
        <w:t xml:space="preserve">a </w:t>
      </w:r>
      <w:r w:rsidRPr="00E73D2A">
        <w:rPr>
          <w:szCs w:val="22"/>
        </w:rPr>
        <w:t xml:space="preserve">conveyee </w:t>
      </w:r>
      <w:r w:rsidR="002A59BD">
        <w:rPr>
          <w:szCs w:val="22"/>
        </w:rPr>
        <w:t>must</w:t>
      </w:r>
      <w:r w:rsidRPr="00E73D2A">
        <w:rPr>
          <w:szCs w:val="22"/>
        </w:rPr>
        <w:t xml:space="preserve"> undertake in order for </w:t>
      </w:r>
      <w:r w:rsidR="006F0771">
        <w:rPr>
          <w:szCs w:val="22"/>
        </w:rPr>
        <w:t>TRO</w:t>
      </w:r>
      <w:r w:rsidRPr="00E73D2A">
        <w:rPr>
          <w:szCs w:val="22"/>
        </w:rPr>
        <w:t xml:space="preserve"> </w:t>
      </w:r>
      <w:r w:rsidR="002A59BD">
        <w:rPr>
          <w:szCs w:val="22"/>
        </w:rPr>
        <w:t>to refund the duty paid or remit the duty payable</w:t>
      </w:r>
      <w:r w:rsidR="00B54359">
        <w:rPr>
          <w:szCs w:val="22"/>
        </w:rPr>
        <w:t xml:space="preserve"> on a cancelled conveyance</w:t>
      </w:r>
      <w:r w:rsidR="00D338E5">
        <w:rPr>
          <w:szCs w:val="22"/>
        </w:rPr>
        <w:t xml:space="preserve"> that has been assessed</w:t>
      </w:r>
      <w:r w:rsidR="000D6707">
        <w:rPr>
          <w:szCs w:val="22"/>
        </w:rPr>
        <w:t xml:space="preserve">. This process is detailed in the section </w:t>
      </w:r>
      <w:r w:rsidR="00E747D1">
        <w:rPr>
          <w:szCs w:val="22"/>
        </w:rPr>
        <w:t>“</w:t>
      </w:r>
      <w:r w:rsidRPr="00E73D2A">
        <w:rPr>
          <w:szCs w:val="22"/>
        </w:rPr>
        <w:t>Refund and remission process</w:t>
      </w:r>
      <w:r w:rsidR="00E747D1">
        <w:rPr>
          <w:szCs w:val="22"/>
        </w:rPr>
        <w:t>”</w:t>
      </w:r>
      <w:r w:rsidRPr="00E73D2A">
        <w:rPr>
          <w:szCs w:val="22"/>
        </w:rPr>
        <w:t xml:space="preserve"> below. </w:t>
      </w:r>
    </w:p>
    <w:p w:rsidR="009E4A26" w:rsidRPr="006C0A11" w:rsidRDefault="00933A8C" w:rsidP="006C0A11">
      <w:pPr>
        <w:pStyle w:val="BlockText"/>
        <w:tabs>
          <w:tab w:val="num" w:pos="567"/>
        </w:tabs>
        <w:rPr>
          <w:szCs w:val="22"/>
        </w:rPr>
      </w:pPr>
      <w:r>
        <w:rPr>
          <w:szCs w:val="22"/>
        </w:rPr>
        <w:t>Similar to section 9(3A) of the Act</w:t>
      </w:r>
      <w:r w:rsidR="009E4A26" w:rsidRPr="00E73D2A">
        <w:rPr>
          <w:szCs w:val="22"/>
        </w:rPr>
        <w:t>, section 56A(4) provides</w:t>
      </w:r>
      <w:r w:rsidR="00D5261B">
        <w:rPr>
          <w:szCs w:val="22"/>
        </w:rPr>
        <w:t xml:space="preserve"> that</w:t>
      </w:r>
      <w:r w:rsidR="009E4A26" w:rsidRPr="00E73D2A">
        <w:rPr>
          <w:szCs w:val="22"/>
        </w:rPr>
        <w:t xml:space="preserve"> the</w:t>
      </w:r>
      <w:r w:rsidR="002B2928">
        <w:rPr>
          <w:szCs w:val="22"/>
        </w:rPr>
        <w:t xml:space="preserve">re will be no </w:t>
      </w:r>
      <w:r w:rsidR="009E4A26" w:rsidRPr="00E73D2A">
        <w:rPr>
          <w:szCs w:val="22"/>
        </w:rPr>
        <w:t>remission or refund whe</w:t>
      </w:r>
      <w:r w:rsidR="00AB4ECF">
        <w:rPr>
          <w:szCs w:val="22"/>
        </w:rPr>
        <w:t>n</w:t>
      </w:r>
      <w:r w:rsidR="002B2928">
        <w:rPr>
          <w:szCs w:val="22"/>
        </w:rPr>
        <w:t xml:space="preserve"> </w:t>
      </w:r>
      <w:r w:rsidR="009E4A26" w:rsidRPr="006C0A11">
        <w:rPr>
          <w:szCs w:val="22"/>
        </w:rPr>
        <w:t>a subsequent sale or other disposition of the dutiable property the subject of the cancelled transaction:</w:t>
      </w:r>
    </w:p>
    <w:p w:rsidR="009E4A26" w:rsidRPr="00F8170C" w:rsidRDefault="009E4A26" w:rsidP="006C0A11">
      <w:pPr>
        <w:numPr>
          <w:ilvl w:val="0"/>
          <w:numId w:val="11"/>
        </w:numPr>
        <w:spacing w:after="120"/>
        <w:ind w:hanging="513"/>
        <w:jc w:val="both"/>
        <w:rPr>
          <w:szCs w:val="22"/>
        </w:rPr>
      </w:pPr>
      <w:r w:rsidRPr="00F8170C">
        <w:rPr>
          <w:szCs w:val="22"/>
        </w:rPr>
        <w:t>is a sub-sale or a transaction having the effect of a sub-sale</w:t>
      </w:r>
      <w:r w:rsidR="002B2928">
        <w:rPr>
          <w:szCs w:val="22"/>
        </w:rPr>
        <w:t xml:space="preserve">, </w:t>
      </w:r>
      <w:r w:rsidRPr="00F8170C">
        <w:rPr>
          <w:szCs w:val="22"/>
        </w:rPr>
        <w:t xml:space="preserve">notwithstanding that the subsequent conveyance </w:t>
      </w:r>
      <w:r w:rsidR="00FE46F3">
        <w:rPr>
          <w:szCs w:val="22"/>
        </w:rPr>
        <w:t>may be</w:t>
      </w:r>
      <w:r w:rsidRPr="00F8170C">
        <w:rPr>
          <w:szCs w:val="22"/>
        </w:rPr>
        <w:t xml:space="preserve"> executed by the person who was the vendor in that first-mentioned transaction; or</w:t>
      </w:r>
    </w:p>
    <w:p w:rsidR="009E4A26" w:rsidRDefault="009E4A26" w:rsidP="006C0A11">
      <w:pPr>
        <w:numPr>
          <w:ilvl w:val="0"/>
          <w:numId w:val="11"/>
        </w:numPr>
        <w:spacing w:after="120"/>
        <w:ind w:hanging="513"/>
        <w:jc w:val="both"/>
        <w:rPr>
          <w:szCs w:val="22"/>
        </w:rPr>
      </w:pPr>
      <w:r w:rsidRPr="00F8170C">
        <w:rPr>
          <w:szCs w:val="22"/>
        </w:rPr>
        <w:t>is the result of a conveyance by direction, whether in writing or not, initiated by the conveyee in that transaction.</w:t>
      </w:r>
    </w:p>
    <w:p w:rsidR="00933A8C" w:rsidRPr="00DA0CD2" w:rsidRDefault="000D6707" w:rsidP="00933A8C">
      <w:pPr>
        <w:pStyle w:val="BlockText"/>
        <w:tabs>
          <w:tab w:val="num" w:pos="567"/>
        </w:tabs>
        <w:rPr>
          <w:szCs w:val="22"/>
        </w:rPr>
      </w:pPr>
      <w:r w:rsidRPr="00DA0CD2">
        <w:rPr>
          <w:szCs w:val="22"/>
        </w:rPr>
        <w:t>More detail</w:t>
      </w:r>
      <w:r>
        <w:rPr>
          <w:szCs w:val="22"/>
        </w:rPr>
        <w:t>s</w:t>
      </w:r>
      <w:r w:rsidRPr="00DA0CD2">
        <w:rPr>
          <w:szCs w:val="22"/>
        </w:rPr>
        <w:t xml:space="preserve"> on what transactions are considered to comprise sub-sales and conveyances by direction</w:t>
      </w:r>
      <w:r>
        <w:rPr>
          <w:szCs w:val="22"/>
        </w:rPr>
        <w:t xml:space="preserve"> are </w:t>
      </w:r>
      <w:r w:rsidR="00933A8C" w:rsidRPr="00DA0CD2">
        <w:rPr>
          <w:szCs w:val="22"/>
        </w:rPr>
        <w:t>provided below.</w:t>
      </w:r>
    </w:p>
    <w:p w:rsidR="009E4A26" w:rsidRPr="00F8170C" w:rsidRDefault="009E4A26" w:rsidP="00DA0CD2">
      <w:pPr>
        <w:pStyle w:val="HeadingTwo"/>
        <w:keepNext/>
      </w:pPr>
      <w:r w:rsidRPr="006C0A11">
        <w:t>Sub-sales and conveyances by direction</w:t>
      </w:r>
    </w:p>
    <w:p w:rsidR="009E4A26" w:rsidRPr="00360F06" w:rsidRDefault="00AE0623" w:rsidP="00360F06">
      <w:pPr>
        <w:pStyle w:val="BlockText"/>
        <w:tabs>
          <w:tab w:val="num" w:pos="567"/>
        </w:tabs>
        <w:rPr>
          <w:szCs w:val="22"/>
        </w:rPr>
      </w:pPr>
      <w:r w:rsidRPr="00360F06">
        <w:rPr>
          <w:szCs w:val="22"/>
        </w:rPr>
        <w:t xml:space="preserve">While it is not possible to provide a </w:t>
      </w:r>
      <w:r w:rsidR="00360F06" w:rsidRPr="00360F06">
        <w:rPr>
          <w:szCs w:val="22"/>
        </w:rPr>
        <w:t xml:space="preserve">comprehensive </w:t>
      </w:r>
      <w:r w:rsidRPr="00360F06">
        <w:rPr>
          <w:szCs w:val="22"/>
        </w:rPr>
        <w:t>catalogue</w:t>
      </w:r>
      <w:r w:rsidR="00FE46F3">
        <w:rPr>
          <w:szCs w:val="22"/>
        </w:rPr>
        <w:t xml:space="preserve"> in this Guideline</w:t>
      </w:r>
      <w:r w:rsidRPr="00360F06">
        <w:rPr>
          <w:szCs w:val="22"/>
        </w:rPr>
        <w:t xml:space="preserve">, </w:t>
      </w:r>
      <w:r w:rsidR="00BE7835">
        <w:rPr>
          <w:szCs w:val="22"/>
        </w:rPr>
        <w:t>TRO</w:t>
      </w:r>
      <w:r w:rsidR="009E4A26" w:rsidRPr="00360F06">
        <w:rPr>
          <w:szCs w:val="22"/>
        </w:rPr>
        <w:t xml:space="preserve"> considers that </w:t>
      </w:r>
      <w:r w:rsidR="00360F06" w:rsidRPr="00360F06">
        <w:rPr>
          <w:szCs w:val="22"/>
        </w:rPr>
        <w:t xml:space="preserve">a novation, a nomination </w:t>
      </w:r>
      <w:r w:rsidR="00253189">
        <w:rPr>
          <w:szCs w:val="22"/>
        </w:rPr>
        <w:t xml:space="preserve">or </w:t>
      </w:r>
      <w:r w:rsidR="00360F06" w:rsidRPr="00360F06">
        <w:rPr>
          <w:szCs w:val="22"/>
        </w:rPr>
        <w:t xml:space="preserve">a direction to the vendor to convey dutiable property to a third </w:t>
      </w:r>
      <w:r w:rsidR="00360F06" w:rsidRPr="00360F06">
        <w:rPr>
          <w:szCs w:val="22"/>
        </w:rPr>
        <w:lastRenderedPageBreak/>
        <w:t>party instead of the original (or first) purchaser</w:t>
      </w:r>
      <w:r w:rsidR="004D6942">
        <w:rPr>
          <w:szCs w:val="22"/>
        </w:rPr>
        <w:t>,</w:t>
      </w:r>
      <w:r w:rsidR="00360F06" w:rsidRPr="00360F06">
        <w:rPr>
          <w:szCs w:val="22"/>
        </w:rPr>
        <w:t xml:space="preserve"> </w:t>
      </w:r>
      <w:r w:rsidR="00360F06">
        <w:rPr>
          <w:szCs w:val="22"/>
        </w:rPr>
        <w:t xml:space="preserve">can </w:t>
      </w:r>
      <w:r w:rsidR="009E4A26" w:rsidRPr="00360F06">
        <w:rPr>
          <w:szCs w:val="22"/>
        </w:rPr>
        <w:t>all fall within the scope of subsequent sales or other dispositions contemplated by section</w:t>
      </w:r>
      <w:r w:rsidR="00AA3FC6">
        <w:rPr>
          <w:szCs w:val="22"/>
        </w:rPr>
        <w:t>s 9(3A) and</w:t>
      </w:r>
      <w:r w:rsidR="009E4A26" w:rsidRPr="00360F06">
        <w:rPr>
          <w:szCs w:val="22"/>
        </w:rPr>
        <w:t xml:space="preserve"> 56A(4) of the Act</w:t>
      </w:r>
      <w:r w:rsidR="00F61ACD">
        <w:rPr>
          <w:szCs w:val="22"/>
        </w:rPr>
        <w:t>.</w:t>
      </w:r>
    </w:p>
    <w:p w:rsidR="00360F06" w:rsidRPr="00D911AF" w:rsidRDefault="00360F06" w:rsidP="00933A8C">
      <w:pPr>
        <w:keepNext/>
        <w:spacing w:after="120"/>
        <w:jc w:val="both"/>
        <w:rPr>
          <w:b/>
          <w:i/>
          <w:szCs w:val="22"/>
        </w:rPr>
      </w:pPr>
      <w:r w:rsidRPr="00D911AF">
        <w:rPr>
          <w:b/>
          <w:i/>
          <w:szCs w:val="22"/>
        </w:rPr>
        <w:t>Sub-sales</w:t>
      </w:r>
    </w:p>
    <w:p w:rsidR="00360F06" w:rsidRPr="00360F06" w:rsidRDefault="00360F06" w:rsidP="00360F06">
      <w:pPr>
        <w:pStyle w:val="BlockText"/>
        <w:tabs>
          <w:tab w:val="num" w:pos="567"/>
        </w:tabs>
        <w:rPr>
          <w:color w:val="000000"/>
          <w:szCs w:val="22"/>
        </w:rPr>
      </w:pPr>
      <w:r w:rsidRPr="00360F06">
        <w:rPr>
          <w:color w:val="000000"/>
          <w:szCs w:val="22"/>
        </w:rPr>
        <w:t xml:space="preserve">Where a dutiable instrument is cancelled to give effect to a subsequent dutiable instrument, the original instrument will </w:t>
      </w:r>
      <w:r w:rsidR="00A22FD2">
        <w:rPr>
          <w:color w:val="000000"/>
          <w:szCs w:val="22"/>
        </w:rPr>
        <w:t xml:space="preserve">be endorsed as cancelled if TRO </w:t>
      </w:r>
      <w:r w:rsidRPr="00360F06">
        <w:rPr>
          <w:color w:val="000000"/>
          <w:szCs w:val="22"/>
        </w:rPr>
        <w:t xml:space="preserve">is satisfied that the instrument was not </w:t>
      </w:r>
      <w:r>
        <w:rPr>
          <w:color w:val="000000"/>
          <w:szCs w:val="22"/>
        </w:rPr>
        <w:t>cancelled</w:t>
      </w:r>
      <w:r w:rsidRPr="00360F06">
        <w:rPr>
          <w:color w:val="000000"/>
          <w:szCs w:val="22"/>
        </w:rPr>
        <w:t xml:space="preserve"> to give effect to a sub</w:t>
      </w:r>
      <w:r w:rsidR="00FE46F3">
        <w:rPr>
          <w:color w:val="000000"/>
          <w:szCs w:val="22"/>
        </w:rPr>
        <w:t>-</w:t>
      </w:r>
      <w:r w:rsidRPr="00360F06">
        <w:rPr>
          <w:color w:val="000000"/>
          <w:szCs w:val="22"/>
        </w:rPr>
        <w:t xml:space="preserve">sale. </w:t>
      </w:r>
      <w:r w:rsidR="00EF038F">
        <w:rPr>
          <w:color w:val="000000"/>
          <w:szCs w:val="22"/>
        </w:rPr>
        <w:t xml:space="preserve">In considering whether a sub-sale has occurred, </w:t>
      </w:r>
      <w:r w:rsidR="00A22FD2">
        <w:rPr>
          <w:color w:val="000000"/>
          <w:szCs w:val="22"/>
        </w:rPr>
        <w:t>TRO</w:t>
      </w:r>
      <w:r w:rsidRPr="00360F06">
        <w:rPr>
          <w:color w:val="000000"/>
          <w:szCs w:val="22"/>
        </w:rPr>
        <w:t xml:space="preserve"> looks primarily at the intention of, and the benefit passing to, the original conveyee as a result of the cancellation of the original dutiable instrument.</w:t>
      </w:r>
    </w:p>
    <w:p w:rsidR="00360F06" w:rsidRPr="00B17C40" w:rsidRDefault="00360F06" w:rsidP="00B17C40">
      <w:pPr>
        <w:pStyle w:val="BlockText"/>
        <w:tabs>
          <w:tab w:val="num" w:pos="567"/>
        </w:tabs>
        <w:rPr>
          <w:color w:val="000000"/>
          <w:szCs w:val="22"/>
        </w:rPr>
      </w:pPr>
      <w:r w:rsidRPr="00B17C40">
        <w:rPr>
          <w:color w:val="000000"/>
          <w:szCs w:val="22"/>
        </w:rPr>
        <w:t xml:space="preserve">One factor to be considered is whether or not a benefit passes from the substituted conveyee (or a person associated with the substituted conveyee) to the original conveyee (or a person associated with the original conveyee) in the nature of a benefit which ordinarily passes to a vendor pursuant to a sale. A sum of money passing from a substituted conveyee to the original conveyee would suggest that there was, in fact, more than one sale. </w:t>
      </w:r>
      <w:r w:rsidR="00B17C40" w:rsidRPr="00B17C40">
        <w:t xml:space="preserve"> </w:t>
      </w:r>
      <w:r w:rsidR="00B17C40" w:rsidRPr="00B17C40">
        <w:rPr>
          <w:color w:val="000000"/>
          <w:szCs w:val="22"/>
        </w:rPr>
        <w:t xml:space="preserve">However, the benefit passing to the original purchaser does not need to be monetary. For example, a builder may “on sell” a vacant lot to </w:t>
      </w:r>
      <w:r w:rsidR="00E01152">
        <w:rPr>
          <w:color w:val="000000"/>
          <w:szCs w:val="22"/>
        </w:rPr>
        <w:t xml:space="preserve">a </w:t>
      </w:r>
      <w:r w:rsidR="00B17C40" w:rsidRPr="00B17C40">
        <w:rPr>
          <w:color w:val="000000"/>
          <w:szCs w:val="22"/>
        </w:rPr>
        <w:t>client at the same price or a lower price than the original purchase price, but as part of an arrangement under which the builder will be engaged to construct a home for the new purchaser. A sale to the new purchaser in the form of a novation from the original vendor would be regarded as a sub-sale from the builder even though there was, on the face of it, no profit passing to the builder from the new purchaser pursuant to that sub-sale.</w:t>
      </w:r>
    </w:p>
    <w:p w:rsidR="00360F06" w:rsidRPr="006C0A11" w:rsidRDefault="00360F06" w:rsidP="00360F06">
      <w:pPr>
        <w:pStyle w:val="BlockText"/>
        <w:tabs>
          <w:tab w:val="num" w:pos="567"/>
        </w:tabs>
        <w:rPr>
          <w:color w:val="000000"/>
          <w:szCs w:val="22"/>
        </w:rPr>
      </w:pPr>
      <w:r w:rsidRPr="006C0A11">
        <w:rPr>
          <w:color w:val="000000"/>
          <w:szCs w:val="22"/>
        </w:rPr>
        <w:t>If the only benefit passing to the original conveyee is the benefit of being released from obligations under the original dutiable instrument, this would not generally be sufficient to characterise the substituted dutiable instrument as a sub</w:t>
      </w:r>
      <w:r w:rsidR="00FE46F3">
        <w:rPr>
          <w:color w:val="000000"/>
          <w:szCs w:val="22"/>
        </w:rPr>
        <w:t>-</w:t>
      </w:r>
      <w:r w:rsidRPr="006C0A11">
        <w:rPr>
          <w:color w:val="000000"/>
          <w:szCs w:val="22"/>
        </w:rPr>
        <w:t xml:space="preserve">sale. For example, if an original conveyee is unable to raise the finance necessary to complete an intended purchase, but locates an alternative conveyee and persuades the vendor to accept this substituted conveyee by way of novation of the agreement, </w:t>
      </w:r>
      <w:r w:rsidR="00A22FD2">
        <w:rPr>
          <w:color w:val="000000"/>
          <w:szCs w:val="22"/>
        </w:rPr>
        <w:t>TRO</w:t>
      </w:r>
      <w:r w:rsidRPr="006C0A11">
        <w:rPr>
          <w:color w:val="000000"/>
          <w:szCs w:val="22"/>
        </w:rPr>
        <w:t xml:space="preserve"> would not </w:t>
      </w:r>
      <w:r>
        <w:rPr>
          <w:color w:val="000000"/>
          <w:szCs w:val="22"/>
        </w:rPr>
        <w:t xml:space="preserve">generally </w:t>
      </w:r>
      <w:r w:rsidRPr="006C0A11">
        <w:rPr>
          <w:color w:val="000000"/>
          <w:szCs w:val="22"/>
        </w:rPr>
        <w:t>view this as a sub-sale.</w:t>
      </w:r>
    </w:p>
    <w:p w:rsidR="00360F06" w:rsidRPr="006C0A11" w:rsidRDefault="00360F06" w:rsidP="00360F06">
      <w:pPr>
        <w:pStyle w:val="BlockText"/>
        <w:tabs>
          <w:tab w:val="num" w:pos="567"/>
        </w:tabs>
        <w:rPr>
          <w:color w:val="000000"/>
          <w:szCs w:val="22"/>
        </w:rPr>
      </w:pPr>
      <w:r w:rsidRPr="006C0A11">
        <w:rPr>
          <w:color w:val="000000"/>
          <w:szCs w:val="22"/>
        </w:rPr>
        <w:t xml:space="preserve">On the other hand, the inclusion of a novation or nomination clause in the original agreement, whereby the original conveyee could require the vendor to accept a substituted conveyee by way of novation or assignment, </w:t>
      </w:r>
      <w:r w:rsidR="00442583">
        <w:rPr>
          <w:color w:val="000000"/>
          <w:szCs w:val="22"/>
        </w:rPr>
        <w:t>may</w:t>
      </w:r>
      <w:r w:rsidR="00442583" w:rsidRPr="006C0A11">
        <w:rPr>
          <w:color w:val="000000"/>
          <w:szCs w:val="22"/>
        </w:rPr>
        <w:t xml:space="preserve"> </w:t>
      </w:r>
      <w:r w:rsidR="00314271">
        <w:rPr>
          <w:color w:val="000000"/>
          <w:szCs w:val="22"/>
        </w:rPr>
        <w:t>indicate</w:t>
      </w:r>
      <w:r w:rsidRPr="006C0A11">
        <w:rPr>
          <w:color w:val="000000"/>
          <w:szCs w:val="22"/>
        </w:rPr>
        <w:t xml:space="preserve"> that the original conveyee intended to </w:t>
      </w:r>
      <w:r w:rsidR="00442583">
        <w:rPr>
          <w:color w:val="000000"/>
          <w:szCs w:val="22"/>
        </w:rPr>
        <w:t>on</w:t>
      </w:r>
      <w:r w:rsidRPr="006C0A11">
        <w:rPr>
          <w:color w:val="000000"/>
          <w:szCs w:val="22"/>
        </w:rPr>
        <w:t xml:space="preserve">-sell the property. </w:t>
      </w:r>
      <w:r>
        <w:rPr>
          <w:color w:val="000000"/>
          <w:szCs w:val="22"/>
        </w:rPr>
        <w:t>In such circumstances</w:t>
      </w:r>
      <w:r w:rsidRPr="006C0A11">
        <w:rPr>
          <w:color w:val="000000"/>
          <w:szCs w:val="22"/>
        </w:rPr>
        <w:t xml:space="preserve">, </w:t>
      </w:r>
      <w:r w:rsidR="00A22FD2">
        <w:rPr>
          <w:color w:val="000000"/>
          <w:szCs w:val="22"/>
        </w:rPr>
        <w:t xml:space="preserve">TRO </w:t>
      </w:r>
      <w:r>
        <w:rPr>
          <w:color w:val="000000"/>
          <w:szCs w:val="22"/>
        </w:rPr>
        <w:t>may</w:t>
      </w:r>
      <w:r w:rsidRPr="006C0A11">
        <w:rPr>
          <w:color w:val="000000"/>
          <w:szCs w:val="22"/>
        </w:rPr>
        <w:t xml:space="preserve"> </w:t>
      </w:r>
      <w:r w:rsidR="00314271">
        <w:rPr>
          <w:color w:val="000000"/>
          <w:szCs w:val="22"/>
        </w:rPr>
        <w:t>consider</w:t>
      </w:r>
      <w:r w:rsidR="00314271" w:rsidRPr="006C0A11">
        <w:rPr>
          <w:color w:val="000000"/>
          <w:szCs w:val="22"/>
        </w:rPr>
        <w:t xml:space="preserve"> </w:t>
      </w:r>
      <w:r>
        <w:rPr>
          <w:color w:val="000000"/>
          <w:szCs w:val="22"/>
        </w:rPr>
        <w:t>that a</w:t>
      </w:r>
      <w:r w:rsidRPr="006C0A11">
        <w:rPr>
          <w:color w:val="000000"/>
          <w:szCs w:val="22"/>
        </w:rPr>
        <w:t xml:space="preserve"> substituted agreement </w:t>
      </w:r>
      <w:r w:rsidR="00FE46F3">
        <w:rPr>
          <w:color w:val="000000"/>
          <w:szCs w:val="22"/>
        </w:rPr>
        <w:t>is</w:t>
      </w:r>
      <w:r w:rsidRPr="006C0A11">
        <w:rPr>
          <w:color w:val="000000"/>
          <w:szCs w:val="22"/>
        </w:rPr>
        <w:t xml:space="preserve"> a sub-sale.</w:t>
      </w:r>
    </w:p>
    <w:p w:rsidR="00E747D1" w:rsidRPr="00D911AF" w:rsidRDefault="00E747D1" w:rsidP="00E747D1">
      <w:pPr>
        <w:spacing w:after="120"/>
        <w:rPr>
          <w:b/>
          <w:i/>
          <w:color w:val="000000"/>
          <w:szCs w:val="22"/>
        </w:rPr>
      </w:pPr>
      <w:r w:rsidRPr="00D911AF">
        <w:rPr>
          <w:b/>
          <w:i/>
          <w:color w:val="000000"/>
          <w:szCs w:val="22"/>
        </w:rPr>
        <w:t>Conveyance by direction initiated by conveyee</w:t>
      </w:r>
    </w:p>
    <w:p w:rsidR="00E747D1" w:rsidRDefault="00A22FD2" w:rsidP="00E747D1">
      <w:pPr>
        <w:pStyle w:val="BlockText"/>
        <w:tabs>
          <w:tab w:val="num" w:pos="567"/>
        </w:tabs>
        <w:rPr>
          <w:color w:val="000000"/>
          <w:szCs w:val="22"/>
        </w:rPr>
      </w:pPr>
      <w:r>
        <w:rPr>
          <w:color w:val="000000"/>
          <w:szCs w:val="22"/>
        </w:rPr>
        <w:t>TRO</w:t>
      </w:r>
      <w:r w:rsidR="00E747D1" w:rsidRPr="006C0A11">
        <w:rPr>
          <w:color w:val="000000"/>
          <w:szCs w:val="22"/>
        </w:rPr>
        <w:t xml:space="preserve"> cannot approve a refund or remission of duty on a dutiable instrument if a conveyor </w:t>
      </w:r>
      <w:r w:rsidR="00314271">
        <w:rPr>
          <w:color w:val="000000"/>
          <w:szCs w:val="22"/>
        </w:rPr>
        <w:t xml:space="preserve">chooses, or </w:t>
      </w:r>
      <w:r w:rsidR="00E747D1" w:rsidRPr="006C0A11">
        <w:rPr>
          <w:color w:val="000000"/>
          <w:szCs w:val="22"/>
        </w:rPr>
        <w:t>is obliged</w:t>
      </w:r>
      <w:r w:rsidR="00314271">
        <w:rPr>
          <w:color w:val="000000"/>
          <w:szCs w:val="22"/>
        </w:rPr>
        <w:t>,</w:t>
      </w:r>
      <w:r w:rsidR="00E747D1" w:rsidRPr="006C0A11">
        <w:rPr>
          <w:color w:val="000000"/>
          <w:szCs w:val="22"/>
        </w:rPr>
        <w:t xml:space="preserve"> to follow a conveyee’s </w:t>
      </w:r>
      <w:r w:rsidR="00E747D1">
        <w:rPr>
          <w:color w:val="000000"/>
          <w:szCs w:val="22"/>
        </w:rPr>
        <w:t xml:space="preserve">written or verbal </w:t>
      </w:r>
      <w:r w:rsidR="00E747D1" w:rsidRPr="006C0A11">
        <w:rPr>
          <w:color w:val="000000"/>
          <w:szCs w:val="22"/>
        </w:rPr>
        <w:t>direction to convey dutiable property to a third party</w:t>
      </w:r>
      <w:r w:rsidR="00E747D1">
        <w:rPr>
          <w:color w:val="000000"/>
          <w:szCs w:val="22"/>
        </w:rPr>
        <w:t>,</w:t>
      </w:r>
      <w:r w:rsidR="00E747D1" w:rsidRPr="006C0A11">
        <w:rPr>
          <w:color w:val="000000"/>
          <w:szCs w:val="22"/>
        </w:rPr>
        <w:t xml:space="preserve"> even if a sub-sale of that property between the conveyee and the third party</w:t>
      </w:r>
      <w:r w:rsidR="003714C7">
        <w:rPr>
          <w:color w:val="000000"/>
          <w:szCs w:val="22"/>
        </w:rPr>
        <w:t xml:space="preserve"> does not take place</w:t>
      </w:r>
      <w:r w:rsidR="00E747D1" w:rsidRPr="006C0A11">
        <w:rPr>
          <w:color w:val="000000"/>
          <w:szCs w:val="22"/>
        </w:rPr>
        <w:t xml:space="preserve">. </w:t>
      </w:r>
    </w:p>
    <w:p w:rsidR="00E747D1" w:rsidRPr="00756C22" w:rsidRDefault="00AA6BD4" w:rsidP="00E747D1">
      <w:pPr>
        <w:pStyle w:val="BlockText"/>
        <w:tabs>
          <w:tab w:val="num" w:pos="567"/>
        </w:tabs>
        <w:rPr>
          <w:color w:val="000000"/>
          <w:szCs w:val="22"/>
        </w:rPr>
      </w:pPr>
      <w:r>
        <w:rPr>
          <w:color w:val="000000"/>
          <w:szCs w:val="22"/>
        </w:rPr>
        <w:t>However, i</w:t>
      </w:r>
      <w:r w:rsidR="00E747D1" w:rsidRPr="00756C22">
        <w:rPr>
          <w:color w:val="000000"/>
          <w:szCs w:val="22"/>
        </w:rPr>
        <w:t xml:space="preserve">f an original conveyee is unable to raise the finance necessary to complete an intended purchase, but locates an </w:t>
      </w:r>
      <w:r w:rsidR="00BB1FAD">
        <w:rPr>
          <w:color w:val="000000"/>
          <w:szCs w:val="22"/>
        </w:rPr>
        <w:t xml:space="preserve">unrelated </w:t>
      </w:r>
      <w:r w:rsidR="00E747D1" w:rsidRPr="00756C22">
        <w:rPr>
          <w:color w:val="000000"/>
          <w:szCs w:val="22"/>
        </w:rPr>
        <w:t xml:space="preserve">alternative conveyee and persuades the vendor to accept this substituted conveyee by way of novation of the agreement, </w:t>
      </w:r>
      <w:r w:rsidR="00A22FD2">
        <w:rPr>
          <w:color w:val="000000"/>
          <w:szCs w:val="22"/>
        </w:rPr>
        <w:t>TRO</w:t>
      </w:r>
      <w:r w:rsidR="00E747D1" w:rsidRPr="00756C22">
        <w:rPr>
          <w:color w:val="000000"/>
          <w:szCs w:val="22"/>
        </w:rPr>
        <w:t xml:space="preserve"> would not </w:t>
      </w:r>
      <w:r w:rsidR="00E747D1">
        <w:rPr>
          <w:color w:val="000000"/>
          <w:szCs w:val="22"/>
        </w:rPr>
        <w:t xml:space="preserve">generally </w:t>
      </w:r>
      <w:r w:rsidR="00E747D1" w:rsidRPr="00756C22">
        <w:rPr>
          <w:color w:val="000000"/>
          <w:szCs w:val="22"/>
        </w:rPr>
        <w:t xml:space="preserve">view this as a </w:t>
      </w:r>
      <w:r w:rsidR="00E747D1">
        <w:rPr>
          <w:color w:val="000000"/>
          <w:szCs w:val="22"/>
        </w:rPr>
        <w:t>conveyance by direction</w:t>
      </w:r>
      <w:r w:rsidR="00E747D1" w:rsidRPr="00756C22">
        <w:rPr>
          <w:color w:val="000000"/>
          <w:szCs w:val="22"/>
        </w:rPr>
        <w:t>.</w:t>
      </w:r>
    </w:p>
    <w:p w:rsidR="00D5261B" w:rsidRDefault="002E3A69" w:rsidP="00E50F81">
      <w:pPr>
        <w:pStyle w:val="BlockText"/>
        <w:tabs>
          <w:tab w:val="num" w:pos="567"/>
        </w:tabs>
        <w:rPr>
          <w:szCs w:val="22"/>
        </w:rPr>
      </w:pPr>
      <w:r>
        <w:rPr>
          <w:szCs w:val="22"/>
        </w:rPr>
        <w:t>A</w:t>
      </w:r>
      <w:r w:rsidR="006F7D09">
        <w:rPr>
          <w:szCs w:val="22"/>
        </w:rPr>
        <w:t>n agreement</w:t>
      </w:r>
      <w:r w:rsidR="00D5261B" w:rsidRPr="00D5261B">
        <w:rPr>
          <w:szCs w:val="22"/>
        </w:rPr>
        <w:t xml:space="preserve"> for the sale of dutiable property </w:t>
      </w:r>
      <w:r>
        <w:rPr>
          <w:szCs w:val="22"/>
        </w:rPr>
        <w:t>may</w:t>
      </w:r>
      <w:r w:rsidR="00D5261B" w:rsidRPr="00D5261B">
        <w:rPr>
          <w:szCs w:val="22"/>
        </w:rPr>
        <w:t xml:space="preserve"> specify that the named purchaser, who is a party to the contract, may nominate substitute or additional</w:t>
      </w:r>
      <w:r w:rsidR="00442583">
        <w:rPr>
          <w:szCs w:val="22"/>
        </w:rPr>
        <w:t xml:space="preserve"> unidentified</w:t>
      </w:r>
      <w:r w:rsidR="00D5261B" w:rsidRPr="00D5261B">
        <w:rPr>
          <w:szCs w:val="22"/>
        </w:rPr>
        <w:t xml:space="preserve"> transferees. For example, a</w:t>
      </w:r>
      <w:r w:rsidR="006F7D09">
        <w:rPr>
          <w:szCs w:val="22"/>
        </w:rPr>
        <w:t>n agreement</w:t>
      </w:r>
      <w:r w:rsidR="00D5261B" w:rsidRPr="00D5261B">
        <w:rPr>
          <w:szCs w:val="22"/>
        </w:rPr>
        <w:t xml:space="preserve"> where the purchaser is John Smith may express the transferee as being “John Smith and/or nominees”. If a named purchaser makes use of the ability to nominate one or more additional or substitute transferees, this </w:t>
      </w:r>
      <w:r w:rsidR="003B1A03">
        <w:rPr>
          <w:szCs w:val="22"/>
        </w:rPr>
        <w:t xml:space="preserve">usually </w:t>
      </w:r>
      <w:r w:rsidR="00D5261B" w:rsidRPr="00D5261B">
        <w:rPr>
          <w:szCs w:val="22"/>
        </w:rPr>
        <w:t xml:space="preserve">results in a conveyance by direction and </w:t>
      </w:r>
      <w:r w:rsidR="00AE4D35">
        <w:rPr>
          <w:szCs w:val="22"/>
        </w:rPr>
        <w:t xml:space="preserve">conveyance </w:t>
      </w:r>
      <w:r w:rsidR="00D5261B" w:rsidRPr="00D5261B">
        <w:rPr>
          <w:szCs w:val="22"/>
        </w:rPr>
        <w:t xml:space="preserve">duty </w:t>
      </w:r>
      <w:r w:rsidR="00AE4D35">
        <w:rPr>
          <w:szCs w:val="22"/>
        </w:rPr>
        <w:t>at ad valor</w:t>
      </w:r>
      <w:r w:rsidR="00A22FD2">
        <w:rPr>
          <w:szCs w:val="22"/>
        </w:rPr>
        <w:t>e</w:t>
      </w:r>
      <w:r w:rsidR="00AE4D35">
        <w:rPr>
          <w:szCs w:val="22"/>
        </w:rPr>
        <w:t xml:space="preserve">m rates </w:t>
      </w:r>
      <w:r w:rsidR="00D5261B" w:rsidRPr="00D5261B">
        <w:rPr>
          <w:szCs w:val="22"/>
        </w:rPr>
        <w:t>is payable on</w:t>
      </w:r>
      <w:r>
        <w:rPr>
          <w:szCs w:val="22"/>
        </w:rPr>
        <w:t xml:space="preserve"> </w:t>
      </w:r>
      <w:r w:rsidRPr="00D338E5">
        <w:rPr>
          <w:szCs w:val="22"/>
        </w:rPr>
        <w:t>both</w:t>
      </w:r>
      <w:r w:rsidR="00D5261B" w:rsidRPr="00D5261B">
        <w:rPr>
          <w:szCs w:val="22"/>
        </w:rPr>
        <w:t xml:space="preserve"> the original agreement and an</w:t>
      </w:r>
      <w:r>
        <w:rPr>
          <w:szCs w:val="22"/>
        </w:rPr>
        <w:t>y subsequent</w:t>
      </w:r>
      <w:r w:rsidR="00D5261B" w:rsidRPr="00D5261B">
        <w:rPr>
          <w:szCs w:val="22"/>
        </w:rPr>
        <w:t xml:space="preserve"> instrument that evidences the conveyance to the transferee(s)</w:t>
      </w:r>
      <w:r>
        <w:rPr>
          <w:szCs w:val="22"/>
        </w:rPr>
        <w:t xml:space="preserve"> (such as a Transfer of Lot)</w:t>
      </w:r>
      <w:r w:rsidR="00D5261B" w:rsidRPr="00D5261B">
        <w:rPr>
          <w:szCs w:val="22"/>
        </w:rPr>
        <w:t xml:space="preserve">. </w:t>
      </w:r>
    </w:p>
    <w:p w:rsidR="00B17C40" w:rsidRDefault="00B17C40" w:rsidP="00E50F81">
      <w:pPr>
        <w:pStyle w:val="BlockText"/>
        <w:tabs>
          <w:tab w:val="num" w:pos="567"/>
        </w:tabs>
        <w:rPr>
          <w:szCs w:val="22"/>
        </w:rPr>
      </w:pPr>
      <w:r>
        <w:rPr>
          <w:szCs w:val="22"/>
        </w:rPr>
        <w:t>A different situation arises where</w:t>
      </w:r>
      <w:r w:rsidR="00921830">
        <w:rPr>
          <w:szCs w:val="22"/>
        </w:rPr>
        <w:t>:</w:t>
      </w:r>
    </w:p>
    <w:p w:rsidR="00921830" w:rsidRDefault="00B2607C" w:rsidP="00442583">
      <w:pPr>
        <w:numPr>
          <w:ilvl w:val="0"/>
          <w:numId w:val="12"/>
        </w:numPr>
        <w:tabs>
          <w:tab w:val="clear" w:pos="1080"/>
        </w:tabs>
        <w:spacing w:after="120"/>
        <w:ind w:left="993" w:hanging="567"/>
        <w:jc w:val="both"/>
        <w:rPr>
          <w:szCs w:val="22"/>
        </w:rPr>
      </w:pPr>
      <w:r>
        <w:rPr>
          <w:szCs w:val="22"/>
        </w:rPr>
        <w:t xml:space="preserve">the substitute or additional </w:t>
      </w:r>
      <w:r w:rsidR="00A4489E">
        <w:rPr>
          <w:szCs w:val="22"/>
        </w:rPr>
        <w:t xml:space="preserve">conveyee </w:t>
      </w:r>
      <w:r w:rsidR="00460BD4">
        <w:rPr>
          <w:szCs w:val="22"/>
        </w:rPr>
        <w:t>is</w:t>
      </w:r>
      <w:r w:rsidR="00460BD4" w:rsidRPr="00921830">
        <w:rPr>
          <w:color w:val="000000"/>
          <w:szCs w:val="22"/>
        </w:rPr>
        <w:t xml:space="preserve"> </w:t>
      </w:r>
      <w:r w:rsidR="00460BD4">
        <w:rPr>
          <w:color w:val="000000"/>
          <w:szCs w:val="22"/>
        </w:rPr>
        <w:t xml:space="preserve">specifically </w:t>
      </w:r>
      <w:r w:rsidR="00921830" w:rsidRPr="00921830">
        <w:rPr>
          <w:color w:val="000000"/>
          <w:szCs w:val="22"/>
        </w:rPr>
        <w:t>named</w:t>
      </w:r>
      <w:r w:rsidR="00921830">
        <w:rPr>
          <w:szCs w:val="22"/>
        </w:rPr>
        <w:t xml:space="preserve"> in </w:t>
      </w:r>
      <w:r w:rsidR="006F7D09">
        <w:rPr>
          <w:szCs w:val="22"/>
        </w:rPr>
        <w:t>a</w:t>
      </w:r>
      <w:r w:rsidR="00921830">
        <w:rPr>
          <w:szCs w:val="22"/>
        </w:rPr>
        <w:t xml:space="preserve"> nomination clause (</w:t>
      </w:r>
      <w:r w:rsidR="00157C39">
        <w:rPr>
          <w:szCs w:val="22"/>
        </w:rPr>
        <w:t>for example “</w:t>
      </w:r>
      <w:r w:rsidR="00157C39" w:rsidRPr="00D5261B">
        <w:rPr>
          <w:szCs w:val="22"/>
        </w:rPr>
        <w:t xml:space="preserve">John Smith and/or </w:t>
      </w:r>
      <w:r w:rsidR="00157C39">
        <w:rPr>
          <w:szCs w:val="22"/>
        </w:rPr>
        <w:t xml:space="preserve">his </w:t>
      </w:r>
      <w:r w:rsidR="00157C39" w:rsidRPr="00D5261B">
        <w:rPr>
          <w:szCs w:val="22"/>
        </w:rPr>
        <w:t>nominee</w:t>
      </w:r>
      <w:r w:rsidR="00157C39">
        <w:rPr>
          <w:szCs w:val="22"/>
        </w:rPr>
        <w:t xml:space="preserve"> Joe Bloggs”). In this instance, Joe Bloggs has been name</w:t>
      </w:r>
      <w:r w:rsidR="00460BD4">
        <w:rPr>
          <w:szCs w:val="22"/>
        </w:rPr>
        <w:t>d</w:t>
      </w:r>
      <w:r w:rsidR="006F7D09">
        <w:rPr>
          <w:szCs w:val="22"/>
        </w:rPr>
        <w:t xml:space="preserve"> as a potential conveyee</w:t>
      </w:r>
      <w:r w:rsidR="00157C39">
        <w:rPr>
          <w:szCs w:val="22"/>
        </w:rPr>
        <w:t xml:space="preserve"> in the original instrument, so a conveyance to him </w:t>
      </w:r>
      <w:r w:rsidR="00460BD4">
        <w:rPr>
          <w:szCs w:val="22"/>
        </w:rPr>
        <w:t xml:space="preserve">alone or together with John Smith </w:t>
      </w:r>
      <w:r w:rsidR="00157C39">
        <w:rPr>
          <w:szCs w:val="22"/>
        </w:rPr>
        <w:t xml:space="preserve">will </w:t>
      </w:r>
      <w:r w:rsidR="006833BF">
        <w:rPr>
          <w:szCs w:val="22"/>
        </w:rPr>
        <w:t xml:space="preserve">generally </w:t>
      </w:r>
      <w:r w:rsidR="00157C39">
        <w:rPr>
          <w:szCs w:val="22"/>
        </w:rPr>
        <w:t xml:space="preserve">not be regarded as a </w:t>
      </w:r>
      <w:r w:rsidR="00460BD4">
        <w:rPr>
          <w:szCs w:val="22"/>
        </w:rPr>
        <w:t>conveyance by direction</w:t>
      </w:r>
      <w:r w:rsidR="006833BF">
        <w:rPr>
          <w:szCs w:val="22"/>
        </w:rPr>
        <w:t xml:space="preserve">, and would likely be treated as </w:t>
      </w:r>
      <w:r w:rsidR="006833BF">
        <w:rPr>
          <w:color w:val="000000"/>
          <w:szCs w:val="22"/>
        </w:rPr>
        <w:t>in conformity with the original agreement for conveyance</w:t>
      </w:r>
      <w:r w:rsidR="00460BD4">
        <w:rPr>
          <w:szCs w:val="22"/>
        </w:rPr>
        <w:t xml:space="preserve">; </w:t>
      </w:r>
    </w:p>
    <w:p w:rsidR="00B2607C" w:rsidRPr="00B2607C" w:rsidRDefault="00B2607C" w:rsidP="00442583">
      <w:pPr>
        <w:numPr>
          <w:ilvl w:val="0"/>
          <w:numId w:val="12"/>
        </w:numPr>
        <w:tabs>
          <w:tab w:val="clear" w:pos="1080"/>
        </w:tabs>
        <w:spacing w:after="120"/>
        <w:ind w:left="993" w:hanging="567"/>
        <w:jc w:val="both"/>
        <w:rPr>
          <w:szCs w:val="22"/>
        </w:rPr>
      </w:pPr>
      <w:r>
        <w:rPr>
          <w:szCs w:val="22"/>
        </w:rPr>
        <w:lastRenderedPageBreak/>
        <w:t xml:space="preserve">the substitute or additional </w:t>
      </w:r>
      <w:r w:rsidR="00A4489E">
        <w:rPr>
          <w:szCs w:val="22"/>
        </w:rPr>
        <w:t xml:space="preserve">transferee </w:t>
      </w:r>
      <w:r w:rsidR="00460BD4">
        <w:rPr>
          <w:szCs w:val="22"/>
        </w:rPr>
        <w:t xml:space="preserve">is </w:t>
      </w:r>
      <w:r w:rsidR="00F001E1">
        <w:rPr>
          <w:szCs w:val="22"/>
        </w:rPr>
        <w:t xml:space="preserve">“related” to the original purchaser. This is because section 17A(2A) of the Act allows for the substitution or addition to a </w:t>
      </w:r>
      <w:r w:rsidR="00A4489E">
        <w:rPr>
          <w:szCs w:val="22"/>
        </w:rPr>
        <w:t xml:space="preserve">transfer </w:t>
      </w:r>
      <w:r w:rsidR="00F001E1">
        <w:rPr>
          <w:szCs w:val="22"/>
        </w:rPr>
        <w:t>of a person who is related to the original purchaser</w:t>
      </w:r>
      <w:r w:rsidR="006833BF">
        <w:rPr>
          <w:szCs w:val="22"/>
        </w:rPr>
        <w:t>,</w:t>
      </w:r>
      <w:r w:rsidR="00F001E1">
        <w:rPr>
          <w:szCs w:val="22"/>
        </w:rPr>
        <w:t xml:space="preserve"> subject to certain conditions being met. See Commissioner’s Guideline </w:t>
      </w:r>
      <w:hyperlink r:id="rId15" w:history="1">
        <w:r w:rsidR="00F001E1" w:rsidRPr="001442AF">
          <w:rPr>
            <w:rStyle w:val="Hyperlink"/>
            <w:szCs w:val="22"/>
          </w:rPr>
          <w:t>CG</w:t>
        </w:r>
        <w:r w:rsidR="001B36CF">
          <w:rPr>
            <w:rStyle w:val="Hyperlink"/>
            <w:szCs w:val="22"/>
          </w:rPr>
          <w:t>-</w:t>
        </w:r>
        <w:r w:rsidR="00F001E1" w:rsidRPr="001442AF">
          <w:rPr>
            <w:rStyle w:val="Hyperlink"/>
            <w:szCs w:val="22"/>
          </w:rPr>
          <w:t>SD-014</w:t>
        </w:r>
      </w:hyperlink>
      <w:r w:rsidR="00F001E1" w:rsidRPr="00EA73B3">
        <w:rPr>
          <w:color w:val="000000"/>
          <w:szCs w:val="22"/>
        </w:rPr>
        <w:t xml:space="preserve">: </w:t>
      </w:r>
      <w:r w:rsidR="00F001E1" w:rsidRPr="00EA73B3">
        <w:rPr>
          <w:i/>
          <w:color w:val="000000"/>
          <w:szCs w:val="22"/>
        </w:rPr>
        <w:t xml:space="preserve">Stamp duty for substituting a related purchaser </w:t>
      </w:r>
      <w:r w:rsidR="00F001E1">
        <w:rPr>
          <w:color w:val="000000"/>
          <w:szCs w:val="22"/>
        </w:rPr>
        <w:t>for further information</w:t>
      </w:r>
      <w:r w:rsidR="006833BF">
        <w:rPr>
          <w:color w:val="000000"/>
          <w:szCs w:val="22"/>
        </w:rPr>
        <w:t>;</w:t>
      </w:r>
    </w:p>
    <w:p w:rsidR="00460BD4" w:rsidRPr="00B2607C" w:rsidRDefault="00B2607C" w:rsidP="00442583">
      <w:pPr>
        <w:numPr>
          <w:ilvl w:val="0"/>
          <w:numId w:val="12"/>
        </w:numPr>
        <w:spacing w:after="120"/>
        <w:ind w:left="993" w:hanging="567"/>
        <w:jc w:val="both"/>
        <w:rPr>
          <w:szCs w:val="22"/>
        </w:rPr>
      </w:pPr>
      <w:r>
        <w:rPr>
          <w:color w:val="000000"/>
          <w:szCs w:val="22"/>
        </w:rPr>
        <w:t xml:space="preserve">the substitute </w:t>
      </w:r>
      <w:r w:rsidR="00A4489E">
        <w:rPr>
          <w:szCs w:val="22"/>
        </w:rPr>
        <w:t xml:space="preserve">conveyee </w:t>
      </w:r>
      <w:r>
        <w:rPr>
          <w:color w:val="000000"/>
          <w:szCs w:val="22"/>
        </w:rPr>
        <w:t xml:space="preserve">is a </w:t>
      </w:r>
      <w:r w:rsidRPr="00B2607C">
        <w:rPr>
          <w:color w:val="000000"/>
          <w:szCs w:val="22"/>
        </w:rPr>
        <w:t xml:space="preserve">corporation that was, at the date of the </w:t>
      </w:r>
      <w:r>
        <w:rPr>
          <w:color w:val="000000"/>
          <w:szCs w:val="22"/>
        </w:rPr>
        <w:t>original agreement</w:t>
      </w:r>
      <w:r w:rsidRPr="00B2607C">
        <w:rPr>
          <w:color w:val="000000"/>
          <w:szCs w:val="22"/>
        </w:rPr>
        <w:t xml:space="preserve">, yet to be incorporated or acquired by the </w:t>
      </w:r>
      <w:r>
        <w:rPr>
          <w:color w:val="000000"/>
          <w:szCs w:val="22"/>
        </w:rPr>
        <w:t>original purchaser</w:t>
      </w:r>
      <w:r w:rsidR="006833BF">
        <w:rPr>
          <w:color w:val="000000"/>
          <w:szCs w:val="22"/>
        </w:rPr>
        <w:t xml:space="preserve"> in circumstances where TRO is satisfied the original purchaser entered into the agreement for conveyance on behalf of that corporation</w:t>
      </w:r>
      <w:r>
        <w:rPr>
          <w:color w:val="000000"/>
          <w:szCs w:val="22"/>
        </w:rPr>
        <w:t>. In this instance, section 17A(2)(c)(i) of the Act</w:t>
      </w:r>
      <w:r w:rsidR="006833BF">
        <w:rPr>
          <w:color w:val="000000"/>
          <w:szCs w:val="22"/>
        </w:rPr>
        <w:t xml:space="preserve"> will treat the conveyance to the corporation as in conformity with the original agreement for conveyance</w:t>
      </w:r>
      <w:r w:rsidRPr="00B2607C">
        <w:rPr>
          <w:color w:val="000000"/>
          <w:szCs w:val="22"/>
        </w:rPr>
        <w:t>;</w:t>
      </w:r>
      <w:r w:rsidR="006833BF">
        <w:rPr>
          <w:color w:val="000000"/>
          <w:szCs w:val="22"/>
        </w:rPr>
        <w:t xml:space="preserve"> or</w:t>
      </w:r>
    </w:p>
    <w:p w:rsidR="00B2607C" w:rsidRPr="003B1A03" w:rsidRDefault="006833BF" w:rsidP="00442583">
      <w:pPr>
        <w:numPr>
          <w:ilvl w:val="0"/>
          <w:numId w:val="12"/>
        </w:numPr>
        <w:spacing w:after="120"/>
        <w:ind w:left="993" w:hanging="567"/>
        <w:jc w:val="both"/>
        <w:rPr>
          <w:szCs w:val="22"/>
        </w:rPr>
      </w:pPr>
      <w:r>
        <w:rPr>
          <w:color w:val="000000"/>
          <w:szCs w:val="22"/>
        </w:rPr>
        <w:t xml:space="preserve">the substitute </w:t>
      </w:r>
      <w:r w:rsidR="00A4489E">
        <w:rPr>
          <w:szCs w:val="22"/>
        </w:rPr>
        <w:t xml:space="preserve">conveyee </w:t>
      </w:r>
      <w:r>
        <w:rPr>
          <w:color w:val="000000"/>
          <w:szCs w:val="22"/>
        </w:rPr>
        <w:t>is a trust</w:t>
      </w:r>
      <w:r w:rsidRPr="00B2607C">
        <w:rPr>
          <w:color w:val="000000"/>
          <w:szCs w:val="22"/>
        </w:rPr>
        <w:t xml:space="preserve"> that was, at the date of the </w:t>
      </w:r>
      <w:r>
        <w:rPr>
          <w:color w:val="000000"/>
          <w:szCs w:val="22"/>
        </w:rPr>
        <w:t>original agreement</w:t>
      </w:r>
      <w:r w:rsidRPr="00B2607C">
        <w:rPr>
          <w:color w:val="000000"/>
          <w:szCs w:val="22"/>
        </w:rPr>
        <w:t xml:space="preserve">, yet to be </w:t>
      </w:r>
      <w:r>
        <w:rPr>
          <w:color w:val="000000"/>
          <w:szCs w:val="22"/>
        </w:rPr>
        <w:t>established</w:t>
      </w:r>
      <w:r w:rsidRPr="00B2607C">
        <w:rPr>
          <w:color w:val="000000"/>
          <w:szCs w:val="22"/>
        </w:rPr>
        <w:t xml:space="preserve"> by the </w:t>
      </w:r>
      <w:r>
        <w:rPr>
          <w:color w:val="000000"/>
          <w:szCs w:val="22"/>
        </w:rPr>
        <w:t>original purchaser in circumstances where TRO is satisfied the original purchaser entered into the agreement for conveyance on behalf of that trust. In this instance, section 17A(2)(c)(ii) of the Act will treat the conveyance to the trust as in conformity with the original agreement for conveyance</w:t>
      </w:r>
      <w:r w:rsidR="006F7D09">
        <w:rPr>
          <w:color w:val="000000"/>
          <w:szCs w:val="22"/>
        </w:rPr>
        <w:t>.</w:t>
      </w:r>
    </w:p>
    <w:p w:rsidR="00CA3105" w:rsidRPr="00D911AF" w:rsidRDefault="009E4A26" w:rsidP="006C0A11">
      <w:pPr>
        <w:spacing w:after="120"/>
        <w:jc w:val="both"/>
        <w:rPr>
          <w:b/>
          <w:bCs/>
          <w:i/>
          <w:color w:val="000000"/>
          <w:szCs w:val="22"/>
        </w:rPr>
      </w:pPr>
      <w:r w:rsidRPr="00D911AF">
        <w:rPr>
          <w:b/>
          <w:bCs/>
          <w:i/>
          <w:color w:val="000000"/>
          <w:szCs w:val="22"/>
        </w:rPr>
        <w:t>Novation</w:t>
      </w:r>
    </w:p>
    <w:p w:rsidR="009E4A26" w:rsidRPr="006C0A11" w:rsidRDefault="009E4A26" w:rsidP="006C0A11">
      <w:pPr>
        <w:pStyle w:val="BlockText"/>
        <w:tabs>
          <w:tab w:val="num" w:pos="567"/>
        </w:tabs>
        <w:rPr>
          <w:color w:val="000000"/>
          <w:szCs w:val="22"/>
        </w:rPr>
      </w:pPr>
      <w:r w:rsidRPr="006C0A11">
        <w:rPr>
          <w:color w:val="000000"/>
          <w:szCs w:val="22"/>
        </w:rPr>
        <w:t xml:space="preserve">Cancellation of a conveyance often arises in the context of a novation, being the substitution of a “new” agreement for an “old” agreement in consideration of the discharge of the “old” agreement. In the case of the sale of land, it involves the original vendor, the original purchaser and a substituted purchaser. Usually, the terms of the agreements are the same and the only change is the substitution of the purchaser or the addition of a further purchaser. Following novation, the liabilities, obligations and interests of all the parties under the “old” agreement are </w:t>
      </w:r>
      <w:r w:rsidR="00695073">
        <w:rPr>
          <w:color w:val="000000"/>
          <w:szCs w:val="22"/>
        </w:rPr>
        <w:t>ended</w:t>
      </w:r>
      <w:r w:rsidRPr="006C0A11">
        <w:rPr>
          <w:color w:val="000000"/>
          <w:szCs w:val="22"/>
        </w:rPr>
        <w:t>.</w:t>
      </w:r>
    </w:p>
    <w:p w:rsidR="00EA73B3" w:rsidRPr="00EA73B3" w:rsidRDefault="009E4A26" w:rsidP="00EA73B3">
      <w:pPr>
        <w:pStyle w:val="BlockText"/>
        <w:tabs>
          <w:tab w:val="num" w:pos="567"/>
        </w:tabs>
        <w:rPr>
          <w:szCs w:val="22"/>
        </w:rPr>
      </w:pPr>
      <w:r w:rsidRPr="006C0A11">
        <w:rPr>
          <w:color w:val="000000"/>
          <w:szCs w:val="22"/>
        </w:rPr>
        <w:t xml:space="preserve">Regardless of the instruments involved, novation involves two dutiable instruments that affect a conveyance of dutiable property - the original dutiable instrument and the substituted dutiable instrument. Duty is payable on the substituted dutiable instrument as a dutiable transaction. The original dutiable instrument is also chargeable with </w:t>
      </w:r>
      <w:r w:rsidR="00AE0623">
        <w:rPr>
          <w:color w:val="000000"/>
          <w:szCs w:val="22"/>
        </w:rPr>
        <w:t xml:space="preserve">ad valorem </w:t>
      </w:r>
      <w:r w:rsidRPr="006C0A11">
        <w:rPr>
          <w:color w:val="000000"/>
          <w:szCs w:val="22"/>
        </w:rPr>
        <w:t>duty if section 56A(4) of the Act applies</w:t>
      </w:r>
      <w:r w:rsidR="00442583">
        <w:rPr>
          <w:color w:val="000000"/>
          <w:szCs w:val="22"/>
        </w:rPr>
        <w:t xml:space="preserve"> (i.e. for example, the novation effects a sub-sale)</w:t>
      </w:r>
      <w:r w:rsidR="00695073">
        <w:rPr>
          <w:color w:val="000000"/>
          <w:szCs w:val="22"/>
        </w:rPr>
        <w:t xml:space="preserve"> – </w:t>
      </w:r>
      <w:r w:rsidR="00695073" w:rsidRPr="00AA3FC6">
        <w:rPr>
          <w:color w:val="000000"/>
          <w:szCs w:val="22"/>
        </w:rPr>
        <w:t xml:space="preserve">refer to </w:t>
      </w:r>
      <w:r w:rsidR="00695073" w:rsidRPr="00B54359">
        <w:rPr>
          <w:color w:val="000000"/>
          <w:szCs w:val="22"/>
        </w:rPr>
        <w:t xml:space="preserve">paragraph </w:t>
      </w:r>
      <w:r w:rsidR="00D338E5">
        <w:rPr>
          <w:color w:val="000000"/>
          <w:szCs w:val="22"/>
        </w:rPr>
        <w:t>13</w:t>
      </w:r>
      <w:r w:rsidR="00D338E5" w:rsidRPr="00B54359">
        <w:rPr>
          <w:color w:val="000000"/>
          <w:szCs w:val="22"/>
        </w:rPr>
        <w:t xml:space="preserve"> </w:t>
      </w:r>
      <w:r w:rsidR="00695073" w:rsidRPr="00B54359">
        <w:rPr>
          <w:color w:val="000000"/>
          <w:szCs w:val="22"/>
        </w:rPr>
        <w:t>of this Guideline</w:t>
      </w:r>
      <w:r w:rsidRPr="006C0A11">
        <w:rPr>
          <w:color w:val="000000"/>
          <w:szCs w:val="22"/>
        </w:rPr>
        <w:t>.</w:t>
      </w:r>
    </w:p>
    <w:p w:rsidR="009E4A26" w:rsidRPr="00B54359" w:rsidRDefault="00EA73B3" w:rsidP="006C0A11">
      <w:pPr>
        <w:pStyle w:val="BlockText"/>
        <w:tabs>
          <w:tab w:val="num" w:pos="567"/>
        </w:tabs>
        <w:rPr>
          <w:color w:val="000000"/>
          <w:szCs w:val="22"/>
        </w:rPr>
      </w:pPr>
      <w:r w:rsidRPr="00EA73B3">
        <w:rPr>
          <w:color w:val="000000"/>
          <w:szCs w:val="22"/>
        </w:rPr>
        <w:t xml:space="preserve">In certain cases, the Act allows a conveyee under an agreement to substitute a </w:t>
      </w:r>
      <w:r w:rsidR="00695073">
        <w:rPr>
          <w:color w:val="000000"/>
          <w:szCs w:val="22"/>
        </w:rPr>
        <w:t>“</w:t>
      </w:r>
      <w:r w:rsidRPr="00EA73B3">
        <w:rPr>
          <w:color w:val="000000"/>
          <w:szCs w:val="22"/>
        </w:rPr>
        <w:t>related</w:t>
      </w:r>
      <w:r w:rsidR="00695073">
        <w:rPr>
          <w:color w:val="000000"/>
          <w:szCs w:val="22"/>
        </w:rPr>
        <w:t>”</w:t>
      </w:r>
      <w:r w:rsidRPr="00EA73B3">
        <w:rPr>
          <w:color w:val="000000"/>
          <w:szCs w:val="22"/>
        </w:rPr>
        <w:t xml:space="preserve"> party to take a transfer of the property instead of, or in addition to, that conveyee without the imposition of two lots of ad valorem duty. See Commissioner’s Guideline </w:t>
      </w:r>
      <w:hyperlink r:id="rId16" w:history="1">
        <w:r w:rsidRPr="001442AF">
          <w:rPr>
            <w:rStyle w:val="Hyperlink"/>
            <w:szCs w:val="22"/>
          </w:rPr>
          <w:t>CG-SD-014</w:t>
        </w:r>
      </w:hyperlink>
      <w:r w:rsidRPr="00EA73B3">
        <w:rPr>
          <w:color w:val="000000"/>
          <w:szCs w:val="22"/>
        </w:rPr>
        <w:t xml:space="preserve">: </w:t>
      </w:r>
      <w:r w:rsidRPr="00EA73B3">
        <w:rPr>
          <w:i/>
          <w:color w:val="000000"/>
          <w:szCs w:val="22"/>
        </w:rPr>
        <w:t xml:space="preserve">Stamp duty for substituting a related purchaser </w:t>
      </w:r>
      <w:r w:rsidR="00CB182A">
        <w:rPr>
          <w:color w:val="000000"/>
          <w:szCs w:val="22"/>
        </w:rPr>
        <w:t xml:space="preserve">for further information on </w:t>
      </w:r>
      <w:r w:rsidRPr="00EA73B3">
        <w:rPr>
          <w:color w:val="000000"/>
          <w:szCs w:val="22"/>
        </w:rPr>
        <w:t>t</w:t>
      </w:r>
      <w:r w:rsidR="00CB182A">
        <w:rPr>
          <w:color w:val="000000"/>
          <w:szCs w:val="22"/>
        </w:rPr>
        <w:t>hese</w:t>
      </w:r>
      <w:r w:rsidRPr="00EA73B3">
        <w:rPr>
          <w:color w:val="000000"/>
          <w:szCs w:val="22"/>
        </w:rPr>
        <w:t xml:space="preserve"> provision</w:t>
      </w:r>
      <w:r w:rsidR="00CB182A">
        <w:rPr>
          <w:color w:val="000000"/>
          <w:szCs w:val="22"/>
        </w:rPr>
        <w:t>s</w:t>
      </w:r>
      <w:r w:rsidRPr="00EA73B3">
        <w:rPr>
          <w:color w:val="000000"/>
          <w:szCs w:val="22"/>
        </w:rPr>
        <w:t>.</w:t>
      </w:r>
      <w:r w:rsidRPr="00E50F81" w:rsidDel="00EA73B3">
        <w:rPr>
          <w:szCs w:val="22"/>
        </w:rPr>
        <w:t xml:space="preserve"> </w:t>
      </w:r>
    </w:p>
    <w:p w:rsidR="00B54359" w:rsidRPr="00376393" w:rsidRDefault="00B54359" w:rsidP="004634A5">
      <w:pPr>
        <w:pStyle w:val="HeadingFour"/>
        <w:keepNext/>
      </w:pPr>
      <w:r>
        <w:t xml:space="preserve">Examples of </w:t>
      </w:r>
      <w:r w:rsidR="004634A5">
        <w:t>n</w:t>
      </w:r>
      <w:r w:rsidR="004634A5" w:rsidRPr="004634A5">
        <w:t xml:space="preserve">ovations where refund or remission will generally be approved </w:t>
      </w:r>
    </w:p>
    <w:p w:rsidR="004634A5" w:rsidRDefault="004634A5" w:rsidP="004634A5">
      <w:pPr>
        <w:pStyle w:val="ExampleBox"/>
        <w:keepLines/>
        <w:jc w:val="both"/>
      </w:pPr>
      <w:r w:rsidRPr="004634A5">
        <w:rPr>
          <w:b/>
        </w:rPr>
        <w:t>Novation at the initiative of the vendor</w:t>
      </w:r>
      <w:r w:rsidRPr="004634A5">
        <w:t xml:space="preserve"> - This goes to the facts of the individual conveyance, and may not be apparent from the documents involved. However, on any view of the term “sub-sale” it must mean, in the context of a novation, a sale (or notional sale) from the original purchaser to a substituted purchaser. If the novation takes place at the initiative of the vendor and the original purchaser withdraws at the request of the vendor, the Commissioner would not generally regard the substituted agreement as amounting to a sale from the original purchaser to a substituted purchaser. Further, this would not generally be considered to be a “conveyance by direction, whether in writing or not, initiated by the conveyee”.</w:t>
      </w:r>
    </w:p>
    <w:p w:rsidR="00B54359" w:rsidRPr="00C81F73" w:rsidRDefault="00B54359" w:rsidP="00B54359">
      <w:pPr>
        <w:pStyle w:val="BlockText"/>
        <w:numPr>
          <w:ilvl w:val="0"/>
          <w:numId w:val="0"/>
        </w:numPr>
        <w:tabs>
          <w:tab w:val="num" w:pos="567"/>
        </w:tabs>
        <w:ind w:left="360" w:hanging="360"/>
        <w:rPr>
          <w:sz w:val="2"/>
          <w:szCs w:val="2"/>
        </w:rPr>
      </w:pPr>
    </w:p>
    <w:p w:rsidR="00B54359" w:rsidRDefault="004634A5" w:rsidP="004634A5">
      <w:pPr>
        <w:pStyle w:val="ExampleBox"/>
        <w:keepLines/>
        <w:jc w:val="both"/>
      </w:pPr>
      <w:r w:rsidRPr="004634A5">
        <w:rPr>
          <w:b/>
        </w:rPr>
        <w:t>Novation to comply with government requirements</w:t>
      </w:r>
      <w:r w:rsidRPr="004634A5">
        <w:t xml:space="preserve"> - An example of this would be where Entity X, a foreign person or corporation, enters into an agreement to purchase a property subject to Foreign Investment Review Board approval. Where this approval is obtained, but subject to Entity X joining an Australian person or corporation in a joint venture in the purchase of the property and the original agreement is novated so that Entity X and an Australian third party were substituted as </w:t>
      </w:r>
      <w:r w:rsidR="00D338E5" w:rsidRPr="004634A5">
        <w:t>co</w:t>
      </w:r>
      <w:r w:rsidR="00D338E5">
        <w:t>-</w:t>
      </w:r>
      <w:r w:rsidRPr="004634A5">
        <w:t>purchasers to comply with the Foreign Investment Review Board’s requirements, the Commissioner’s view would generally be that there is no sub-sale. This is provided that no benefit consistent with a sale passes from the Australian third party to Entity X.</w:t>
      </w:r>
    </w:p>
    <w:p w:rsidR="004634A5" w:rsidRPr="00C81F73" w:rsidRDefault="004634A5" w:rsidP="004634A5">
      <w:pPr>
        <w:pStyle w:val="BlockText"/>
        <w:numPr>
          <w:ilvl w:val="0"/>
          <w:numId w:val="0"/>
        </w:numPr>
        <w:tabs>
          <w:tab w:val="num" w:pos="567"/>
        </w:tabs>
        <w:ind w:left="360" w:hanging="360"/>
        <w:rPr>
          <w:sz w:val="2"/>
          <w:szCs w:val="2"/>
        </w:rPr>
      </w:pPr>
    </w:p>
    <w:p w:rsidR="004634A5" w:rsidRDefault="004634A5" w:rsidP="004634A5">
      <w:pPr>
        <w:pStyle w:val="ExampleBox"/>
        <w:keepLines/>
        <w:jc w:val="both"/>
        <w:rPr>
          <w:b/>
        </w:rPr>
      </w:pPr>
      <w:r w:rsidRPr="004634A5">
        <w:rPr>
          <w:b/>
        </w:rPr>
        <w:lastRenderedPageBreak/>
        <w:t xml:space="preserve">Novation to obtain finance </w:t>
      </w:r>
      <w:r w:rsidRPr="004634A5">
        <w:t>– An example of this would be where Company A enters into an agreement to purchase a property that is subject to them obtaining finance.  Company A is unsuccessful in its finance application, so cannot complete the purchase. The vendor allows Persons B and C, who are the directors of Company A, to purchase the property instead.</w:t>
      </w:r>
    </w:p>
    <w:p w:rsidR="00860695" w:rsidRPr="00C81F73" w:rsidRDefault="00860695" w:rsidP="00860695">
      <w:pPr>
        <w:pStyle w:val="BlockText"/>
        <w:numPr>
          <w:ilvl w:val="0"/>
          <w:numId w:val="0"/>
        </w:numPr>
        <w:tabs>
          <w:tab w:val="num" w:pos="567"/>
        </w:tabs>
        <w:ind w:left="360" w:hanging="360"/>
        <w:rPr>
          <w:sz w:val="2"/>
          <w:szCs w:val="2"/>
        </w:rPr>
      </w:pPr>
    </w:p>
    <w:p w:rsidR="00860695" w:rsidRDefault="00860695" w:rsidP="00860695">
      <w:pPr>
        <w:pStyle w:val="ExampleBox"/>
        <w:keepLines/>
        <w:jc w:val="both"/>
      </w:pPr>
      <w:r>
        <w:rPr>
          <w:b/>
          <w:bCs/>
        </w:rPr>
        <w:t>Novation to comply with superannuation legislation requirements</w:t>
      </w:r>
      <w:r>
        <w:t xml:space="preserve"> - The </w:t>
      </w:r>
      <w:r>
        <w:rPr>
          <w:i/>
          <w:iCs/>
        </w:rPr>
        <w:t>Superannuation (Industry Supervision) Act</w:t>
      </w:r>
      <w:r>
        <w:t xml:space="preserve"> (Cth) requires the trustee of complying superannuation funds to use a different trustee to hold property on their behalf when the property is being purchased using borrowed funds.</w:t>
      </w:r>
    </w:p>
    <w:p w:rsidR="00860695" w:rsidRDefault="00860695" w:rsidP="00860695">
      <w:pPr>
        <w:pStyle w:val="ExampleBox"/>
        <w:keepLines/>
        <w:jc w:val="both"/>
      </w:pPr>
      <w:r>
        <w:t xml:space="preserve">As an example, ABC Pty Ltd as trustee for the ABC Superannuation Fund, a complying superannuation fund, enters into an agreement to purchase a property using borrowed funds. </w:t>
      </w:r>
      <w:r>
        <w:rPr>
          <w:u w:val="single"/>
        </w:rPr>
        <w:t>Prior</w:t>
      </w:r>
      <w:r>
        <w:t xml:space="preserve"> to entering into the contract, XYZ Custodian Pty Ltd had declared that it will purchase the property on trust for ABC Pty Ltd in its capacity as trustee for the ABC Superannuation Fund. Prior to settlement, ABC Pty Ltd realises that the purchaser under the contract should have been XYZ Custodian Pty Ltd. The original agreement is terminated, and a new agreement is entered into under which the purchaser is XYZ Custodian Pty Ltd as trustee for ABC Pty Ltd in its capacity as trustee for the ABC Superannuation Fund.</w:t>
      </w:r>
    </w:p>
    <w:p w:rsidR="00860695" w:rsidRDefault="00860695" w:rsidP="00860695">
      <w:pPr>
        <w:pStyle w:val="ExampleBox"/>
        <w:keepLines/>
        <w:jc w:val="both"/>
      </w:pPr>
      <w:r>
        <w:t xml:space="preserve">In this instance, the declaration of trust was entered into </w:t>
      </w:r>
      <w:r>
        <w:rPr>
          <w:u w:val="single"/>
        </w:rPr>
        <w:t>before</w:t>
      </w:r>
      <w:r>
        <w:t xml:space="preserve"> the agreement to purchase. By not having XYZ Custodian Pty Ltd as the purchaser, the original agreement did not properly reflect the transaction that was occurring. Accordingly, entry into the new agreement, which has XYZ Custodian Pty Ltd as purchaser, will not be viewed as a conveyance by direction.</w:t>
      </w:r>
    </w:p>
    <w:p w:rsidR="00860695" w:rsidRDefault="00860695" w:rsidP="00860695">
      <w:pPr>
        <w:pStyle w:val="ExampleBox"/>
        <w:keepLines/>
        <w:jc w:val="both"/>
      </w:pPr>
      <w:r>
        <w:t xml:space="preserve">Of note, had the declaration of trust been made </w:t>
      </w:r>
      <w:r>
        <w:rPr>
          <w:u w:val="single"/>
        </w:rPr>
        <w:t>after</w:t>
      </w:r>
      <w:r>
        <w:t xml:space="preserve"> the original agreement to purchase, entry into the new agreement may be considered to be a conveyance by direction, and so should be lodged with TRO for consideration.</w:t>
      </w:r>
    </w:p>
    <w:p w:rsidR="00695073" w:rsidRDefault="004634A5" w:rsidP="00695073">
      <w:pPr>
        <w:spacing w:after="120"/>
        <w:rPr>
          <w:rFonts w:cs="Times New Roman"/>
          <w:i/>
          <w:iCs/>
          <w:u w:val="single"/>
        </w:rPr>
      </w:pPr>
      <w:r w:rsidRPr="004634A5">
        <w:rPr>
          <w:rFonts w:cs="Times New Roman"/>
          <w:i/>
          <w:iCs/>
          <w:u w:val="single"/>
        </w:rPr>
        <w:t xml:space="preserve">Examples of novations </w:t>
      </w:r>
      <w:r w:rsidR="00695073" w:rsidRPr="004634A5">
        <w:rPr>
          <w:rFonts w:cs="Times New Roman"/>
          <w:i/>
          <w:iCs/>
          <w:u w:val="single"/>
        </w:rPr>
        <w:t>where refund or remission will not generally be approved</w:t>
      </w:r>
    </w:p>
    <w:p w:rsidR="004634A5" w:rsidRDefault="004634A5" w:rsidP="004634A5">
      <w:pPr>
        <w:pStyle w:val="ExampleBox"/>
        <w:keepLines/>
        <w:jc w:val="both"/>
      </w:pPr>
      <w:r w:rsidRPr="004634A5">
        <w:rPr>
          <w:b/>
        </w:rPr>
        <w:t>Novation to enable purchase by associated entity</w:t>
      </w:r>
      <w:r w:rsidRPr="004634A5">
        <w:t xml:space="preserve"> – An example of this would be where Company A enters into an agreement to purchase a property. The directors of Company A subsequently decide that they would prefer to use an associated company, Company B, to complete the purchase. Companies A and B are not “related” for the purposes of section 17A(2A) of the Act. The original contract with Company A is terminated and a new contract with Company B is entered into. The deposit paid by Company A is not refunded, but instead used as the deposit for Company B’s contract.</w:t>
      </w:r>
    </w:p>
    <w:p w:rsidR="004634A5" w:rsidRPr="00C81F73" w:rsidRDefault="004634A5" w:rsidP="004634A5">
      <w:pPr>
        <w:pStyle w:val="BlockText"/>
        <w:numPr>
          <w:ilvl w:val="0"/>
          <w:numId w:val="0"/>
        </w:numPr>
        <w:tabs>
          <w:tab w:val="num" w:pos="567"/>
        </w:tabs>
        <w:ind w:left="360" w:hanging="360"/>
        <w:rPr>
          <w:sz w:val="2"/>
          <w:szCs w:val="2"/>
        </w:rPr>
      </w:pPr>
    </w:p>
    <w:p w:rsidR="004634A5" w:rsidRDefault="004634A5" w:rsidP="004634A5">
      <w:pPr>
        <w:pStyle w:val="ExampleBox"/>
        <w:keepLines/>
        <w:jc w:val="both"/>
      </w:pPr>
      <w:r w:rsidRPr="004634A5">
        <w:rPr>
          <w:b/>
        </w:rPr>
        <w:t>Novation to obtain tax benefit</w:t>
      </w:r>
      <w:r w:rsidRPr="004634A5">
        <w:t xml:space="preserve"> </w:t>
      </w:r>
      <w:r>
        <w:t>–</w:t>
      </w:r>
      <w:r w:rsidRPr="004634A5">
        <w:t xml:space="preserve"> An</w:t>
      </w:r>
      <w:r>
        <w:t xml:space="preserve"> </w:t>
      </w:r>
      <w:r w:rsidRPr="004634A5">
        <w:t>example of this would be where Company A enters into an agreement to purchase a property. The directors of Company A subsequently receive advice that it would be more advantageous, from an income tax perspective, to purchase the property using a trust structure. Trust B is formed. The original contract with Company A is terminated and a new contract with Trust B is entered into. The deposit paid by Company A is not refunded, but instead used as the deposit for Trust B’s contract.</w:t>
      </w:r>
    </w:p>
    <w:p w:rsidR="009E4A26" w:rsidRPr="00F8170C" w:rsidRDefault="009E4A26" w:rsidP="004634A5">
      <w:pPr>
        <w:pStyle w:val="HeadingTwo"/>
        <w:keepNext/>
      </w:pPr>
      <w:r w:rsidRPr="006C0A11">
        <w:t>Refund and remission process</w:t>
      </w:r>
    </w:p>
    <w:p w:rsidR="00442583" w:rsidRDefault="009E4A26" w:rsidP="006C0A11">
      <w:pPr>
        <w:pStyle w:val="BlockText"/>
        <w:tabs>
          <w:tab w:val="num" w:pos="567"/>
        </w:tabs>
        <w:rPr>
          <w:szCs w:val="22"/>
        </w:rPr>
      </w:pPr>
      <w:r w:rsidRPr="006C0A11">
        <w:rPr>
          <w:szCs w:val="22"/>
        </w:rPr>
        <w:t xml:space="preserve">Where dutiable instruments have already been assessed by </w:t>
      </w:r>
      <w:r w:rsidR="005C3158">
        <w:rPr>
          <w:szCs w:val="22"/>
        </w:rPr>
        <w:t>TRO</w:t>
      </w:r>
      <w:r w:rsidRPr="006C0A11">
        <w:rPr>
          <w:szCs w:val="22"/>
        </w:rPr>
        <w:t>, or duty</w:t>
      </w:r>
      <w:r w:rsidR="00E04B58">
        <w:rPr>
          <w:szCs w:val="22"/>
        </w:rPr>
        <w:t xml:space="preserve"> has been</w:t>
      </w:r>
      <w:r w:rsidRPr="006C0A11">
        <w:rPr>
          <w:szCs w:val="22"/>
        </w:rPr>
        <w:t xml:space="preserve"> paid, </w:t>
      </w:r>
      <w:r w:rsidR="00442583">
        <w:rPr>
          <w:szCs w:val="22"/>
        </w:rPr>
        <w:t xml:space="preserve">a conveyee must make an application for </w:t>
      </w:r>
      <w:r w:rsidRPr="006C0A11">
        <w:rPr>
          <w:szCs w:val="22"/>
        </w:rPr>
        <w:t xml:space="preserve">the Commissioner </w:t>
      </w:r>
      <w:r w:rsidR="00442583">
        <w:rPr>
          <w:szCs w:val="22"/>
        </w:rPr>
        <w:t>to</w:t>
      </w:r>
      <w:r w:rsidRPr="006C0A11">
        <w:rPr>
          <w:szCs w:val="22"/>
        </w:rPr>
        <w:t xml:space="preserve"> make a refund or remi</w:t>
      </w:r>
      <w:r w:rsidR="008A5212">
        <w:rPr>
          <w:szCs w:val="22"/>
        </w:rPr>
        <w:t>t</w:t>
      </w:r>
      <w:r w:rsidRPr="006C0A11">
        <w:rPr>
          <w:szCs w:val="22"/>
        </w:rPr>
        <w:t xml:space="preserve"> duty</w:t>
      </w:r>
      <w:r w:rsidR="00442583">
        <w:rPr>
          <w:szCs w:val="22"/>
        </w:rPr>
        <w:t>.</w:t>
      </w:r>
    </w:p>
    <w:p w:rsidR="009E4A26" w:rsidRPr="006C0A11" w:rsidRDefault="00442583" w:rsidP="006C0A11">
      <w:pPr>
        <w:pStyle w:val="BlockText"/>
        <w:tabs>
          <w:tab w:val="num" w:pos="567"/>
        </w:tabs>
        <w:rPr>
          <w:szCs w:val="22"/>
        </w:rPr>
      </w:pPr>
      <w:r>
        <w:rPr>
          <w:szCs w:val="22"/>
        </w:rPr>
        <w:t>The application must be made using</w:t>
      </w:r>
      <w:r w:rsidR="009E4A26" w:rsidRPr="006C0A11">
        <w:rPr>
          <w:szCs w:val="22"/>
        </w:rPr>
        <w:t xml:space="preserve"> form </w:t>
      </w:r>
      <w:hyperlink r:id="rId17" w:history="1">
        <w:r w:rsidR="009E4A26" w:rsidRPr="001B36CF">
          <w:rPr>
            <w:rStyle w:val="Hyperlink"/>
            <w:szCs w:val="22"/>
          </w:rPr>
          <w:t>F-SD-014</w:t>
        </w:r>
      </w:hyperlink>
      <w:r w:rsidR="009E4A26" w:rsidRPr="001B36CF">
        <w:rPr>
          <w:szCs w:val="22"/>
        </w:rPr>
        <w:t>:</w:t>
      </w:r>
      <w:r w:rsidR="009E4A26" w:rsidRPr="006C0A11">
        <w:rPr>
          <w:i/>
          <w:szCs w:val="22"/>
        </w:rPr>
        <w:t xml:space="preserve"> Refund or remission of stamp duty on cancelled conveyance</w:t>
      </w:r>
      <w:r>
        <w:rPr>
          <w:szCs w:val="22"/>
        </w:rPr>
        <w:t>. The application must be</w:t>
      </w:r>
      <w:r w:rsidR="009E4A26" w:rsidRPr="006C0A11">
        <w:rPr>
          <w:szCs w:val="22"/>
        </w:rPr>
        <w:t>:</w:t>
      </w:r>
    </w:p>
    <w:p w:rsidR="009E4A26" w:rsidRPr="00F8170C" w:rsidRDefault="009E4A26" w:rsidP="00C556F6">
      <w:pPr>
        <w:numPr>
          <w:ilvl w:val="0"/>
          <w:numId w:val="22"/>
        </w:numPr>
        <w:tabs>
          <w:tab w:val="clear" w:pos="1080"/>
          <w:tab w:val="num" w:pos="993"/>
        </w:tabs>
        <w:spacing w:after="120"/>
        <w:ind w:left="993" w:hanging="567"/>
        <w:jc w:val="both"/>
        <w:rPr>
          <w:szCs w:val="22"/>
        </w:rPr>
      </w:pPr>
      <w:r w:rsidRPr="00F8170C">
        <w:rPr>
          <w:szCs w:val="22"/>
        </w:rPr>
        <w:t>made within 90 days after it first became apparent that the conveyance would not proceed (which, in the case of cancellation, will be taken to be the date of the cancellation); and</w:t>
      </w:r>
    </w:p>
    <w:p w:rsidR="009E4A26" w:rsidRPr="006C0A11" w:rsidRDefault="009E4A26" w:rsidP="00C556F6">
      <w:pPr>
        <w:numPr>
          <w:ilvl w:val="0"/>
          <w:numId w:val="22"/>
        </w:numPr>
        <w:tabs>
          <w:tab w:val="clear" w:pos="1080"/>
          <w:tab w:val="num" w:pos="993"/>
        </w:tabs>
        <w:spacing w:after="120"/>
        <w:ind w:left="993" w:hanging="567"/>
        <w:jc w:val="both"/>
        <w:rPr>
          <w:szCs w:val="22"/>
        </w:rPr>
      </w:pPr>
      <w:r w:rsidRPr="00F8170C">
        <w:rPr>
          <w:szCs w:val="22"/>
        </w:rPr>
        <w:t xml:space="preserve">supported by all documents relevant to the application and such other evidence as </w:t>
      </w:r>
      <w:r w:rsidR="002B2928">
        <w:rPr>
          <w:szCs w:val="22"/>
        </w:rPr>
        <w:t xml:space="preserve">is </w:t>
      </w:r>
      <w:r w:rsidRPr="00F8170C">
        <w:rPr>
          <w:szCs w:val="22"/>
        </w:rPr>
        <w:t>require</w:t>
      </w:r>
      <w:r w:rsidR="002B2928">
        <w:rPr>
          <w:szCs w:val="22"/>
        </w:rPr>
        <w:t>d</w:t>
      </w:r>
      <w:r w:rsidR="00442583">
        <w:rPr>
          <w:szCs w:val="22"/>
        </w:rPr>
        <w:t xml:space="preserve">, </w:t>
      </w:r>
      <w:r w:rsidR="002B2928">
        <w:rPr>
          <w:szCs w:val="22"/>
        </w:rPr>
        <w:t xml:space="preserve">generally </w:t>
      </w:r>
      <w:r w:rsidR="00442583">
        <w:rPr>
          <w:szCs w:val="22"/>
        </w:rPr>
        <w:t>being:</w:t>
      </w:r>
    </w:p>
    <w:p w:rsidR="009E4A26" w:rsidRPr="00F8170C" w:rsidRDefault="009E4A26" w:rsidP="00DA0CD2">
      <w:pPr>
        <w:numPr>
          <w:ilvl w:val="1"/>
          <w:numId w:val="22"/>
        </w:numPr>
        <w:spacing w:after="120"/>
        <w:jc w:val="both"/>
        <w:rPr>
          <w:szCs w:val="22"/>
        </w:rPr>
      </w:pPr>
      <w:r w:rsidRPr="00F8170C">
        <w:rPr>
          <w:szCs w:val="22"/>
        </w:rPr>
        <w:t>where the duty has been paid:</w:t>
      </w:r>
    </w:p>
    <w:p w:rsidR="009E4A26" w:rsidRPr="00F8170C" w:rsidRDefault="009E4A26" w:rsidP="00DA0CD2">
      <w:pPr>
        <w:numPr>
          <w:ilvl w:val="1"/>
          <w:numId w:val="29"/>
        </w:numPr>
        <w:tabs>
          <w:tab w:val="clear" w:pos="1440"/>
          <w:tab w:val="num" w:pos="1843"/>
        </w:tabs>
        <w:spacing w:after="120"/>
        <w:ind w:left="1843" w:hanging="283"/>
        <w:jc w:val="both"/>
        <w:rPr>
          <w:szCs w:val="22"/>
        </w:rPr>
      </w:pPr>
      <w:r w:rsidRPr="00F8170C">
        <w:rPr>
          <w:szCs w:val="22"/>
        </w:rPr>
        <w:t>the original stamped instrument;</w:t>
      </w:r>
    </w:p>
    <w:p w:rsidR="009E4A26" w:rsidRPr="00F8170C" w:rsidRDefault="009E4A26" w:rsidP="00DA0CD2">
      <w:pPr>
        <w:numPr>
          <w:ilvl w:val="1"/>
          <w:numId w:val="29"/>
        </w:numPr>
        <w:tabs>
          <w:tab w:val="clear" w:pos="1440"/>
          <w:tab w:val="num" w:pos="1843"/>
        </w:tabs>
        <w:spacing w:after="120"/>
        <w:ind w:left="1843" w:hanging="283"/>
        <w:jc w:val="both"/>
        <w:rPr>
          <w:szCs w:val="22"/>
        </w:rPr>
      </w:pPr>
      <w:r w:rsidRPr="00F8170C">
        <w:rPr>
          <w:szCs w:val="22"/>
        </w:rPr>
        <w:lastRenderedPageBreak/>
        <w:t>all stamped duplicates or counterparts of that instrument; and</w:t>
      </w:r>
    </w:p>
    <w:p w:rsidR="009E4A26" w:rsidRPr="00F8170C" w:rsidRDefault="009E4A26" w:rsidP="00DA0CD2">
      <w:pPr>
        <w:numPr>
          <w:ilvl w:val="1"/>
          <w:numId w:val="29"/>
        </w:numPr>
        <w:tabs>
          <w:tab w:val="clear" w:pos="1440"/>
          <w:tab w:val="num" w:pos="1843"/>
        </w:tabs>
        <w:spacing w:after="120"/>
        <w:ind w:left="1843" w:hanging="283"/>
        <w:jc w:val="both"/>
        <w:rPr>
          <w:szCs w:val="22"/>
        </w:rPr>
      </w:pPr>
      <w:r w:rsidRPr="00F8170C">
        <w:rPr>
          <w:szCs w:val="22"/>
        </w:rPr>
        <w:t>all other instruments on which payment of the duty has been denoted, for example, transfers</w:t>
      </w:r>
      <w:r w:rsidR="00935542">
        <w:rPr>
          <w:szCs w:val="22"/>
        </w:rPr>
        <w:t xml:space="preserve">, </w:t>
      </w:r>
      <w:r w:rsidR="00935542" w:rsidRPr="00F8170C">
        <w:rPr>
          <w:szCs w:val="22"/>
        </w:rPr>
        <w:t>duplicates and counterparts</w:t>
      </w:r>
      <w:r w:rsidRPr="00F8170C">
        <w:rPr>
          <w:szCs w:val="22"/>
        </w:rPr>
        <w:t>;</w:t>
      </w:r>
    </w:p>
    <w:p w:rsidR="009E4A26" w:rsidRPr="00F8170C" w:rsidRDefault="009E4A26" w:rsidP="00DA0CD2">
      <w:pPr>
        <w:numPr>
          <w:ilvl w:val="1"/>
          <w:numId w:val="22"/>
        </w:numPr>
        <w:spacing w:after="120"/>
        <w:jc w:val="both"/>
        <w:rPr>
          <w:szCs w:val="22"/>
        </w:rPr>
      </w:pPr>
      <w:r w:rsidRPr="00F8170C">
        <w:rPr>
          <w:szCs w:val="22"/>
        </w:rPr>
        <w:t>where the duty has not been paid and no assessment has been issued:</w:t>
      </w:r>
    </w:p>
    <w:p w:rsidR="009E4A26" w:rsidRPr="00F8170C" w:rsidRDefault="009E4A26" w:rsidP="00DA0CD2">
      <w:pPr>
        <w:numPr>
          <w:ilvl w:val="1"/>
          <w:numId w:val="29"/>
        </w:numPr>
        <w:tabs>
          <w:tab w:val="clear" w:pos="1440"/>
          <w:tab w:val="num" w:pos="1843"/>
        </w:tabs>
        <w:spacing w:after="120"/>
        <w:ind w:left="1843" w:hanging="283"/>
        <w:jc w:val="both"/>
        <w:rPr>
          <w:szCs w:val="22"/>
        </w:rPr>
      </w:pPr>
      <w:r w:rsidRPr="00F8170C">
        <w:rPr>
          <w:szCs w:val="22"/>
        </w:rPr>
        <w:t>the original instrument; and</w:t>
      </w:r>
    </w:p>
    <w:p w:rsidR="009E4A26" w:rsidRPr="00F8170C" w:rsidRDefault="009E4A26" w:rsidP="00DA0CD2">
      <w:pPr>
        <w:numPr>
          <w:ilvl w:val="1"/>
          <w:numId w:val="29"/>
        </w:numPr>
        <w:tabs>
          <w:tab w:val="clear" w:pos="1440"/>
          <w:tab w:val="num" w:pos="1843"/>
        </w:tabs>
        <w:spacing w:after="120"/>
        <w:ind w:left="1843" w:hanging="283"/>
        <w:jc w:val="both"/>
        <w:rPr>
          <w:szCs w:val="22"/>
        </w:rPr>
      </w:pPr>
      <w:r w:rsidRPr="00F8170C">
        <w:rPr>
          <w:szCs w:val="22"/>
        </w:rPr>
        <w:t xml:space="preserve">all duplicates and counterparts of the instrument; </w:t>
      </w:r>
    </w:p>
    <w:p w:rsidR="009E4A26" w:rsidRPr="006C0A11" w:rsidRDefault="009E4A26" w:rsidP="00DA0CD2">
      <w:pPr>
        <w:numPr>
          <w:ilvl w:val="1"/>
          <w:numId w:val="22"/>
        </w:numPr>
        <w:spacing w:after="120"/>
        <w:jc w:val="both"/>
        <w:rPr>
          <w:szCs w:val="22"/>
        </w:rPr>
      </w:pPr>
      <w:r w:rsidRPr="00F8170C">
        <w:rPr>
          <w:szCs w:val="22"/>
        </w:rPr>
        <w:t xml:space="preserve">where the instrument is the subject of a current assessment, the relevant lodgement </w:t>
      </w:r>
      <w:r w:rsidRPr="006C0A11">
        <w:rPr>
          <w:szCs w:val="22"/>
        </w:rPr>
        <w:t>number; and</w:t>
      </w:r>
    </w:p>
    <w:p w:rsidR="009E4A26" w:rsidRPr="006C0A11" w:rsidRDefault="009E4A26" w:rsidP="00DA0CD2">
      <w:pPr>
        <w:numPr>
          <w:ilvl w:val="1"/>
          <w:numId w:val="22"/>
        </w:numPr>
        <w:spacing w:after="120"/>
        <w:jc w:val="both"/>
        <w:rPr>
          <w:szCs w:val="22"/>
        </w:rPr>
      </w:pPr>
      <w:r w:rsidRPr="00F8170C">
        <w:rPr>
          <w:szCs w:val="22"/>
        </w:rPr>
        <w:t xml:space="preserve">copies of any </w:t>
      </w:r>
      <w:r w:rsidR="00532EC2">
        <w:rPr>
          <w:szCs w:val="22"/>
        </w:rPr>
        <w:t>d</w:t>
      </w:r>
      <w:r w:rsidRPr="00F8170C">
        <w:rPr>
          <w:szCs w:val="22"/>
        </w:rPr>
        <w:t xml:space="preserve">eeds of </w:t>
      </w:r>
      <w:r w:rsidR="00532EC2">
        <w:rPr>
          <w:szCs w:val="22"/>
        </w:rPr>
        <w:t>r</w:t>
      </w:r>
      <w:r w:rsidRPr="00F8170C">
        <w:rPr>
          <w:szCs w:val="22"/>
        </w:rPr>
        <w:t>escission or similar instruments.</w:t>
      </w:r>
    </w:p>
    <w:p w:rsidR="009E4A26" w:rsidRPr="006C0A11" w:rsidRDefault="00935542" w:rsidP="006C0A11">
      <w:pPr>
        <w:pStyle w:val="BlockText"/>
        <w:tabs>
          <w:tab w:val="num" w:pos="567"/>
        </w:tabs>
        <w:autoSpaceDE w:val="0"/>
        <w:autoSpaceDN w:val="0"/>
        <w:adjustRightInd w:val="0"/>
        <w:rPr>
          <w:szCs w:val="22"/>
        </w:rPr>
      </w:pPr>
      <w:r>
        <w:rPr>
          <w:szCs w:val="22"/>
        </w:rPr>
        <w:t>TRO</w:t>
      </w:r>
      <w:r w:rsidR="009E4A26" w:rsidRPr="006C0A11">
        <w:rPr>
          <w:szCs w:val="22"/>
        </w:rPr>
        <w:t xml:space="preserve"> may allow a conveyee more than 90 days to apply for a refund or remission if reasonable cause is shown.</w:t>
      </w:r>
    </w:p>
    <w:p w:rsidR="009E4A26" w:rsidRDefault="009E4A26" w:rsidP="006C0A11">
      <w:pPr>
        <w:pStyle w:val="BlockText"/>
        <w:tabs>
          <w:tab w:val="num" w:pos="567"/>
        </w:tabs>
        <w:rPr>
          <w:szCs w:val="22"/>
        </w:rPr>
      </w:pPr>
      <w:r w:rsidRPr="006C0A11">
        <w:rPr>
          <w:szCs w:val="22"/>
        </w:rPr>
        <w:t xml:space="preserve">Once </w:t>
      </w:r>
      <w:r w:rsidR="00935542">
        <w:rPr>
          <w:szCs w:val="22"/>
        </w:rPr>
        <w:t>TRO</w:t>
      </w:r>
      <w:r w:rsidRPr="006C0A11">
        <w:rPr>
          <w:szCs w:val="22"/>
        </w:rPr>
        <w:t xml:space="preserve"> has approved a refund, or granted a remission, section 56A(3) of the Act provides that the dutiable instrument is to be endorsed by </w:t>
      </w:r>
      <w:r w:rsidR="00935542">
        <w:rPr>
          <w:szCs w:val="22"/>
        </w:rPr>
        <w:t>TRO</w:t>
      </w:r>
      <w:r w:rsidRPr="006C0A11">
        <w:rPr>
          <w:szCs w:val="22"/>
        </w:rPr>
        <w:t>, after which time the instrument will have no effect in law or in equity to convey dutiable property.</w:t>
      </w:r>
    </w:p>
    <w:p w:rsidR="00442583" w:rsidRPr="00F8170C" w:rsidRDefault="00442583" w:rsidP="00DA0CD2">
      <w:pPr>
        <w:pStyle w:val="HeadingTwo"/>
        <w:keepNext/>
      </w:pPr>
      <w:r w:rsidRPr="006C0A11">
        <w:t>Commissioner’s ability to reinstate liability</w:t>
      </w:r>
    </w:p>
    <w:p w:rsidR="00442583" w:rsidRPr="006C0A11" w:rsidRDefault="00442583" w:rsidP="00442583">
      <w:pPr>
        <w:pStyle w:val="BlockText"/>
        <w:tabs>
          <w:tab w:val="num" w:pos="567"/>
        </w:tabs>
        <w:autoSpaceDE w:val="0"/>
        <w:autoSpaceDN w:val="0"/>
        <w:adjustRightInd w:val="0"/>
        <w:rPr>
          <w:szCs w:val="22"/>
        </w:rPr>
      </w:pPr>
      <w:r w:rsidRPr="006C0A11">
        <w:rPr>
          <w:szCs w:val="22"/>
        </w:rPr>
        <w:t xml:space="preserve">Section 56A(5) of the Act </w:t>
      </w:r>
      <w:r>
        <w:rPr>
          <w:szCs w:val="22"/>
        </w:rPr>
        <w:t>applies where</w:t>
      </w:r>
      <w:r w:rsidRPr="006C0A11">
        <w:rPr>
          <w:szCs w:val="22"/>
        </w:rPr>
        <w:t xml:space="preserve"> </w:t>
      </w:r>
      <w:r>
        <w:rPr>
          <w:szCs w:val="22"/>
        </w:rPr>
        <w:t>TRO</w:t>
      </w:r>
      <w:r w:rsidRPr="006C0A11">
        <w:rPr>
          <w:szCs w:val="22"/>
        </w:rPr>
        <w:t xml:space="preserve"> has provided a refund or remission</w:t>
      </w:r>
      <w:r>
        <w:rPr>
          <w:szCs w:val="22"/>
        </w:rPr>
        <w:t xml:space="preserve"> of duty</w:t>
      </w:r>
      <w:r w:rsidRPr="006C0A11">
        <w:rPr>
          <w:szCs w:val="22"/>
        </w:rPr>
        <w:t xml:space="preserve"> and subsequently forms the opinion that there was </w:t>
      </w:r>
      <w:r>
        <w:rPr>
          <w:szCs w:val="22"/>
        </w:rPr>
        <w:t xml:space="preserve">actually </w:t>
      </w:r>
      <w:r w:rsidRPr="006C0A11">
        <w:rPr>
          <w:szCs w:val="22"/>
        </w:rPr>
        <w:t>a sub-sale or conveyance by direction of the property underlying the original conveyance</w:t>
      </w:r>
      <w:r>
        <w:rPr>
          <w:szCs w:val="22"/>
        </w:rPr>
        <w:t>. Where this occurs,</w:t>
      </w:r>
      <w:r w:rsidRPr="006C0A11">
        <w:rPr>
          <w:szCs w:val="22"/>
        </w:rPr>
        <w:t xml:space="preserve"> </w:t>
      </w:r>
      <w:r>
        <w:rPr>
          <w:szCs w:val="22"/>
        </w:rPr>
        <w:t>TRO</w:t>
      </w:r>
      <w:r w:rsidRPr="006C0A11">
        <w:rPr>
          <w:szCs w:val="22"/>
        </w:rPr>
        <w:t xml:space="preserve"> is able to reassess duty on the relevant dutiable instrument as if the refund or remission had never been approved.</w:t>
      </w:r>
    </w:p>
    <w:p w:rsidR="00442583" w:rsidRPr="006C0A11" w:rsidRDefault="00442583" w:rsidP="00442583">
      <w:pPr>
        <w:pStyle w:val="BlockText"/>
        <w:tabs>
          <w:tab w:val="num" w:pos="567"/>
        </w:tabs>
        <w:autoSpaceDE w:val="0"/>
        <w:autoSpaceDN w:val="0"/>
        <w:adjustRightInd w:val="0"/>
        <w:rPr>
          <w:szCs w:val="22"/>
        </w:rPr>
      </w:pPr>
      <w:r>
        <w:rPr>
          <w:szCs w:val="22"/>
        </w:rPr>
        <w:t>TRO</w:t>
      </w:r>
      <w:r w:rsidRPr="006C0A11">
        <w:rPr>
          <w:szCs w:val="22"/>
        </w:rPr>
        <w:t xml:space="preserve"> is able to make this reassessment even if the usual </w:t>
      </w:r>
      <w:r>
        <w:rPr>
          <w:szCs w:val="22"/>
        </w:rPr>
        <w:t xml:space="preserve">5-year </w:t>
      </w:r>
      <w:r w:rsidRPr="006C0A11">
        <w:rPr>
          <w:szCs w:val="22"/>
        </w:rPr>
        <w:t xml:space="preserve">period for making </w:t>
      </w:r>
      <w:r>
        <w:rPr>
          <w:szCs w:val="22"/>
        </w:rPr>
        <w:t xml:space="preserve">a </w:t>
      </w:r>
      <w:r w:rsidRPr="006C0A11">
        <w:rPr>
          <w:szCs w:val="22"/>
        </w:rPr>
        <w:t>reassessment has passed. This recognises that</w:t>
      </w:r>
      <w:r>
        <w:rPr>
          <w:szCs w:val="22"/>
        </w:rPr>
        <w:t>,</w:t>
      </w:r>
      <w:r w:rsidRPr="006C0A11">
        <w:rPr>
          <w:szCs w:val="22"/>
        </w:rPr>
        <w:t xml:space="preserve"> in such cases</w:t>
      </w:r>
      <w:r>
        <w:rPr>
          <w:szCs w:val="22"/>
        </w:rPr>
        <w:t>,</w:t>
      </w:r>
      <w:r w:rsidRPr="006C0A11">
        <w:rPr>
          <w:szCs w:val="22"/>
        </w:rPr>
        <w:t xml:space="preserve"> </w:t>
      </w:r>
      <w:r>
        <w:rPr>
          <w:szCs w:val="22"/>
        </w:rPr>
        <w:t>the conveyee was not entitled to a refund or remission</w:t>
      </w:r>
      <w:r w:rsidRPr="006C0A11">
        <w:rPr>
          <w:szCs w:val="22"/>
        </w:rPr>
        <w:t xml:space="preserve">, and that no limitation should exist to prevent </w:t>
      </w:r>
      <w:r>
        <w:rPr>
          <w:szCs w:val="22"/>
        </w:rPr>
        <w:t>TRO</w:t>
      </w:r>
      <w:r w:rsidRPr="006C0A11">
        <w:rPr>
          <w:szCs w:val="22"/>
        </w:rPr>
        <w:t xml:space="preserve"> from recouping</w:t>
      </w:r>
      <w:r>
        <w:rPr>
          <w:szCs w:val="22"/>
        </w:rPr>
        <w:t xml:space="preserve"> the</w:t>
      </w:r>
      <w:r w:rsidRPr="006C0A11">
        <w:rPr>
          <w:szCs w:val="22"/>
        </w:rPr>
        <w:t xml:space="preserve"> duty that is rightfully payable.</w:t>
      </w:r>
    </w:p>
    <w:p w:rsidR="006034B6" w:rsidRDefault="00513926" w:rsidP="006034B6">
      <w:pPr>
        <w:pStyle w:val="HeadingTwo"/>
      </w:pPr>
      <w:r>
        <w:t>Commissioner’s Guidelines</w:t>
      </w:r>
    </w:p>
    <w:p w:rsidR="006034B6" w:rsidRDefault="00513926" w:rsidP="006C0A11">
      <w:pPr>
        <w:pStyle w:val="BlockText"/>
      </w:pPr>
      <w:r w:rsidRPr="002D6D82">
        <w:t>Co</w:t>
      </w:r>
      <w:r>
        <w:t xml:space="preserve">mmissioner’s Guideline </w:t>
      </w:r>
      <w:hyperlink r:id="rId18" w:history="1">
        <w:r w:rsidRPr="004154A9">
          <w:rPr>
            <w:rStyle w:val="Hyperlink"/>
          </w:rPr>
          <w:t>CG</w:t>
        </w:r>
      </w:hyperlink>
      <w:hyperlink r:id="rId19" w:history="1">
        <w:r w:rsidRPr="004154A9">
          <w:rPr>
            <w:rStyle w:val="Hyperlink"/>
          </w:rPr>
          <w:t>-GEN-001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F65356" w:rsidRDefault="00F65356" w:rsidP="00F65356">
      <w:pPr>
        <w:pStyle w:val="HeadingTwo"/>
      </w:pPr>
      <w:r>
        <w:t>Date of effect</w:t>
      </w:r>
    </w:p>
    <w:p w:rsidR="00F65356" w:rsidRPr="001D4FB2" w:rsidRDefault="00F65356" w:rsidP="006C0A11">
      <w:pPr>
        <w:pStyle w:val="BlockText"/>
        <w:tabs>
          <w:tab w:val="num" w:pos="567"/>
        </w:tabs>
      </w:pPr>
      <w:r>
        <w:t xml:space="preserve">This version of the Guideline takes effect from </w:t>
      </w:r>
      <w:r w:rsidR="001D4FB2" w:rsidRPr="001D4FB2">
        <w:t>1 July 2009</w:t>
      </w:r>
      <w:r w:rsidR="00690321" w:rsidRPr="001D4FB2">
        <w:t>.</w:t>
      </w:r>
    </w:p>
    <w:p w:rsidR="00364D5F" w:rsidRDefault="002C3C66" w:rsidP="006034B6">
      <w:r>
        <w:rPr>
          <w:noProof/>
        </w:rPr>
        <w:drawing>
          <wp:anchor distT="0" distB="0" distL="114300" distR="114300" simplePos="0" relativeHeight="251658240" behindDoc="0" locked="0" layoutInCell="1" allowOverlap="1" wp14:anchorId="6B7B2521" wp14:editId="6E4C62F7">
            <wp:simplePos x="0" y="0"/>
            <wp:positionH relativeFrom="column">
              <wp:posOffset>167005</wp:posOffset>
            </wp:positionH>
            <wp:positionV relativeFrom="paragraph">
              <wp:posOffset>59690</wp:posOffset>
            </wp:positionV>
            <wp:extent cx="2018030" cy="342900"/>
            <wp:effectExtent l="0" t="0" r="1270" b="0"/>
            <wp:wrapNone/>
            <wp:docPr id="1" name="Picture 1" descr="Grant Parsons electronic signa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 Parsons electronic signature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8030" cy="342900"/>
                    </a:xfrm>
                    <a:prstGeom prst="rect">
                      <a:avLst/>
                    </a:prstGeom>
                    <a:noFill/>
                  </pic:spPr>
                </pic:pic>
              </a:graphicData>
            </a:graphic>
            <wp14:sizeRelH relativeFrom="page">
              <wp14:pctWidth>0</wp14:pctWidth>
            </wp14:sizeRelH>
            <wp14:sizeRelV relativeFrom="page">
              <wp14:pctHeight>0</wp14:pctHeight>
            </wp14:sizeRelV>
          </wp:anchor>
        </w:drawing>
      </w:r>
    </w:p>
    <w:p w:rsidR="00CA3105" w:rsidRDefault="00CA3105" w:rsidP="006034B6"/>
    <w:p w:rsidR="00CA3105" w:rsidRDefault="00CA3105" w:rsidP="006034B6"/>
    <w:p w:rsidR="006034B6" w:rsidRDefault="009E4A26" w:rsidP="006034B6">
      <w:r>
        <w:t>Grant Parsons</w:t>
      </w:r>
    </w:p>
    <w:p w:rsidR="006034B6" w:rsidRPr="002B1AFD" w:rsidRDefault="002B1AFD" w:rsidP="006034B6">
      <w:pPr>
        <w:rPr>
          <w:b/>
        </w:rPr>
      </w:pPr>
      <w:r w:rsidRPr="002B1AFD">
        <w:rPr>
          <w:b/>
        </w:rPr>
        <w:t>COMMISSIONER OF TERRITORY REVENUE</w:t>
      </w:r>
    </w:p>
    <w:p w:rsidR="006034B6" w:rsidRDefault="006034B6" w:rsidP="006034B6"/>
    <w:p w:rsidR="006034B6" w:rsidRDefault="006034B6" w:rsidP="006034B6">
      <w:r>
        <w:t>Date of Issue:</w:t>
      </w:r>
      <w:r w:rsidR="000479D1">
        <w:t xml:space="preserve"> 6 August 2014</w:t>
      </w:r>
    </w:p>
    <w:p w:rsidR="006034B6" w:rsidRDefault="006034B6" w:rsidP="006034B6"/>
    <w:tbl>
      <w:tblPr>
        <w:tblStyle w:val="TableGrid"/>
        <w:tblW w:w="0" w:type="auto"/>
        <w:tblBorders>
          <w:left w:val="none" w:sz="0" w:space="0" w:color="auto"/>
          <w:right w:val="none" w:sz="0" w:space="0" w:color="auto"/>
          <w:insideV w:val="none" w:sz="0" w:space="0" w:color="auto"/>
        </w:tblBorders>
        <w:tblCellMar>
          <w:top w:w="62" w:type="dxa"/>
          <w:bottom w:w="62" w:type="dxa"/>
        </w:tblCellMar>
        <w:tblLook w:val="01E0" w:firstRow="1" w:lastRow="1" w:firstColumn="1" w:lastColumn="1" w:noHBand="0" w:noVBand="0"/>
      </w:tblPr>
      <w:tblGrid>
        <w:gridCol w:w="4927"/>
        <w:gridCol w:w="4927"/>
      </w:tblGrid>
      <w:tr w:rsidR="006034B6" w:rsidRPr="00F65356" w:rsidTr="006034B6">
        <w:tc>
          <w:tcPr>
            <w:tcW w:w="9854" w:type="dxa"/>
            <w:gridSpan w:val="2"/>
          </w:tcPr>
          <w:p w:rsidR="006034B6" w:rsidRPr="00F65356" w:rsidRDefault="006034B6" w:rsidP="006034B6">
            <w:pPr>
              <w:rPr>
                <w:sz w:val="20"/>
              </w:rPr>
            </w:pPr>
            <w:r w:rsidRPr="00F65356">
              <w:rPr>
                <w:sz w:val="20"/>
              </w:rPr>
              <w:t>For further information please contact the Territory Revenue Office:</w:t>
            </w:r>
          </w:p>
        </w:tc>
      </w:tr>
      <w:tr w:rsidR="006034B6" w:rsidRPr="00F65356" w:rsidTr="006034B6">
        <w:tc>
          <w:tcPr>
            <w:tcW w:w="4927" w:type="dxa"/>
          </w:tcPr>
          <w:p w:rsidR="006034B6" w:rsidRPr="00F65356" w:rsidRDefault="001A149F" w:rsidP="006034B6">
            <w:pPr>
              <w:rPr>
                <w:sz w:val="20"/>
              </w:rPr>
            </w:pPr>
            <w:r>
              <w:rPr>
                <w:sz w:val="20"/>
              </w:rPr>
              <w:t>GPO Box 197</w:t>
            </w:r>
            <w:bookmarkStart w:id="0" w:name="_GoBack"/>
            <w:bookmarkEnd w:id="0"/>
            <w:r w:rsidR="006034B6" w:rsidRPr="00F65356">
              <w:rPr>
                <w:sz w:val="20"/>
              </w:rPr>
              <w:t>4</w:t>
            </w:r>
          </w:p>
          <w:p w:rsidR="006034B6" w:rsidRPr="00F65356" w:rsidRDefault="006034B6" w:rsidP="006034B6">
            <w:pPr>
              <w:rPr>
                <w:sz w:val="20"/>
              </w:rPr>
            </w:pPr>
            <w:r w:rsidRPr="00F65356">
              <w:rPr>
                <w:sz w:val="20"/>
              </w:rPr>
              <w:t>Darwin  NT  0801</w:t>
            </w:r>
          </w:p>
          <w:p w:rsidR="006034B6" w:rsidRPr="00F65356" w:rsidRDefault="006034B6" w:rsidP="00F85133">
            <w:pPr>
              <w:pStyle w:val="BlockText"/>
              <w:numPr>
                <w:ilvl w:val="0"/>
                <w:numId w:val="0"/>
              </w:numPr>
              <w:rPr>
                <w:sz w:val="20"/>
              </w:rPr>
            </w:pPr>
            <w:r w:rsidRPr="00F65356">
              <w:rPr>
                <w:sz w:val="20"/>
              </w:rPr>
              <w:t xml:space="preserve">Email: </w:t>
            </w:r>
            <w:hyperlink r:id="rId21" w:history="1">
              <w:r w:rsidR="009E4A26" w:rsidRPr="00AE32EA">
                <w:rPr>
                  <w:rStyle w:val="Hyperlink"/>
                  <w:sz w:val="20"/>
                </w:rPr>
                <w:t>ntrevenue@nt.gov.au</w:t>
              </w:r>
            </w:hyperlink>
          </w:p>
        </w:tc>
        <w:tc>
          <w:tcPr>
            <w:tcW w:w="4927" w:type="dxa"/>
          </w:tcPr>
          <w:p w:rsidR="006034B6" w:rsidRPr="00F65356" w:rsidRDefault="006034B6" w:rsidP="006034B6">
            <w:pPr>
              <w:rPr>
                <w:sz w:val="20"/>
              </w:rPr>
            </w:pPr>
            <w:r w:rsidRPr="00F65356">
              <w:rPr>
                <w:sz w:val="20"/>
              </w:rPr>
              <w:t>Phone: 1300 305 353</w:t>
            </w:r>
          </w:p>
          <w:p w:rsidR="006034B6" w:rsidRPr="00F65356" w:rsidRDefault="006034B6" w:rsidP="006034B6">
            <w:pPr>
              <w:rPr>
                <w:sz w:val="20"/>
              </w:rPr>
            </w:pPr>
            <w:r w:rsidRPr="00F65356">
              <w:rPr>
                <w:sz w:val="20"/>
              </w:rPr>
              <w:t xml:space="preserve">Website: </w:t>
            </w:r>
            <w:hyperlink r:id="rId22" w:history="1">
              <w:r w:rsidRPr="00F65356">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23"/>
      <w:headerReference w:type="default" r:id="rId24"/>
      <w:footerReference w:type="default" r:id="rId25"/>
      <w:headerReference w:type="first" r:id="rId26"/>
      <w:footerReference w:type="first" r:id="rId27"/>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5F1" w:rsidRDefault="001A75F1">
      <w:r>
        <w:separator/>
      </w:r>
    </w:p>
  </w:endnote>
  <w:endnote w:type="continuationSeparator" w:id="0">
    <w:p w:rsidR="001A75F1" w:rsidRDefault="001A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A149F">
      <w:rPr>
        <w:noProof/>
        <w:sz w:val="16"/>
        <w:szCs w:val="16"/>
      </w:rPr>
      <w:t>6</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A149F">
      <w:rPr>
        <w:noProof/>
        <w:sz w:val="16"/>
        <w:szCs w:val="16"/>
      </w:rPr>
      <w:t>6</w:t>
    </w:r>
    <w:r w:rsidRPr="006034B6">
      <w:rPr>
        <w:sz w:val="16"/>
        <w:szCs w:val="16"/>
      </w:rPr>
      <w:fldChar w:fldCharType="end"/>
    </w:r>
    <w:r>
      <w:rPr>
        <w:sz w:val="16"/>
        <w:szCs w:val="16"/>
      </w:rPr>
      <w:tab/>
      <w:t>CG-</w:t>
    </w:r>
    <w:r w:rsidR="00BB1FAD">
      <w:rPr>
        <w:sz w:val="16"/>
        <w:szCs w:val="16"/>
      </w:rPr>
      <w:t>SD-017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A149F">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A149F">
      <w:rPr>
        <w:noProof/>
        <w:sz w:val="16"/>
        <w:szCs w:val="16"/>
      </w:rPr>
      <w:t>6</w:t>
    </w:r>
    <w:r w:rsidRPr="006034B6">
      <w:rPr>
        <w:sz w:val="16"/>
        <w:szCs w:val="16"/>
      </w:rPr>
      <w:fldChar w:fldCharType="end"/>
    </w:r>
    <w:r>
      <w:rPr>
        <w:sz w:val="16"/>
        <w:szCs w:val="16"/>
      </w:rPr>
      <w:tab/>
      <w:t>CG-</w:t>
    </w:r>
    <w:r w:rsidR="009E4A26">
      <w:rPr>
        <w:sz w:val="16"/>
        <w:szCs w:val="16"/>
      </w:rPr>
      <w:t>SD-01</w:t>
    </w:r>
    <w:r w:rsidR="00A8653F">
      <w:rPr>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5F1" w:rsidRDefault="001A75F1">
      <w:r>
        <w:separator/>
      </w:r>
    </w:p>
  </w:footnote>
  <w:footnote w:type="continuationSeparator" w:id="0">
    <w:p w:rsidR="001A75F1" w:rsidRDefault="001A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19571B">
    <w:pPr>
      <w:pStyle w:val="NTTHeaderInfo"/>
      <w:rPr>
        <w:b/>
        <w:noProof/>
      </w:rPr>
    </w:pPr>
  </w:p>
  <w:p w:rsidR="00945A49" w:rsidRDefault="009E4A26" w:rsidP="0019571B">
    <w:pPr>
      <w:pStyle w:val="NTTHeaderInfo"/>
      <w:rPr>
        <w:b/>
        <w:noProof/>
      </w:rPr>
    </w:pPr>
    <w:r>
      <w:rPr>
        <w:noProof/>
      </w:rPr>
      <w:drawing>
        <wp:anchor distT="0" distB="0" distL="114300" distR="115443" simplePos="0" relativeHeight="251657216" behindDoc="1" locked="0" layoutInCell="0" allowOverlap="1" wp14:anchorId="75A5BECF" wp14:editId="7295F05A">
          <wp:simplePos x="0" y="0"/>
          <wp:positionH relativeFrom="page">
            <wp:posOffset>180975</wp:posOffset>
          </wp:positionH>
          <wp:positionV relativeFrom="page">
            <wp:posOffset>200660</wp:posOffset>
          </wp:positionV>
          <wp:extent cx="7180072" cy="891540"/>
          <wp:effectExtent l="0" t="0" r="1905" b="3810"/>
          <wp:wrapNone/>
          <wp:docPr id="5" name="Picture 4" descr="DTF Header" title="DTF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DTF Header" title="DTF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891540"/>
                  </a:xfrm>
                  <a:prstGeom prst="rect">
                    <a:avLst/>
                  </a:prstGeom>
                  <a:noFill/>
                </pic:spPr>
              </pic:pic>
            </a:graphicData>
          </a:graphic>
          <wp14:sizeRelH relativeFrom="page">
            <wp14:pctWidth>0</wp14:pctWidth>
          </wp14:sizeRelH>
          <wp14:sizeRelV relativeFrom="page">
            <wp14:pctHeight>0</wp14:pctHeight>
          </wp14:sizeRelV>
        </wp:anchor>
      </w:drawing>
    </w: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4DB44376"/>
    <w:numStyleLink w:val="Text"/>
  </w:abstractNum>
  <w:abstractNum w:abstractNumId="3" w15:restartNumberingAfterBreak="0">
    <w:nsid w:val="19EF1276"/>
    <w:multiLevelType w:val="hybridMultilevel"/>
    <w:tmpl w:val="25D4AB16"/>
    <w:lvl w:ilvl="0" w:tplc="071C16D4">
      <w:start w:val="1"/>
      <w:numFmt w:val="decimal"/>
      <w:lvlText w:val="(%1)"/>
      <w:lvlJc w:val="left"/>
      <w:pPr>
        <w:tabs>
          <w:tab w:val="num" w:pos="1080"/>
        </w:tabs>
        <w:ind w:left="1080" w:hanging="720"/>
      </w:pPr>
      <w:rPr>
        <w:rFonts w:hint="default"/>
      </w:rPr>
    </w:lvl>
    <w:lvl w:ilvl="1" w:tplc="2BE69178">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C93726B"/>
    <w:multiLevelType w:val="hybridMultilevel"/>
    <w:tmpl w:val="670483CA"/>
    <w:lvl w:ilvl="0" w:tplc="071C16D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C97772B"/>
    <w:multiLevelType w:val="hybridMultilevel"/>
    <w:tmpl w:val="F7DAF64A"/>
    <w:lvl w:ilvl="0" w:tplc="071C16D4">
      <w:start w:val="1"/>
      <w:numFmt w:val="decimal"/>
      <w:lvlText w:val="(%1)"/>
      <w:lvlJc w:val="left"/>
      <w:pPr>
        <w:tabs>
          <w:tab w:val="num" w:pos="1080"/>
        </w:tabs>
        <w:ind w:left="1080" w:hanging="72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E903CE7"/>
    <w:multiLevelType w:val="multilevel"/>
    <w:tmpl w:val="4DB44376"/>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F830F4F"/>
    <w:multiLevelType w:val="hybridMultilevel"/>
    <w:tmpl w:val="FAE278B4"/>
    <w:lvl w:ilvl="0" w:tplc="071C16D4">
      <w:start w:val="1"/>
      <w:numFmt w:val="decimal"/>
      <w:lvlText w:val="(%1)"/>
      <w:lvlJc w:val="left"/>
      <w:pPr>
        <w:tabs>
          <w:tab w:val="num" w:pos="1080"/>
        </w:tabs>
        <w:ind w:left="1080" w:hanging="720"/>
      </w:pPr>
      <w:rPr>
        <w:rFonts w:hint="default"/>
      </w:rPr>
    </w:lvl>
    <w:lvl w:ilvl="1" w:tplc="2BE69178">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4852971"/>
    <w:multiLevelType w:val="hybridMultilevel"/>
    <w:tmpl w:val="7CBE2736"/>
    <w:lvl w:ilvl="0" w:tplc="071C16D4">
      <w:start w:val="1"/>
      <w:numFmt w:val="decimal"/>
      <w:lvlText w:val="(%1)"/>
      <w:lvlJc w:val="left"/>
      <w:pPr>
        <w:tabs>
          <w:tab w:val="num" w:pos="1593"/>
        </w:tabs>
        <w:ind w:left="1593" w:hanging="72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9" w15:restartNumberingAfterBreak="0">
    <w:nsid w:val="25DC2B5F"/>
    <w:multiLevelType w:val="hybridMultilevel"/>
    <w:tmpl w:val="25D4AB16"/>
    <w:lvl w:ilvl="0" w:tplc="071C16D4">
      <w:start w:val="1"/>
      <w:numFmt w:val="decimal"/>
      <w:lvlText w:val="(%1)"/>
      <w:lvlJc w:val="left"/>
      <w:pPr>
        <w:tabs>
          <w:tab w:val="num" w:pos="1080"/>
        </w:tabs>
        <w:ind w:left="1080" w:hanging="720"/>
      </w:pPr>
      <w:rPr>
        <w:rFonts w:hint="default"/>
      </w:rPr>
    </w:lvl>
    <w:lvl w:ilvl="1" w:tplc="2BE69178">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0457405"/>
    <w:multiLevelType w:val="hybridMultilevel"/>
    <w:tmpl w:val="50543452"/>
    <w:lvl w:ilvl="0" w:tplc="C496680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08E6A47"/>
    <w:multiLevelType w:val="hybridMultilevel"/>
    <w:tmpl w:val="25D4AB16"/>
    <w:lvl w:ilvl="0" w:tplc="071C16D4">
      <w:start w:val="1"/>
      <w:numFmt w:val="decimal"/>
      <w:lvlText w:val="(%1)"/>
      <w:lvlJc w:val="left"/>
      <w:pPr>
        <w:tabs>
          <w:tab w:val="num" w:pos="1080"/>
        </w:tabs>
        <w:ind w:left="1080" w:hanging="720"/>
      </w:pPr>
      <w:rPr>
        <w:rFonts w:hint="default"/>
      </w:rPr>
    </w:lvl>
    <w:lvl w:ilvl="1" w:tplc="2BE69178">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3C961BF"/>
    <w:multiLevelType w:val="hybridMultilevel"/>
    <w:tmpl w:val="25D4AB16"/>
    <w:lvl w:ilvl="0" w:tplc="071C16D4">
      <w:start w:val="1"/>
      <w:numFmt w:val="decimal"/>
      <w:lvlText w:val="(%1)"/>
      <w:lvlJc w:val="left"/>
      <w:pPr>
        <w:tabs>
          <w:tab w:val="num" w:pos="1080"/>
        </w:tabs>
        <w:ind w:left="1080" w:hanging="720"/>
      </w:pPr>
      <w:rPr>
        <w:rFonts w:hint="default"/>
      </w:rPr>
    </w:lvl>
    <w:lvl w:ilvl="1" w:tplc="2BE6917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8F141B8"/>
    <w:multiLevelType w:val="hybridMultilevel"/>
    <w:tmpl w:val="C1849E6A"/>
    <w:lvl w:ilvl="0" w:tplc="2BE6917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627751"/>
    <w:multiLevelType w:val="hybridMultilevel"/>
    <w:tmpl w:val="891426DC"/>
    <w:lvl w:ilvl="0" w:tplc="5584FD7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51EC1F33"/>
    <w:multiLevelType w:val="hybridMultilevel"/>
    <w:tmpl w:val="1E72651A"/>
    <w:lvl w:ilvl="0" w:tplc="071C16D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6CE6460"/>
    <w:multiLevelType w:val="hybridMultilevel"/>
    <w:tmpl w:val="205AA560"/>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7294591F"/>
    <w:multiLevelType w:val="multilevel"/>
    <w:tmpl w:val="4DB44376"/>
    <w:numStyleLink w:val="Text"/>
  </w:abstractNum>
  <w:abstractNum w:abstractNumId="21" w15:restartNumberingAfterBreak="0">
    <w:nsid w:val="73A666D4"/>
    <w:multiLevelType w:val="hybridMultilevel"/>
    <w:tmpl w:val="E29AEE5E"/>
    <w:lvl w:ilvl="0" w:tplc="071C16D4">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76B130DC"/>
    <w:multiLevelType w:val="hybridMultilevel"/>
    <w:tmpl w:val="407C2A52"/>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9AF07B4"/>
    <w:multiLevelType w:val="hybridMultilevel"/>
    <w:tmpl w:val="1CE01DF6"/>
    <w:lvl w:ilvl="0" w:tplc="071C16D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7CEB26F3"/>
    <w:multiLevelType w:val="hybridMultilevel"/>
    <w:tmpl w:val="FBBC05EC"/>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0"/>
  </w:num>
  <w:num w:numId="2">
    <w:abstractNumId w:val="14"/>
  </w:num>
  <w:num w:numId="3">
    <w:abstractNumId w:val="6"/>
    <w:lvlOverride w:ilvl="0">
      <w:lvl w:ilvl="0">
        <w:start w:val="1"/>
        <w:numFmt w:val="decimal"/>
        <w:pStyle w:val="BlockText"/>
        <w:lvlText w:val="%1."/>
        <w:lvlJc w:val="left"/>
        <w:pPr>
          <w:tabs>
            <w:tab w:val="num" w:pos="360"/>
          </w:tabs>
          <w:ind w:left="360" w:hanging="360"/>
        </w:pPr>
        <w:rPr>
          <w:rFonts w:hint="default"/>
        </w:rPr>
      </w:lvl>
    </w:lvlOverride>
    <w:lvlOverride w:ilvl="1">
      <w:lvl w:ilvl="1">
        <w:start w:val="1"/>
        <w:numFmt w:val="upp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lowerLetter"/>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4">
    <w:abstractNumId w:val="1"/>
  </w:num>
  <w:num w:numId="5">
    <w:abstractNumId w:val="2"/>
  </w:num>
  <w:num w:numId="6">
    <w:abstractNumId w:val="15"/>
  </w:num>
  <w:num w:numId="7">
    <w:abstractNumId w:val="16"/>
  </w:num>
  <w:num w:numId="8">
    <w:abstractNumId w:val="0"/>
  </w:num>
  <w:num w:numId="9">
    <w:abstractNumId w:val="23"/>
  </w:num>
  <w:num w:numId="10">
    <w:abstractNumId w:val="18"/>
  </w:num>
  <w:num w:numId="11">
    <w:abstractNumId w:val="4"/>
  </w:num>
  <w:num w:numId="12">
    <w:abstractNumId w:val="9"/>
  </w:num>
  <w:num w:numId="13">
    <w:abstractNumId w:val="10"/>
  </w:num>
  <w:num w:numId="14">
    <w:abstractNumId w:val="21"/>
  </w:num>
  <w:num w:numId="15">
    <w:abstractNumId w:val="22"/>
  </w:num>
  <w:num w:numId="16">
    <w:abstractNumId w:val="24"/>
  </w:num>
  <w:num w:numId="17">
    <w:abstractNumId w:val="8"/>
  </w:num>
  <w:num w:numId="18">
    <w:abstractNumId w:val="6"/>
  </w:num>
  <w:num w:numId="19">
    <w:abstractNumId w:val="17"/>
  </w:num>
  <w:num w:numId="20">
    <w:abstractNumId w:val="13"/>
  </w:num>
  <w:num w:numId="21">
    <w:abstractNumId w:val="6"/>
    <w:lvlOverride w:ilvl="0">
      <w:lvl w:ilvl="0">
        <w:start w:val="1"/>
        <w:numFmt w:val="decimal"/>
        <w:pStyle w:val="BlockText"/>
        <w:lvlText w:val="%1."/>
        <w:lvlJc w:val="left"/>
        <w:pPr>
          <w:tabs>
            <w:tab w:val="num" w:pos="360"/>
          </w:tabs>
          <w:ind w:left="360" w:hanging="360"/>
        </w:pPr>
        <w:rPr>
          <w:rFonts w:hint="default"/>
          <w:i w:val="0"/>
        </w:rPr>
      </w:lvl>
    </w:lvlOverride>
    <w:lvlOverride w:ilvl="1">
      <w:lvl w:ilvl="1">
        <w:start w:val="1"/>
        <w:numFmt w:val="upp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lowerLetter"/>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2">
    <w:abstractNumId w:val="12"/>
  </w:num>
  <w:num w:numId="23">
    <w:abstractNumId w:val="11"/>
  </w:num>
  <w:num w:numId="24">
    <w:abstractNumId w:val="6"/>
    <w:lvlOverride w:ilvl="0">
      <w:lvl w:ilvl="0">
        <w:start w:val="1"/>
        <w:numFmt w:val="decimal"/>
        <w:pStyle w:val="BlockText"/>
        <w:lvlText w:val="%1."/>
        <w:lvlJc w:val="left"/>
        <w:pPr>
          <w:tabs>
            <w:tab w:val="num" w:pos="360"/>
          </w:tabs>
          <w:ind w:left="360" w:hanging="360"/>
        </w:pPr>
        <w:rPr>
          <w:rFonts w:hint="default"/>
          <w:i w:val="0"/>
        </w:rPr>
      </w:lvl>
    </w:lvlOverride>
    <w:lvlOverride w:ilvl="1">
      <w:lvl w:ilvl="1">
        <w:start w:val="1"/>
        <w:numFmt w:val="upp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lowerLetter"/>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5">
    <w:abstractNumId w:val="3"/>
  </w:num>
  <w:num w:numId="26">
    <w:abstractNumId w:val="6"/>
    <w:lvlOverride w:ilvl="0">
      <w:lvl w:ilvl="0">
        <w:start w:val="1"/>
        <w:numFmt w:val="decimal"/>
        <w:pStyle w:val="BlockText"/>
        <w:lvlText w:val="%1."/>
        <w:lvlJc w:val="left"/>
        <w:pPr>
          <w:tabs>
            <w:tab w:val="num" w:pos="360"/>
          </w:tabs>
          <w:ind w:left="360" w:hanging="360"/>
        </w:pPr>
        <w:rPr>
          <w:rFonts w:hint="default"/>
          <w:i w:val="0"/>
        </w:rPr>
      </w:lvl>
    </w:lvlOverride>
    <w:lvlOverride w:ilvl="1">
      <w:lvl w:ilvl="1">
        <w:start w:val="1"/>
        <w:numFmt w:val="upp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lowerLetter"/>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7">
    <w:abstractNumId w:val="6"/>
    <w:lvlOverride w:ilvl="0">
      <w:lvl w:ilvl="0">
        <w:start w:val="1"/>
        <w:numFmt w:val="decimal"/>
        <w:pStyle w:val="BlockText"/>
        <w:lvlText w:val="%1."/>
        <w:lvlJc w:val="left"/>
        <w:pPr>
          <w:tabs>
            <w:tab w:val="num" w:pos="360"/>
          </w:tabs>
          <w:ind w:left="360" w:hanging="360"/>
        </w:pPr>
        <w:rPr>
          <w:rFonts w:hint="default"/>
          <w:i w:val="0"/>
        </w:rPr>
      </w:lvl>
    </w:lvlOverride>
    <w:lvlOverride w:ilvl="1">
      <w:lvl w:ilvl="1">
        <w:start w:val="1"/>
        <w:numFmt w:val="upp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lowerLetter"/>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8">
    <w:abstractNumId w:val="7"/>
  </w:num>
  <w:num w:numId="29">
    <w:abstractNumId w:val="5"/>
  </w:num>
  <w:num w:numId="30">
    <w:abstractNumId w:val="19"/>
  </w:num>
  <w:num w:numId="31">
    <w:abstractNumId w:val="6"/>
    <w:lvlOverride w:ilvl="0">
      <w:lvl w:ilvl="0">
        <w:start w:val="1"/>
        <w:numFmt w:val="decimal"/>
        <w:pStyle w:val="BlockText"/>
        <w:lvlText w:val="%1."/>
        <w:lvlJc w:val="left"/>
        <w:pPr>
          <w:tabs>
            <w:tab w:val="num" w:pos="360"/>
          </w:tabs>
          <w:ind w:left="360" w:hanging="360"/>
        </w:pPr>
        <w:rPr>
          <w:rFonts w:hint="default"/>
        </w:rPr>
      </w:lvl>
    </w:lvlOverride>
    <w:lvlOverride w:ilvl="1">
      <w:lvl w:ilvl="1">
        <w:start w:val="1"/>
        <w:numFmt w:val="upp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lowerLetter"/>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30UB5iMYA+zT8ZjSEZYE2iGlzAIwiHazkHqv/8PjIs8yIi+19e9FPEi+h6znCircJxLEBN2f63j6gGpCGWN5BQ==" w:salt="3c/M6T2QNdqPDQUruJ+vV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A26"/>
    <w:rsid w:val="00001796"/>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479D1"/>
    <w:rsid w:val="0005160E"/>
    <w:rsid w:val="00054E58"/>
    <w:rsid w:val="00054E93"/>
    <w:rsid w:val="00055A15"/>
    <w:rsid w:val="00055F6E"/>
    <w:rsid w:val="000567BE"/>
    <w:rsid w:val="0005747B"/>
    <w:rsid w:val="00063A93"/>
    <w:rsid w:val="00063EAC"/>
    <w:rsid w:val="00067AE5"/>
    <w:rsid w:val="00070001"/>
    <w:rsid w:val="000755D7"/>
    <w:rsid w:val="00076C89"/>
    <w:rsid w:val="00081963"/>
    <w:rsid w:val="00081984"/>
    <w:rsid w:val="00087A7F"/>
    <w:rsid w:val="000917B2"/>
    <w:rsid w:val="00092BAD"/>
    <w:rsid w:val="00094D2B"/>
    <w:rsid w:val="000968BE"/>
    <w:rsid w:val="000A058E"/>
    <w:rsid w:val="000A1789"/>
    <w:rsid w:val="000A57FE"/>
    <w:rsid w:val="000A5BAB"/>
    <w:rsid w:val="000A5FAF"/>
    <w:rsid w:val="000A7ABD"/>
    <w:rsid w:val="000B1FE4"/>
    <w:rsid w:val="000C0DD5"/>
    <w:rsid w:val="000C2C04"/>
    <w:rsid w:val="000C3AD0"/>
    <w:rsid w:val="000C4EE7"/>
    <w:rsid w:val="000C5DAB"/>
    <w:rsid w:val="000D21B9"/>
    <w:rsid w:val="000D4683"/>
    <w:rsid w:val="000D6707"/>
    <w:rsid w:val="000D760C"/>
    <w:rsid w:val="000E26E6"/>
    <w:rsid w:val="000E4D8E"/>
    <w:rsid w:val="000F7515"/>
    <w:rsid w:val="000F78A8"/>
    <w:rsid w:val="00112237"/>
    <w:rsid w:val="001171EA"/>
    <w:rsid w:val="00117E21"/>
    <w:rsid w:val="00117F5D"/>
    <w:rsid w:val="00120400"/>
    <w:rsid w:val="0012101B"/>
    <w:rsid w:val="0012610A"/>
    <w:rsid w:val="001271FF"/>
    <w:rsid w:val="00127BEF"/>
    <w:rsid w:val="0013250A"/>
    <w:rsid w:val="00134634"/>
    <w:rsid w:val="00135C96"/>
    <w:rsid w:val="001364CD"/>
    <w:rsid w:val="00137A89"/>
    <w:rsid w:val="001407E2"/>
    <w:rsid w:val="001422DD"/>
    <w:rsid w:val="0014280C"/>
    <w:rsid w:val="00143EF8"/>
    <w:rsid w:val="001442AF"/>
    <w:rsid w:val="00145806"/>
    <w:rsid w:val="001521B6"/>
    <w:rsid w:val="00153959"/>
    <w:rsid w:val="00153AFD"/>
    <w:rsid w:val="001545F9"/>
    <w:rsid w:val="001579C2"/>
    <w:rsid w:val="00157C39"/>
    <w:rsid w:val="00160881"/>
    <w:rsid w:val="0016262C"/>
    <w:rsid w:val="00164258"/>
    <w:rsid w:val="00164A3A"/>
    <w:rsid w:val="00166509"/>
    <w:rsid w:val="00176573"/>
    <w:rsid w:val="00176CC3"/>
    <w:rsid w:val="00180DA5"/>
    <w:rsid w:val="0018229E"/>
    <w:rsid w:val="00184056"/>
    <w:rsid w:val="00184984"/>
    <w:rsid w:val="00184B7C"/>
    <w:rsid w:val="00187674"/>
    <w:rsid w:val="001918C6"/>
    <w:rsid w:val="00192F6F"/>
    <w:rsid w:val="0019571B"/>
    <w:rsid w:val="00196C1B"/>
    <w:rsid w:val="001971A1"/>
    <w:rsid w:val="0019771F"/>
    <w:rsid w:val="001A0D9D"/>
    <w:rsid w:val="001A149F"/>
    <w:rsid w:val="001A6196"/>
    <w:rsid w:val="001A75F1"/>
    <w:rsid w:val="001B28DC"/>
    <w:rsid w:val="001B36CF"/>
    <w:rsid w:val="001B3CF6"/>
    <w:rsid w:val="001B71AE"/>
    <w:rsid w:val="001B7AC7"/>
    <w:rsid w:val="001C229C"/>
    <w:rsid w:val="001C422C"/>
    <w:rsid w:val="001C4568"/>
    <w:rsid w:val="001D27E9"/>
    <w:rsid w:val="001D4089"/>
    <w:rsid w:val="001D4FB2"/>
    <w:rsid w:val="001D5A9F"/>
    <w:rsid w:val="001D6742"/>
    <w:rsid w:val="001D69BE"/>
    <w:rsid w:val="001D69E9"/>
    <w:rsid w:val="001D7DC4"/>
    <w:rsid w:val="001E3578"/>
    <w:rsid w:val="001E6135"/>
    <w:rsid w:val="001F1DB0"/>
    <w:rsid w:val="001F4991"/>
    <w:rsid w:val="001F5273"/>
    <w:rsid w:val="001F60FE"/>
    <w:rsid w:val="001F6B23"/>
    <w:rsid w:val="001F7B6E"/>
    <w:rsid w:val="0020232B"/>
    <w:rsid w:val="00204372"/>
    <w:rsid w:val="002048E7"/>
    <w:rsid w:val="00207E37"/>
    <w:rsid w:val="00210686"/>
    <w:rsid w:val="00210F6C"/>
    <w:rsid w:val="002115E6"/>
    <w:rsid w:val="00211ADE"/>
    <w:rsid w:val="002124F4"/>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3189"/>
    <w:rsid w:val="0025439F"/>
    <w:rsid w:val="002545A4"/>
    <w:rsid w:val="002546CB"/>
    <w:rsid w:val="002548C6"/>
    <w:rsid w:val="002555DE"/>
    <w:rsid w:val="00271740"/>
    <w:rsid w:val="0027710E"/>
    <w:rsid w:val="002863EF"/>
    <w:rsid w:val="00294EC8"/>
    <w:rsid w:val="00295BEF"/>
    <w:rsid w:val="00297E74"/>
    <w:rsid w:val="002A03A5"/>
    <w:rsid w:val="002A3775"/>
    <w:rsid w:val="002A4733"/>
    <w:rsid w:val="002A5567"/>
    <w:rsid w:val="002A5623"/>
    <w:rsid w:val="002A59BD"/>
    <w:rsid w:val="002A69CF"/>
    <w:rsid w:val="002A7D1F"/>
    <w:rsid w:val="002B1738"/>
    <w:rsid w:val="002B1AFD"/>
    <w:rsid w:val="002B2928"/>
    <w:rsid w:val="002C0386"/>
    <w:rsid w:val="002C1DA7"/>
    <w:rsid w:val="002C267D"/>
    <w:rsid w:val="002C2C55"/>
    <w:rsid w:val="002C3C66"/>
    <w:rsid w:val="002D4686"/>
    <w:rsid w:val="002D6B9D"/>
    <w:rsid w:val="002D7B81"/>
    <w:rsid w:val="002E1CE1"/>
    <w:rsid w:val="002E3A69"/>
    <w:rsid w:val="002F4A7B"/>
    <w:rsid w:val="00301586"/>
    <w:rsid w:val="00307F79"/>
    <w:rsid w:val="00310144"/>
    <w:rsid w:val="0031110E"/>
    <w:rsid w:val="00311AB6"/>
    <w:rsid w:val="00314271"/>
    <w:rsid w:val="00314B99"/>
    <w:rsid w:val="00314C98"/>
    <w:rsid w:val="00314E75"/>
    <w:rsid w:val="00323FDD"/>
    <w:rsid w:val="00327C11"/>
    <w:rsid w:val="00330CA3"/>
    <w:rsid w:val="00331CB8"/>
    <w:rsid w:val="00332D45"/>
    <w:rsid w:val="00333E86"/>
    <w:rsid w:val="003376D8"/>
    <w:rsid w:val="00340212"/>
    <w:rsid w:val="00343BDF"/>
    <w:rsid w:val="00345347"/>
    <w:rsid w:val="003455BA"/>
    <w:rsid w:val="003458E7"/>
    <w:rsid w:val="00350C52"/>
    <w:rsid w:val="00350DA3"/>
    <w:rsid w:val="0035373D"/>
    <w:rsid w:val="00354185"/>
    <w:rsid w:val="00354627"/>
    <w:rsid w:val="00355A73"/>
    <w:rsid w:val="00355AD3"/>
    <w:rsid w:val="003566B4"/>
    <w:rsid w:val="00360F06"/>
    <w:rsid w:val="003627B1"/>
    <w:rsid w:val="0036360A"/>
    <w:rsid w:val="00364628"/>
    <w:rsid w:val="003649F0"/>
    <w:rsid w:val="00364D5F"/>
    <w:rsid w:val="00365875"/>
    <w:rsid w:val="003659AD"/>
    <w:rsid w:val="00371470"/>
    <w:rsid w:val="003714C7"/>
    <w:rsid w:val="00371523"/>
    <w:rsid w:val="00371950"/>
    <w:rsid w:val="00371DC6"/>
    <w:rsid w:val="00371E1A"/>
    <w:rsid w:val="003765CD"/>
    <w:rsid w:val="00376F38"/>
    <w:rsid w:val="00385103"/>
    <w:rsid w:val="00386424"/>
    <w:rsid w:val="00386D5A"/>
    <w:rsid w:val="0038749B"/>
    <w:rsid w:val="00393DD6"/>
    <w:rsid w:val="00394D70"/>
    <w:rsid w:val="0039737A"/>
    <w:rsid w:val="003A525E"/>
    <w:rsid w:val="003A7455"/>
    <w:rsid w:val="003B1A03"/>
    <w:rsid w:val="003B21D5"/>
    <w:rsid w:val="003B4A50"/>
    <w:rsid w:val="003B4C4C"/>
    <w:rsid w:val="003B680A"/>
    <w:rsid w:val="003C054E"/>
    <w:rsid w:val="003C1073"/>
    <w:rsid w:val="003C6832"/>
    <w:rsid w:val="003D0EC0"/>
    <w:rsid w:val="003D0F41"/>
    <w:rsid w:val="003D26A8"/>
    <w:rsid w:val="003D3D24"/>
    <w:rsid w:val="003D400C"/>
    <w:rsid w:val="003D45B7"/>
    <w:rsid w:val="003D5245"/>
    <w:rsid w:val="003E23F6"/>
    <w:rsid w:val="003E5274"/>
    <w:rsid w:val="003E62DE"/>
    <w:rsid w:val="003F15BC"/>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37C4C"/>
    <w:rsid w:val="004407DC"/>
    <w:rsid w:val="00441B8D"/>
    <w:rsid w:val="00442583"/>
    <w:rsid w:val="0045415A"/>
    <w:rsid w:val="0045697A"/>
    <w:rsid w:val="00456CDA"/>
    <w:rsid w:val="004572A6"/>
    <w:rsid w:val="00460BD4"/>
    <w:rsid w:val="00461243"/>
    <w:rsid w:val="004634A5"/>
    <w:rsid w:val="00463743"/>
    <w:rsid w:val="004646F7"/>
    <w:rsid w:val="00465AB2"/>
    <w:rsid w:val="00466FB5"/>
    <w:rsid w:val="00470036"/>
    <w:rsid w:val="004707BC"/>
    <w:rsid w:val="004726D4"/>
    <w:rsid w:val="00473F14"/>
    <w:rsid w:val="004742EA"/>
    <w:rsid w:val="004743B6"/>
    <w:rsid w:val="00474B80"/>
    <w:rsid w:val="00476314"/>
    <w:rsid w:val="00476CC9"/>
    <w:rsid w:val="00477101"/>
    <w:rsid w:val="00481F7B"/>
    <w:rsid w:val="00482184"/>
    <w:rsid w:val="00482C30"/>
    <w:rsid w:val="004855BB"/>
    <w:rsid w:val="00490396"/>
    <w:rsid w:val="0049040E"/>
    <w:rsid w:val="004909A0"/>
    <w:rsid w:val="00492379"/>
    <w:rsid w:val="004941E5"/>
    <w:rsid w:val="00494D6F"/>
    <w:rsid w:val="004A08F3"/>
    <w:rsid w:val="004A5CE6"/>
    <w:rsid w:val="004A60E1"/>
    <w:rsid w:val="004B003D"/>
    <w:rsid w:val="004B0E96"/>
    <w:rsid w:val="004B39EB"/>
    <w:rsid w:val="004B4B9D"/>
    <w:rsid w:val="004C0D46"/>
    <w:rsid w:val="004C12DE"/>
    <w:rsid w:val="004C27F4"/>
    <w:rsid w:val="004C5782"/>
    <w:rsid w:val="004C5891"/>
    <w:rsid w:val="004C6027"/>
    <w:rsid w:val="004D04AA"/>
    <w:rsid w:val="004D04B2"/>
    <w:rsid w:val="004D2D4A"/>
    <w:rsid w:val="004D3B44"/>
    <w:rsid w:val="004D6942"/>
    <w:rsid w:val="004E09CA"/>
    <w:rsid w:val="004E391B"/>
    <w:rsid w:val="004E502F"/>
    <w:rsid w:val="004E5F24"/>
    <w:rsid w:val="004E69E8"/>
    <w:rsid w:val="004F103E"/>
    <w:rsid w:val="004F1F94"/>
    <w:rsid w:val="00500BE6"/>
    <w:rsid w:val="0050534D"/>
    <w:rsid w:val="0051194C"/>
    <w:rsid w:val="00513926"/>
    <w:rsid w:val="00515E1E"/>
    <w:rsid w:val="00516D27"/>
    <w:rsid w:val="00517382"/>
    <w:rsid w:val="005205CA"/>
    <w:rsid w:val="00520F76"/>
    <w:rsid w:val="00522191"/>
    <w:rsid w:val="00525881"/>
    <w:rsid w:val="0052614B"/>
    <w:rsid w:val="0052675D"/>
    <w:rsid w:val="00526B7A"/>
    <w:rsid w:val="00530165"/>
    <w:rsid w:val="005302CE"/>
    <w:rsid w:val="00532754"/>
    <w:rsid w:val="00532EC2"/>
    <w:rsid w:val="00536F37"/>
    <w:rsid w:val="00537837"/>
    <w:rsid w:val="005400EA"/>
    <w:rsid w:val="005419BC"/>
    <w:rsid w:val="005428F8"/>
    <w:rsid w:val="00542966"/>
    <w:rsid w:val="00545D20"/>
    <w:rsid w:val="005475C0"/>
    <w:rsid w:val="00547681"/>
    <w:rsid w:val="00551CBC"/>
    <w:rsid w:val="00552FC1"/>
    <w:rsid w:val="00555249"/>
    <w:rsid w:val="0056224B"/>
    <w:rsid w:val="005628C3"/>
    <w:rsid w:val="00566890"/>
    <w:rsid w:val="005707AB"/>
    <w:rsid w:val="00572867"/>
    <w:rsid w:val="00573A16"/>
    <w:rsid w:val="0058140E"/>
    <w:rsid w:val="00581D64"/>
    <w:rsid w:val="00582D7B"/>
    <w:rsid w:val="005855C5"/>
    <w:rsid w:val="0058646E"/>
    <w:rsid w:val="00587446"/>
    <w:rsid w:val="00595290"/>
    <w:rsid w:val="00596353"/>
    <w:rsid w:val="00596B7E"/>
    <w:rsid w:val="005A0101"/>
    <w:rsid w:val="005A6A98"/>
    <w:rsid w:val="005A6EAB"/>
    <w:rsid w:val="005B03D6"/>
    <w:rsid w:val="005B2D9A"/>
    <w:rsid w:val="005B3B6D"/>
    <w:rsid w:val="005B419B"/>
    <w:rsid w:val="005B43D5"/>
    <w:rsid w:val="005B4B9A"/>
    <w:rsid w:val="005B5511"/>
    <w:rsid w:val="005B7DCD"/>
    <w:rsid w:val="005C3158"/>
    <w:rsid w:val="005D0992"/>
    <w:rsid w:val="005D4468"/>
    <w:rsid w:val="005D54FC"/>
    <w:rsid w:val="005D7642"/>
    <w:rsid w:val="005E5A0B"/>
    <w:rsid w:val="005E722D"/>
    <w:rsid w:val="005F0CAA"/>
    <w:rsid w:val="005F1765"/>
    <w:rsid w:val="005F21D9"/>
    <w:rsid w:val="006023B8"/>
    <w:rsid w:val="0060284F"/>
    <w:rsid w:val="006034B6"/>
    <w:rsid w:val="00605813"/>
    <w:rsid w:val="00605CAB"/>
    <w:rsid w:val="00607004"/>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46DC4"/>
    <w:rsid w:val="006501B7"/>
    <w:rsid w:val="00654280"/>
    <w:rsid w:val="006552F7"/>
    <w:rsid w:val="006575EA"/>
    <w:rsid w:val="0066709F"/>
    <w:rsid w:val="006831AE"/>
    <w:rsid w:val="006833BF"/>
    <w:rsid w:val="00690321"/>
    <w:rsid w:val="0069461E"/>
    <w:rsid w:val="00695073"/>
    <w:rsid w:val="006A21A5"/>
    <w:rsid w:val="006A30C4"/>
    <w:rsid w:val="006A356D"/>
    <w:rsid w:val="006A64E7"/>
    <w:rsid w:val="006B002A"/>
    <w:rsid w:val="006B0776"/>
    <w:rsid w:val="006B19DB"/>
    <w:rsid w:val="006B3D13"/>
    <w:rsid w:val="006B455C"/>
    <w:rsid w:val="006B605D"/>
    <w:rsid w:val="006B7698"/>
    <w:rsid w:val="006C05D0"/>
    <w:rsid w:val="006C0A11"/>
    <w:rsid w:val="006C1229"/>
    <w:rsid w:val="006C12B1"/>
    <w:rsid w:val="006C360A"/>
    <w:rsid w:val="006D0C05"/>
    <w:rsid w:val="006D19A1"/>
    <w:rsid w:val="006D34E1"/>
    <w:rsid w:val="006D7D4A"/>
    <w:rsid w:val="006E03DB"/>
    <w:rsid w:val="006E0735"/>
    <w:rsid w:val="006E32F6"/>
    <w:rsid w:val="006E3A88"/>
    <w:rsid w:val="006E3FC6"/>
    <w:rsid w:val="006E79AA"/>
    <w:rsid w:val="006F0771"/>
    <w:rsid w:val="006F1AB6"/>
    <w:rsid w:val="006F56AA"/>
    <w:rsid w:val="006F5C85"/>
    <w:rsid w:val="006F7D09"/>
    <w:rsid w:val="00700C9F"/>
    <w:rsid w:val="00703666"/>
    <w:rsid w:val="0070521D"/>
    <w:rsid w:val="0070603B"/>
    <w:rsid w:val="00706F00"/>
    <w:rsid w:val="00712A97"/>
    <w:rsid w:val="00713E0D"/>
    <w:rsid w:val="00720153"/>
    <w:rsid w:val="00724967"/>
    <w:rsid w:val="00731530"/>
    <w:rsid w:val="0073196A"/>
    <w:rsid w:val="00736DB7"/>
    <w:rsid w:val="0074419C"/>
    <w:rsid w:val="007445E4"/>
    <w:rsid w:val="007501B1"/>
    <w:rsid w:val="0075176D"/>
    <w:rsid w:val="0075179B"/>
    <w:rsid w:val="007553B7"/>
    <w:rsid w:val="00755BFC"/>
    <w:rsid w:val="00756C22"/>
    <w:rsid w:val="007572CE"/>
    <w:rsid w:val="00757465"/>
    <w:rsid w:val="00761932"/>
    <w:rsid w:val="00762067"/>
    <w:rsid w:val="00762918"/>
    <w:rsid w:val="00762969"/>
    <w:rsid w:val="0076329D"/>
    <w:rsid w:val="00763A20"/>
    <w:rsid w:val="007645E2"/>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2057"/>
    <w:rsid w:val="007A442B"/>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0B84"/>
    <w:rsid w:val="007E4470"/>
    <w:rsid w:val="007E6321"/>
    <w:rsid w:val="007E6726"/>
    <w:rsid w:val="007F0790"/>
    <w:rsid w:val="007F10F3"/>
    <w:rsid w:val="007F23CE"/>
    <w:rsid w:val="007F3D47"/>
    <w:rsid w:val="007F458D"/>
    <w:rsid w:val="007F5FDB"/>
    <w:rsid w:val="007F658A"/>
    <w:rsid w:val="007F78D8"/>
    <w:rsid w:val="008026D2"/>
    <w:rsid w:val="008049A2"/>
    <w:rsid w:val="008061DA"/>
    <w:rsid w:val="00807DD2"/>
    <w:rsid w:val="0081131C"/>
    <w:rsid w:val="00821BA6"/>
    <w:rsid w:val="00824BAA"/>
    <w:rsid w:val="00824DF7"/>
    <w:rsid w:val="00827A50"/>
    <w:rsid w:val="00830CE5"/>
    <w:rsid w:val="008323D0"/>
    <w:rsid w:val="00832DC1"/>
    <w:rsid w:val="00837738"/>
    <w:rsid w:val="0084462A"/>
    <w:rsid w:val="00845932"/>
    <w:rsid w:val="008525BF"/>
    <w:rsid w:val="00854345"/>
    <w:rsid w:val="00855DA8"/>
    <w:rsid w:val="008569F5"/>
    <w:rsid w:val="00860695"/>
    <w:rsid w:val="00860D26"/>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5212"/>
    <w:rsid w:val="008A7265"/>
    <w:rsid w:val="008B23E9"/>
    <w:rsid w:val="008B3039"/>
    <w:rsid w:val="008C0559"/>
    <w:rsid w:val="008C1207"/>
    <w:rsid w:val="008C3763"/>
    <w:rsid w:val="008C38CE"/>
    <w:rsid w:val="008D038F"/>
    <w:rsid w:val="008D0BA9"/>
    <w:rsid w:val="008D2392"/>
    <w:rsid w:val="008D5BB0"/>
    <w:rsid w:val="008D7117"/>
    <w:rsid w:val="008E1DC7"/>
    <w:rsid w:val="008E5AC0"/>
    <w:rsid w:val="008E6244"/>
    <w:rsid w:val="008F2A38"/>
    <w:rsid w:val="008F3E64"/>
    <w:rsid w:val="008F5DAC"/>
    <w:rsid w:val="008F7654"/>
    <w:rsid w:val="0090113E"/>
    <w:rsid w:val="0090131A"/>
    <w:rsid w:val="00902884"/>
    <w:rsid w:val="00903EAE"/>
    <w:rsid w:val="009069DD"/>
    <w:rsid w:val="0091589D"/>
    <w:rsid w:val="0091635E"/>
    <w:rsid w:val="00921830"/>
    <w:rsid w:val="00922423"/>
    <w:rsid w:val="009312EE"/>
    <w:rsid w:val="00931A46"/>
    <w:rsid w:val="009329EC"/>
    <w:rsid w:val="00933A8C"/>
    <w:rsid w:val="009342C0"/>
    <w:rsid w:val="00935542"/>
    <w:rsid w:val="00944373"/>
    <w:rsid w:val="00944463"/>
    <w:rsid w:val="0094548B"/>
    <w:rsid w:val="00945A49"/>
    <w:rsid w:val="00947358"/>
    <w:rsid w:val="00951504"/>
    <w:rsid w:val="00955AC5"/>
    <w:rsid w:val="00956834"/>
    <w:rsid w:val="0096299F"/>
    <w:rsid w:val="00962C99"/>
    <w:rsid w:val="00966B8B"/>
    <w:rsid w:val="00971B1A"/>
    <w:rsid w:val="00972562"/>
    <w:rsid w:val="0097383F"/>
    <w:rsid w:val="009762B5"/>
    <w:rsid w:val="00981A37"/>
    <w:rsid w:val="00981DD0"/>
    <w:rsid w:val="009910F8"/>
    <w:rsid w:val="009912B8"/>
    <w:rsid w:val="00993121"/>
    <w:rsid w:val="0099370B"/>
    <w:rsid w:val="00993BA5"/>
    <w:rsid w:val="009A2C87"/>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D783E"/>
    <w:rsid w:val="009E0273"/>
    <w:rsid w:val="009E1CE4"/>
    <w:rsid w:val="009E2103"/>
    <w:rsid w:val="009E21DC"/>
    <w:rsid w:val="009E4A26"/>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2FD2"/>
    <w:rsid w:val="00A23E15"/>
    <w:rsid w:val="00A255CB"/>
    <w:rsid w:val="00A27062"/>
    <w:rsid w:val="00A271E9"/>
    <w:rsid w:val="00A3089F"/>
    <w:rsid w:val="00A30A6C"/>
    <w:rsid w:val="00A36699"/>
    <w:rsid w:val="00A4489E"/>
    <w:rsid w:val="00A45774"/>
    <w:rsid w:val="00A47EC0"/>
    <w:rsid w:val="00A537CF"/>
    <w:rsid w:val="00A5494C"/>
    <w:rsid w:val="00A55ECC"/>
    <w:rsid w:val="00A57A39"/>
    <w:rsid w:val="00A60570"/>
    <w:rsid w:val="00A608B1"/>
    <w:rsid w:val="00A641DF"/>
    <w:rsid w:val="00A65BF5"/>
    <w:rsid w:val="00A7187B"/>
    <w:rsid w:val="00A728DB"/>
    <w:rsid w:val="00A73C0C"/>
    <w:rsid w:val="00A75DB7"/>
    <w:rsid w:val="00A8134F"/>
    <w:rsid w:val="00A81BDC"/>
    <w:rsid w:val="00A82727"/>
    <w:rsid w:val="00A8454A"/>
    <w:rsid w:val="00A84B88"/>
    <w:rsid w:val="00A8653F"/>
    <w:rsid w:val="00A94CD2"/>
    <w:rsid w:val="00A968CE"/>
    <w:rsid w:val="00A97CCB"/>
    <w:rsid w:val="00AA04C3"/>
    <w:rsid w:val="00AA0714"/>
    <w:rsid w:val="00AA07D1"/>
    <w:rsid w:val="00AA3FC6"/>
    <w:rsid w:val="00AA548A"/>
    <w:rsid w:val="00AA6273"/>
    <w:rsid w:val="00AA632B"/>
    <w:rsid w:val="00AA6BD4"/>
    <w:rsid w:val="00AA7082"/>
    <w:rsid w:val="00AB1281"/>
    <w:rsid w:val="00AB22EA"/>
    <w:rsid w:val="00AB3949"/>
    <w:rsid w:val="00AB3EA7"/>
    <w:rsid w:val="00AB4AB1"/>
    <w:rsid w:val="00AB4ECF"/>
    <w:rsid w:val="00AB5CE5"/>
    <w:rsid w:val="00AC0479"/>
    <w:rsid w:val="00AC57FB"/>
    <w:rsid w:val="00AC5873"/>
    <w:rsid w:val="00AC6677"/>
    <w:rsid w:val="00AC7B3D"/>
    <w:rsid w:val="00AD2225"/>
    <w:rsid w:val="00AD5CC0"/>
    <w:rsid w:val="00AD5EAB"/>
    <w:rsid w:val="00AD5EAF"/>
    <w:rsid w:val="00AE0623"/>
    <w:rsid w:val="00AE0B75"/>
    <w:rsid w:val="00AE2154"/>
    <w:rsid w:val="00AE4D35"/>
    <w:rsid w:val="00AF2DB3"/>
    <w:rsid w:val="00AF35EB"/>
    <w:rsid w:val="00AF42F0"/>
    <w:rsid w:val="00AF59CB"/>
    <w:rsid w:val="00AF5B58"/>
    <w:rsid w:val="00B0128A"/>
    <w:rsid w:val="00B01BD5"/>
    <w:rsid w:val="00B02AB8"/>
    <w:rsid w:val="00B03943"/>
    <w:rsid w:val="00B11074"/>
    <w:rsid w:val="00B122EF"/>
    <w:rsid w:val="00B142D1"/>
    <w:rsid w:val="00B14E33"/>
    <w:rsid w:val="00B1670C"/>
    <w:rsid w:val="00B16B84"/>
    <w:rsid w:val="00B17B7E"/>
    <w:rsid w:val="00B17C40"/>
    <w:rsid w:val="00B21D03"/>
    <w:rsid w:val="00B23100"/>
    <w:rsid w:val="00B2607C"/>
    <w:rsid w:val="00B407CC"/>
    <w:rsid w:val="00B5270D"/>
    <w:rsid w:val="00B54359"/>
    <w:rsid w:val="00B54F76"/>
    <w:rsid w:val="00B555A0"/>
    <w:rsid w:val="00B60FD0"/>
    <w:rsid w:val="00B621B6"/>
    <w:rsid w:val="00B62E9F"/>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1FAD"/>
    <w:rsid w:val="00BB2188"/>
    <w:rsid w:val="00BC0077"/>
    <w:rsid w:val="00BC590E"/>
    <w:rsid w:val="00BD047B"/>
    <w:rsid w:val="00BD2B44"/>
    <w:rsid w:val="00BD2C00"/>
    <w:rsid w:val="00BE1391"/>
    <w:rsid w:val="00BE50E5"/>
    <w:rsid w:val="00BE71B8"/>
    <w:rsid w:val="00BE7723"/>
    <w:rsid w:val="00BE7835"/>
    <w:rsid w:val="00BE7D5F"/>
    <w:rsid w:val="00BF25BF"/>
    <w:rsid w:val="00BF59C3"/>
    <w:rsid w:val="00BF618D"/>
    <w:rsid w:val="00BF79D3"/>
    <w:rsid w:val="00BF7C7C"/>
    <w:rsid w:val="00C02729"/>
    <w:rsid w:val="00C03D88"/>
    <w:rsid w:val="00C03F77"/>
    <w:rsid w:val="00C04FF1"/>
    <w:rsid w:val="00C1093F"/>
    <w:rsid w:val="00C12329"/>
    <w:rsid w:val="00C13018"/>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556F6"/>
    <w:rsid w:val="00C613A4"/>
    <w:rsid w:val="00C63A22"/>
    <w:rsid w:val="00C666F3"/>
    <w:rsid w:val="00C67A86"/>
    <w:rsid w:val="00C75F63"/>
    <w:rsid w:val="00C7642D"/>
    <w:rsid w:val="00C80B4A"/>
    <w:rsid w:val="00C81F73"/>
    <w:rsid w:val="00C83BA4"/>
    <w:rsid w:val="00C8698C"/>
    <w:rsid w:val="00C90E10"/>
    <w:rsid w:val="00C914DE"/>
    <w:rsid w:val="00C92230"/>
    <w:rsid w:val="00C92294"/>
    <w:rsid w:val="00C93068"/>
    <w:rsid w:val="00C93DBA"/>
    <w:rsid w:val="00C942AF"/>
    <w:rsid w:val="00C973DA"/>
    <w:rsid w:val="00CA3105"/>
    <w:rsid w:val="00CA4134"/>
    <w:rsid w:val="00CA44FC"/>
    <w:rsid w:val="00CA7A00"/>
    <w:rsid w:val="00CB182A"/>
    <w:rsid w:val="00CB5202"/>
    <w:rsid w:val="00CB556E"/>
    <w:rsid w:val="00CB6136"/>
    <w:rsid w:val="00CB634F"/>
    <w:rsid w:val="00CB7F80"/>
    <w:rsid w:val="00CC1325"/>
    <w:rsid w:val="00CC1B04"/>
    <w:rsid w:val="00CD0F3D"/>
    <w:rsid w:val="00CD3BEC"/>
    <w:rsid w:val="00CD41B4"/>
    <w:rsid w:val="00CD472A"/>
    <w:rsid w:val="00CD5754"/>
    <w:rsid w:val="00CD6756"/>
    <w:rsid w:val="00CE0218"/>
    <w:rsid w:val="00CE2985"/>
    <w:rsid w:val="00CF094D"/>
    <w:rsid w:val="00CF1679"/>
    <w:rsid w:val="00CF26C4"/>
    <w:rsid w:val="00CF2EF4"/>
    <w:rsid w:val="00CF3458"/>
    <w:rsid w:val="00CF4BD8"/>
    <w:rsid w:val="00CF650C"/>
    <w:rsid w:val="00CF76E8"/>
    <w:rsid w:val="00CF7CE4"/>
    <w:rsid w:val="00D00D00"/>
    <w:rsid w:val="00D01D91"/>
    <w:rsid w:val="00D01EDD"/>
    <w:rsid w:val="00D10554"/>
    <w:rsid w:val="00D10561"/>
    <w:rsid w:val="00D1271C"/>
    <w:rsid w:val="00D1311C"/>
    <w:rsid w:val="00D14B39"/>
    <w:rsid w:val="00D15DC7"/>
    <w:rsid w:val="00D2734D"/>
    <w:rsid w:val="00D31121"/>
    <w:rsid w:val="00D338E5"/>
    <w:rsid w:val="00D40FB2"/>
    <w:rsid w:val="00D426E7"/>
    <w:rsid w:val="00D44B5C"/>
    <w:rsid w:val="00D4588E"/>
    <w:rsid w:val="00D4597F"/>
    <w:rsid w:val="00D463E8"/>
    <w:rsid w:val="00D46D7A"/>
    <w:rsid w:val="00D47F5D"/>
    <w:rsid w:val="00D51F46"/>
    <w:rsid w:val="00D5261B"/>
    <w:rsid w:val="00D52970"/>
    <w:rsid w:val="00D54990"/>
    <w:rsid w:val="00D54F29"/>
    <w:rsid w:val="00D61191"/>
    <w:rsid w:val="00D63C57"/>
    <w:rsid w:val="00D65C30"/>
    <w:rsid w:val="00D6670A"/>
    <w:rsid w:val="00D71F16"/>
    <w:rsid w:val="00D73CD8"/>
    <w:rsid w:val="00D81604"/>
    <w:rsid w:val="00D867FC"/>
    <w:rsid w:val="00D90F1C"/>
    <w:rsid w:val="00D911AF"/>
    <w:rsid w:val="00D91A6D"/>
    <w:rsid w:val="00D91D80"/>
    <w:rsid w:val="00D94CCC"/>
    <w:rsid w:val="00D95631"/>
    <w:rsid w:val="00D9777E"/>
    <w:rsid w:val="00D97E0B"/>
    <w:rsid w:val="00D97F9A"/>
    <w:rsid w:val="00DA0588"/>
    <w:rsid w:val="00DA0975"/>
    <w:rsid w:val="00DA0CD2"/>
    <w:rsid w:val="00DA3638"/>
    <w:rsid w:val="00DA4644"/>
    <w:rsid w:val="00DA73FE"/>
    <w:rsid w:val="00DB3E79"/>
    <w:rsid w:val="00DB70C4"/>
    <w:rsid w:val="00DB7968"/>
    <w:rsid w:val="00DB7D4C"/>
    <w:rsid w:val="00DC21C5"/>
    <w:rsid w:val="00DC332A"/>
    <w:rsid w:val="00DC3F21"/>
    <w:rsid w:val="00DC3F78"/>
    <w:rsid w:val="00DC41DE"/>
    <w:rsid w:val="00DD12BE"/>
    <w:rsid w:val="00DD2AC4"/>
    <w:rsid w:val="00DD3F35"/>
    <w:rsid w:val="00DE2A7B"/>
    <w:rsid w:val="00DE64A9"/>
    <w:rsid w:val="00DF40ED"/>
    <w:rsid w:val="00E01152"/>
    <w:rsid w:val="00E01CEC"/>
    <w:rsid w:val="00E0391A"/>
    <w:rsid w:val="00E03A9E"/>
    <w:rsid w:val="00E04B58"/>
    <w:rsid w:val="00E07172"/>
    <w:rsid w:val="00E120D0"/>
    <w:rsid w:val="00E229A3"/>
    <w:rsid w:val="00E26BA3"/>
    <w:rsid w:val="00E33ABF"/>
    <w:rsid w:val="00E50EEB"/>
    <w:rsid w:val="00E50F81"/>
    <w:rsid w:val="00E51BC9"/>
    <w:rsid w:val="00E55AAB"/>
    <w:rsid w:val="00E564E8"/>
    <w:rsid w:val="00E65FE2"/>
    <w:rsid w:val="00E71056"/>
    <w:rsid w:val="00E718BD"/>
    <w:rsid w:val="00E722AF"/>
    <w:rsid w:val="00E73D2A"/>
    <w:rsid w:val="00E747D1"/>
    <w:rsid w:val="00E80CEE"/>
    <w:rsid w:val="00E82C12"/>
    <w:rsid w:val="00E84A38"/>
    <w:rsid w:val="00E95529"/>
    <w:rsid w:val="00E971FC"/>
    <w:rsid w:val="00E97AE9"/>
    <w:rsid w:val="00EA01AC"/>
    <w:rsid w:val="00EA0B33"/>
    <w:rsid w:val="00EA100C"/>
    <w:rsid w:val="00EA5777"/>
    <w:rsid w:val="00EA73B3"/>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E3CE1"/>
    <w:rsid w:val="00EE7470"/>
    <w:rsid w:val="00EF0350"/>
    <w:rsid w:val="00EF038F"/>
    <w:rsid w:val="00EF0F77"/>
    <w:rsid w:val="00F001E1"/>
    <w:rsid w:val="00F00E4D"/>
    <w:rsid w:val="00F07436"/>
    <w:rsid w:val="00F078AC"/>
    <w:rsid w:val="00F10A2B"/>
    <w:rsid w:val="00F10AF7"/>
    <w:rsid w:val="00F12497"/>
    <w:rsid w:val="00F168F6"/>
    <w:rsid w:val="00F21E75"/>
    <w:rsid w:val="00F266D3"/>
    <w:rsid w:val="00F26C6C"/>
    <w:rsid w:val="00F26E96"/>
    <w:rsid w:val="00F2739F"/>
    <w:rsid w:val="00F30797"/>
    <w:rsid w:val="00F35A52"/>
    <w:rsid w:val="00F405C4"/>
    <w:rsid w:val="00F41CD5"/>
    <w:rsid w:val="00F42927"/>
    <w:rsid w:val="00F43570"/>
    <w:rsid w:val="00F45A80"/>
    <w:rsid w:val="00F4720B"/>
    <w:rsid w:val="00F53BD0"/>
    <w:rsid w:val="00F54766"/>
    <w:rsid w:val="00F61ACD"/>
    <w:rsid w:val="00F65356"/>
    <w:rsid w:val="00F65883"/>
    <w:rsid w:val="00F775A7"/>
    <w:rsid w:val="00F81AB7"/>
    <w:rsid w:val="00F83718"/>
    <w:rsid w:val="00F84042"/>
    <w:rsid w:val="00F85133"/>
    <w:rsid w:val="00F9092C"/>
    <w:rsid w:val="00F93BC7"/>
    <w:rsid w:val="00F94421"/>
    <w:rsid w:val="00F946ED"/>
    <w:rsid w:val="00F965BC"/>
    <w:rsid w:val="00F96F7E"/>
    <w:rsid w:val="00FA2A4F"/>
    <w:rsid w:val="00FA2CCF"/>
    <w:rsid w:val="00FA363B"/>
    <w:rsid w:val="00FA3740"/>
    <w:rsid w:val="00FA3A1B"/>
    <w:rsid w:val="00FA6863"/>
    <w:rsid w:val="00FB0857"/>
    <w:rsid w:val="00FB13A9"/>
    <w:rsid w:val="00FB265C"/>
    <w:rsid w:val="00FB556D"/>
    <w:rsid w:val="00FC033B"/>
    <w:rsid w:val="00FC0B4D"/>
    <w:rsid w:val="00FC0B62"/>
    <w:rsid w:val="00FC1D3C"/>
    <w:rsid w:val="00FC2011"/>
    <w:rsid w:val="00FC2B90"/>
    <w:rsid w:val="00FC4A2E"/>
    <w:rsid w:val="00FC5EDA"/>
    <w:rsid w:val="00FC6726"/>
    <w:rsid w:val="00FD4385"/>
    <w:rsid w:val="00FD5FBD"/>
    <w:rsid w:val="00FE2CB7"/>
    <w:rsid w:val="00FE46F3"/>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52C90"/>
  <w15:docId w15:val="{1C4C7E2C-1935-4E0F-B560-07572FB6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073"/>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basedOn w:val="DefaultParagraphFont"/>
    <w:link w:val="Heading1"/>
    <w:rsid w:val="00BD2B44"/>
    <w:rPr>
      <w:rFonts w:ascii="Arial" w:hAnsi="Arial"/>
      <w:sz w:val="18"/>
      <w:szCs w:val="18"/>
      <w:lang w:val="en-AU" w:eastAsia="en-AU" w:bidi="ar-SA"/>
    </w:rPr>
  </w:style>
  <w:style w:type="character" w:customStyle="1" w:styleId="Heading2Char">
    <w:name w:val="Heading 2 Char"/>
    <w:basedOn w:val="Heading1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364D5F"/>
    <w:pPr>
      <w:pBdr>
        <w:bottom w:val="single" w:sz="4" w:space="1" w:color="auto"/>
      </w:pBdr>
      <w:spacing w:before="360" w:after="120"/>
    </w:pPr>
    <w:rPr>
      <w:rFonts w:cs="Times New Roman"/>
      <w:b/>
      <w:bCs/>
    </w:rPr>
  </w:style>
  <w:style w:type="numbering" w:customStyle="1" w:styleId="Text">
    <w:name w:val="Text"/>
    <w:rsid w:val="00545D20"/>
    <w:pPr>
      <w:numPr>
        <w:numId w:val="18"/>
      </w:numPr>
    </w:pPr>
  </w:style>
  <w:style w:type="character" w:styleId="Hyperlink">
    <w:name w:val="Hyperlink"/>
    <w:basedOn w:val="DefaultParagraphFont"/>
    <w:rsid w:val="00545D20"/>
    <w:rPr>
      <w:color w:val="0000FF"/>
      <w:u w:val="single"/>
    </w:rPr>
  </w:style>
  <w:style w:type="paragraph" w:styleId="BlockText">
    <w:name w:val="Block Text"/>
    <w:basedOn w:val="ListNumber"/>
    <w:rsid w:val="00F65356"/>
    <w:pPr>
      <w:numPr>
        <w:numId w:val="3"/>
      </w:numPr>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9E4A26"/>
    <w:pPr>
      <w:spacing w:before="360" w:line="300" w:lineRule="exact"/>
    </w:pPr>
    <w:rPr>
      <w:rFonts w:cs="Times New Roman"/>
      <w:sz w:val="28"/>
      <w:szCs w:val="28"/>
    </w:rPr>
  </w:style>
  <w:style w:type="paragraph" w:styleId="FootnoteText">
    <w:name w:val="footnote text"/>
    <w:basedOn w:val="Normal"/>
    <w:link w:val="FootnoteTextChar"/>
    <w:rsid w:val="009E4A26"/>
    <w:rPr>
      <w:rFonts w:ascii="Times New Roman" w:hAnsi="Times New Roman" w:cs="Times New Roman"/>
      <w:sz w:val="20"/>
    </w:rPr>
  </w:style>
  <w:style w:type="character" w:customStyle="1" w:styleId="FootnoteTextChar">
    <w:name w:val="Footnote Text Char"/>
    <w:basedOn w:val="DefaultParagraphFont"/>
    <w:link w:val="FootnoteText"/>
    <w:rsid w:val="009E4A26"/>
  </w:style>
  <w:style w:type="character" w:styleId="FootnoteReference">
    <w:name w:val="footnote reference"/>
    <w:rsid w:val="009E4A26"/>
    <w:rPr>
      <w:rFonts w:cs="Times New Roman"/>
      <w:vertAlign w:val="superscript"/>
    </w:rPr>
  </w:style>
  <w:style w:type="paragraph" w:styleId="ListParagraph">
    <w:name w:val="List Paragraph"/>
    <w:basedOn w:val="Normal"/>
    <w:uiPriority w:val="34"/>
    <w:qFormat/>
    <w:rsid w:val="00E73D2A"/>
    <w:pPr>
      <w:ind w:left="720"/>
      <w:contextualSpacing/>
    </w:pPr>
  </w:style>
  <w:style w:type="character" w:styleId="CommentReference">
    <w:name w:val="annotation reference"/>
    <w:basedOn w:val="DefaultParagraphFont"/>
    <w:rsid w:val="001D69BE"/>
    <w:rPr>
      <w:sz w:val="16"/>
      <w:szCs w:val="16"/>
    </w:rPr>
  </w:style>
  <w:style w:type="paragraph" w:styleId="CommentText">
    <w:name w:val="annotation text"/>
    <w:basedOn w:val="Normal"/>
    <w:link w:val="CommentTextChar"/>
    <w:rsid w:val="001D69BE"/>
    <w:rPr>
      <w:sz w:val="20"/>
    </w:rPr>
  </w:style>
  <w:style w:type="character" w:customStyle="1" w:styleId="CommentTextChar">
    <w:name w:val="Comment Text Char"/>
    <w:basedOn w:val="DefaultParagraphFont"/>
    <w:link w:val="CommentText"/>
    <w:rsid w:val="001D69BE"/>
    <w:rPr>
      <w:rFonts w:ascii="Arial" w:hAnsi="Arial" w:cs="Arial"/>
    </w:rPr>
  </w:style>
  <w:style w:type="paragraph" w:styleId="CommentSubject">
    <w:name w:val="annotation subject"/>
    <w:basedOn w:val="CommentText"/>
    <w:next w:val="CommentText"/>
    <w:link w:val="CommentSubjectChar"/>
    <w:rsid w:val="001D69BE"/>
    <w:rPr>
      <w:b/>
      <w:bCs/>
    </w:rPr>
  </w:style>
  <w:style w:type="character" w:customStyle="1" w:styleId="CommentSubjectChar">
    <w:name w:val="Comment Subject Char"/>
    <w:basedOn w:val="CommentTextChar"/>
    <w:link w:val="CommentSubject"/>
    <w:rsid w:val="001D69BE"/>
    <w:rPr>
      <w:rFonts w:ascii="Arial" w:hAnsi="Arial" w:cs="Arial"/>
      <w:b/>
      <w:bCs/>
    </w:rPr>
  </w:style>
  <w:style w:type="character" w:styleId="FollowedHyperlink">
    <w:name w:val="FollowedHyperlink"/>
    <w:basedOn w:val="DefaultParagraphFont"/>
    <w:rsid w:val="00F61A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82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nt.gov.au/PMS/Publications/TaxesRoyaltiesGrants/StampDuty/CG-SD-002.pdf" TargetMode="External"/><Relationship Id="rId18" Type="http://schemas.openxmlformats.org/officeDocument/2006/relationships/hyperlink" Target="http://www.nt.gov.au/ntt/revenue/pdf/CG-GEN-001.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ntrevenue@nt.gov.au" TargetMode="External"/><Relationship Id="rId7" Type="http://schemas.openxmlformats.org/officeDocument/2006/relationships/settings" Target="settings.xml"/><Relationship Id="rId12" Type="http://schemas.openxmlformats.org/officeDocument/2006/relationships/hyperlink" Target="http://www.treasury.nt.gov.au/PMS/Publications/TaxesRoyaltiesGrants/StampDuty/CG-SD-005.pdf" TargetMode="External"/><Relationship Id="rId17" Type="http://schemas.openxmlformats.org/officeDocument/2006/relationships/hyperlink" Target="http://www.treasury.nt.gov.au/PMS/Publications/TaxesRoyaltiesGrants/StampDuty/F-SD-01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reasury.nt.gov.au/PMS/Publications/TaxesRoyaltiesGrants/StampDuty/CG-SD-014.pdf"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PMS/Publications/TaxesRoyaltiesGrants/StampDuty/CG-SD-001.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treasury.nt.gov.au/PMS/Publications/TaxesRoyaltiesGrants/StampDuty/CG-SD-014.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t.gov.au/ntt/revenue/pdf/CG-GEN-0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nt.gov.au/PMS/Publications/TaxesRoyaltiesGrants/StampDuty/CG-SD-005.pdf" TargetMode="External"/><Relationship Id="rId22" Type="http://schemas.openxmlformats.org/officeDocument/2006/relationships/hyperlink" Target="http://www.revenue.nt.gov.au" TargetMode="External"/><Relationship Id="rId27"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Cancelled and rescinded conveyances</Publication_x0020_Title>
    <Details xmlns="378e824e-6e02-4c0d-8321-dd86fba681ee" xsi:nil="true"/>
    <Identifier xmlns="378e824e-6e02-4c0d-8321-dd86fba681ee">CG-SD-017</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AEA7-E4D6-4092-9D07-9E765A574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C78E7-D5E1-48E0-BB9A-42C093AA428D}">
  <ds:schemaRefs>
    <ds:schemaRef ds:uri="http://schemas.microsoft.com/sharepoint/v3/contenttype/forms"/>
  </ds:schemaRefs>
</ds:datastoreItem>
</file>

<file path=customXml/itemProps3.xml><?xml version="1.0" encoding="utf-8"?>
<ds:datastoreItem xmlns:ds="http://schemas.openxmlformats.org/officeDocument/2006/customXml" ds:itemID="{381CB53E-8FDE-43F9-B520-037DFD529DC9}">
  <ds:schemaRefs>
    <ds:schemaRef ds:uri="http://schemas.microsoft.com/office/2006/metadata/properties"/>
    <ds:schemaRef ds:uri="http://schemas.microsoft.com/office/infopath/2007/PartnerControls"/>
    <ds:schemaRef ds:uri="378e824e-6e02-4c0d-8321-dd86fba681ee"/>
  </ds:schemaRefs>
</ds:datastoreItem>
</file>

<file path=customXml/itemProps4.xml><?xml version="1.0" encoding="utf-8"?>
<ds:datastoreItem xmlns:ds="http://schemas.openxmlformats.org/officeDocument/2006/customXml" ds:itemID="{48014CFC-9E53-494E-9CB5-8CDB4EE8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3249</Words>
  <Characters>18521</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21727</CharactersWithSpaces>
  <SharedDoc>false</SharedDoc>
  <HLinks>
    <vt:vector size="24" baseType="variant">
      <vt:variant>
        <vt:i4>5242895</vt:i4>
      </vt:variant>
      <vt:variant>
        <vt:i4>9</vt:i4>
      </vt:variant>
      <vt:variant>
        <vt:i4>0</vt:i4>
      </vt:variant>
      <vt:variant>
        <vt:i4>5</vt:i4>
      </vt:variant>
      <vt:variant>
        <vt:lpwstr>http://www.revenue.nt.gov.au/</vt:lpwstr>
      </vt:variant>
      <vt:variant>
        <vt:lpwstr/>
      </vt:variant>
      <vt:variant>
        <vt:i4>7143509</vt:i4>
      </vt:variant>
      <vt:variant>
        <vt:i4>6</vt:i4>
      </vt:variant>
      <vt:variant>
        <vt:i4>0</vt:i4>
      </vt:variant>
      <vt:variant>
        <vt:i4>5</vt:i4>
      </vt:variant>
      <vt:variant>
        <vt:lpwstr>mailto:ntrevenue.ntt@nt.gov.au</vt:lpwstr>
      </vt:variant>
      <vt:variant>
        <vt:lpwstr/>
      </vt:variant>
      <vt:variant>
        <vt:i4>2097198</vt:i4>
      </vt:variant>
      <vt:variant>
        <vt:i4>3</vt:i4>
      </vt:variant>
      <vt:variant>
        <vt:i4>0</vt:i4>
      </vt:variant>
      <vt:variant>
        <vt:i4>5</vt:i4>
      </vt:variant>
      <vt:variant>
        <vt:lpwstr>http://www.nt.gov.au/ntt/revenue/pdf/CG-GEN-001.pdf</vt:lpwstr>
      </vt:variant>
      <vt:variant>
        <vt:lpwstr/>
      </vt:variant>
      <vt:variant>
        <vt:i4>2097198</vt:i4>
      </vt:variant>
      <vt:variant>
        <vt:i4>0</vt:i4>
      </vt:variant>
      <vt:variant>
        <vt:i4>0</vt:i4>
      </vt:variant>
      <vt:variant>
        <vt:i4>5</vt:i4>
      </vt:variant>
      <vt:variant>
        <vt:lpwstr>http://www.nt.gov.au/ntt/revenue/pdf/CG-GEN-001.pdf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Cancelled and rescinded conveyances</dc:title>
  <dc:creator>ramo</dc:creator>
  <cp:lastModifiedBy>Jessica Symonds</cp:lastModifiedBy>
  <cp:revision>4</cp:revision>
  <cp:lastPrinted>2014-06-18T01:36:00Z</cp:lastPrinted>
  <dcterms:created xsi:type="dcterms:W3CDTF">2016-01-15T01:26:00Z</dcterms:created>
  <dcterms:modified xsi:type="dcterms:W3CDTF">2021-09-13T02:13:00Z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