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E6A" w:rsidRPr="00C27A0A" w:rsidRDefault="00C04E6A" w:rsidP="00C04E6A">
      <w:pPr>
        <w:pStyle w:val="HeadingOne"/>
      </w:pPr>
      <w:r>
        <w:t xml:space="preserve">COMMISSIONER’S GUIDELINE </w:t>
      </w:r>
    </w:p>
    <w:p w:rsidR="00C04E6A" w:rsidRPr="00C27A0A" w:rsidRDefault="00C04E6A" w:rsidP="00C04E6A">
      <w:pPr>
        <w:pStyle w:val="HeadingOne"/>
      </w:pPr>
      <w:r>
        <w:t>CG</w:t>
      </w:r>
      <w:r w:rsidRPr="00C27A0A">
        <w:t>-</w:t>
      </w:r>
      <w:r>
        <w:t>SD-0</w:t>
      </w:r>
      <w:r w:rsidR="003A6A17">
        <w:t>16</w:t>
      </w:r>
      <w:r>
        <w:t>:</w:t>
      </w:r>
      <w:r w:rsidRPr="00C27A0A">
        <w:t xml:space="preserve"> </w:t>
      </w:r>
      <w:r>
        <w:t>Farm-in agreements</w:t>
      </w:r>
    </w:p>
    <w:p w:rsidR="00C04E6A" w:rsidRDefault="00C04E6A" w:rsidP="00C04E6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10"/>
        <w:gridCol w:w="1710"/>
      </w:tblGrid>
      <w:tr w:rsidR="00C04E6A" w:rsidRPr="00D167C2" w:rsidTr="006D62D2">
        <w:trPr>
          <w:jc w:val="center"/>
        </w:trPr>
        <w:tc>
          <w:tcPr>
            <w:tcW w:w="1030" w:type="dxa"/>
            <w:vMerge w:val="restart"/>
          </w:tcPr>
          <w:p w:rsidR="00C04E6A" w:rsidRPr="00D167C2" w:rsidRDefault="00C04E6A" w:rsidP="006D62D2">
            <w:pPr>
              <w:jc w:val="center"/>
              <w:rPr>
                <w:b/>
                <w:sz w:val="18"/>
                <w:szCs w:val="18"/>
              </w:rPr>
            </w:pPr>
            <w:r w:rsidRPr="00D167C2">
              <w:rPr>
                <w:b/>
                <w:sz w:val="18"/>
                <w:szCs w:val="18"/>
              </w:rPr>
              <w:t>Version</w:t>
            </w:r>
          </w:p>
        </w:tc>
        <w:tc>
          <w:tcPr>
            <w:tcW w:w="1848" w:type="dxa"/>
            <w:vMerge w:val="restart"/>
            <w:tcBorders>
              <w:right w:val="single" w:sz="4" w:space="0" w:color="auto"/>
            </w:tcBorders>
          </w:tcPr>
          <w:p w:rsidR="00C04E6A" w:rsidRPr="00D167C2" w:rsidRDefault="00C04E6A" w:rsidP="006D62D2">
            <w:pPr>
              <w:jc w:val="center"/>
              <w:rPr>
                <w:b/>
                <w:sz w:val="18"/>
                <w:szCs w:val="18"/>
              </w:rPr>
            </w:pPr>
            <w:r w:rsidRPr="00D167C2">
              <w:rPr>
                <w:b/>
                <w:sz w:val="18"/>
                <w:szCs w:val="18"/>
              </w:rPr>
              <w:t>Issued</w:t>
            </w:r>
          </w:p>
        </w:tc>
        <w:tc>
          <w:tcPr>
            <w:tcW w:w="3420" w:type="dxa"/>
            <w:gridSpan w:val="2"/>
            <w:tcBorders>
              <w:top w:val="single" w:sz="4" w:space="0" w:color="auto"/>
              <w:left w:val="single" w:sz="4" w:space="0" w:color="auto"/>
              <w:bottom w:val="nil"/>
              <w:right w:val="single" w:sz="4" w:space="0" w:color="auto"/>
            </w:tcBorders>
          </w:tcPr>
          <w:p w:rsidR="00C04E6A" w:rsidRPr="00D167C2" w:rsidRDefault="00C04E6A" w:rsidP="006D62D2">
            <w:pPr>
              <w:jc w:val="center"/>
              <w:rPr>
                <w:b/>
                <w:sz w:val="18"/>
                <w:szCs w:val="18"/>
              </w:rPr>
            </w:pPr>
            <w:r w:rsidRPr="00D167C2">
              <w:rPr>
                <w:b/>
                <w:sz w:val="18"/>
                <w:szCs w:val="18"/>
              </w:rPr>
              <w:t>Dates of Effect</w:t>
            </w:r>
          </w:p>
        </w:tc>
      </w:tr>
      <w:tr w:rsidR="00C04E6A" w:rsidRPr="00D167C2" w:rsidTr="006D62D2">
        <w:trPr>
          <w:jc w:val="center"/>
        </w:trPr>
        <w:tc>
          <w:tcPr>
            <w:tcW w:w="1030" w:type="dxa"/>
            <w:vMerge/>
          </w:tcPr>
          <w:p w:rsidR="00C04E6A" w:rsidRPr="00D167C2" w:rsidRDefault="00C04E6A" w:rsidP="006D62D2">
            <w:pPr>
              <w:jc w:val="center"/>
              <w:rPr>
                <w:sz w:val="18"/>
                <w:szCs w:val="18"/>
              </w:rPr>
            </w:pPr>
          </w:p>
        </w:tc>
        <w:tc>
          <w:tcPr>
            <w:tcW w:w="1848" w:type="dxa"/>
            <w:vMerge/>
            <w:tcBorders>
              <w:right w:val="single" w:sz="4" w:space="0" w:color="auto"/>
            </w:tcBorders>
          </w:tcPr>
          <w:p w:rsidR="00C04E6A" w:rsidRPr="00D167C2" w:rsidRDefault="00C04E6A" w:rsidP="006D62D2">
            <w:pPr>
              <w:jc w:val="center"/>
              <w:rPr>
                <w:sz w:val="18"/>
                <w:szCs w:val="18"/>
              </w:rPr>
            </w:pPr>
          </w:p>
        </w:tc>
        <w:tc>
          <w:tcPr>
            <w:tcW w:w="1710" w:type="dxa"/>
            <w:tcBorders>
              <w:top w:val="nil"/>
              <w:left w:val="single" w:sz="4" w:space="0" w:color="auto"/>
              <w:bottom w:val="single" w:sz="4" w:space="0" w:color="auto"/>
              <w:right w:val="nil"/>
            </w:tcBorders>
          </w:tcPr>
          <w:p w:rsidR="00C04E6A" w:rsidRPr="00D167C2" w:rsidRDefault="00C04E6A" w:rsidP="006D62D2">
            <w:pPr>
              <w:rPr>
                <w:b/>
                <w:sz w:val="18"/>
                <w:szCs w:val="18"/>
              </w:rPr>
            </w:pPr>
            <w:r w:rsidRPr="00D167C2">
              <w:rPr>
                <w:b/>
                <w:sz w:val="18"/>
                <w:szCs w:val="18"/>
              </w:rPr>
              <w:t>From:</w:t>
            </w:r>
          </w:p>
        </w:tc>
        <w:tc>
          <w:tcPr>
            <w:tcW w:w="1710" w:type="dxa"/>
            <w:tcBorders>
              <w:top w:val="nil"/>
              <w:left w:val="nil"/>
              <w:bottom w:val="single" w:sz="4" w:space="0" w:color="auto"/>
              <w:right w:val="single" w:sz="4" w:space="0" w:color="auto"/>
            </w:tcBorders>
          </w:tcPr>
          <w:p w:rsidR="00C04E6A" w:rsidRPr="00D167C2" w:rsidRDefault="00C04E6A" w:rsidP="006D62D2">
            <w:pPr>
              <w:rPr>
                <w:b/>
                <w:sz w:val="18"/>
                <w:szCs w:val="18"/>
              </w:rPr>
            </w:pPr>
            <w:r w:rsidRPr="00D167C2">
              <w:rPr>
                <w:b/>
                <w:sz w:val="18"/>
                <w:szCs w:val="18"/>
              </w:rPr>
              <w:t xml:space="preserve">To: </w:t>
            </w:r>
          </w:p>
        </w:tc>
      </w:tr>
      <w:tr w:rsidR="00C04E6A" w:rsidRPr="00D167C2" w:rsidTr="006D62D2">
        <w:trPr>
          <w:jc w:val="center"/>
        </w:trPr>
        <w:tc>
          <w:tcPr>
            <w:tcW w:w="1030" w:type="dxa"/>
          </w:tcPr>
          <w:p w:rsidR="00C04E6A" w:rsidRPr="00D167C2" w:rsidRDefault="00C04E6A" w:rsidP="006D62D2">
            <w:pPr>
              <w:jc w:val="center"/>
              <w:rPr>
                <w:sz w:val="18"/>
                <w:szCs w:val="18"/>
              </w:rPr>
            </w:pPr>
            <w:r w:rsidRPr="00D167C2">
              <w:rPr>
                <w:sz w:val="18"/>
                <w:szCs w:val="18"/>
              </w:rPr>
              <w:t>1</w:t>
            </w:r>
          </w:p>
        </w:tc>
        <w:tc>
          <w:tcPr>
            <w:tcW w:w="1848" w:type="dxa"/>
          </w:tcPr>
          <w:p w:rsidR="00C04E6A" w:rsidRPr="00D167C2" w:rsidRDefault="00B62ACE" w:rsidP="007578BE">
            <w:pPr>
              <w:rPr>
                <w:sz w:val="18"/>
                <w:szCs w:val="18"/>
              </w:rPr>
            </w:pPr>
            <w:r w:rsidRPr="00B62ACE">
              <w:rPr>
                <w:sz w:val="18"/>
                <w:szCs w:val="18"/>
              </w:rPr>
              <w:t>1</w:t>
            </w:r>
            <w:r>
              <w:rPr>
                <w:sz w:val="18"/>
                <w:szCs w:val="18"/>
              </w:rPr>
              <w:t>4</w:t>
            </w:r>
            <w:r w:rsidR="00C04E6A">
              <w:rPr>
                <w:sz w:val="18"/>
                <w:szCs w:val="18"/>
              </w:rPr>
              <w:t xml:space="preserve"> </w:t>
            </w:r>
            <w:r w:rsidR="007578BE">
              <w:rPr>
                <w:sz w:val="18"/>
                <w:szCs w:val="18"/>
              </w:rPr>
              <w:t xml:space="preserve">March </w:t>
            </w:r>
            <w:r w:rsidR="00403A7E">
              <w:rPr>
                <w:sz w:val="18"/>
                <w:szCs w:val="18"/>
              </w:rPr>
              <w:t>2014</w:t>
            </w:r>
          </w:p>
        </w:tc>
        <w:tc>
          <w:tcPr>
            <w:tcW w:w="1710" w:type="dxa"/>
            <w:tcBorders>
              <w:top w:val="single" w:sz="4" w:space="0" w:color="auto"/>
              <w:bottom w:val="single" w:sz="4" w:space="0" w:color="auto"/>
            </w:tcBorders>
          </w:tcPr>
          <w:p w:rsidR="00C04E6A" w:rsidRPr="00D167C2" w:rsidRDefault="00C04E6A" w:rsidP="006D62D2">
            <w:pPr>
              <w:rPr>
                <w:sz w:val="18"/>
                <w:szCs w:val="18"/>
              </w:rPr>
            </w:pPr>
            <w:r>
              <w:rPr>
                <w:sz w:val="18"/>
                <w:szCs w:val="18"/>
              </w:rPr>
              <w:t>1 July 2008</w:t>
            </w:r>
          </w:p>
        </w:tc>
        <w:tc>
          <w:tcPr>
            <w:tcW w:w="1710" w:type="dxa"/>
            <w:tcBorders>
              <w:top w:val="single" w:sz="4" w:space="0" w:color="auto"/>
              <w:bottom w:val="single" w:sz="4" w:space="0" w:color="auto"/>
            </w:tcBorders>
          </w:tcPr>
          <w:p w:rsidR="00C04E6A" w:rsidRPr="00D167C2" w:rsidRDefault="00C04E6A" w:rsidP="006D62D2">
            <w:pPr>
              <w:rPr>
                <w:sz w:val="18"/>
                <w:szCs w:val="18"/>
              </w:rPr>
            </w:pPr>
            <w:r w:rsidRPr="00D167C2">
              <w:rPr>
                <w:sz w:val="18"/>
                <w:szCs w:val="18"/>
              </w:rPr>
              <w:t>Current</w:t>
            </w:r>
          </w:p>
        </w:tc>
      </w:tr>
    </w:tbl>
    <w:p w:rsidR="00C04E6A" w:rsidRPr="00431024" w:rsidRDefault="00C04E6A" w:rsidP="00C04E6A">
      <w:pPr>
        <w:pStyle w:val="HeadingTwo"/>
        <w:rPr>
          <w:sz w:val="28"/>
          <w:szCs w:val="28"/>
        </w:rPr>
      </w:pPr>
      <w:r w:rsidRPr="00733450">
        <w:t>Purpose</w:t>
      </w:r>
    </w:p>
    <w:p w:rsidR="00C04E6A" w:rsidRPr="00431024" w:rsidRDefault="00C04E6A" w:rsidP="00C04E6A">
      <w:pPr>
        <w:pStyle w:val="BlockText"/>
        <w:keepLines/>
      </w:pPr>
      <w:r w:rsidRPr="00DE5B3A">
        <w:t xml:space="preserve">From 1 July </w:t>
      </w:r>
      <w:r>
        <w:t>2008,</w:t>
      </w:r>
      <w:r w:rsidRPr="00DE5B3A">
        <w:t xml:space="preserve"> the </w:t>
      </w:r>
      <w:r w:rsidRPr="00DE5B3A">
        <w:rPr>
          <w:i/>
        </w:rPr>
        <w:t>Stamp Duty Act</w:t>
      </w:r>
      <w:r w:rsidRPr="00DE5B3A">
        <w:t xml:space="preserve"> (</w:t>
      </w:r>
      <w:r>
        <w:t xml:space="preserve">‘the </w:t>
      </w:r>
      <w:r w:rsidRPr="00DE5B3A">
        <w:t>SDA</w:t>
      </w:r>
      <w:r>
        <w:t>’</w:t>
      </w:r>
      <w:r w:rsidRPr="00DE5B3A">
        <w:t xml:space="preserve">) </w:t>
      </w:r>
      <w:r>
        <w:t>has provided</w:t>
      </w:r>
      <w:r w:rsidRPr="00DE5B3A">
        <w:t xml:space="preserve"> a stamp duty concession for </w:t>
      </w:r>
      <w:r>
        <w:t>farm</w:t>
      </w:r>
      <w:r>
        <w:noBreakHyphen/>
        <w:t>in agreements (‘the farm-in concession’)</w:t>
      </w:r>
      <w:r w:rsidRPr="00DE5B3A">
        <w:t xml:space="preserve">. This Guideline explains how the </w:t>
      </w:r>
      <w:r>
        <w:t xml:space="preserve">farm-in </w:t>
      </w:r>
      <w:r w:rsidRPr="00DE5B3A">
        <w:t xml:space="preserve">concession operates and outlines the </w:t>
      </w:r>
      <w:r>
        <w:t>Territory Revenue Office’s (TRO’s) position on what comprise</w:t>
      </w:r>
      <w:r w:rsidR="00256610">
        <w:t>s</w:t>
      </w:r>
      <w:r>
        <w:t xml:space="preserve"> ‘exploration work’ for the purposes of the concession.</w:t>
      </w:r>
    </w:p>
    <w:p w:rsidR="00C04E6A" w:rsidRPr="00431024" w:rsidRDefault="00C04E6A" w:rsidP="00C04E6A">
      <w:pPr>
        <w:pStyle w:val="HeadingTwo"/>
      </w:pPr>
      <w:r>
        <w:t>Farm-in concession</w:t>
      </w:r>
    </w:p>
    <w:p w:rsidR="00C04E6A" w:rsidRDefault="00256610" w:rsidP="00C04E6A">
      <w:pPr>
        <w:pStyle w:val="BlockText"/>
        <w:keepLines/>
      </w:pPr>
      <w:r>
        <w:t>A</w:t>
      </w:r>
      <w:r w:rsidR="00C04E6A">
        <w:t xml:space="preserve"> ‘farm-in agreement’ is</w:t>
      </w:r>
      <w:r w:rsidR="00C04E6A" w:rsidRPr="00E56DEA">
        <w:t xml:space="preserve"> a written agreement under which a person is entitled to acquire an interest in (but not full ownership of) a mining tenement by carrying out exploration work, or contributing a proportionate part of the cost of exploration work to be carried out, on the area of that mining tenement after the date of the agreement.</w:t>
      </w:r>
      <w:r w:rsidR="00C04E6A">
        <w:rPr>
          <w:rStyle w:val="FootnoteReference"/>
        </w:rPr>
        <w:footnoteReference w:id="1"/>
      </w:r>
    </w:p>
    <w:p w:rsidR="00C04E6A" w:rsidRDefault="00C04E6A" w:rsidP="00C04E6A">
      <w:pPr>
        <w:pStyle w:val="BlockText"/>
        <w:keepLines/>
      </w:pPr>
      <w:r>
        <w:t>The farm-in concession operates when all of the following conditions are satisfied</w:t>
      </w:r>
      <w:r w:rsidR="00C70476">
        <w:t>:</w:t>
      </w:r>
      <w:r>
        <w:rPr>
          <w:rStyle w:val="FootnoteReference"/>
        </w:rPr>
        <w:footnoteReference w:id="2"/>
      </w:r>
    </w:p>
    <w:p w:rsidR="00256610" w:rsidRDefault="00C04E6A" w:rsidP="00BE4036">
      <w:pPr>
        <w:pStyle w:val="BlockText"/>
        <w:keepLines/>
        <w:numPr>
          <w:ilvl w:val="1"/>
          <w:numId w:val="3"/>
        </w:numPr>
      </w:pPr>
      <w:r>
        <w:t>dutiable property consists of an interest in an ‘exploration mineral title’</w:t>
      </w:r>
      <w:r w:rsidR="00256610">
        <w:t xml:space="preserve">, which are the following forms of mineral titles under the </w:t>
      </w:r>
      <w:r w:rsidR="00256610" w:rsidRPr="00E56DEA">
        <w:rPr>
          <w:i/>
        </w:rPr>
        <w:t>Mineral Titles Act</w:t>
      </w:r>
      <w:r w:rsidR="00256610">
        <w:t xml:space="preserve"> (‘the MTA’): </w:t>
      </w:r>
    </w:p>
    <w:p w:rsidR="00256610" w:rsidRDefault="00256610" w:rsidP="00BE4036">
      <w:pPr>
        <w:pStyle w:val="BlockText"/>
        <w:keepLines/>
        <w:numPr>
          <w:ilvl w:val="2"/>
          <w:numId w:val="3"/>
        </w:numPr>
      </w:pPr>
      <w:r>
        <w:t xml:space="preserve">a mineral exploration licence; </w:t>
      </w:r>
    </w:p>
    <w:p w:rsidR="00256610" w:rsidRDefault="00256610" w:rsidP="00BE4036">
      <w:pPr>
        <w:pStyle w:val="BlockText"/>
        <w:keepLines/>
        <w:numPr>
          <w:ilvl w:val="2"/>
          <w:numId w:val="3"/>
        </w:numPr>
      </w:pPr>
      <w:r>
        <w:t>a mineral exploration licence in retention; or</w:t>
      </w:r>
    </w:p>
    <w:p w:rsidR="00C04E6A" w:rsidRDefault="00256610" w:rsidP="00BE4036">
      <w:pPr>
        <w:pStyle w:val="BlockText"/>
        <w:keepLines/>
        <w:numPr>
          <w:ilvl w:val="2"/>
          <w:numId w:val="3"/>
        </w:numPr>
      </w:pPr>
      <w:r>
        <w:t>an extractive mineral exploration licence;</w:t>
      </w:r>
      <w:r>
        <w:rPr>
          <w:rStyle w:val="FootnoteReference"/>
        </w:rPr>
        <w:footnoteReference w:id="3"/>
      </w:r>
      <w:r>
        <w:t xml:space="preserve"> </w:t>
      </w:r>
      <w:r w:rsidR="00C04E6A">
        <w:t xml:space="preserve">and </w:t>
      </w:r>
    </w:p>
    <w:p w:rsidR="00C04E6A" w:rsidRDefault="00C04E6A" w:rsidP="00C04E6A">
      <w:pPr>
        <w:pStyle w:val="BlockText"/>
        <w:keepLines/>
        <w:numPr>
          <w:ilvl w:val="1"/>
          <w:numId w:val="3"/>
        </w:numPr>
      </w:pPr>
      <w:r>
        <w:t xml:space="preserve">the conveyance of the interest arises out of the operation of a farm-in agreement; and </w:t>
      </w:r>
    </w:p>
    <w:p w:rsidR="00C04E6A" w:rsidRDefault="00C04E6A" w:rsidP="00C04E6A">
      <w:pPr>
        <w:pStyle w:val="BlockText"/>
        <w:keepLines/>
        <w:numPr>
          <w:ilvl w:val="1"/>
          <w:numId w:val="3"/>
        </w:numPr>
      </w:pPr>
      <w:r>
        <w:t>the exploration work, or the contribution to the cost of exploration work, in respect of which the right to the interest arises under the farm-in agreement has actually been carried out or made.</w:t>
      </w:r>
    </w:p>
    <w:p w:rsidR="00256610" w:rsidRDefault="00256610" w:rsidP="00C04E6A">
      <w:pPr>
        <w:pStyle w:val="BlockText"/>
        <w:keepLines/>
      </w:pPr>
      <w:r>
        <w:t>The farm-in concession does not apply to mineral titles that are not exploration mineral titles. For example, it does not apply to a mineral lease or an extractive mineral lease.</w:t>
      </w:r>
    </w:p>
    <w:p w:rsidR="00C04E6A" w:rsidRDefault="00C04E6A" w:rsidP="00C04E6A">
      <w:pPr>
        <w:pStyle w:val="BlockText"/>
        <w:keepLines/>
      </w:pPr>
      <w:r>
        <w:t xml:space="preserve">When the farm-in concession applies to a conveyance </w:t>
      </w:r>
      <w:r w:rsidR="00DB29FD">
        <w:t xml:space="preserve">of </w:t>
      </w:r>
      <w:r>
        <w:t>an interest in an ‘exploration mineral title’, then for the purpose of assessing the dutiable value of the interest:</w:t>
      </w:r>
    </w:p>
    <w:p w:rsidR="00C04E6A" w:rsidRDefault="00C04E6A" w:rsidP="00C04E6A">
      <w:pPr>
        <w:pStyle w:val="BlockText"/>
        <w:keepLines/>
        <w:numPr>
          <w:ilvl w:val="1"/>
          <w:numId w:val="3"/>
        </w:numPr>
      </w:pPr>
      <w:r>
        <w:t>its unencumbered value will be determined as at the date of the farm-in agreement; and</w:t>
      </w:r>
    </w:p>
    <w:p w:rsidR="00C04E6A" w:rsidRDefault="00C04E6A" w:rsidP="00C04E6A">
      <w:pPr>
        <w:pStyle w:val="BlockText"/>
        <w:keepLines/>
        <w:numPr>
          <w:ilvl w:val="1"/>
          <w:numId w:val="3"/>
        </w:numPr>
      </w:pPr>
      <w:r>
        <w:t>the consideration will be taken to be the amount by which the consideration given for the interest exceeds the reasonable cost of the exploration work or (where the consideration consists of a contribution to the cost of exploration work) the relevant proportion of that reasonable cost.</w:t>
      </w:r>
    </w:p>
    <w:p w:rsidR="00C04E6A" w:rsidRDefault="00C04E6A" w:rsidP="00BE4036">
      <w:pPr>
        <w:pStyle w:val="BlockText"/>
        <w:keepLines/>
        <w:numPr>
          <w:ilvl w:val="0"/>
          <w:numId w:val="0"/>
        </w:numPr>
        <w:ind w:left="567"/>
      </w:pPr>
    </w:p>
    <w:p w:rsidR="00C04E6A" w:rsidRDefault="00C04E6A" w:rsidP="00C04E6A">
      <w:pPr>
        <w:pStyle w:val="HeadingTwo"/>
      </w:pPr>
      <w:r>
        <w:lastRenderedPageBreak/>
        <w:t>Meaning of ‘exploration work’</w:t>
      </w:r>
    </w:p>
    <w:p w:rsidR="00C04E6A" w:rsidRDefault="00C70476" w:rsidP="00C04E6A">
      <w:pPr>
        <w:pStyle w:val="BlockText"/>
        <w:keepLines/>
      </w:pPr>
      <w:r>
        <w:t>In</w:t>
      </w:r>
      <w:r w:rsidR="00C04E6A">
        <w:t xml:space="preserve"> determining whether particular work or costs are for ‘exploration work’, </w:t>
      </w:r>
      <w:r>
        <w:t>TRO has regard to</w:t>
      </w:r>
      <w:r w:rsidR="00C04E6A">
        <w:t xml:space="preserve"> the types of activities that are permitted to be conducted on </w:t>
      </w:r>
      <w:r>
        <w:t>exploration mineral</w:t>
      </w:r>
      <w:r w:rsidR="00C04E6A">
        <w:t xml:space="preserve"> titles under the MTA.</w:t>
      </w:r>
    </w:p>
    <w:p w:rsidR="00C04E6A" w:rsidRDefault="00C70476" w:rsidP="00C04E6A">
      <w:pPr>
        <w:pStyle w:val="BlockText"/>
        <w:keepLines/>
      </w:pPr>
      <w:r>
        <w:t>The</w:t>
      </w:r>
      <w:r w:rsidR="00C04E6A">
        <w:t xml:space="preserve"> MTA provides that the holders of mineral exploration licences and mineral exploration licences in retention are authorised to conduct activities in connection with the exploration for minerals, including: </w:t>
      </w:r>
    </w:p>
    <w:p w:rsidR="00C04E6A" w:rsidRDefault="00C04E6A" w:rsidP="00C04E6A">
      <w:pPr>
        <w:pStyle w:val="BlockText"/>
        <w:keepLines/>
        <w:numPr>
          <w:ilvl w:val="1"/>
          <w:numId w:val="3"/>
        </w:numPr>
      </w:pPr>
      <w:r>
        <w:t xml:space="preserve">digging pits, trenches and holes, and sinking bores and tunnels, in the title area; </w:t>
      </w:r>
    </w:p>
    <w:p w:rsidR="00C04E6A" w:rsidRDefault="00C04E6A" w:rsidP="00C04E6A">
      <w:pPr>
        <w:pStyle w:val="BlockText"/>
        <w:keepLines/>
        <w:numPr>
          <w:ilvl w:val="1"/>
          <w:numId w:val="3"/>
        </w:numPr>
      </w:pPr>
      <w:r>
        <w:t>activities for ascertaining the quality, quantity or extent of ore or other material in the title area by drilling or other methods; and</w:t>
      </w:r>
    </w:p>
    <w:p w:rsidR="00C04E6A" w:rsidRDefault="00C04E6A" w:rsidP="00C04E6A">
      <w:pPr>
        <w:pStyle w:val="BlockText"/>
        <w:keepLines/>
        <w:numPr>
          <w:ilvl w:val="1"/>
          <w:numId w:val="3"/>
        </w:numPr>
      </w:pPr>
      <w:r>
        <w:t>the extraction and removal of samples of ore and other substances from the title area in amounts reasonably necessary for the evaluation of the potential for mining in the area.</w:t>
      </w:r>
      <w:r>
        <w:rPr>
          <w:rStyle w:val="FootnoteReference"/>
        </w:rPr>
        <w:footnoteReference w:id="4"/>
      </w:r>
    </w:p>
    <w:p w:rsidR="00C04E6A" w:rsidRDefault="00C04E6A" w:rsidP="00C04E6A">
      <w:pPr>
        <w:pStyle w:val="BlockText"/>
        <w:keepLines/>
      </w:pPr>
      <w:r>
        <w:t>Additionally, the MTA requires the holder of a mineral exploration licence to undertake a ‘technical work program’ in relation to that title.</w:t>
      </w:r>
      <w:r>
        <w:rPr>
          <w:rStyle w:val="FootnoteReference"/>
        </w:rPr>
        <w:footnoteReference w:id="5"/>
      </w:r>
      <w:r>
        <w:t xml:space="preserve"> A ‘technical work program’ may include geological, geochemical or geophysical surveys, as well as the assessment of a mineral resource or extractive mineral resource.</w:t>
      </w:r>
      <w:r>
        <w:rPr>
          <w:rStyle w:val="FootnoteReference"/>
        </w:rPr>
        <w:footnoteReference w:id="6"/>
      </w:r>
    </w:p>
    <w:p w:rsidR="00C04E6A" w:rsidRDefault="00C04E6A" w:rsidP="00C04E6A">
      <w:pPr>
        <w:pStyle w:val="BlockText"/>
        <w:keepLines/>
      </w:pPr>
      <w:r>
        <w:t>Finally, the MTA authorises the holder of an extractive mineral exploration licence to conduct activities in connection with exploration for extractive minerals that are reasonably necessary for that exploration.</w:t>
      </w:r>
      <w:r>
        <w:rPr>
          <w:rStyle w:val="FootnoteReference"/>
        </w:rPr>
        <w:footnoteReference w:id="7"/>
      </w:r>
    </w:p>
    <w:p w:rsidR="00403A7E" w:rsidRDefault="00256610" w:rsidP="00C04E6A">
      <w:pPr>
        <w:pStyle w:val="BlockText"/>
        <w:keepLines/>
      </w:pPr>
      <w:r>
        <w:t>Accordingly</w:t>
      </w:r>
      <w:r w:rsidR="00403A7E">
        <w:t xml:space="preserve">, for the purposes of the farm-in concession, ‘exploration work’ is limited to activities that are </w:t>
      </w:r>
      <w:r w:rsidR="00403A7E" w:rsidRPr="00403A7E">
        <w:rPr>
          <w:u w:val="single"/>
        </w:rPr>
        <w:t>directly attributable</w:t>
      </w:r>
      <w:r w:rsidR="00403A7E">
        <w:t xml:space="preserve"> to the exploration for, or determining the existence, location, extent or quality of, a mineral occurrence on the land comprised in the exploration mineral title. This include</w:t>
      </w:r>
      <w:r>
        <w:t>s</w:t>
      </w:r>
      <w:r w:rsidR="00403A7E">
        <w:t xml:space="preserve"> the following:</w:t>
      </w:r>
    </w:p>
    <w:p w:rsidR="00C04E6A" w:rsidRDefault="00C04E6A" w:rsidP="00C04E6A">
      <w:pPr>
        <w:pStyle w:val="BlockText"/>
        <w:keepLines/>
        <w:numPr>
          <w:ilvl w:val="1"/>
          <w:numId w:val="3"/>
        </w:numPr>
      </w:pPr>
      <w:r>
        <w:t>digging pits, trenches and holes, and sinking bores and tunnels in, on or under an exploration mineral title to ascertain the quality, quantity or extent of ore or other material;</w:t>
      </w:r>
    </w:p>
    <w:p w:rsidR="00C04E6A" w:rsidRDefault="00C04E6A" w:rsidP="00C04E6A">
      <w:pPr>
        <w:pStyle w:val="BlockText"/>
        <w:keepLines/>
        <w:numPr>
          <w:ilvl w:val="1"/>
          <w:numId w:val="3"/>
        </w:numPr>
      </w:pPr>
      <w:r>
        <w:t>drilling or other methods undertaken to ascertain the quality, quantity or extent of the ore body;</w:t>
      </w:r>
    </w:p>
    <w:p w:rsidR="00C04E6A" w:rsidRDefault="00C04E6A" w:rsidP="00C04E6A">
      <w:pPr>
        <w:pStyle w:val="BlockText"/>
        <w:keepLines/>
        <w:numPr>
          <w:ilvl w:val="1"/>
          <w:numId w:val="3"/>
        </w:numPr>
      </w:pPr>
      <w:r>
        <w:t>extraction and removal of ore, material or other substances for sampling and testing;</w:t>
      </w:r>
    </w:p>
    <w:p w:rsidR="00C04E6A" w:rsidRDefault="00C04E6A" w:rsidP="00C04E6A">
      <w:pPr>
        <w:pStyle w:val="BlockText"/>
        <w:keepLines/>
        <w:numPr>
          <w:ilvl w:val="1"/>
          <w:numId w:val="3"/>
        </w:numPr>
      </w:pPr>
      <w:r>
        <w:t>geological, geochemical or geophysical surveys and reports;</w:t>
      </w:r>
    </w:p>
    <w:p w:rsidR="00C04E6A" w:rsidRPr="005D3D06" w:rsidRDefault="00C04E6A" w:rsidP="00C04E6A">
      <w:pPr>
        <w:pStyle w:val="BlockText"/>
        <w:keepLines/>
        <w:numPr>
          <w:ilvl w:val="1"/>
          <w:numId w:val="3"/>
        </w:numPr>
      </w:pPr>
      <w:r>
        <w:t xml:space="preserve">pegging </w:t>
      </w:r>
      <w:r w:rsidRPr="005D3D06">
        <w:t>and surveying;</w:t>
      </w:r>
    </w:p>
    <w:p w:rsidR="00C04E6A" w:rsidRPr="005D3D06" w:rsidRDefault="00C04E6A" w:rsidP="00C04E6A">
      <w:pPr>
        <w:pStyle w:val="BlockText"/>
        <w:keepLines/>
        <w:numPr>
          <w:ilvl w:val="1"/>
          <w:numId w:val="3"/>
        </w:numPr>
      </w:pPr>
      <w:r w:rsidRPr="005D3D06">
        <w:t xml:space="preserve">the assessment of a mineral resource or extractive mineral resource, including through assaying and geochemical analysis; </w:t>
      </w:r>
    </w:p>
    <w:p w:rsidR="00C04E6A" w:rsidRPr="005D3D06" w:rsidRDefault="00C04E6A" w:rsidP="00C04E6A">
      <w:pPr>
        <w:pStyle w:val="BlockText"/>
        <w:keepLines/>
        <w:numPr>
          <w:ilvl w:val="1"/>
          <w:numId w:val="3"/>
        </w:numPr>
      </w:pPr>
      <w:r w:rsidRPr="005D3D06">
        <w:t>production of exploration data, including m</w:t>
      </w:r>
      <w:r w:rsidR="00901CA7" w:rsidRPr="005D3D06">
        <w:t>aps, photos and remote imagery;</w:t>
      </w:r>
    </w:p>
    <w:p w:rsidR="00901CA7" w:rsidRPr="005D3D06" w:rsidRDefault="00901CA7" w:rsidP="00C04E6A">
      <w:pPr>
        <w:pStyle w:val="BlockText"/>
        <w:keepLines/>
        <w:numPr>
          <w:ilvl w:val="1"/>
          <w:numId w:val="3"/>
        </w:numPr>
      </w:pPr>
      <w:r w:rsidRPr="005D3D06">
        <w:t>rehabilitation required as a consequence of exploration work;</w:t>
      </w:r>
    </w:p>
    <w:p w:rsidR="00C04E6A" w:rsidRPr="005D3D06" w:rsidRDefault="00C04E6A" w:rsidP="00C04E6A">
      <w:pPr>
        <w:pStyle w:val="BlockText"/>
        <w:keepLines/>
        <w:numPr>
          <w:ilvl w:val="1"/>
          <w:numId w:val="3"/>
        </w:numPr>
      </w:pPr>
      <w:r w:rsidRPr="005D3D06">
        <w:t>travel to and from exploration mineral titles to the extent that the travel relates to the conduct of exploration work; and</w:t>
      </w:r>
    </w:p>
    <w:p w:rsidR="00C04E6A" w:rsidRDefault="00C04E6A" w:rsidP="00C04E6A">
      <w:pPr>
        <w:pStyle w:val="BlockText"/>
        <w:keepLines/>
        <w:numPr>
          <w:ilvl w:val="1"/>
          <w:numId w:val="3"/>
        </w:numPr>
      </w:pPr>
      <w:r>
        <w:t>establishing work camps to the extent they are used to conduct other exploration work.</w:t>
      </w:r>
    </w:p>
    <w:p w:rsidR="00C04E6A" w:rsidRDefault="00C04E6A" w:rsidP="00C04E6A">
      <w:pPr>
        <w:pStyle w:val="BlockText"/>
        <w:keepLines/>
      </w:pPr>
      <w:r>
        <w:t>If the work is only partly performed on</w:t>
      </w:r>
      <w:r w:rsidR="00256610">
        <w:t>, or in relation to,</w:t>
      </w:r>
      <w:r>
        <w:t xml:space="preserve"> an exploration mineral title (such as where some of the exploration work is performed on</w:t>
      </w:r>
      <w:r w:rsidR="00256610">
        <w:t>, or in relation to,</w:t>
      </w:r>
      <w:r>
        <w:t xml:space="preserve"> a mineral lease), then only an appropriate proportion of the cost of the work may be claimed as ‘exploration work’ for the purposes of the farm-in concession. </w:t>
      </w:r>
    </w:p>
    <w:p w:rsidR="00403A7E" w:rsidRDefault="00403A7E" w:rsidP="00403A7E">
      <w:pPr>
        <w:pStyle w:val="BlockText"/>
        <w:keepLines/>
      </w:pPr>
      <w:r>
        <w:t>Acceptable apportionment methods include, but are not limited to, the following:</w:t>
      </w:r>
    </w:p>
    <w:p w:rsidR="00403A7E" w:rsidRDefault="00403A7E" w:rsidP="00403A7E">
      <w:pPr>
        <w:pStyle w:val="BlockText"/>
        <w:keepLines/>
        <w:numPr>
          <w:ilvl w:val="1"/>
          <w:numId w:val="3"/>
        </w:numPr>
      </w:pPr>
      <w:r>
        <w:lastRenderedPageBreak/>
        <w:t>timesheet method – requires an apportionment of the actual time spent by employees and contractors conducting exploration work on the exploration mineral titles and on other mining tenements (time sheets will be required for substantiation); or</w:t>
      </w:r>
    </w:p>
    <w:p w:rsidR="00403A7E" w:rsidRDefault="00403A7E" w:rsidP="00403A7E">
      <w:pPr>
        <w:pStyle w:val="BlockText"/>
        <w:keepLines/>
        <w:numPr>
          <w:ilvl w:val="1"/>
          <w:numId w:val="3"/>
        </w:numPr>
      </w:pPr>
      <w:r>
        <w:t>proportion of direct operating costs – based on the proportion of direct expenditure for exploration work that has been spent on the exploration mineral titles divided by the total costs of the exploration work conducted on all mining tenements.  The farminee must maintain adequate records to establish and verify total cost of the exploration work and the proportion of this which relates to the specific exploration mineral titles.</w:t>
      </w:r>
    </w:p>
    <w:p w:rsidR="00403A7E" w:rsidRDefault="00403A7E" w:rsidP="00C04E6A">
      <w:pPr>
        <w:pStyle w:val="BlockText"/>
        <w:keepLines/>
      </w:pPr>
      <w:r>
        <w:t>As a general rule, any non-effort based allocation methods will not be considered acceptable (eg, an allocation method that is based on the number of exploration mineral titles or their geographical area).</w:t>
      </w:r>
    </w:p>
    <w:p w:rsidR="00C04E6A" w:rsidRPr="005D3D06" w:rsidRDefault="00C04E6A" w:rsidP="00C04E6A">
      <w:pPr>
        <w:pStyle w:val="BlockText"/>
        <w:keepLines/>
      </w:pPr>
      <w:r>
        <w:t xml:space="preserve">The types of work and expenditure which are not generally considered to comprise </w:t>
      </w:r>
      <w:r w:rsidRPr="005D3D06">
        <w:t>‘exploration work’ includes:</w:t>
      </w:r>
    </w:p>
    <w:p w:rsidR="00C04E6A" w:rsidRPr="005D3D06" w:rsidRDefault="00C04E6A" w:rsidP="00C04E6A">
      <w:pPr>
        <w:pStyle w:val="BlockText"/>
        <w:keepLines/>
        <w:numPr>
          <w:ilvl w:val="1"/>
          <w:numId w:val="3"/>
        </w:numPr>
      </w:pPr>
      <w:r w:rsidRPr="005D3D06">
        <w:t>a profit, margin or other loading charged on top of the direct costs incurred by the person earning an interest in the exploration mineral titles;</w:t>
      </w:r>
    </w:p>
    <w:p w:rsidR="00901CA7" w:rsidRPr="005D3D06" w:rsidRDefault="00901CA7" w:rsidP="00C04E6A">
      <w:pPr>
        <w:pStyle w:val="BlockText"/>
        <w:keepLines/>
        <w:numPr>
          <w:ilvl w:val="1"/>
          <w:numId w:val="3"/>
        </w:numPr>
      </w:pPr>
      <w:r w:rsidRPr="005D3D06">
        <w:t>rents, bonds, securities and other payments relating to exploration mineral titles;</w:t>
      </w:r>
    </w:p>
    <w:p w:rsidR="00C04E6A" w:rsidRPr="005D3D06" w:rsidRDefault="00C04E6A" w:rsidP="00C04E6A">
      <w:pPr>
        <w:pStyle w:val="BlockText"/>
        <w:keepLines/>
        <w:numPr>
          <w:ilvl w:val="1"/>
          <w:numId w:val="3"/>
        </w:numPr>
      </w:pPr>
      <w:r w:rsidRPr="005D3D06">
        <w:t>general office and administrative work, including associated overheads;</w:t>
      </w:r>
    </w:p>
    <w:p w:rsidR="00C04E6A" w:rsidRPr="005D3D06" w:rsidRDefault="00C04E6A" w:rsidP="00C04E6A">
      <w:pPr>
        <w:pStyle w:val="BlockText"/>
        <w:keepLines/>
        <w:numPr>
          <w:ilvl w:val="1"/>
          <w:numId w:val="3"/>
        </w:numPr>
      </w:pPr>
      <w:r w:rsidRPr="005D3D06">
        <w:t>work relating to the development of a mine that goes beyond exploration;</w:t>
      </w:r>
    </w:p>
    <w:p w:rsidR="00C04E6A" w:rsidRPr="005D3D06" w:rsidRDefault="00C04E6A" w:rsidP="00C04E6A">
      <w:pPr>
        <w:pStyle w:val="BlockText"/>
        <w:keepLines/>
        <w:numPr>
          <w:ilvl w:val="1"/>
          <w:numId w:val="3"/>
        </w:numPr>
      </w:pPr>
      <w:r w:rsidRPr="005D3D06">
        <w:t>purchase costs of capital items;</w:t>
      </w:r>
    </w:p>
    <w:p w:rsidR="00901CA7" w:rsidRPr="005D3D06" w:rsidRDefault="00C04E6A" w:rsidP="00C04E6A">
      <w:pPr>
        <w:pStyle w:val="BlockText"/>
        <w:keepLines/>
        <w:numPr>
          <w:ilvl w:val="1"/>
          <w:numId w:val="3"/>
        </w:numPr>
      </w:pPr>
      <w:r w:rsidRPr="005D3D06">
        <w:t xml:space="preserve">surveying that is not geological, geochemical or geophysical in nature, such as for roads, water and sacred site/native title purposes; </w:t>
      </w:r>
    </w:p>
    <w:p w:rsidR="00C04E6A" w:rsidRPr="005D3D06" w:rsidRDefault="00901CA7" w:rsidP="00C04E6A">
      <w:pPr>
        <w:pStyle w:val="BlockText"/>
        <w:keepLines/>
        <w:numPr>
          <w:ilvl w:val="1"/>
          <w:numId w:val="3"/>
        </w:numPr>
      </w:pPr>
      <w:r w:rsidRPr="005D3D06">
        <w:t xml:space="preserve">payments, whether for access or compensation, to access land covered by exploration mineral titles; </w:t>
      </w:r>
      <w:r w:rsidR="00C04E6A" w:rsidRPr="005D3D06">
        <w:t>and</w:t>
      </w:r>
    </w:p>
    <w:p w:rsidR="00C04E6A" w:rsidRDefault="00C04E6A" w:rsidP="00C04E6A">
      <w:pPr>
        <w:pStyle w:val="BlockText"/>
        <w:keepLines/>
        <w:numPr>
          <w:ilvl w:val="1"/>
          <w:numId w:val="3"/>
        </w:numPr>
      </w:pPr>
      <w:r>
        <w:t xml:space="preserve">payments by way of compensation made to traditional Aboriginal owners or representatives of traditional Aboriginal owners, including under the </w:t>
      </w:r>
      <w:r w:rsidRPr="00001207">
        <w:rPr>
          <w:i/>
        </w:rPr>
        <w:t>Aboriginal Land Rights (Northern Territory) Act 1976</w:t>
      </w:r>
      <w:r>
        <w:t xml:space="preserve"> (Cth).</w:t>
      </w:r>
    </w:p>
    <w:p w:rsidR="00C04E6A" w:rsidRPr="00431024" w:rsidRDefault="00C04E6A" w:rsidP="00C04E6A">
      <w:pPr>
        <w:pStyle w:val="HeadingTwo"/>
      </w:pPr>
      <w:r>
        <w:t>Evidence required to support an application for farm-in concession</w:t>
      </w:r>
    </w:p>
    <w:p w:rsidR="00C04E6A" w:rsidRDefault="00C04E6A" w:rsidP="00C04E6A">
      <w:pPr>
        <w:pStyle w:val="BlockText"/>
        <w:keepLines/>
      </w:pPr>
      <w:r>
        <w:t>In order to support a claim that the farm-in concession applies to the conveyance of an interest in an exploration mineral title, the person acquiring the interest is required to provide:</w:t>
      </w:r>
    </w:p>
    <w:p w:rsidR="005B4114" w:rsidRDefault="005B4114" w:rsidP="00C04E6A">
      <w:pPr>
        <w:pStyle w:val="BlockText"/>
        <w:keepLines/>
        <w:numPr>
          <w:ilvl w:val="1"/>
          <w:numId w:val="3"/>
        </w:numPr>
      </w:pPr>
      <w:r>
        <w:t>the total amount of consideration given for the interest;</w:t>
      </w:r>
    </w:p>
    <w:p w:rsidR="005B4114" w:rsidRPr="00CC689F" w:rsidRDefault="00311AE7" w:rsidP="00CA4A67">
      <w:pPr>
        <w:pStyle w:val="BlockText"/>
        <w:keepLines/>
        <w:numPr>
          <w:ilvl w:val="1"/>
          <w:numId w:val="3"/>
        </w:numPr>
      </w:pPr>
      <w:r>
        <w:t xml:space="preserve">a breakdown </w:t>
      </w:r>
      <w:r w:rsidR="005B4114">
        <w:t xml:space="preserve">of the cost of the exploration work undertaken under the farm-in agreement (or where the consideration consists of a contribution to the cost of exploration work the relevant proportion of that cost), including where necessary an apportionment of the </w:t>
      </w:r>
      <w:r w:rsidR="005B4114" w:rsidRPr="00403A7E">
        <w:t xml:space="preserve">cost of the </w:t>
      </w:r>
      <w:r w:rsidR="005B4114">
        <w:t>exploration work between exploration mineral titles and other titles; and</w:t>
      </w:r>
    </w:p>
    <w:p w:rsidR="00C04E6A" w:rsidRDefault="00C04E6A" w:rsidP="00C04E6A">
      <w:pPr>
        <w:pStyle w:val="BlockText"/>
        <w:keepLines/>
        <w:numPr>
          <w:ilvl w:val="1"/>
          <w:numId w:val="3"/>
        </w:numPr>
      </w:pPr>
      <w:r>
        <w:t>evidence of the title’s value as at the date the relevant farm-in agreement was executed.</w:t>
      </w:r>
      <w:r w:rsidRPr="0034541F">
        <w:t xml:space="preserve"> </w:t>
      </w:r>
      <w:r>
        <w:t xml:space="preserve">See </w:t>
      </w:r>
      <w:hyperlink r:id="rId10" w:tooltip="Link to I-SD-001" w:history="1">
        <w:r w:rsidRPr="00CC689F">
          <w:rPr>
            <w:rStyle w:val="Hyperlink"/>
            <w:szCs w:val="22"/>
          </w:rPr>
          <w:t>I-SD-001</w:t>
        </w:r>
      </w:hyperlink>
      <w:r w:rsidRPr="00CC689F">
        <w:t xml:space="preserve">: </w:t>
      </w:r>
      <w:r w:rsidRPr="00CC689F">
        <w:rPr>
          <w:i/>
        </w:rPr>
        <w:t>Stamp Duty Lodgement Guide</w:t>
      </w:r>
      <w:r>
        <w:t xml:space="preserve"> for details of the information and documents required to be lodged in relation to the conveyance of mining titles generally and</w:t>
      </w:r>
      <w:r w:rsidRPr="00004829">
        <w:t xml:space="preserve"> C</w:t>
      </w:r>
      <w:r>
        <w:t xml:space="preserve">ommissioner’s Guideline </w:t>
      </w:r>
      <w:hyperlink r:id="rId11" w:tooltip="link to CG-SD-010" w:history="1">
        <w:r w:rsidRPr="00736E0C">
          <w:rPr>
            <w:rStyle w:val="Hyperlink"/>
          </w:rPr>
          <w:t>CG-SD-010</w:t>
        </w:r>
      </w:hyperlink>
      <w:r w:rsidRPr="00004829">
        <w:t xml:space="preserve">: </w:t>
      </w:r>
      <w:r w:rsidRPr="00004829">
        <w:rPr>
          <w:i/>
        </w:rPr>
        <w:t>Tax assessments requiring evidence of value</w:t>
      </w:r>
      <w:r w:rsidRPr="00004829">
        <w:t xml:space="preserve"> </w:t>
      </w:r>
      <w:r>
        <w:t xml:space="preserve">for more information on </w:t>
      </w:r>
      <w:r w:rsidR="00DB29FD">
        <w:t>what constitutes acceptable evidence of value for mining property</w:t>
      </w:r>
      <w:r w:rsidR="00311AE7">
        <w:t>.</w:t>
      </w:r>
    </w:p>
    <w:p w:rsidR="00C04E6A" w:rsidRDefault="00C04E6A" w:rsidP="00C04E6A">
      <w:pPr>
        <w:pStyle w:val="HeadingTwo"/>
      </w:pPr>
      <w:r>
        <w:t>Commissioner’s Guidelines</w:t>
      </w:r>
    </w:p>
    <w:p w:rsidR="00C04E6A" w:rsidRPr="002D6D82" w:rsidRDefault="00C04E6A" w:rsidP="00C04E6A">
      <w:pPr>
        <w:pStyle w:val="BlockText"/>
        <w:keepLines/>
      </w:pPr>
      <w:r w:rsidRPr="002D6D82">
        <w:t>Co</w:t>
      </w:r>
      <w:r>
        <w:t xml:space="preserve">mmissioner’s Guideline </w:t>
      </w:r>
      <w:hyperlink r:id="rId12" w:tooltip="link to CG-GEN-001" w:history="1">
        <w:r>
          <w:rPr>
            <w:rStyle w:val="Hyperlink"/>
          </w:rPr>
          <w:t>CG-GEN-001</w:t>
        </w:r>
      </w:hyperlink>
      <w:r w:rsidRPr="002D6D82">
        <w:t>, which sets out information on the revenue publication system, is incorporated into and is to be read as one with this Guideline.</w:t>
      </w:r>
      <w:r>
        <w:t xml:space="preserve"> </w:t>
      </w:r>
      <w:r w:rsidRPr="00987211">
        <w:t xml:space="preserve">All Circulars and Guidelines are available from </w:t>
      </w:r>
      <w:r>
        <w:t xml:space="preserve">the </w:t>
      </w:r>
      <w:r w:rsidRPr="00987211">
        <w:t>TRO website.</w:t>
      </w:r>
    </w:p>
    <w:p w:rsidR="00C04E6A" w:rsidRDefault="00C04E6A" w:rsidP="00C04E6A">
      <w:pPr>
        <w:pStyle w:val="HeadingTwo"/>
        <w:tabs>
          <w:tab w:val="left" w:pos="4350"/>
        </w:tabs>
      </w:pPr>
      <w:r>
        <w:t>Date of effect</w:t>
      </w:r>
      <w:r>
        <w:tab/>
      </w:r>
    </w:p>
    <w:p w:rsidR="00C04E6A" w:rsidRDefault="00C04E6A" w:rsidP="00C04E6A">
      <w:pPr>
        <w:pStyle w:val="BlockText"/>
        <w:numPr>
          <w:ilvl w:val="0"/>
          <w:numId w:val="0"/>
        </w:numPr>
      </w:pPr>
      <w:r>
        <w:lastRenderedPageBreak/>
        <w:t xml:space="preserve">This version of the Guideline takes effect from </w:t>
      </w:r>
      <w:r w:rsidR="007578BE">
        <w:t>1 July 2008</w:t>
      </w:r>
      <w:r>
        <w:t>.</w:t>
      </w:r>
    </w:p>
    <w:p w:rsidR="00B61BCE" w:rsidRDefault="00780AC1" w:rsidP="00C04E6A">
      <w:pPr>
        <w:pStyle w:val="BlockText"/>
        <w:numPr>
          <w:ilvl w:val="0"/>
          <w:numId w:val="0"/>
        </w:numPr>
      </w:pPr>
      <w:r>
        <w:rPr>
          <w:noProof/>
        </w:rPr>
        <w:drawing>
          <wp:inline distT="0" distB="0" distL="0" distR="0" wp14:anchorId="0E6174B5" wp14:editId="4BC6FCEC">
            <wp:extent cx="1849120" cy="350520"/>
            <wp:effectExtent l="0" t="0" r="0" b="0"/>
            <wp:docPr id="1" name="Picture 1" descr="Grant Parsons electronic signature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nt Parsons electronic signature4.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9120" cy="350520"/>
                    </a:xfrm>
                    <a:prstGeom prst="rect">
                      <a:avLst/>
                    </a:prstGeom>
                    <a:noFill/>
                    <a:ln>
                      <a:noFill/>
                    </a:ln>
                  </pic:spPr>
                </pic:pic>
              </a:graphicData>
            </a:graphic>
          </wp:inline>
        </w:drawing>
      </w:r>
    </w:p>
    <w:p w:rsidR="00C04E6A" w:rsidRDefault="00C04E6A" w:rsidP="00C04E6A"/>
    <w:p w:rsidR="00C04E6A" w:rsidRDefault="00C04E6A" w:rsidP="00C04E6A">
      <w:r>
        <w:t>Grant Parsons</w:t>
      </w:r>
    </w:p>
    <w:p w:rsidR="00C04E6A" w:rsidRPr="002B1AFD" w:rsidRDefault="00C04E6A" w:rsidP="00C04E6A">
      <w:pPr>
        <w:rPr>
          <w:b/>
        </w:rPr>
      </w:pPr>
      <w:r w:rsidRPr="002B1AFD">
        <w:rPr>
          <w:b/>
        </w:rPr>
        <w:t>COMMISSIONER OF TERRITORY REVENUE</w:t>
      </w:r>
    </w:p>
    <w:p w:rsidR="00C04E6A" w:rsidRDefault="00C04E6A" w:rsidP="00C04E6A"/>
    <w:p w:rsidR="006034B6" w:rsidRDefault="00C04E6A" w:rsidP="00C04E6A">
      <w:r>
        <w:t>Date of Issue:</w:t>
      </w:r>
      <w:r>
        <w:tab/>
      </w:r>
      <w:r>
        <w:tab/>
      </w:r>
      <w:r w:rsidR="00B62ACE">
        <w:t>14</w:t>
      </w:r>
      <w:r w:rsidR="007578BE">
        <w:t xml:space="preserve"> March 2014</w:t>
      </w:r>
    </w:p>
    <w:tbl>
      <w:tblPr>
        <w:tblStyle w:val="TableGrid"/>
        <w:tblW w:w="0" w:type="auto"/>
        <w:tblBorders>
          <w:left w:val="none" w:sz="0" w:space="0" w:color="auto"/>
          <w:right w:val="none" w:sz="0" w:space="0" w:color="auto"/>
          <w:insideV w:val="none" w:sz="0" w:space="0" w:color="auto"/>
        </w:tblBorders>
        <w:tblCellMar>
          <w:top w:w="62" w:type="dxa"/>
          <w:bottom w:w="62" w:type="dxa"/>
        </w:tblCellMar>
        <w:tblLook w:val="01E0" w:firstRow="1" w:lastRow="1" w:firstColumn="1" w:lastColumn="1" w:noHBand="0" w:noVBand="0"/>
      </w:tblPr>
      <w:tblGrid>
        <w:gridCol w:w="4927"/>
        <w:gridCol w:w="4927"/>
      </w:tblGrid>
      <w:tr w:rsidR="006034B6" w:rsidRPr="00F65356" w:rsidTr="006034B6">
        <w:tc>
          <w:tcPr>
            <w:tcW w:w="9854" w:type="dxa"/>
            <w:gridSpan w:val="2"/>
          </w:tcPr>
          <w:p w:rsidR="006034B6" w:rsidRPr="00F65356" w:rsidRDefault="006034B6" w:rsidP="006034B6">
            <w:pPr>
              <w:rPr>
                <w:sz w:val="20"/>
              </w:rPr>
            </w:pPr>
            <w:r w:rsidRPr="00F65356">
              <w:rPr>
                <w:sz w:val="20"/>
              </w:rPr>
              <w:t>For further information please contact the Territory Revenue Office:</w:t>
            </w:r>
          </w:p>
        </w:tc>
      </w:tr>
      <w:tr w:rsidR="006034B6" w:rsidRPr="00F65356" w:rsidTr="006034B6">
        <w:tc>
          <w:tcPr>
            <w:tcW w:w="4927" w:type="dxa"/>
          </w:tcPr>
          <w:p w:rsidR="006034B6" w:rsidRPr="00F65356" w:rsidRDefault="00112902" w:rsidP="006034B6">
            <w:pPr>
              <w:rPr>
                <w:sz w:val="20"/>
              </w:rPr>
            </w:pPr>
            <w:r>
              <w:rPr>
                <w:sz w:val="20"/>
              </w:rPr>
              <w:t>GPO Box 197</w:t>
            </w:r>
            <w:bookmarkStart w:id="0" w:name="_GoBack"/>
            <w:bookmarkEnd w:id="0"/>
            <w:r w:rsidR="006034B6" w:rsidRPr="00F65356">
              <w:rPr>
                <w:sz w:val="20"/>
              </w:rPr>
              <w:t>4</w:t>
            </w:r>
          </w:p>
          <w:p w:rsidR="006034B6" w:rsidRPr="00F65356" w:rsidRDefault="006034B6" w:rsidP="006034B6">
            <w:pPr>
              <w:rPr>
                <w:sz w:val="20"/>
              </w:rPr>
            </w:pPr>
            <w:r w:rsidRPr="00F65356">
              <w:rPr>
                <w:sz w:val="20"/>
              </w:rPr>
              <w:t>Darwin  NT  0801</w:t>
            </w:r>
          </w:p>
          <w:p w:rsidR="006034B6" w:rsidRPr="00F65356" w:rsidRDefault="006034B6" w:rsidP="00F85133">
            <w:pPr>
              <w:pStyle w:val="BlockText"/>
              <w:numPr>
                <w:ilvl w:val="0"/>
                <w:numId w:val="0"/>
              </w:numPr>
              <w:rPr>
                <w:sz w:val="20"/>
              </w:rPr>
            </w:pPr>
            <w:r w:rsidRPr="00F65356">
              <w:rPr>
                <w:sz w:val="20"/>
              </w:rPr>
              <w:t xml:space="preserve">Email: </w:t>
            </w:r>
            <w:hyperlink r:id="rId14" w:history="1">
              <w:r w:rsidR="009E4A26" w:rsidRPr="00AE32EA">
                <w:rPr>
                  <w:rStyle w:val="Hyperlink"/>
                  <w:sz w:val="20"/>
                </w:rPr>
                <w:t>ntrevenue@nt.gov.au</w:t>
              </w:r>
            </w:hyperlink>
          </w:p>
        </w:tc>
        <w:tc>
          <w:tcPr>
            <w:tcW w:w="4927" w:type="dxa"/>
          </w:tcPr>
          <w:p w:rsidR="006034B6" w:rsidRPr="00F65356" w:rsidRDefault="006034B6" w:rsidP="006034B6">
            <w:pPr>
              <w:rPr>
                <w:sz w:val="20"/>
              </w:rPr>
            </w:pPr>
            <w:r w:rsidRPr="00F65356">
              <w:rPr>
                <w:sz w:val="20"/>
              </w:rPr>
              <w:t>Phone: 1300 305 353</w:t>
            </w:r>
          </w:p>
          <w:p w:rsidR="006034B6" w:rsidRPr="00F65356" w:rsidRDefault="006034B6" w:rsidP="006034B6">
            <w:pPr>
              <w:rPr>
                <w:sz w:val="20"/>
              </w:rPr>
            </w:pPr>
            <w:r w:rsidRPr="00F65356">
              <w:rPr>
                <w:sz w:val="20"/>
              </w:rPr>
              <w:t xml:space="preserve">Website: </w:t>
            </w:r>
            <w:hyperlink r:id="rId15" w:history="1">
              <w:r w:rsidRPr="00F65356">
                <w:rPr>
                  <w:rStyle w:val="Hyperlink"/>
                  <w:sz w:val="20"/>
                </w:rPr>
                <w:t>www.revenue.nt.gov.au</w:t>
              </w:r>
            </w:hyperlink>
          </w:p>
        </w:tc>
      </w:tr>
    </w:tbl>
    <w:p w:rsidR="006034B6" w:rsidRPr="00364D5F" w:rsidRDefault="006034B6" w:rsidP="00364D5F">
      <w:pPr>
        <w:tabs>
          <w:tab w:val="left" w:pos="3090"/>
        </w:tabs>
      </w:pPr>
    </w:p>
    <w:sectPr w:rsidR="006034B6" w:rsidRPr="00364D5F" w:rsidSect="00F65356">
      <w:headerReference w:type="even" r:id="rId16"/>
      <w:headerReference w:type="default" r:id="rId17"/>
      <w:footerReference w:type="default" r:id="rId18"/>
      <w:headerReference w:type="first" r:id="rId19"/>
      <w:footerReference w:type="first" r:id="rId20"/>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697" w:rsidRDefault="00930697">
      <w:r>
        <w:separator/>
      </w:r>
    </w:p>
  </w:endnote>
  <w:endnote w:type="continuationSeparator" w:id="0">
    <w:p w:rsidR="00930697" w:rsidRDefault="0093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364D5F"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112902">
      <w:rPr>
        <w:noProof/>
        <w:sz w:val="16"/>
        <w:szCs w:val="16"/>
      </w:rPr>
      <w:t>3</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112902">
      <w:rPr>
        <w:noProof/>
        <w:sz w:val="16"/>
        <w:szCs w:val="16"/>
      </w:rPr>
      <w:t>4</w:t>
    </w:r>
    <w:r w:rsidRPr="006034B6">
      <w:rPr>
        <w:sz w:val="16"/>
        <w:szCs w:val="16"/>
      </w:rPr>
      <w:fldChar w:fldCharType="end"/>
    </w:r>
    <w:r>
      <w:rPr>
        <w:sz w:val="16"/>
        <w:szCs w:val="16"/>
      </w:rPr>
      <w:tab/>
      <w:t>CG-</w:t>
    </w:r>
    <w:r w:rsidR="00C04E6A">
      <w:rPr>
        <w:sz w:val="16"/>
        <w:szCs w:val="16"/>
      </w:rPr>
      <w:t>SD</w:t>
    </w:r>
    <w:r>
      <w:rPr>
        <w:sz w:val="16"/>
        <w:szCs w:val="16"/>
      </w:rPr>
      <w:t>-</w:t>
    </w:r>
    <w:r w:rsidR="00B61BCE">
      <w:rPr>
        <w:sz w:val="16"/>
        <w:szCs w:val="16"/>
      </w:rPr>
      <w:t>016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6034B6"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112902">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112902">
      <w:rPr>
        <w:noProof/>
        <w:sz w:val="16"/>
        <w:szCs w:val="16"/>
      </w:rPr>
      <w:t>4</w:t>
    </w:r>
    <w:r w:rsidRPr="006034B6">
      <w:rPr>
        <w:sz w:val="16"/>
        <w:szCs w:val="16"/>
      </w:rPr>
      <w:fldChar w:fldCharType="end"/>
    </w:r>
    <w:r>
      <w:rPr>
        <w:sz w:val="16"/>
        <w:szCs w:val="16"/>
      </w:rPr>
      <w:tab/>
      <w:t>CG-</w:t>
    </w:r>
    <w:r w:rsidR="00C04E6A">
      <w:rPr>
        <w:sz w:val="16"/>
        <w:szCs w:val="16"/>
      </w:rPr>
      <w:t>SD-</w:t>
    </w:r>
    <w:r w:rsidR="00B61BCE">
      <w:rPr>
        <w:sz w:val="16"/>
        <w:szCs w:val="16"/>
      </w:rPr>
      <w:t>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697" w:rsidRDefault="00930697">
      <w:r>
        <w:separator/>
      </w:r>
    </w:p>
  </w:footnote>
  <w:footnote w:type="continuationSeparator" w:id="0">
    <w:p w:rsidR="00930697" w:rsidRDefault="00930697">
      <w:r>
        <w:continuationSeparator/>
      </w:r>
    </w:p>
  </w:footnote>
  <w:footnote w:id="1">
    <w:p w:rsidR="00C04E6A" w:rsidRPr="00C04E6A" w:rsidRDefault="00C04E6A" w:rsidP="00C04E6A">
      <w:pPr>
        <w:pStyle w:val="FootnoteText"/>
        <w:rPr>
          <w:rFonts w:ascii="Arial" w:hAnsi="Arial" w:cs="Arial"/>
        </w:rPr>
      </w:pPr>
      <w:r w:rsidRPr="00C04E6A">
        <w:rPr>
          <w:rStyle w:val="FootnoteReference"/>
          <w:rFonts w:ascii="Arial" w:hAnsi="Arial" w:cs="Arial"/>
        </w:rPr>
        <w:footnoteRef/>
      </w:r>
      <w:r w:rsidRPr="00C04E6A">
        <w:rPr>
          <w:rFonts w:ascii="Arial" w:hAnsi="Arial" w:cs="Arial"/>
        </w:rPr>
        <w:t xml:space="preserve"> Section 4(1) of the SDA.</w:t>
      </w:r>
    </w:p>
  </w:footnote>
  <w:footnote w:id="2">
    <w:p w:rsidR="00C04E6A" w:rsidRPr="00C04E6A" w:rsidRDefault="00C04E6A" w:rsidP="00C04E6A">
      <w:pPr>
        <w:pStyle w:val="FootnoteText"/>
        <w:rPr>
          <w:rFonts w:ascii="Arial" w:hAnsi="Arial" w:cs="Arial"/>
        </w:rPr>
      </w:pPr>
      <w:r w:rsidRPr="00C04E6A">
        <w:rPr>
          <w:rStyle w:val="FootnoteReference"/>
          <w:rFonts w:ascii="Arial" w:hAnsi="Arial" w:cs="Arial"/>
        </w:rPr>
        <w:footnoteRef/>
      </w:r>
      <w:r w:rsidRPr="00C04E6A">
        <w:rPr>
          <w:rFonts w:ascii="Arial" w:hAnsi="Arial" w:cs="Arial"/>
        </w:rPr>
        <w:t xml:space="preserve"> Section 4AB(4) of the SDA.</w:t>
      </w:r>
    </w:p>
  </w:footnote>
  <w:footnote w:id="3">
    <w:p w:rsidR="00256610" w:rsidRDefault="00256610" w:rsidP="00256610">
      <w:pPr>
        <w:pStyle w:val="FootnoteText"/>
      </w:pPr>
      <w:r w:rsidRPr="00C04E6A">
        <w:rPr>
          <w:rStyle w:val="FootnoteReference"/>
          <w:rFonts w:ascii="Arial" w:hAnsi="Arial" w:cs="Arial"/>
        </w:rPr>
        <w:footnoteRef/>
      </w:r>
      <w:r w:rsidRPr="00C04E6A">
        <w:rPr>
          <w:rFonts w:ascii="Arial" w:hAnsi="Arial" w:cs="Arial"/>
        </w:rPr>
        <w:t xml:space="preserve"> Section 4AB(5) of the SDA.</w:t>
      </w:r>
    </w:p>
  </w:footnote>
  <w:footnote w:id="4">
    <w:p w:rsidR="00C04E6A" w:rsidRPr="00C04E6A" w:rsidRDefault="00C04E6A" w:rsidP="00C04E6A">
      <w:pPr>
        <w:pStyle w:val="FootnoteText"/>
        <w:rPr>
          <w:rFonts w:ascii="Arial" w:hAnsi="Arial" w:cs="Arial"/>
        </w:rPr>
      </w:pPr>
      <w:r w:rsidRPr="00C04E6A">
        <w:rPr>
          <w:rStyle w:val="FootnoteReference"/>
          <w:rFonts w:ascii="Arial" w:hAnsi="Arial" w:cs="Arial"/>
        </w:rPr>
        <w:footnoteRef/>
      </w:r>
      <w:r w:rsidRPr="00C04E6A">
        <w:rPr>
          <w:rFonts w:ascii="Arial" w:hAnsi="Arial" w:cs="Arial"/>
        </w:rPr>
        <w:t xml:space="preserve"> Section 31(1) of the MTA.</w:t>
      </w:r>
    </w:p>
  </w:footnote>
  <w:footnote w:id="5">
    <w:p w:rsidR="00C04E6A" w:rsidRPr="00C04E6A" w:rsidRDefault="00C04E6A" w:rsidP="00C04E6A">
      <w:pPr>
        <w:pStyle w:val="FootnoteText"/>
        <w:rPr>
          <w:rFonts w:ascii="Arial" w:hAnsi="Arial" w:cs="Arial"/>
        </w:rPr>
      </w:pPr>
      <w:r w:rsidRPr="00C04E6A">
        <w:rPr>
          <w:rStyle w:val="FootnoteReference"/>
          <w:rFonts w:ascii="Arial" w:hAnsi="Arial" w:cs="Arial"/>
        </w:rPr>
        <w:footnoteRef/>
      </w:r>
      <w:r w:rsidRPr="00C04E6A">
        <w:rPr>
          <w:rFonts w:ascii="Arial" w:hAnsi="Arial" w:cs="Arial"/>
        </w:rPr>
        <w:t xml:space="preserve"> Section 32(2) of the MTA.</w:t>
      </w:r>
    </w:p>
  </w:footnote>
  <w:footnote w:id="6">
    <w:p w:rsidR="00C04E6A" w:rsidRPr="00C04E6A" w:rsidRDefault="00C04E6A" w:rsidP="00C04E6A">
      <w:pPr>
        <w:pStyle w:val="FootnoteText"/>
        <w:rPr>
          <w:rFonts w:ascii="Arial" w:hAnsi="Arial" w:cs="Arial"/>
        </w:rPr>
      </w:pPr>
      <w:r w:rsidRPr="00C04E6A">
        <w:rPr>
          <w:rStyle w:val="FootnoteReference"/>
          <w:rFonts w:ascii="Arial" w:hAnsi="Arial" w:cs="Arial"/>
        </w:rPr>
        <w:footnoteRef/>
      </w:r>
      <w:r w:rsidRPr="00C04E6A">
        <w:rPr>
          <w:rFonts w:ascii="Arial" w:hAnsi="Arial" w:cs="Arial"/>
        </w:rPr>
        <w:t xml:space="preserve"> Section 13(3) of the MTA.</w:t>
      </w:r>
    </w:p>
  </w:footnote>
  <w:footnote w:id="7">
    <w:p w:rsidR="00C04E6A" w:rsidRDefault="00C04E6A" w:rsidP="00C04E6A">
      <w:pPr>
        <w:pStyle w:val="FootnoteText"/>
      </w:pPr>
      <w:r w:rsidRPr="00C04E6A">
        <w:rPr>
          <w:rStyle w:val="FootnoteReference"/>
          <w:rFonts w:ascii="Arial" w:hAnsi="Arial" w:cs="Arial"/>
        </w:rPr>
        <w:footnoteRef/>
      </w:r>
      <w:r w:rsidRPr="00C04E6A">
        <w:rPr>
          <w:rFonts w:ascii="Arial" w:hAnsi="Arial" w:cs="Arial"/>
        </w:rPr>
        <w:t xml:space="preserve"> Section 48 of the MTA.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5A49" w:rsidRDefault="00945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Pr="003765CD" w:rsidRDefault="00945A49"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19571B">
    <w:pPr>
      <w:pStyle w:val="NTTHeaderInfo"/>
      <w:rPr>
        <w:b/>
        <w:noProof/>
      </w:rPr>
    </w:pPr>
  </w:p>
  <w:p w:rsidR="00945A49" w:rsidRDefault="00945A49" w:rsidP="0019571B">
    <w:pPr>
      <w:pStyle w:val="NTTHeaderInfo"/>
      <w:rPr>
        <w:b/>
        <w:noProof/>
      </w:rPr>
    </w:pPr>
  </w:p>
  <w:p w:rsidR="00945A49" w:rsidRDefault="009E4A26" w:rsidP="0019571B">
    <w:pPr>
      <w:pStyle w:val="NTTHeaderInfo"/>
      <w:rPr>
        <w:b/>
        <w:noProof/>
      </w:rPr>
    </w:pPr>
    <w:r>
      <w:rPr>
        <w:noProof/>
      </w:rPr>
      <w:drawing>
        <wp:anchor distT="0" distB="0" distL="114300" distR="115443" simplePos="0" relativeHeight="251659264" behindDoc="1" locked="0" layoutInCell="0" allowOverlap="1">
          <wp:simplePos x="0" y="0"/>
          <wp:positionH relativeFrom="page">
            <wp:posOffset>180975</wp:posOffset>
          </wp:positionH>
          <wp:positionV relativeFrom="page">
            <wp:posOffset>200660</wp:posOffset>
          </wp:positionV>
          <wp:extent cx="7180072" cy="891540"/>
          <wp:effectExtent l="0" t="0" r="1905" b="3810"/>
          <wp:wrapNone/>
          <wp:docPr id="5" name="Picture 4" descr="DTF Header" title="DTF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DTF Header" title="DTF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9945" cy="891540"/>
                  </a:xfrm>
                  <a:prstGeom prst="rect">
                    <a:avLst/>
                  </a:prstGeom>
                  <a:noFill/>
                </pic:spPr>
              </pic:pic>
            </a:graphicData>
          </a:graphic>
          <wp14:sizeRelH relativeFrom="page">
            <wp14:pctWidth>0</wp14:pctWidth>
          </wp14:sizeRelH>
          <wp14:sizeRelV relativeFrom="page">
            <wp14:pctHeight>0</wp14:pctHeight>
          </wp14:sizeRelV>
        </wp:anchor>
      </w:drawing>
    </w:r>
  </w:p>
  <w:p w:rsidR="00945A49" w:rsidRDefault="00945A49">
    <w:pPr>
      <w:pStyle w:val="Header"/>
    </w:pPr>
  </w:p>
  <w:p w:rsidR="00945A49" w:rsidRDefault="00945A49">
    <w:pPr>
      <w:pStyle w:val="Header"/>
    </w:pPr>
  </w:p>
  <w:p w:rsidR="00945A49" w:rsidRDefault="00945A49">
    <w:pPr>
      <w:pStyle w:val="Header"/>
    </w:pPr>
  </w:p>
  <w:p w:rsidR="00F65356" w:rsidRDefault="00F65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88F6EEB2"/>
    <w:numStyleLink w:val="Text"/>
  </w:abstractNum>
  <w:abstractNum w:abstractNumId="3" w15:restartNumberingAfterBreak="0">
    <w:nsid w:val="1C93726B"/>
    <w:multiLevelType w:val="hybridMultilevel"/>
    <w:tmpl w:val="8BD02BDC"/>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24852971"/>
    <w:multiLevelType w:val="hybridMultilevel"/>
    <w:tmpl w:val="F7980448"/>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5DC2B5F"/>
    <w:multiLevelType w:val="hybridMultilevel"/>
    <w:tmpl w:val="37948900"/>
    <w:lvl w:ilvl="0" w:tplc="C4966800">
      <w:start w:val="1"/>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0457405"/>
    <w:multiLevelType w:val="hybridMultilevel"/>
    <w:tmpl w:val="50543452"/>
    <w:lvl w:ilvl="0" w:tplc="C4966800">
      <w:start w:val="1"/>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0"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C1F33"/>
    <w:multiLevelType w:val="hybridMultilevel"/>
    <w:tmpl w:val="4E3836A6"/>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7294591F"/>
    <w:multiLevelType w:val="multilevel"/>
    <w:tmpl w:val="88F6EEB2"/>
    <w:numStyleLink w:val="Text"/>
  </w:abstractNum>
  <w:abstractNum w:abstractNumId="13" w15:restartNumberingAfterBreak="0">
    <w:nsid w:val="73A666D4"/>
    <w:multiLevelType w:val="hybridMultilevel"/>
    <w:tmpl w:val="22BC0B90"/>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76B130DC"/>
    <w:multiLevelType w:val="hybridMultilevel"/>
    <w:tmpl w:val="407C2A52"/>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79AF07B4"/>
    <w:multiLevelType w:val="hybridMultilevel"/>
    <w:tmpl w:val="62B88C52"/>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7CEB26F3"/>
    <w:multiLevelType w:val="hybridMultilevel"/>
    <w:tmpl w:val="FBBC05EC"/>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4"/>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num>
  <w:num w:numId="5">
    <w:abstractNumId w:val="2"/>
  </w:num>
  <w:num w:numId="6">
    <w:abstractNumId w:val="9"/>
  </w:num>
  <w:num w:numId="7">
    <w:abstractNumId w:val="10"/>
  </w:num>
  <w:num w:numId="8">
    <w:abstractNumId w:val="0"/>
  </w:num>
  <w:num w:numId="9">
    <w:abstractNumId w:val="15"/>
  </w:num>
  <w:num w:numId="10">
    <w:abstractNumId w:val="11"/>
  </w:num>
  <w:num w:numId="11">
    <w:abstractNumId w:val="3"/>
  </w:num>
  <w:num w:numId="12">
    <w:abstractNumId w:val="6"/>
  </w:num>
  <w:num w:numId="13">
    <w:abstractNumId w:val="7"/>
  </w:num>
  <w:num w:numId="14">
    <w:abstractNumId w:val="13"/>
  </w:num>
  <w:num w:numId="15">
    <w:abstractNumId w:val="14"/>
  </w:num>
  <w:num w:numId="16">
    <w:abstractNumId w:val="16"/>
  </w:num>
  <w:num w:numId="17">
    <w:abstractNumId w:val="5"/>
  </w:num>
  <w:num w:numId="18">
    <w:abstractNumId w:val="4"/>
  </w:num>
  <w:num w:numId="19">
    <w:abstractNumId w:val="4"/>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0">
    <w:abstractNumId w:val="4"/>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1">
    <w:abstractNumId w:val="4"/>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2">
    <w:abstractNumId w:val="4"/>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3">
    <w:abstractNumId w:val="4"/>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BxL9uIzNTZqd8HdWotXsfsX3yl/nZ6f9Q8VFLtX/XCwCrE39SeHlSk0YeBHMfouwelAZJAwwTeeZneKTDsysRQ==" w:salt="E71a6Bvp9CM6Sv8dYkY4K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A26"/>
    <w:rsid w:val="000060BF"/>
    <w:rsid w:val="000064CB"/>
    <w:rsid w:val="000104AB"/>
    <w:rsid w:val="00010EEA"/>
    <w:rsid w:val="0002150C"/>
    <w:rsid w:val="00022413"/>
    <w:rsid w:val="00023645"/>
    <w:rsid w:val="00025614"/>
    <w:rsid w:val="000302C0"/>
    <w:rsid w:val="000333C6"/>
    <w:rsid w:val="000376B2"/>
    <w:rsid w:val="000424F1"/>
    <w:rsid w:val="00042BC9"/>
    <w:rsid w:val="00045CCE"/>
    <w:rsid w:val="00046838"/>
    <w:rsid w:val="0005160E"/>
    <w:rsid w:val="00054E58"/>
    <w:rsid w:val="00055A15"/>
    <w:rsid w:val="00055F6E"/>
    <w:rsid w:val="000567BE"/>
    <w:rsid w:val="0005747B"/>
    <w:rsid w:val="00063A93"/>
    <w:rsid w:val="00063EAC"/>
    <w:rsid w:val="00067AE5"/>
    <w:rsid w:val="00070001"/>
    <w:rsid w:val="000755D7"/>
    <w:rsid w:val="000759CA"/>
    <w:rsid w:val="00081963"/>
    <w:rsid w:val="00081984"/>
    <w:rsid w:val="000917B2"/>
    <w:rsid w:val="00094D2B"/>
    <w:rsid w:val="000968BE"/>
    <w:rsid w:val="000A058E"/>
    <w:rsid w:val="000A1789"/>
    <w:rsid w:val="000A57FE"/>
    <w:rsid w:val="000A5BAB"/>
    <w:rsid w:val="000A5FAF"/>
    <w:rsid w:val="000A7ABD"/>
    <w:rsid w:val="000B1FE4"/>
    <w:rsid w:val="000C0DD5"/>
    <w:rsid w:val="000C2C04"/>
    <w:rsid w:val="000C3AD0"/>
    <w:rsid w:val="000C5DAB"/>
    <w:rsid w:val="000D21B9"/>
    <w:rsid w:val="000D4683"/>
    <w:rsid w:val="000D760C"/>
    <w:rsid w:val="000E26E6"/>
    <w:rsid w:val="000E4D8E"/>
    <w:rsid w:val="000F4476"/>
    <w:rsid w:val="000F7515"/>
    <w:rsid w:val="00111DE1"/>
    <w:rsid w:val="00112237"/>
    <w:rsid w:val="00112902"/>
    <w:rsid w:val="001171EA"/>
    <w:rsid w:val="00117E21"/>
    <w:rsid w:val="00117F5D"/>
    <w:rsid w:val="00120400"/>
    <w:rsid w:val="0012101B"/>
    <w:rsid w:val="0012610A"/>
    <w:rsid w:val="001271FF"/>
    <w:rsid w:val="0013250A"/>
    <w:rsid w:val="00134634"/>
    <w:rsid w:val="00135C96"/>
    <w:rsid w:val="001364CD"/>
    <w:rsid w:val="001407E2"/>
    <w:rsid w:val="001422DD"/>
    <w:rsid w:val="001521B6"/>
    <w:rsid w:val="00153959"/>
    <w:rsid w:val="00153AFD"/>
    <w:rsid w:val="001545F9"/>
    <w:rsid w:val="001579C2"/>
    <w:rsid w:val="00160881"/>
    <w:rsid w:val="0016262C"/>
    <w:rsid w:val="00164258"/>
    <w:rsid w:val="00164A3A"/>
    <w:rsid w:val="00166509"/>
    <w:rsid w:val="00176573"/>
    <w:rsid w:val="0018229E"/>
    <w:rsid w:val="00184056"/>
    <w:rsid w:val="00184984"/>
    <w:rsid w:val="00184B7C"/>
    <w:rsid w:val="00187674"/>
    <w:rsid w:val="00192F6F"/>
    <w:rsid w:val="0019571B"/>
    <w:rsid w:val="00196C1B"/>
    <w:rsid w:val="001971A1"/>
    <w:rsid w:val="0019771F"/>
    <w:rsid w:val="001A6196"/>
    <w:rsid w:val="001B71AE"/>
    <w:rsid w:val="001B7AC7"/>
    <w:rsid w:val="001C422C"/>
    <w:rsid w:val="001C4568"/>
    <w:rsid w:val="001D27E9"/>
    <w:rsid w:val="001D4089"/>
    <w:rsid w:val="001D5A9F"/>
    <w:rsid w:val="001D6742"/>
    <w:rsid w:val="001D69E9"/>
    <w:rsid w:val="001D7DC4"/>
    <w:rsid w:val="001E3578"/>
    <w:rsid w:val="001E6135"/>
    <w:rsid w:val="001F4991"/>
    <w:rsid w:val="001F5273"/>
    <w:rsid w:val="001F60FE"/>
    <w:rsid w:val="001F6B23"/>
    <w:rsid w:val="001F7B6E"/>
    <w:rsid w:val="0020232B"/>
    <w:rsid w:val="00204372"/>
    <w:rsid w:val="002048E7"/>
    <w:rsid w:val="00207E37"/>
    <w:rsid w:val="00210686"/>
    <w:rsid w:val="002115E6"/>
    <w:rsid w:val="00211ADE"/>
    <w:rsid w:val="00215A9D"/>
    <w:rsid w:val="0021684D"/>
    <w:rsid w:val="00220E1E"/>
    <w:rsid w:val="00221114"/>
    <w:rsid w:val="0022361B"/>
    <w:rsid w:val="00224644"/>
    <w:rsid w:val="0022584E"/>
    <w:rsid w:val="002306CE"/>
    <w:rsid w:val="0023083D"/>
    <w:rsid w:val="002374AC"/>
    <w:rsid w:val="00237B7C"/>
    <w:rsid w:val="00242910"/>
    <w:rsid w:val="002440CC"/>
    <w:rsid w:val="0024555A"/>
    <w:rsid w:val="002466CE"/>
    <w:rsid w:val="002524C0"/>
    <w:rsid w:val="002526A8"/>
    <w:rsid w:val="00252EA3"/>
    <w:rsid w:val="0025439F"/>
    <w:rsid w:val="002545A4"/>
    <w:rsid w:val="002546CB"/>
    <w:rsid w:val="002548C6"/>
    <w:rsid w:val="002555DE"/>
    <w:rsid w:val="00256610"/>
    <w:rsid w:val="00271740"/>
    <w:rsid w:val="0027710E"/>
    <w:rsid w:val="002863EF"/>
    <w:rsid w:val="00295BEF"/>
    <w:rsid w:val="00297E74"/>
    <w:rsid w:val="002A03A5"/>
    <w:rsid w:val="002A3775"/>
    <w:rsid w:val="002A5567"/>
    <w:rsid w:val="002A5623"/>
    <w:rsid w:val="002A7D1F"/>
    <w:rsid w:val="002B1738"/>
    <w:rsid w:val="002B1AFD"/>
    <w:rsid w:val="002C0386"/>
    <w:rsid w:val="002C1DA7"/>
    <w:rsid w:val="002C267D"/>
    <w:rsid w:val="002D4686"/>
    <w:rsid w:val="002D6B9D"/>
    <w:rsid w:val="002D7B81"/>
    <w:rsid w:val="002E1CE1"/>
    <w:rsid w:val="00301586"/>
    <w:rsid w:val="00307F79"/>
    <w:rsid w:val="00311AB6"/>
    <w:rsid w:val="00311AE7"/>
    <w:rsid w:val="00314B99"/>
    <w:rsid w:val="00314C98"/>
    <w:rsid w:val="00314E75"/>
    <w:rsid w:val="00323FDD"/>
    <w:rsid w:val="00327C11"/>
    <w:rsid w:val="00330CA3"/>
    <w:rsid w:val="00332D45"/>
    <w:rsid w:val="00340212"/>
    <w:rsid w:val="00343BDF"/>
    <w:rsid w:val="003455BA"/>
    <w:rsid w:val="003458E7"/>
    <w:rsid w:val="00350C52"/>
    <w:rsid w:val="00350DA3"/>
    <w:rsid w:val="0035373D"/>
    <w:rsid w:val="00354185"/>
    <w:rsid w:val="00354627"/>
    <w:rsid w:val="00355A73"/>
    <w:rsid w:val="00355AD3"/>
    <w:rsid w:val="003566B4"/>
    <w:rsid w:val="003627B1"/>
    <w:rsid w:val="0036360A"/>
    <w:rsid w:val="003649F0"/>
    <w:rsid w:val="00364D5F"/>
    <w:rsid w:val="00365875"/>
    <w:rsid w:val="003659AD"/>
    <w:rsid w:val="00371470"/>
    <w:rsid w:val="00371523"/>
    <w:rsid w:val="00371DC6"/>
    <w:rsid w:val="00371E1A"/>
    <w:rsid w:val="003765CD"/>
    <w:rsid w:val="00385103"/>
    <w:rsid w:val="00386424"/>
    <w:rsid w:val="00386D5A"/>
    <w:rsid w:val="0038749B"/>
    <w:rsid w:val="00393DD6"/>
    <w:rsid w:val="00394D70"/>
    <w:rsid w:val="0039737A"/>
    <w:rsid w:val="003A525E"/>
    <w:rsid w:val="003A6A17"/>
    <w:rsid w:val="003A7455"/>
    <w:rsid w:val="003B21D5"/>
    <w:rsid w:val="003B4A50"/>
    <w:rsid w:val="003B4C4C"/>
    <w:rsid w:val="003B680A"/>
    <w:rsid w:val="003C1073"/>
    <w:rsid w:val="003C6832"/>
    <w:rsid w:val="003D0F41"/>
    <w:rsid w:val="003D26A8"/>
    <w:rsid w:val="003D3D24"/>
    <w:rsid w:val="003D400C"/>
    <w:rsid w:val="003D5245"/>
    <w:rsid w:val="003E23F6"/>
    <w:rsid w:val="003E5274"/>
    <w:rsid w:val="003E62DE"/>
    <w:rsid w:val="003F16C0"/>
    <w:rsid w:val="003F5E2C"/>
    <w:rsid w:val="003F70DD"/>
    <w:rsid w:val="003F7195"/>
    <w:rsid w:val="003F73D3"/>
    <w:rsid w:val="003F7433"/>
    <w:rsid w:val="003F7BDE"/>
    <w:rsid w:val="00401F0A"/>
    <w:rsid w:val="00402733"/>
    <w:rsid w:val="00403A7E"/>
    <w:rsid w:val="004050CF"/>
    <w:rsid w:val="0041111B"/>
    <w:rsid w:val="004124F6"/>
    <w:rsid w:val="00412F76"/>
    <w:rsid w:val="004130A1"/>
    <w:rsid w:val="0041454C"/>
    <w:rsid w:val="004154A9"/>
    <w:rsid w:val="0041637D"/>
    <w:rsid w:val="0041795D"/>
    <w:rsid w:val="00424DCE"/>
    <w:rsid w:val="004302A2"/>
    <w:rsid w:val="00430725"/>
    <w:rsid w:val="00431E0A"/>
    <w:rsid w:val="00432945"/>
    <w:rsid w:val="00434F1E"/>
    <w:rsid w:val="004362E6"/>
    <w:rsid w:val="004379E6"/>
    <w:rsid w:val="004407DC"/>
    <w:rsid w:val="0045415A"/>
    <w:rsid w:val="0045697A"/>
    <w:rsid w:val="00456CDA"/>
    <w:rsid w:val="004572A6"/>
    <w:rsid w:val="00461243"/>
    <w:rsid w:val="00463743"/>
    <w:rsid w:val="004646F7"/>
    <w:rsid w:val="00465AB2"/>
    <w:rsid w:val="00466FB5"/>
    <w:rsid w:val="00470036"/>
    <w:rsid w:val="004707BC"/>
    <w:rsid w:val="004726D4"/>
    <w:rsid w:val="00473F14"/>
    <w:rsid w:val="004742EA"/>
    <w:rsid w:val="004743B6"/>
    <w:rsid w:val="00474B80"/>
    <w:rsid w:val="00476314"/>
    <w:rsid w:val="00481F7B"/>
    <w:rsid w:val="00482184"/>
    <w:rsid w:val="00482C30"/>
    <w:rsid w:val="00490396"/>
    <w:rsid w:val="0049040E"/>
    <w:rsid w:val="004909A0"/>
    <w:rsid w:val="00492379"/>
    <w:rsid w:val="004941E5"/>
    <w:rsid w:val="00494D6F"/>
    <w:rsid w:val="004A5CE6"/>
    <w:rsid w:val="004A60E1"/>
    <w:rsid w:val="004B003D"/>
    <w:rsid w:val="004B39EB"/>
    <w:rsid w:val="004B4B9D"/>
    <w:rsid w:val="004C0D46"/>
    <w:rsid w:val="004C12DE"/>
    <w:rsid w:val="004C5782"/>
    <w:rsid w:val="004C5891"/>
    <w:rsid w:val="004C6027"/>
    <w:rsid w:val="004D04AA"/>
    <w:rsid w:val="004D3B44"/>
    <w:rsid w:val="004D7454"/>
    <w:rsid w:val="004E09CA"/>
    <w:rsid w:val="004E391B"/>
    <w:rsid w:val="004E502F"/>
    <w:rsid w:val="004E5F24"/>
    <w:rsid w:val="004E69E8"/>
    <w:rsid w:val="004F103E"/>
    <w:rsid w:val="00500BE6"/>
    <w:rsid w:val="0050534D"/>
    <w:rsid w:val="0051194C"/>
    <w:rsid w:val="00513926"/>
    <w:rsid w:val="00516D27"/>
    <w:rsid w:val="00517382"/>
    <w:rsid w:val="005205CA"/>
    <w:rsid w:val="00520F76"/>
    <w:rsid w:val="00522191"/>
    <w:rsid w:val="00525881"/>
    <w:rsid w:val="0052614B"/>
    <w:rsid w:val="0052675D"/>
    <w:rsid w:val="00526B7A"/>
    <w:rsid w:val="00530165"/>
    <w:rsid w:val="005302CE"/>
    <w:rsid w:val="00532754"/>
    <w:rsid w:val="00536F37"/>
    <w:rsid w:val="00537837"/>
    <w:rsid w:val="005400EA"/>
    <w:rsid w:val="005419BC"/>
    <w:rsid w:val="005428F8"/>
    <w:rsid w:val="00542966"/>
    <w:rsid w:val="00545D20"/>
    <w:rsid w:val="005475C0"/>
    <w:rsid w:val="00547681"/>
    <w:rsid w:val="00551CBC"/>
    <w:rsid w:val="00555249"/>
    <w:rsid w:val="0056224B"/>
    <w:rsid w:val="005628C3"/>
    <w:rsid w:val="00566890"/>
    <w:rsid w:val="005707AB"/>
    <w:rsid w:val="00572867"/>
    <w:rsid w:val="00573A16"/>
    <w:rsid w:val="0058140E"/>
    <w:rsid w:val="00581D64"/>
    <w:rsid w:val="00582D7B"/>
    <w:rsid w:val="005855C5"/>
    <w:rsid w:val="0058646E"/>
    <w:rsid w:val="00587446"/>
    <w:rsid w:val="00596353"/>
    <w:rsid w:val="00596B7E"/>
    <w:rsid w:val="005A0101"/>
    <w:rsid w:val="005A6A98"/>
    <w:rsid w:val="005A6EAB"/>
    <w:rsid w:val="005B03D6"/>
    <w:rsid w:val="005B3B6D"/>
    <w:rsid w:val="005B4114"/>
    <w:rsid w:val="005B419B"/>
    <w:rsid w:val="005B43D5"/>
    <w:rsid w:val="005B4B9A"/>
    <w:rsid w:val="005B5511"/>
    <w:rsid w:val="005D0992"/>
    <w:rsid w:val="005D3D06"/>
    <w:rsid w:val="005D4468"/>
    <w:rsid w:val="005D54FC"/>
    <w:rsid w:val="005E5A0B"/>
    <w:rsid w:val="005E722D"/>
    <w:rsid w:val="005F0CAA"/>
    <w:rsid w:val="005F1765"/>
    <w:rsid w:val="005F21D9"/>
    <w:rsid w:val="006023B8"/>
    <w:rsid w:val="0060284F"/>
    <w:rsid w:val="006034B6"/>
    <w:rsid w:val="00605813"/>
    <w:rsid w:val="00605CAB"/>
    <w:rsid w:val="006102F8"/>
    <w:rsid w:val="00612FBB"/>
    <w:rsid w:val="0061625F"/>
    <w:rsid w:val="006226DC"/>
    <w:rsid w:val="00623756"/>
    <w:rsid w:val="00624CDA"/>
    <w:rsid w:val="00626B28"/>
    <w:rsid w:val="00630FFB"/>
    <w:rsid w:val="00632A1A"/>
    <w:rsid w:val="00634CF3"/>
    <w:rsid w:val="00635C62"/>
    <w:rsid w:val="00635F78"/>
    <w:rsid w:val="00645230"/>
    <w:rsid w:val="00645F0D"/>
    <w:rsid w:val="006501B7"/>
    <w:rsid w:val="00654280"/>
    <w:rsid w:val="006552F7"/>
    <w:rsid w:val="006575EA"/>
    <w:rsid w:val="0066709F"/>
    <w:rsid w:val="006831AE"/>
    <w:rsid w:val="0069461E"/>
    <w:rsid w:val="006A180E"/>
    <w:rsid w:val="006A21A5"/>
    <w:rsid w:val="006A30C4"/>
    <w:rsid w:val="006A356D"/>
    <w:rsid w:val="006B002A"/>
    <w:rsid w:val="006B0776"/>
    <w:rsid w:val="006B19DB"/>
    <w:rsid w:val="006B3D13"/>
    <w:rsid w:val="006B455C"/>
    <w:rsid w:val="006B605D"/>
    <w:rsid w:val="006B7698"/>
    <w:rsid w:val="006C05D0"/>
    <w:rsid w:val="006C1229"/>
    <w:rsid w:val="006C12B1"/>
    <w:rsid w:val="006C360A"/>
    <w:rsid w:val="006D0C05"/>
    <w:rsid w:val="006D19A1"/>
    <w:rsid w:val="006D34E1"/>
    <w:rsid w:val="006D7D4A"/>
    <w:rsid w:val="006E03DB"/>
    <w:rsid w:val="006E0735"/>
    <w:rsid w:val="006E32F6"/>
    <w:rsid w:val="006E3A88"/>
    <w:rsid w:val="006E3FC6"/>
    <w:rsid w:val="006E79AA"/>
    <w:rsid w:val="006F1AB6"/>
    <w:rsid w:val="006F56AA"/>
    <w:rsid w:val="006F5C85"/>
    <w:rsid w:val="00700C9F"/>
    <w:rsid w:val="00703666"/>
    <w:rsid w:val="0070603B"/>
    <w:rsid w:val="00706F00"/>
    <w:rsid w:val="007116B6"/>
    <w:rsid w:val="00713E0D"/>
    <w:rsid w:val="00720153"/>
    <w:rsid w:val="00724967"/>
    <w:rsid w:val="00731530"/>
    <w:rsid w:val="00736DB7"/>
    <w:rsid w:val="0074419C"/>
    <w:rsid w:val="007445E4"/>
    <w:rsid w:val="007501B1"/>
    <w:rsid w:val="0075176D"/>
    <w:rsid w:val="0075179B"/>
    <w:rsid w:val="007553B7"/>
    <w:rsid w:val="00755BFC"/>
    <w:rsid w:val="007572CE"/>
    <w:rsid w:val="00757465"/>
    <w:rsid w:val="007578BE"/>
    <w:rsid w:val="00761932"/>
    <w:rsid w:val="00762067"/>
    <w:rsid w:val="00762918"/>
    <w:rsid w:val="00762969"/>
    <w:rsid w:val="00763A20"/>
    <w:rsid w:val="00767E45"/>
    <w:rsid w:val="007719DE"/>
    <w:rsid w:val="007735E7"/>
    <w:rsid w:val="00773B36"/>
    <w:rsid w:val="00777491"/>
    <w:rsid w:val="00780551"/>
    <w:rsid w:val="00780AC1"/>
    <w:rsid w:val="00780F8C"/>
    <w:rsid w:val="007817A1"/>
    <w:rsid w:val="007829AE"/>
    <w:rsid w:val="00784A94"/>
    <w:rsid w:val="00787076"/>
    <w:rsid w:val="00791ACA"/>
    <w:rsid w:val="00797A22"/>
    <w:rsid w:val="007A07E8"/>
    <w:rsid w:val="007A442B"/>
    <w:rsid w:val="007A553D"/>
    <w:rsid w:val="007B1307"/>
    <w:rsid w:val="007B51DD"/>
    <w:rsid w:val="007B7CC0"/>
    <w:rsid w:val="007C0E96"/>
    <w:rsid w:val="007C1D40"/>
    <w:rsid w:val="007C4B87"/>
    <w:rsid w:val="007C62CA"/>
    <w:rsid w:val="007C71F4"/>
    <w:rsid w:val="007D290F"/>
    <w:rsid w:val="007D34CA"/>
    <w:rsid w:val="007D40A4"/>
    <w:rsid w:val="007D4D03"/>
    <w:rsid w:val="007D7071"/>
    <w:rsid w:val="007E4470"/>
    <w:rsid w:val="007E6321"/>
    <w:rsid w:val="007E6726"/>
    <w:rsid w:val="007F0790"/>
    <w:rsid w:val="007F10F3"/>
    <w:rsid w:val="007F23CE"/>
    <w:rsid w:val="007F3D47"/>
    <w:rsid w:val="007F458D"/>
    <w:rsid w:val="007F5FDB"/>
    <w:rsid w:val="007F658A"/>
    <w:rsid w:val="007F78D8"/>
    <w:rsid w:val="008049A2"/>
    <w:rsid w:val="00807DD2"/>
    <w:rsid w:val="0081131C"/>
    <w:rsid w:val="00821BA6"/>
    <w:rsid w:val="00824BAA"/>
    <w:rsid w:val="00824DF7"/>
    <w:rsid w:val="00827A50"/>
    <w:rsid w:val="008323D0"/>
    <w:rsid w:val="00832DC1"/>
    <w:rsid w:val="0084462A"/>
    <w:rsid w:val="008525BF"/>
    <w:rsid w:val="00854345"/>
    <w:rsid w:val="00855DA8"/>
    <w:rsid w:val="008618DE"/>
    <w:rsid w:val="008642D5"/>
    <w:rsid w:val="00864645"/>
    <w:rsid w:val="00865384"/>
    <w:rsid w:val="00866773"/>
    <w:rsid w:val="008719E7"/>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7265"/>
    <w:rsid w:val="008B23E9"/>
    <w:rsid w:val="008B3039"/>
    <w:rsid w:val="008C0559"/>
    <w:rsid w:val="008C1207"/>
    <w:rsid w:val="008C3763"/>
    <w:rsid w:val="008D038F"/>
    <w:rsid w:val="008D0BA9"/>
    <w:rsid w:val="008D2392"/>
    <w:rsid w:val="008D5BB0"/>
    <w:rsid w:val="008D7117"/>
    <w:rsid w:val="008E1DC7"/>
    <w:rsid w:val="008E5AC0"/>
    <w:rsid w:val="008E6244"/>
    <w:rsid w:val="008F2A38"/>
    <w:rsid w:val="008F3E64"/>
    <w:rsid w:val="008F5DAC"/>
    <w:rsid w:val="008F7654"/>
    <w:rsid w:val="0090131A"/>
    <w:rsid w:val="00901CA7"/>
    <w:rsid w:val="00902884"/>
    <w:rsid w:val="00903EAE"/>
    <w:rsid w:val="009069DD"/>
    <w:rsid w:val="0091589D"/>
    <w:rsid w:val="00930697"/>
    <w:rsid w:val="009312EE"/>
    <w:rsid w:val="00931A46"/>
    <w:rsid w:val="009329EC"/>
    <w:rsid w:val="009342C0"/>
    <w:rsid w:val="00944373"/>
    <w:rsid w:val="00944463"/>
    <w:rsid w:val="0094548B"/>
    <w:rsid w:val="00945A49"/>
    <w:rsid w:val="00947358"/>
    <w:rsid w:val="00951504"/>
    <w:rsid w:val="00955AC5"/>
    <w:rsid w:val="00956834"/>
    <w:rsid w:val="0096299F"/>
    <w:rsid w:val="00966B8B"/>
    <w:rsid w:val="00971B1A"/>
    <w:rsid w:val="00972562"/>
    <w:rsid w:val="0097383F"/>
    <w:rsid w:val="00981A37"/>
    <w:rsid w:val="00981DD0"/>
    <w:rsid w:val="009912B8"/>
    <w:rsid w:val="00993121"/>
    <w:rsid w:val="0099370B"/>
    <w:rsid w:val="00993BA5"/>
    <w:rsid w:val="009A4C0F"/>
    <w:rsid w:val="009A5957"/>
    <w:rsid w:val="009A5B4C"/>
    <w:rsid w:val="009A75A0"/>
    <w:rsid w:val="009B08B2"/>
    <w:rsid w:val="009B13A1"/>
    <w:rsid w:val="009B1546"/>
    <w:rsid w:val="009B1644"/>
    <w:rsid w:val="009C414E"/>
    <w:rsid w:val="009D0425"/>
    <w:rsid w:val="009D1CC1"/>
    <w:rsid w:val="009D3831"/>
    <w:rsid w:val="009D385D"/>
    <w:rsid w:val="009D5D56"/>
    <w:rsid w:val="009D5DA2"/>
    <w:rsid w:val="009E0273"/>
    <w:rsid w:val="009E1CE4"/>
    <w:rsid w:val="009E2103"/>
    <w:rsid w:val="009E21DC"/>
    <w:rsid w:val="009E4A26"/>
    <w:rsid w:val="009E7450"/>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5B51"/>
    <w:rsid w:val="00A16927"/>
    <w:rsid w:val="00A20A32"/>
    <w:rsid w:val="00A2194D"/>
    <w:rsid w:val="00A23E15"/>
    <w:rsid w:val="00A255CB"/>
    <w:rsid w:val="00A27062"/>
    <w:rsid w:val="00A271E9"/>
    <w:rsid w:val="00A3089F"/>
    <w:rsid w:val="00A30A6C"/>
    <w:rsid w:val="00A36699"/>
    <w:rsid w:val="00A45774"/>
    <w:rsid w:val="00A47EC0"/>
    <w:rsid w:val="00A537CF"/>
    <w:rsid w:val="00A5494C"/>
    <w:rsid w:val="00A55ECC"/>
    <w:rsid w:val="00A57A39"/>
    <w:rsid w:val="00A60570"/>
    <w:rsid w:val="00A608B1"/>
    <w:rsid w:val="00A641DF"/>
    <w:rsid w:val="00A65BF5"/>
    <w:rsid w:val="00A7187B"/>
    <w:rsid w:val="00A728DB"/>
    <w:rsid w:val="00A73C0C"/>
    <w:rsid w:val="00A8134F"/>
    <w:rsid w:val="00A81BDC"/>
    <w:rsid w:val="00A82727"/>
    <w:rsid w:val="00A8454A"/>
    <w:rsid w:val="00A84B88"/>
    <w:rsid w:val="00A94CD2"/>
    <w:rsid w:val="00A968CE"/>
    <w:rsid w:val="00A97CCB"/>
    <w:rsid w:val="00AA04C3"/>
    <w:rsid w:val="00AA0714"/>
    <w:rsid w:val="00AA548A"/>
    <w:rsid w:val="00AA6273"/>
    <w:rsid w:val="00AA632B"/>
    <w:rsid w:val="00AA7082"/>
    <w:rsid w:val="00AB1281"/>
    <w:rsid w:val="00AB22EA"/>
    <w:rsid w:val="00AB3949"/>
    <w:rsid w:val="00AB3EA7"/>
    <w:rsid w:val="00AB4AB1"/>
    <w:rsid w:val="00AB5CE5"/>
    <w:rsid w:val="00AC0479"/>
    <w:rsid w:val="00AC5873"/>
    <w:rsid w:val="00AC6677"/>
    <w:rsid w:val="00AD2225"/>
    <w:rsid w:val="00AD5CC0"/>
    <w:rsid w:val="00AD5EAB"/>
    <w:rsid w:val="00AD5EAF"/>
    <w:rsid w:val="00AE0B75"/>
    <w:rsid w:val="00AE2154"/>
    <w:rsid w:val="00AF2DB3"/>
    <w:rsid w:val="00AF35EB"/>
    <w:rsid w:val="00AF42F0"/>
    <w:rsid w:val="00AF5B58"/>
    <w:rsid w:val="00B0128A"/>
    <w:rsid w:val="00B01BD5"/>
    <w:rsid w:val="00B02AB8"/>
    <w:rsid w:val="00B03943"/>
    <w:rsid w:val="00B11074"/>
    <w:rsid w:val="00B142D1"/>
    <w:rsid w:val="00B14E33"/>
    <w:rsid w:val="00B1670C"/>
    <w:rsid w:val="00B16B84"/>
    <w:rsid w:val="00B17B7E"/>
    <w:rsid w:val="00B21D03"/>
    <w:rsid w:val="00B23100"/>
    <w:rsid w:val="00B407CC"/>
    <w:rsid w:val="00B41FE9"/>
    <w:rsid w:val="00B5270D"/>
    <w:rsid w:val="00B54F76"/>
    <w:rsid w:val="00B555A0"/>
    <w:rsid w:val="00B60FD0"/>
    <w:rsid w:val="00B61BCE"/>
    <w:rsid w:val="00B621B6"/>
    <w:rsid w:val="00B62ACE"/>
    <w:rsid w:val="00B63555"/>
    <w:rsid w:val="00B71990"/>
    <w:rsid w:val="00B71D61"/>
    <w:rsid w:val="00B828A5"/>
    <w:rsid w:val="00B82C46"/>
    <w:rsid w:val="00B85594"/>
    <w:rsid w:val="00B921A2"/>
    <w:rsid w:val="00BA093E"/>
    <w:rsid w:val="00BA0D70"/>
    <w:rsid w:val="00BA24A6"/>
    <w:rsid w:val="00BA263D"/>
    <w:rsid w:val="00BA2971"/>
    <w:rsid w:val="00BA3777"/>
    <w:rsid w:val="00BA48FA"/>
    <w:rsid w:val="00BA4ABE"/>
    <w:rsid w:val="00BA63DE"/>
    <w:rsid w:val="00BA6FAF"/>
    <w:rsid w:val="00BB0A32"/>
    <w:rsid w:val="00BB0B06"/>
    <w:rsid w:val="00BB2188"/>
    <w:rsid w:val="00BC0077"/>
    <w:rsid w:val="00BC590E"/>
    <w:rsid w:val="00BD047B"/>
    <w:rsid w:val="00BD2B44"/>
    <w:rsid w:val="00BD2C00"/>
    <w:rsid w:val="00BE1391"/>
    <w:rsid w:val="00BE4036"/>
    <w:rsid w:val="00BE71B8"/>
    <w:rsid w:val="00BE7723"/>
    <w:rsid w:val="00BE7D5F"/>
    <w:rsid w:val="00BF25BF"/>
    <w:rsid w:val="00BF59C3"/>
    <w:rsid w:val="00BF618D"/>
    <w:rsid w:val="00BF79D3"/>
    <w:rsid w:val="00BF7C7C"/>
    <w:rsid w:val="00C02729"/>
    <w:rsid w:val="00C03D88"/>
    <w:rsid w:val="00C03F77"/>
    <w:rsid w:val="00C04E6A"/>
    <w:rsid w:val="00C04FF1"/>
    <w:rsid w:val="00C1093F"/>
    <w:rsid w:val="00C12329"/>
    <w:rsid w:val="00C21CAC"/>
    <w:rsid w:val="00C2238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613A4"/>
    <w:rsid w:val="00C63A22"/>
    <w:rsid w:val="00C666F3"/>
    <w:rsid w:val="00C67A86"/>
    <w:rsid w:val="00C70476"/>
    <w:rsid w:val="00C75F63"/>
    <w:rsid w:val="00C7642D"/>
    <w:rsid w:val="00C80B4A"/>
    <w:rsid w:val="00C83BA4"/>
    <w:rsid w:val="00C8698C"/>
    <w:rsid w:val="00C90E10"/>
    <w:rsid w:val="00C914DE"/>
    <w:rsid w:val="00C92230"/>
    <w:rsid w:val="00C93068"/>
    <w:rsid w:val="00C93DBA"/>
    <w:rsid w:val="00C973DA"/>
    <w:rsid w:val="00CA4134"/>
    <w:rsid w:val="00CA44FC"/>
    <w:rsid w:val="00CA4A67"/>
    <w:rsid w:val="00CA7A00"/>
    <w:rsid w:val="00CB5202"/>
    <w:rsid w:val="00CB556E"/>
    <w:rsid w:val="00CB6136"/>
    <w:rsid w:val="00CB634F"/>
    <w:rsid w:val="00CB7F80"/>
    <w:rsid w:val="00CC1325"/>
    <w:rsid w:val="00CC1B04"/>
    <w:rsid w:val="00CD3BEC"/>
    <w:rsid w:val="00CD41B4"/>
    <w:rsid w:val="00CD472A"/>
    <w:rsid w:val="00CD5754"/>
    <w:rsid w:val="00CD6756"/>
    <w:rsid w:val="00CE0218"/>
    <w:rsid w:val="00CE2985"/>
    <w:rsid w:val="00CF094D"/>
    <w:rsid w:val="00CF1679"/>
    <w:rsid w:val="00CF26C4"/>
    <w:rsid w:val="00CF3458"/>
    <w:rsid w:val="00CF76E8"/>
    <w:rsid w:val="00CF7CE4"/>
    <w:rsid w:val="00D00D00"/>
    <w:rsid w:val="00D01D91"/>
    <w:rsid w:val="00D01EDD"/>
    <w:rsid w:val="00D10561"/>
    <w:rsid w:val="00D1271C"/>
    <w:rsid w:val="00D1311C"/>
    <w:rsid w:val="00D14B39"/>
    <w:rsid w:val="00D15DC7"/>
    <w:rsid w:val="00D20DB0"/>
    <w:rsid w:val="00D2734D"/>
    <w:rsid w:val="00D40FB2"/>
    <w:rsid w:val="00D426E7"/>
    <w:rsid w:val="00D44B5C"/>
    <w:rsid w:val="00D4588E"/>
    <w:rsid w:val="00D4597F"/>
    <w:rsid w:val="00D46D7A"/>
    <w:rsid w:val="00D47F5D"/>
    <w:rsid w:val="00D52970"/>
    <w:rsid w:val="00D54990"/>
    <w:rsid w:val="00D54F29"/>
    <w:rsid w:val="00D61191"/>
    <w:rsid w:val="00D63C57"/>
    <w:rsid w:val="00D65C30"/>
    <w:rsid w:val="00D6670A"/>
    <w:rsid w:val="00D71F16"/>
    <w:rsid w:val="00D73CD8"/>
    <w:rsid w:val="00D81604"/>
    <w:rsid w:val="00D90F1C"/>
    <w:rsid w:val="00D91A6D"/>
    <w:rsid w:val="00D91D80"/>
    <w:rsid w:val="00D94CCC"/>
    <w:rsid w:val="00D95631"/>
    <w:rsid w:val="00D9777E"/>
    <w:rsid w:val="00D97E0B"/>
    <w:rsid w:val="00D97F9A"/>
    <w:rsid w:val="00DA0588"/>
    <w:rsid w:val="00DA3638"/>
    <w:rsid w:val="00DA4644"/>
    <w:rsid w:val="00DA73FE"/>
    <w:rsid w:val="00DB29FD"/>
    <w:rsid w:val="00DB3E79"/>
    <w:rsid w:val="00DB70C4"/>
    <w:rsid w:val="00DB7968"/>
    <w:rsid w:val="00DB7D4C"/>
    <w:rsid w:val="00DC332A"/>
    <w:rsid w:val="00DC3F21"/>
    <w:rsid w:val="00DC3F78"/>
    <w:rsid w:val="00DC41DE"/>
    <w:rsid w:val="00DD2AC4"/>
    <w:rsid w:val="00DD3F35"/>
    <w:rsid w:val="00DE07E6"/>
    <w:rsid w:val="00DE2A7B"/>
    <w:rsid w:val="00DE64A9"/>
    <w:rsid w:val="00DF40ED"/>
    <w:rsid w:val="00E01CEC"/>
    <w:rsid w:val="00E0391A"/>
    <w:rsid w:val="00E03A9E"/>
    <w:rsid w:val="00E07172"/>
    <w:rsid w:val="00E120D0"/>
    <w:rsid w:val="00E229A3"/>
    <w:rsid w:val="00E26BA3"/>
    <w:rsid w:val="00E33ABF"/>
    <w:rsid w:val="00E50EEB"/>
    <w:rsid w:val="00E51BC9"/>
    <w:rsid w:val="00E55AAB"/>
    <w:rsid w:val="00E564E8"/>
    <w:rsid w:val="00E628C9"/>
    <w:rsid w:val="00E65FE2"/>
    <w:rsid w:val="00E71056"/>
    <w:rsid w:val="00E718BD"/>
    <w:rsid w:val="00E722AF"/>
    <w:rsid w:val="00E80CEE"/>
    <w:rsid w:val="00E82C12"/>
    <w:rsid w:val="00E84A38"/>
    <w:rsid w:val="00E95529"/>
    <w:rsid w:val="00EA01AC"/>
    <w:rsid w:val="00EA0B33"/>
    <w:rsid w:val="00EA100C"/>
    <w:rsid w:val="00EA5777"/>
    <w:rsid w:val="00EB4DF2"/>
    <w:rsid w:val="00EB5C29"/>
    <w:rsid w:val="00EC10FD"/>
    <w:rsid w:val="00EC1254"/>
    <w:rsid w:val="00EC14FC"/>
    <w:rsid w:val="00EC4686"/>
    <w:rsid w:val="00ED07DF"/>
    <w:rsid w:val="00ED0B9A"/>
    <w:rsid w:val="00ED0D88"/>
    <w:rsid w:val="00ED3D74"/>
    <w:rsid w:val="00ED7B90"/>
    <w:rsid w:val="00EE1282"/>
    <w:rsid w:val="00EE2D47"/>
    <w:rsid w:val="00EE37D3"/>
    <w:rsid w:val="00EF0350"/>
    <w:rsid w:val="00EF0F77"/>
    <w:rsid w:val="00F00E4D"/>
    <w:rsid w:val="00F07436"/>
    <w:rsid w:val="00F078AC"/>
    <w:rsid w:val="00F10AF7"/>
    <w:rsid w:val="00F12497"/>
    <w:rsid w:val="00F21E75"/>
    <w:rsid w:val="00F233D7"/>
    <w:rsid w:val="00F266D3"/>
    <w:rsid w:val="00F26C6C"/>
    <w:rsid w:val="00F26E96"/>
    <w:rsid w:val="00F2739F"/>
    <w:rsid w:val="00F30797"/>
    <w:rsid w:val="00F35A52"/>
    <w:rsid w:val="00F41CD5"/>
    <w:rsid w:val="00F43570"/>
    <w:rsid w:val="00F45284"/>
    <w:rsid w:val="00F45A80"/>
    <w:rsid w:val="00F4720B"/>
    <w:rsid w:val="00F53BD0"/>
    <w:rsid w:val="00F54766"/>
    <w:rsid w:val="00F56858"/>
    <w:rsid w:val="00F65356"/>
    <w:rsid w:val="00F65883"/>
    <w:rsid w:val="00F775A7"/>
    <w:rsid w:val="00F81AB7"/>
    <w:rsid w:val="00F83718"/>
    <w:rsid w:val="00F84042"/>
    <w:rsid w:val="00F85133"/>
    <w:rsid w:val="00F9092C"/>
    <w:rsid w:val="00F93BC7"/>
    <w:rsid w:val="00F94421"/>
    <w:rsid w:val="00F946ED"/>
    <w:rsid w:val="00F965BC"/>
    <w:rsid w:val="00FA2A4F"/>
    <w:rsid w:val="00FA2CCF"/>
    <w:rsid w:val="00FA3740"/>
    <w:rsid w:val="00FA3A1B"/>
    <w:rsid w:val="00FB0857"/>
    <w:rsid w:val="00FB13A9"/>
    <w:rsid w:val="00FB265C"/>
    <w:rsid w:val="00FB556D"/>
    <w:rsid w:val="00FC033B"/>
    <w:rsid w:val="00FC0B62"/>
    <w:rsid w:val="00FC2011"/>
    <w:rsid w:val="00FC2B90"/>
    <w:rsid w:val="00FC4A2E"/>
    <w:rsid w:val="00FC6726"/>
    <w:rsid w:val="00FD4385"/>
    <w:rsid w:val="00FD5FBD"/>
    <w:rsid w:val="00FE2CB7"/>
    <w:rsid w:val="00FE4969"/>
    <w:rsid w:val="00FE5B14"/>
    <w:rsid w:val="00FF07C1"/>
    <w:rsid w:val="00FF2B51"/>
    <w:rsid w:val="00FF45F4"/>
    <w:rsid w:val="00FF46E6"/>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71FA16"/>
  <w15:docId w15:val="{D97EEBE3-DC41-46D7-AB5D-FB9FAE28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basedOn w:val="DefaultParagraphFont"/>
    <w:link w:val="Heading1"/>
    <w:rsid w:val="00BD2B44"/>
    <w:rPr>
      <w:rFonts w:ascii="Arial" w:hAnsi="Arial"/>
      <w:sz w:val="18"/>
      <w:szCs w:val="18"/>
      <w:lang w:val="en-AU" w:eastAsia="en-AU" w:bidi="ar-SA"/>
    </w:rPr>
  </w:style>
  <w:style w:type="character" w:customStyle="1" w:styleId="Heading2Char">
    <w:name w:val="Heading 2 Char"/>
    <w:basedOn w:val="Heading1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rsid w:val="00364D5F"/>
    <w:pPr>
      <w:pBdr>
        <w:bottom w:val="single" w:sz="4" w:space="1" w:color="auto"/>
      </w:pBdr>
      <w:spacing w:before="360" w:after="120"/>
    </w:pPr>
    <w:rPr>
      <w:rFonts w:cs="Times New Roman"/>
      <w:b/>
      <w:bCs/>
    </w:rPr>
  </w:style>
  <w:style w:type="numbering" w:customStyle="1" w:styleId="Text">
    <w:name w:val="Text"/>
    <w:rsid w:val="00545D20"/>
    <w:pPr>
      <w:numPr>
        <w:numId w:val="18"/>
      </w:numPr>
    </w:pPr>
  </w:style>
  <w:style w:type="character" w:styleId="Hyperlink">
    <w:name w:val="Hyperlink"/>
    <w:basedOn w:val="DefaultParagraphFont"/>
    <w:rsid w:val="00545D20"/>
    <w:rPr>
      <w:color w:val="0000FF"/>
      <w:u w:val="single"/>
    </w:rPr>
  </w:style>
  <w:style w:type="paragraph" w:styleId="BlockText">
    <w:name w:val="Block Text"/>
    <w:basedOn w:val="ListNumber"/>
    <w:rsid w:val="00F65356"/>
    <w:pPr>
      <w:numPr>
        <w:numId w:val="3"/>
      </w:numPr>
      <w:spacing w:after="120"/>
      <w:jc w:val="both"/>
    </w:p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rsid w:val="00890996"/>
    <w:pPr>
      <w:numPr>
        <w:numId w:val="8"/>
      </w:numPr>
    </w:pPr>
  </w:style>
  <w:style w:type="paragraph" w:customStyle="1" w:styleId="ExampleBox">
    <w:name w:val="Example Box"/>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 w:val="22"/>
    </w:rPr>
  </w:style>
  <w:style w:type="paragraph" w:customStyle="1" w:styleId="Subheading1">
    <w:name w:val="Subheading 1"/>
    <w:basedOn w:val="Normal"/>
    <w:rsid w:val="009E4A26"/>
    <w:pPr>
      <w:spacing w:before="360" w:line="300" w:lineRule="exact"/>
    </w:pPr>
    <w:rPr>
      <w:rFonts w:cs="Times New Roman"/>
      <w:sz w:val="28"/>
      <w:szCs w:val="28"/>
    </w:rPr>
  </w:style>
  <w:style w:type="paragraph" w:styleId="FootnoteText">
    <w:name w:val="footnote text"/>
    <w:basedOn w:val="Normal"/>
    <w:link w:val="FootnoteTextChar"/>
    <w:rsid w:val="009E4A26"/>
    <w:rPr>
      <w:rFonts w:ascii="Times New Roman" w:hAnsi="Times New Roman" w:cs="Times New Roman"/>
      <w:sz w:val="20"/>
    </w:rPr>
  </w:style>
  <w:style w:type="character" w:customStyle="1" w:styleId="FootnoteTextChar">
    <w:name w:val="Footnote Text Char"/>
    <w:basedOn w:val="DefaultParagraphFont"/>
    <w:link w:val="FootnoteText"/>
    <w:rsid w:val="009E4A26"/>
  </w:style>
  <w:style w:type="character" w:styleId="FootnoteReference">
    <w:name w:val="footnote reference"/>
    <w:rsid w:val="009E4A26"/>
    <w:rPr>
      <w:rFonts w:cs="Times New Roman"/>
      <w:vertAlign w:val="superscript"/>
    </w:rPr>
  </w:style>
  <w:style w:type="character" w:styleId="CommentReference">
    <w:name w:val="annotation reference"/>
    <w:basedOn w:val="DefaultParagraphFont"/>
    <w:rsid w:val="00DB29FD"/>
    <w:rPr>
      <w:sz w:val="16"/>
      <w:szCs w:val="16"/>
    </w:rPr>
  </w:style>
  <w:style w:type="paragraph" w:styleId="CommentText">
    <w:name w:val="annotation text"/>
    <w:basedOn w:val="Normal"/>
    <w:link w:val="CommentTextChar"/>
    <w:rsid w:val="00DB29FD"/>
    <w:rPr>
      <w:sz w:val="20"/>
    </w:rPr>
  </w:style>
  <w:style w:type="character" w:customStyle="1" w:styleId="CommentTextChar">
    <w:name w:val="Comment Text Char"/>
    <w:basedOn w:val="DefaultParagraphFont"/>
    <w:link w:val="CommentText"/>
    <w:rsid w:val="00DB29FD"/>
    <w:rPr>
      <w:rFonts w:ascii="Arial" w:hAnsi="Arial" w:cs="Arial"/>
    </w:rPr>
  </w:style>
  <w:style w:type="paragraph" w:styleId="CommentSubject">
    <w:name w:val="annotation subject"/>
    <w:basedOn w:val="CommentText"/>
    <w:next w:val="CommentText"/>
    <w:link w:val="CommentSubjectChar"/>
    <w:rsid w:val="00DB29FD"/>
    <w:rPr>
      <w:b/>
      <w:bCs/>
    </w:rPr>
  </w:style>
  <w:style w:type="character" w:customStyle="1" w:styleId="CommentSubjectChar">
    <w:name w:val="Comment Subject Char"/>
    <w:basedOn w:val="CommentTextChar"/>
    <w:link w:val="CommentSubject"/>
    <w:rsid w:val="00DB29FD"/>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reasury.nt.gov.au/PMS/Publications/TaxesRoyaltiesGrants/GeneralAdmin/CG-GEN-001.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asury.nt.gov.au/PMS/Publications/TaxesRoyaltiesGrants/StampDuty/CG-SD-010.pdf" TargetMode="External"/><Relationship Id="rId5" Type="http://schemas.openxmlformats.org/officeDocument/2006/relationships/styles" Target="styles.xml"/><Relationship Id="rId15" Type="http://schemas.openxmlformats.org/officeDocument/2006/relationships/hyperlink" Target="http://www.revenue.nt.gov.au" TargetMode="External"/><Relationship Id="rId10" Type="http://schemas.openxmlformats.org/officeDocument/2006/relationships/hyperlink" Target="http://www.treasury.nt.gov.au/PMS/Publications/TaxesRoyaltiesGrants/StampDuty/I-SD-001.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trevenue@nt.gov.a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 xsi:nil="true"/>
    <Publication_x0020_Title xmlns="378e824e-6e02-4c0d-8321-dd86fba681ee">Farm-in agreements</Publication_x0020_Title>
    <Details xmlns="378e824e-6e02-4c0d-8321-dd86fba681ee" xsi:nil="true"/>
    <Identifier xmlns="378e824e-6e02-4c0d-8321-dd86fba681ee">CG-SD-016</Identifier>
    <Publication_x0020_Type xmlns="378e824e-6e02-4c0d-8321-dd86fba681ee" xsi:nil="true"/>
    <Sub_x0020_Sub_x0020_Category xmlns="378e824e-6e02-4c0d-8321-dd86fba681ee" xsi:nil="true"/>
    <Release_x0020_Date xmlns="378e824e-6e02-4c0d-8321-dd86fba681ee">2016-02-25T14:30:00+00:00</Release_x0020_Date>
    <Sub_x0020_Category xmlns="378e824e-6e02-4c0d-8321-dd86fba681ee">24</Sub_x0020_Category>
    <Notify xmlns="378e824e-6e02-4c0d-8321-dd86fba681ee">false</Notif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E5441-14DB-4EAF-84AD-6ED71CCEC1EA}">
  <ds:schemaRefs>
    <ds:schemaRef ds:uri="http://schemas.microsoft.com/office/2006/metadata/properties"/>
    <ds:schemaRef ds:uri="http://schemas.microsoft.com/office/infopath/2007/PartnerControls"/>
    <ds:schemaRef ds:uri="378e824e-6e02-4c0d-8321-dd86fba681ee"/>
  </ds:schemaRefs>
</ds:datastoreItem>
</file>

<file path=customXml/itemProps2.xml><?xml version="1.0" encoding="utf-8"?>
<ds:datastoreItem xmlns:ds="http://schemas.openxmlformats.org/officeDocument/2006/customXml" ds:itemID="{CC22B847-8FCA-4529-AD1B-9028F32FF87D}">
  <ds:schemaRefs>
    <ds:schemaRef ds:uri="http://schemas.microsoft.com/sharepoint/v3/contenttype/forms"/>
  </ds:schemaRefs>
</ds:datastoreItem>
</file>

<file path=customXml/itemProps3.xml><?xml version="1.0" encoding="utf-8"?>
<ds:datastoreItem xmlns:ds="http://schemas.openxmlformats.org/officeDocument/2006/customXml" ds:itemID="{5734210A-7AF3-46F8-9910-D78B1F45B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1383</Words>
  <Characters>7886</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9251</CharactersWithSpaces>
  <SharedDoc>false</SharedDoc>
  <HLinks>
    <vt:vector size="24" baseType="variant">
      <vt:variant>
        <vt:i4>5242895</vt:i4>
      </vt:variant>
      <vt:variant>
        <vt:i4>9</vt:i4>
      </vt:variant>
      <vt:variant>
        <vt:i4>0</vt:i4>
      </vt:variant>
      <vt:variant>
        <vt:i4>5</vt:i4>
      </vt:variant>
      <vt:variant>
        <vt:lpwstr>http://www.revenue.nt.gov.au/</vt:lpwstr>
      </vt:variant>
      <vt:variant>
        <vt:lpwstr/>
      </vt:variant>
      <vt:variant>
        <vt:i4>7143509</vt:i4>
      </vt:variant>
      <vt:variant>
        <vt:i4>6</vt:i4>
      </vt:variant>
      <vt:variant>
        <vt:i4>0</vt:i4>
      </vt:variant>
      <vt:variant>
        <vt:i4>5</vt:i4>
      </vt:variant>
      <vt:variant>
        <vt:lpwstr>mailto:ntrevenue.ntt@nt.gov.au</vt:lpwstr>
      </vt:variant>
      <vt:variant>
        <vt:lpwstr/>
      </vt:variant>
      <vt:variant>
        <vt:i4>2097198</vt:i4>
      </vt:variant>
      <vt:variant>
        <vt:i4>3</vt:i4>
      </vt:variant>
      <vt:variant>
        <vt:i4>0</vt:i4>
      </vt:variant>
      <vt:variant>
        <vt:i4>5</vt:i4>
      </vt:variant>
      <vt:variant>
        <vt:lpwstr>http://www.nt.gov.au/ntt/revenue/pdf/CG-GEN-001.pdf</vt:lpwstr>
      </vt:variant>
      <vt:variant>
        <vt:lpwstr/>
      </vt:variant>
      <vt:variant>
        <vt:i4>2097198</vt:i4>
      </vt:variant>
      <vt:variant>
        <vt:i4>0</vt:i4>
      </vt:variant>
      <vt:variant>
        <vt:i4>0</vt:i4>
      </vt:variant>
      <vt:variant>
        <vt:i4>5</vt:i4>
      </vt:variant>
      <vt:variant>
        <vt:lpwstr>http://www.nt.gov.au/ntt/revenue/pdf/CG-GEN-001.pdf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Farm-in agreements</dc:title>
  <dc:creator>ramo</dc:creator>
  <cp:lastModifiedBy>Jessica Symonds</cp:lastModifiedBy>
  <cp:revision>4</cp:revision>
  <cp:lastPrinted>2014-03-14T05:58:00Z</cp:lastPrinted>
  <dcterms:created xsi:type="dcterms:W3CDTF">2016-01-15T01:25:00Z</dcterms:created>
  <dcterms:modified xsi:type="dcterms:W3CDTF">2021-09-13T02:11:00Z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