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34CF1" w14:textId="77777777" w:rsidR="002546CB" w:rsidRPr="00C27A0A" w:rsidRDefault="00DE64A9" w:rsidP="00C27A0A">
      <w:pPr>
        <w:pStyle w:val="HeadingOne"/>
      </w:pPr>
      <w:r>
        <w:t>COMMISSIONER’S GUIDELINE</w:t>
      </w:r>
      <w:r w:rsidR="00513926">
        <w:t xml:space="preserve"> </w:t>
      </w:r>
    </w:p>
    <w:p w14:paraId="28534CF2" w14:textId="77777777" w:rsidR="00C27A0A" w:rsidRPr="00C27A0A" w:rsidRDefault="00513926" w:rsidP="00C27A0A">
      <w:pPr>
        <w:pStyle w:val="HeadingOne"/>
      </w:pPr>
      <w:r>
        <w:t>CG</w:t>
      </w:r>
      <w:r w:rsidR="00C27A0A" w:rsidRPr="00C27A0A">
        <w:t>-</w:t>
      </w:r>
      <w:r w:rsidR="00431024">
        <w:t>SD-015</w:t>
      </w:r>
      <w:r>
        <w:t>:</w:t>
      </w:r>
      <w:r w:rsidR="00C27A0A" w:rsidRPr="00C27A0A">
        <w:t xml:space="preserve"> </w:t>
      </w:r>
      <w:r w:rsidR="00431024">
        <w:t>Transfers of trade debts</w:t>
      </w:r>
    </w:p>
    <w:p w14:paraId="28534CF3" w14:textId="77777777"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F65356" w:rsidRPr="00D167C2" w14:paraId="28534CF7" w14:textId="77777777" w:rsidTr="00D167C2">
        <w:trPr>
          <w:jc w:val="center"/>
        </w:trPr>
        <w:tc>
          <w:tcPr>
            <w:tcW w:w="1030" w:type="dxa"/>
            <w:vMerge w:val="restart"/>
          </w:tcPr>
          <w:p w14:paraId="28534CF4" w14:textId="77777777" w:rsidR="00F65356" w:rsidRPr="00D167C2" w:rsidRDefault="00F65356" w:rsidP="00D167C2">
            <w:pPr>
              <w:jc w:val="center"/>
              <w:rPr>
                <w:b/>
                <w:sz w:val="18"/>
                <w:szCs w:val="18"/>
              </w:rPr>
            </w:pPr>
            <w:r w:rsidRPr="00D167C2">
              <w:rPr>
                <w:b/>
                <w:sz w:val="18"/>
                <w:szCs w:val="18"/>
              </w:rPr>
              <w:t>Version</w:t>
            </w:r>
          </w:p>
        </w:tc>
        <w:tc>
          <w:tcPr>
            <w:tcW w:w="1848" w:type="dxa"/>
            <w:vMerge w:val="restart"/>
            <w:tcBorders>
              <w:right w:val="single" w:sz="4" w:space="0" w:color="auto"/>
            </w:tcBorders>
          </w:tcPr>
          <w:p w14:paraId="28534CF5" w14:textId="77777777" w:rsidR="00F65356" w:rsidRPr="00D167C2" w:rsidRDefault="00F65356" w:rsidP="00D167C2">
            <w:pPr>
              <w:jc w:val="center"/>
              <w:rPr>
                <w:b/>
                <w:sz w:val="18"/>
                <w:szCs w:val="18"/>
              </w:rPr>
            </w:pPr>
            <w:r w:rsidRPr="00D167C2">
              <w:rPr>
                <w:b/>
                <w:sz w:val="18"/>
                <w:szCs w:val="18"/>
              </w:rPr>
              <w:t>Issued</w:t>
            </w:r>
          </w:p>
        </w:tc>
        <w:tc>
          <w:tcPr>
            <w:tcW w:w="3420" w:type="dxa"/>
            <w:gridSpan w:val="2"/>
            <w:tcBorders>
              <w:top w:val="single" w:sz="4" w:space="0" w:color="auto"/>
              <w:left w:val="single" w:sz="4" w:space="0" w:color="auto"/>
              <w:bottom w:val="nil"/>
              <w:right w:val="single" w:sz="4" w:space="0" w:color="auto"/>
            </w:tcBorders>
          </w:tcPr>
          <w:p w14:paraId="28534CF6" w14:textId="77777777" w:rsidR="00F65356" w:rsidRPr="00D167C2" w:rsidRDefault="00F65356" w:rsidP="00D167C2">
            <w:pPr>
              <w:jc w:val="center"/>
              <w:rPr>
                <w:b/>
                <w:sz w:val="18"/>
                <w:szCs w:val="18"/>
              </w:rPr>
            </w:pPr>
            <w:r w:rsidRPr="00D167C2">
              <w:rPr>
                <w:b/>
                <w:sz w:val="18"/>
                <w:szCs w:val="18"/>
              </w:rPr>
              <w:t>Dates of Effect</w:t>
            </w:r>
          </w:p>
        </w:tc>
      </w:tr>
      <w:tr w:rsidR="00F65356" w:rsidRPr="00D167C2" w14:paraId="28534CFC" w14:textId="77777777" w:rsidTr="00D167C2">
        <w:trPr>
          <w:jc w:val="center"/>
        </w:trPr>
        <w:tc>
          <w:tcPr>
            <w:tcW w:w="1030" w:type="dxa"/>
            <w:vMerge/>
          </w:tcPr>
          <w:p w14:paraId="28534CF8" w14:textId="77777777" w:rsidR="00F65356" w:rsidRPr="00D167C2" w:rsidRDefault="00F65356" w:rsidP="00D167C2">
            <w:pPr>
              <w:jc w:val="center"/>
              <w:rPr>
                <w:sz w:val="18"/>
                <w:szCs w:val="18"/>
              </w:rPr>
            </w:pPr>
          </w:p>
        </w:tc>
        <w:tc>
          <w:tcPr>
            <w:tcW w:w="1848" w:type="dxa"/>
            <w:vMerge/>
            <w:tcBorders>
              <w:right w:val="single" w:sz="4" w:space="0" w:color="auto"/>
            </w:tcBorders>
          </w:tcPr>
          <w:p w14:paraId="28534CF9" w14:textId="77777777" w:rsidR="00F65356" w:rsidRPr="00D167C2" w:rsidRDefault="00F65356" w:rsidP="00D167C2">
            <w:pPr>
              <w:jc w:val="center"/>
              <w:rPr>
                <w:sz w:val="18"/>
                <w:szCs w:val="18"/>
              </w:rPr>
            </w:pPr>
          </w:p>
        </w:tc>
        <w:tc>
          <w:tcPr>
            <w:tcW w:w="1710" w:type="dxa"/>
            <w:tcBorders>
              <w:top w:val="nil"/>
              <w:left w:val="single" w:sz="4" w:space="0" w:color="auto"/>
              <w:bottom w:val="single" w:sz="4" w:space="0" w:color="auto"/>
              <w:right w:val="nil"/>
            </w:tcBorders>
          </w:tcPr>
          <w:p w14:paraId="28534CFA" w14:textId="77777777" w:rsidR="00F65356" w:rsidRPr="00D167C2" w:rsidRDefault="00F65356" w:rsidP="00AD2225">
            <w:pPr>
              <w:rPr>
                <w:b/>
                <w:sz w:val="18"/>
                <w:szCs w:val="18"/>
              </w:rPr>
            </w:pPr>
            <w:r w:rsidRPr="00D167C2">
              <w:rPr>
                <w:b/>
                <w:sz w:val="18"/>
                <w:szCs w:val="18"/>
              </w:rPr>
              <w:t>From:</w:t>
            </w:r>
          </w:p>
        </w:tc>
        <w:tc>
          <w:tcPr>
            <w:tcW w:w="1710" w:type="dxa"/>
            <w:tcBorders>
              <w:top w:val="nil"/>
              <w:left w:val="nil"/>
              <w:bottom w:val="single" w:sz="4" w:space="0" w:color="auto"/>
              <w:right w:val="single" w:sz="4" w:space="0" w:color="auto"/>
            </w:tcBorders>
          </w:tcPr>
          <w:p w14:paraId="28534CFB" w14:textId="77777777" w:rsidR="00F65356" w:rsidRPr="00D167C2" w:rsidRDefault="00F65356" w:rsidP="00AD2225">
            <w:pPr>
              <w:rPr>
                <w:b/>
                <w:sz w:val="18"/>
                <w:szCs w:val="18"/>
              </w:rPr>
            </w:pPr>
            <w:r w:rsidRPr="00D167C2">
              <w:rPr>
                <w:b/>
                <w:sz w:val="18"/>
                <w:szCs w:val="18"/>
              </w:rPr>
              <w:t xml:space="preserve">To: </w:t>
            </w:r>
          </w:p>
        </w:tc>
      </w:tr>
      <w:tr w:rsidR="00431024" w:rsidRPr="00D167C2" w14:paraId="28534D01" w14:textId="77777777" w:rsidTr="00D167C2">
        <w:trPr>
          <w:jc w:val="center"/>
        </w:trPr>
        <w:tc>
          <w:tcPr>
            <w:tcW w:w="1030" w:type="dxa"/>
          </w:tcPr>
          <w:p w14:paraId="28534CFD" w14:textId="77777777" w:rsidR="00431024" w:rsidRPr="00D167C2" w:rsidRDefault="00431024" w:rsidP="00D167C2">
            <w:pPr>
              <w:jc w:val="center"/>
              <w:rPr>
                <w:sz w:val="18"/>
                <w:szCs w:val="18"/>
              </w:rPr>
            </w:pPr>
            <w:r w:rsidRPr="00D167C2">
              <w:rPr>
                <w:sz w:val="18"/>
                <w:szCs w:val="18"/>
              </w:rPr>
              <w:t>1</w:t>
            </w:r>
          </w:p>
        </w:tc>
        <w:tc>
          <w:tcPr>
            <w:tcW w:w="1848" w:type="dxa"/>
          </w:tcPr>
          <w:p w14:paraId="28534CFE" w14:textId="77777777" w:rsidR="00431024" w:rsidRPr="00D167C2" w:rsidRDefault="00431024" w:rsidP="00431024">
            <w:pPr>
              <w:rPr>
                <w:sz w:val="18"/>
                <w:szCs w:val="18"/>
              </w:rPr>
            </w:pPr>
            <w:r w:rsidRPr="00D167C2">
              <w:rPr>
                <w:sz w:val="18"/>
                <w:szCs w:val="18"/>
              </w:rPr>
              <w:t>28 August 2009</w:t>
            </w:r>
          </w:p>
        </w:tc>
        <w:tc>
          <w:tcPr>
            <w:tcW w:w="1710" w:type="dxa"/>
            <w:tcBorders>
              <w:top w:val="single" w:sz="4" w:space="0" w:color="auto"/>
              <w:bottom w:val="single" w:sz="4" w:space="0" w:color="auto"/>
            </w:tcBorders>
          </w:tcPr>
          <w:p w14:paraId="28534CFF" w14:textId="77777777" w:rsidR="00431024" w:rsidRPr="00D167C2" w:rsidRDefault="00431024" w:rsidP="00431024">
            <w:pPr>
              <w:rPr>
                <w:sz w:val="18"/>
                <w:szCs w:val="18"/>
              </w:rPr>
            </w:pPr>
            <w:r w:rsidRPr="00D167C2">
              <w:rPr>
                <w:sz w:val="18"/>
                <w:szCs w:val="18"/>
              </w:rPr>
              <w:t>28 August 2009</w:t>
            </w:r>
          </w:p>
        </w:tc>
        <w:tc>
          <w:tcPr>
            <w:tcW w:w="1710" w:type="dxa"/>
            <w:tcBorders>
              <w:top w:val="single" w:sz="4" w:space="0" w:color="auto"/>
              <w:bottom w:val="single" w:sz="4" w:space="0" w:color="auto"/>
            </w:tcBorders>
          </w:tcPr>
          <w:p w14:paraId="28534D00" w14:textId="77777777" w:rsidR="00431024" w:rsidRPr="00D167C2" w:rsidRDefault="00431024" w:rsidP="00431024">
            <w:pPr>
              <w:rPr>
                <w:sz w:val="18"/>
                <w:szCs w:val="18"/>
              </w:rPr>
            </w:pPr>
            <w:r w:rsidRPr="00D167C2">
              <w:rPr>
                <w:sz w:val="18"/>
                <w:szCs w:val="18"/>
              </w:rPr>
              <w:t>Current</w:t>
            </w:r>
          </w:p>
        </w:tc>
      </w:tr>
    </w:tbl>
    <w:p w14:paraId="28534D02" w14:textId="77777777" w:rsidR="00431024" w:rsidRPr="00431024" w:rsidRDefault="00431024" w:rsidP="00431024">
      <w:pPr>
        <w:pStyle w:val="HeadingTwo"/>
        <w:rPr>
          <w:sz w:val="28"/>
          <w:szCs w:val="28"/>
        </w:rPr>
      </w:pPr>
      <w:r w:rsidRPr="00733450">
        <w:t>Purpose</w:t>
      </w:r>
    </w:p>
    <w:p w14:paraId="28534D03" w14:textId="77777777" w:rsidR="00431024" w:rsidRPr="00431024" w:rsidRDefault="00431024" w:rsidP="00431024">
      <w:pPr>
        <w:pStyle w:val="BlockText"/>
      </w:pPr>
      <w:r>
        <w:t>This Guideline clarifies Territory Revenue Office’s (TRO’s) position on the treatment of trade debts for conveyance stamp duty purposes.</w:t>
      </w:r>
    </w:p>
    <w:p w14:paraId="28534D04" w14:textId="77777777" w:rsidR="00431024" w:rsidRPr="00431024" w:rsidRDefault="00431024" w:rsidP="00431024">
      <w:pPr>
        <w:pStyle w:val="HeadingTwo"/>
      </w:pPr>
      <w:r>
        <w:t>Trade debts</w:t>
      </w:r>
    </w:p>
    <w:p w14:paraId="28534D05" w14:textId="77777777" w:rsidR="00431024" w:rsidRDefault="00431024" w:rsidP="00431024">
      <w:pPr>
        <w:pStyle w:val="BlockText"/>
      </w:pPr>
      <w:r>
        <w:t xml:space="preserve">In </w:t>
      </w:r>
      <w:r w:rsidRPr="00E539F4">
        <w:t>this Guideline, t</w:t>
      </w:r>
      <w:r>
        <w:t>rade d</w:t>
      </w:r>
      <w:r w:rsidRPr="00E539F4">
        <w:t xml:space="preserve">ebts </w:t>
      </w:r>
      <w:r>
        <w:t xml:space="preserve">means </w:t>
      </w:r>
      <w:r w:rsidRPr="00E539F4">
        <w:t xml:space="preserve">amounts of money owed </w:t>
      </w:r>
      <w:r>
        <w:t xml:space="preserve">to a business </w:t>
      </w:r>
      <w:r w:rsidRPr="00E539F4">
        <w:t>by cus</w:t>
      </w:r>
      <w:r>
        <w:t xml:space="preserve">tomers who have purchased goods or </w:t>
      </w:r>
      <w:r w:rsidRPr="00E539F4">
        <w:t xml:space="preserve">services from </w:t>
      </w:r>
      <w:r>
        <w:t>the</w:t>
      </w:r>
      <w:r w:rsidRPr="00E539F4">
        <w:t xml:space="preserve"> </w:t>
      </w:r>
      <w:r>
        <w:t>business. It does not refer to a business’ future right to receive income or ongoing income streams such as contingency fees and trailing commissions.</w:t>
      </w:r>
    </w:p>
    <w:p w14:paraId="28534D06" w14:textId="77777777" w:rsidR="00431024" w:rsidRPr="00431024" w:rsidRDefault="00431024" w:rsidP="00431024">
      <w:pPr>
        <w:pStyle w:val="BlockText"/>
      </w:pPr>
      <w:r>
        <w:t>Trade debts may be transferred separately from the sale of other business assets, such as to a financier under a factoring agreement or may be transferred with other assets such as land, goodwill and plant and equipment when a business is sold.</w:t>
      </w:r>
    </w:p>
    <w:p w14:paraId="28534D07" w14:textId="77777777" w:rsidR="00431024" w:rsidRPr="00431024" w:rsidRDefault="00431024" w:rsidP="00431024">
      <w:pPr>
        <w:pStyle w:val="HeadingTwo"/>
      </w:pPr>
      <w:r w:rsidRPr="000F6FAA">
        <w:t>Dutiable property</w:t>
      </w:r>
    </w:p>
    <w:p w14:paraId="28534D08" w14:textId="77777777" w:rsidR="00431024" w:rsidRDefault="00431024" w:rsidP="00431024">
      <w:pPr>
        <w:pStyle w:val="BlockText"/>
      </w:pPr>
      <w:r>
        <w:t xml:space="preserve">The </w:t>
      </w:r>
      <w:r>
        <w:rPr>
          <w:i/>
        </w:rPr>
        <w:t xml:space="preserve">Stamp Duty Act </w:t>
      </w:r>
      <w:r>
        <w:t xml:space="preserve">(the Act) imposes stamp duty on the conveyance of dutiable property. Dutiable property includes chattels, </w:t>
      </w:r>
      <w:r w:rsidRPr="00131EE5">
        <w:t xml:space="preserve">if </w:t>
      </w:r>
      <w:r>
        <w:t xml:space="preserve">they are </w:t>
      </w:r>
      <w:r w:rsidRPr="00131EE5">
        <w:t xml:space="preserve">part of a transaction in which other dutiable property is conveyed, acquired or created or the </w:t>
      </w:r>
      <w:r>
        <w:t>beneficial ownership is changed.</w:t>
      </w:r>
    </w:p>
    <w:p w14:paraId="28534D09" w14:textId="77777777" w:rsidR="00431024" w:rsidRDefault="00431024" w:rsidP="00431024">
      <w:pPr>
        <w:pStyle w:val="BlockText"/>
      </w:pPr>
      <w:r>
        <w:t>Stamp duty is</w:t>
      </w:r>
      <w:r w:rsidRPr="007D2879">
        <w:t xml:space="preserve"> assessed </w:t>
      </w:r>
      <w:r>
        <w:t>on the</w:t>
      </w:r>
      <w:r w:rsidRPr="007D2879">
        <w:t xml:space="preserve"> proportion of the dutiable property situated in the Territory or related to the business undertaking carried on in the Territory</w:t>
      </w:r>
      <w:r>
        <w:t>.</w:t>
      </w:r>
    </w:p>
    <w:p w14:paraId="28534D0A" w14:textId="77777777" w:rsidR="00431024" w:rsidRPr="00431024" w:rsidRDefault="00431024" w:rsidP="00431024">
      <w:pPr>
        <w:pStyle w:val="BlockText"/>
      </w:pPr>
      <w:r>
        <w:t xml:space="preserve">However, paragraph (j) of the definition of </w:t>
      </w:r>
      <w:r w:rsidRPr="007D2879">
        <w:rPr>
          <w:b/>
        </w:rPr>
        <w:t>dutiable property</w:t>
      </w:r>
      <w:r>
        <w:t xml:space="preserve"> in section 4(1) of the Act excludes the following chattels from being dutiable property:</w:t>
      </w:r>
    </w:p>
    <w:p w14:paraId="28534D0B" w14:textId="77777777" w:rsidR="00431024" w:rsidRPr="00131EE5" w:rsidRDefault="00431024" w:rsidP="00431024">
      <w:pPr>
        <w:pStyle w:val="BlockText"/>
        <w:numPr>
          <w:ilvl w:val="1"/>
          <w:numId w:val="3"/>
        </w:numPr>
      </w:pPr>
      <w:r w:rsidRPr="00131EE5">
        <w:t xml:space="preserve">goods, wares or merchandise that are stock-in-trade; </w:t>
      </w:r>
    </w:p>
    <w:p w14:paraId="28534D0C" w14:textId="77777777" w:rsidR="00431024" w:rsidRPr="00131EE5" w:rsidRDefault="00431024" w:rsidP="00431024">
      <w:pPr>
        <w:pStyle w:val="BlockText"/>
        <w:numPr>
          <w:ilvl w:val="1"/>
          <w:numId w:val="3"/>
        </w:numPr>
      </w:pPr>
      <w:r w:rsidRPr="00131EE5">
        <w:t xml:space="preserve">materials held for use in manufacture; </w:t>
      </w:r>
    </w:p>
    <w:p w14:paraId="28534D0D" w14:textId="77777777" w:rsidR="00431024" w:rsidRPr="00131EE5" w:rsidRDefault="00431024" w:rsidP="00431024">
      <w:pPr>
        <w:pStyle w:val="BlockText"/>
        <w:numPr>
          <w:ilvl w:val="1"/>
          <w:numId w:val="3"/>
        </w:numPr>
      </w:pPr>
      <w:r w:rsidRPr="00131EE5">
        <w:t xml:space="preserve">goods under manufacture; </w:t>
      </w:r>
    </w:p>
    <w:p w14:paraId="28534D0E" w14:textId="77777777" w:rsidR="00431024" w:rsidRPr="00131EE5" w:rsidRDefault="00431024" w:rsidP="00431024">
      <w:pPr>
        <w:pStyle w:val="BlockText"/>
        <w:numPr>
          <w:ilvl w:val="1"/>
          <w:numId w:val="3"/>
        </w:numPr>
      </w:pPr>
      <w:r w:rsidRPr="00131EE5">
        <w:t>livestock</w:t>
      </w:r>
      <w:r>
        <w:t xml:space="preserve"> such as cattle</w:t>
      </w:r>
      <w:r w:rsidRPr="00131EE5">
        <w:t xml:space="preserve">; </w:t>
      </w:r>
    </w:p>
    <w:p w14:paraId="28534D0F" w14:textId="77777777" w:rsidR="00431024" w:rsidRPr="00131EE5" w:rsidRDefault="00431024" w:rsidP="00431024">
      <w:pPr>
        <w:pStyle w:val="BlockText"/>
        <w:numPr>
          <w:ilvl w:val="1"/>
          <w:numId w:val="3"/>
        </w:numPr>
      </w:pPr>
      <w:r>
        <w:t>any motor vehicle for</w:t>
      </w:r>
      <w:r w:rsidRPr="00131EE5">
        <w:t xml:space="preserve"> which a motor vehicle certificate of registration is or will, in the opinion of the Commissioner</w:t>
      </w:r>
      <w:r w:rsidR="009A6623">
        <w:t xml:space="preserve"> of Territory Revenue</w:t>
      </w:r>
      <w:r w:rsidRPr="00131EE5">
        <w:t xml:space="preserve">, be issued to the conveyee; </w:t>
      </w:r>
    </w:p>
    <w:p w14:paraId="28534D10" w14:textId="77777777" w:rsidR="00431024" w:rsidRPr="00131EE5" w:rsidRDefault="00431024" w:rsidP="00431024">
      <w:pPr>
        <w:pStyle w:val="BlockText"/>
        <w:numPr>
          <w:ilvl w:val="1"/>
          <w:numId w:val="3"/>
        </w:numPr>
      </w:pPr>
      <w:r w:rsidRPr="00131EE5">
        <w:t xml:space="preserve">cash or money in an account at call; </w:t>
      </w:r>
      <w:r w:rsidR="00736E0C">
        <w:t>and</w:t>
      </w:r>
    </w:p>
    <w:p w14:paraId="28534D11" w14:textId="77777777" w:rsidR="00431024" w:rsidRPr="00431024" w:rsidRDefault="00431024" w:rsidP="00431024">
      <w:pPr>
        <w:pStyle w:val="BlockText"/>
        <w:numPr>
          <w:ilvl w:val="1"/>
          <w:numId w:val="3"/>
        </w:numPr>
      </w:pPr>
      <w:r>
        <w:t>negotiable instruments</w:t>
      </w:r>
      <w:r w:rsidRPr="00131EE5">
        <w:t xml:space="preserve"> and money on deposit with any person</w:t>
      </w:r>
      <w:r>
        <w:t>.</w:t>
      </w:r>
    </w:p>
    <w:p w14:paraId="28534D12" w14:textId="77777777" w:rsidR="00431024" w:rsidRPr="00431024" w:rsidRDefault="00431024" w:rsidP="00431024">
      <w:pPr>
        <w:pStyle w:val="HeadingThree"/>
      </w:pPr>
      <w:r w:rsidRPr="008F3F02">
        <w:t>Meaning of chattels</w:t>
      </w:r>
    </w:p>
    <w:p w14:paraId="28534D13" w14:textId="77777777" w:rsidR="00431024" w:rsidRDefault="00431024" w:rsidP="00431024">
      <w:pPr>
        <w:pStyle w:val="BlockText"/>
      </w:pPr>
      <w:r>
        <w:t xml:space="preserve">The term </w:t>
      </w:r>
      <w:r w:rsidRPr="007D2879">
        <w:rPr>
          <w:b/>
        </w:rPr>
        <w:t>chattel</w:t>
      </w:r>
      <w:r>
        <w:rPr>
          <w:b/>
        </w:rPr>
        <w:t>s</w:t>
      </w:r>
      <w:r>
        <w:t xml:space="preserve"> is not defined in the Act. Accordingly, it is to be given its ordinary meaning in the context of the language, character and purpose of the Act.</w:t>
      </w:r>
    </w:p>
    <w:p w14:paraId="28534D14" w14:textId="77777777" w:rsidR="00431024" w:rsidRPr="00431024" w:rsidRDefault="00431024" w:rsidP="00431024">
      <w:pPr>
        <w:pStyle w:val="BlockText"/>
      </w:pPr>
      <w:r>
        <w:lastRenderedPageBreak/>
        <w:t xml:space="preserve">It is a wide term used in relation to personal property and covers </w:t>
      </w:r>
      <w:r w:rsidRPr="00F24376">
        <w:rPr>
          <w:b/>
        </w:rPr>
        <w:t>choses in possession</w:t>
      </w:r>
      <w:r>
        <w:t xml:space="preserve">, which are tangible property such as plant and equipment and other goods. It also covers </w:t>
      </w:r>
      <w:r w:rsidRPr="00CD2A75">
        <w:rPr>
          <w:b/>
        </w:rPr>
        <w:t>choses in action</w:t>
      </w:r>
      <w:r w:rsidRPr="00703765">
        <w:t>,</w:t>
      </w:r>
      <w:r>
        <w:t xml:space="preserve"> which are</w:t>
      </w:r>
      <w:r w:rsidDel="00ED61E1">
        <w:t xml:space="preserve"> </w:t>
      </w:r>
      <w:r>
        <w:t>intangible property that a person has an enforceable right of action, such as a debt.</w:t>
      </w:r>
    </w:p>
    <w:p w14:paraId="28534D15" w14:textId="77777777" w:rsidR="00431024" w:rsidRPr="00431024" w:rsidRDefault="00431024" w:rsidP="00431024">
      <w:pPr>
        <w:pStyle w:val="HeadingThree"/>
      </w:pPr>
      <w:r>
        <w:t>Stamp duty treatment of trade debts</w:t>
      </w:r>
    </w:p>
    <w:p w14:paraId="28534D16" w14:textId="77777777" w:rsidR="00431024" w:rsidRDefault="00431024" w:rsidP="00431024">
      <w:pPr>
        <w:pStyle w:val="BlockText"/>
      </w:pPr>
      <w:r>
        <w:t xml:space="preserve">Trade debts are a chose in action and therefore fall within the definition of chattels. However, TRO regards trade debts as falling within the class of excluded chattels, so they are not subject to stamp duty when conveyed. </w:t>
      </w:r>
    </w:p>
    <w:p w14:paraId="28534D17" w14:textId="77777777" w:rsidR="00431024" w:rsidRPr="00431024" w:rsidRDefault="00431024" w:rsidP="00431024">
      <w:pPr>
        <w:pStyle w:val="BlockText"/>
      </w:pPr>
      <w:r>
        <w:t>This is because trade debts (but not other choses in action in the nature of future rights to income such as trailing commissions) are akin to the financial nature of the excluded choses in action</w:t>
      </w:r>
      <w:r w:rsidRPr="005B305E">
        <w:t xml:space="preserve"> </w:t>
      </w:r>
      <w:r>
        <w:t xml:space="preserve">referred to in paragraph (j), (vi) and (vii) of the definition of dutiable property. On this basis TRO will treat trade debts the same as cash, money in an account at call, </w:t>
      </w:r>
      <w:r w:rsidRPr="005B305E">
        <w:t>negotiable instruments and m</w:t>
      </w:r>
      <w:r>
        <w:t xml:space="preserve">oney on deposit with any person. </w:t>
      </w:r>
    </w:p>
    <w:p w14:paraId="28534D18" w14:textId="77777777" w:rsidR="00431024" w:rsidRPr="00950030" w:rsidRDefault="00431024" w:rsidP="00431024">
      <w:pPr>
        <w:pStyle w:val="HeadingTwo"/>
        <w:rPr>
          <w:rFonts w:cs="Arial"/>
          <w:sz w:val="24"/>
          <w:szCs w:val="24"/>
        </w:rPr>
      </w:pPr>
      <w:r w:rsidRPr="00950030">
        <w:t>Evidence of value</w:t>
      </w:r>
    </w:p>
    <w:p w14:paraId="28534D19" w14:textId="77777777" w:rsidR="00431024" w:rsidRDefault="00431024" w:rsidP="00431024">
      <w:pPr>
        <w:pStyle w:val="BlockText"/>
      </w:pPr>
      <w:r>
        <w:t>Trade debts are generally transferred for an amount equal to or less than the amount actually owed. This takes into account the likelihood that not all of the debts will be recovered due to some customers defaulting on payment.</w:t>
      </w:r>
    </w:p>
    <w:p w14:paraId="28534D1A" w14:textId="77777777" w:rsidR="00431024" w:rsidRDefault="00431024" w:rsidP="00431024">
      <w:pPr>
        <w:pStyle w:val="BlockText"/>
      </w:pPr>
      <w:r>
        <w:t>Although trade debts are not liable to stamp duty, TRO may require evidence of the value of the dutiable property conveyed as part of the same transaction. This could occur if an excessive amount of the consideration has been allocated to trade debts.</w:t>
      </w:r>
    </w:p>
    <w:p w14:paraId="28534D1B" w14:textId="77777777" w:rsidR="00431024" w:rsidRDefault="00431024" w:rsidP="00431024">
      <w:pPr>
        <w:pStyle w:val="BlockText"/>
      </w:pPr>
      <w:r w:rsidRPr="00004829">
        <w:t>See C</w:t>
      </w:r>
      <w:r>
        <w:t xml:space="preserve">ommissioner’s Guideline </w:t>
      </w:r>
      <w:hyperlink r:id="rId10" w:history="1">
        <w:r w:rsidRPr="00736E0C">
          <w:rPr>
            <w:rStyle w:val="Hyperlink"/>
          </w:rPr>
          <w:t>CG-SD-010</w:t>
        </w:r>
      </w:hyperlink>
      <w:r w:rsidRPr="00004829">
        <w:t xml:space="preserve">: </w:t>
      </w:r>
      <w:r w:rsidRPr="00004829">
        <w:rPr>
          <w:i/>
        </w:rPr>
        <w:t>Tax assessments requiring evidence of value</w:t>
      </w:r>
      <w:r w:rsidRPr="00004829">
        <w:t xml:space="preserve"> </w:t>
      </w:r>
      <w:r>
        <w:t>for more information on TRO’s</w:t>
      </w:r>
      <w:r w:rsidRPr="00004829">
        <w:t xml:space="preserve"> power to require a</w:t>
      </w:r>
      <w:r>
        <w:t xml:space="preserve"> </w:t>
      </w:r>
      <w:r w:rsidRPr="00004829">
        <w:t>taxpayer to provide written evidence of the value of property</w:t>
      </w:r>
      <w:r>
        <w:t>.</w:t>
      </w:r>
    </w:p>
    <w:p w14:paraId="28534D1C" w14:textId="77777777" w:rsidR="006034B6" w:rsidRDefault="00513926" w:rsidP="006034B6">
      <w:pPr>
        <w:pStyle w:val="HeadingTwo"/>
      </w:pPr>
      <w:r>
        <w:t>Commissioner’s Guidelines</w:t>
      </w:r>
    </w:p>
    <w:p w14:paraId="28534D1D" w14:textId="77777777" w:rsidR="00206981" w:rsidRPr="002D6D82" w:rsidRDefault="00513926" w:rsidP="00206981">
      <w:pPr>
        <w:pStyle w:val="BlockText"/>
      </w:pPr>
      <w:r w:rsidRPr="002D6D82">
        <w:t>Co</w:t>
      </w:r>
      <w:r>
        <w:t xml:space="preserve">mmissioner’s Guideline </w:t>
      </w:r>
      <w:hyperlink r:id="rId11" w:history="1">
        <w:r w:rsidR="00D12071">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14:paraId="28534D1E" w14:textId="77777777" w:rsidR="00F65356" w:rsidRDefault="00F65356" w:rsidP="00F24376">
      <w:pPr>
        <w:pStyle w:val="HeadingTwo"/>
        <w:tabs>
          <w:tab w:val="left" w:pos="4350"/>
        </w:tabs>
      </w:pPr>
      <w:r>
        <w:t>Date of effect</w:t>
      </w:r>
      <w:r w:rsidR="00D12071">
        <w:tab/>
      </w:r>
    </w:p>
    <w:p w14:paraId="28534D1F" w14:textId="77777777" w:rsidR="00F65356" w:rsidRDefault="00F65356" w:rsidP="00736E0C">
      <w:pPr>
        <w:pStyle w:val="BlockText"/>
        <w:numPr>
          <w:ilvl w:val="0"/>
          <w:numId w:val="0"/>
        </w:numPr>
      </w:pPr>
      <w:r>
        <w:t>This version of the Gui</w:t>
      </w:r>
      <w:r w:rsidR="00F51610">
        <w:t>deline takes effect from 28 August 2009</w:t>
      </w:r>
      <w:r w:rsidR="00736E0C">
        <w:t>.</w:t>
      </w:r>
    </w:p>
    <w:p w14:paraId="28534D20" w14:textId="77777777" w:rsidR="00364D5F" w:rsidRDefault="00677E2C" w:rsidP="006034B6">
      <w:r>
        <w:rPr>
          <w:noProof/>
        </w:rPr>
        <w:drawing>
          <wp:inline distT="0" distB="0" distL="0" distR="0" wp14:anchorId="28534D2F" wp14:editId="28534D30">
            <wp:extent cx="601980" cy="2009775"/>
            <wp:effectExtent l="952"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601980" cy="2009775"/>
                    </a:xfrm>
                    <a:prstGeom prst="rect">
                      <a:avLst/>
                    </a:prstGeom>
                    <a:noFill/>
                    <a:ln>
                      <a:noFill/>
                    </a:ln>
                  </pic:spPr>
                </pic:pic>
              </a:graphicData>
            </a:graphic>
          </wp:inline>
        </w:drawing>
      </w:r>
    </w:p>
    <w:p w14:paraId="28534D21" w14:textId="77777777" w:rsidR="006034B6" w:rsidRDefault="00F51610" w:rsidP="006034B6">
      <w:smartTag w:uri="urn:schemas-microsoft-com:office:smarttags" w:element="City">
        <w:smartTag w:uri="urn:schemas-microsoft-com:office:smarttags" w:element="place">
          <w:r>
            <w:t>Murray</w:t>
          </w:r>
        </w:smartTag>
      </w:smartTag>
      <w:r>
        <w:t xml:space="preserve"> Hancock</w:t>
      </w:r>
    </w:p>
    <w:p w14:paraId="28534D22" w14:textId="77777777" w:rsidR="006034B6" w:rsidRPr="005247E5" w:rsidRDefault="00F51610" w:rsidP="006034B6">
      <w:pPr>
        <w:rPr>
          <w:b/>
        </w:rPr>
      </w:pPr>
      <w:r>
        <w:rPr>
          <w:b/>
        </w:rPr>
        <w:t xml:space="preserve">DEPUTY </w:t>
      </w:r>
      <w:r w:rsidR="005247E5" w:rsidRPr="005247E5">
        <w:rPr>
          <w:b/>
        </w:rPr>
        <w:t>COMMISSIONER OF TERRITORY REVENUE</w:t>
      </w:r>
    </w:p>
    <w:p w14:paraId="28534D23" w14:textId="77777777" w:rsidR="006034B6" w:rsidRDefault="006034B6" w:rsidP="006034B6"/>
    <w:p w14:paraId="28534D24" w14:textId="77777777" w:rsidR="006034B6" w:rsidRDefault="006034B6" w:rsidP="006034B6">
      <w:r>
        <w:t>Date of Issue:</w:t>
      </w:r>
      <w:r w:rsidR="00F51610">
        <w:tab/>
      </w:r>
      <w:r w:rsidR="00F51610">
        <w:tab/>
        <w:t>28 August 2009</w:t>
      </w:r>
    </w:p>
    <w:p w14:paraId="28534D25" w14:textId="77777777"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D167C2" w14:paraId="28534D27" w14:textId="77777777" w:rsidTr="00D167C2">
        <w:tc>
          <w:tcPr>
            <w:tcW w:w="9854" w:type="dxa"/>
            <w:gridSpan w:val="2"/>
          </w:tcPr>
          <w:p w14:paraId="28534D26" w14:textId="77777777" w:rsidR="006034B6" w:rsidRPr="00D167C2" w:rsidRDefault="006034B6" w:rsidP="006034B6">
            <w:pPr>
              <w:rPr>
                <w:sz w:val="20"/>
              </w:rPr>
            </w:pPr>
            <w:r w:rsidRPr="00D167C2">
              <w:rPr>
                <w:sz w:val="20"/>
              </w:rPr>
              <w:t>For further information please contact the Territory Revenue Office:</w:t>
            </w:r>
          </w:p>
        </w:tc>
      </w:tr>
      <w:tr w:rsidR="006034B6" w:rsidRPr="00D167C2" w14:paraId="28534D2D" w14:textId="77777777" w:rsidTr="00D167C2">
        <w:tc>
          <w:tcPr>
            <w:tcW w:w="4927" w:type="dxa"/>
          </w:tcPr>
          <w:p w14:paraId="28534D28" w14:textId="7C4A240D" w:rsidR="006034B6" w:rsidRPr="00D167C2" w:rsidRDefault="00A37F29" w:rsidP="006034B6">
            <w:pPr>
              <w:rPr>
                <w:sz w:val="20"/>
              </w:rPr>
            </w:pPr>
            <w:r>
              <w:rPr>
                <w:sz w:val="20"/>
              </w:rPr>
              <w:t>GPO Box 197</w:t>
            </w:r>
            <w:bookmarkStart w:id="0" w:name="_GoBack"/>
            <w:bookmarkEnd w:id="0"/>
            <w:r w:rsidR="006034B6" w:rsidRPr="00D167C2">
              <w:rPr>
                <w:sz w:val="20"/>
              </w:rPr>
              <w:t>4</w:t>
            </w:r>
          </w:p>
          <w:p w14:paraId="28534D29" w14:textId="77777777" w:rsidR="006034B6" w:rsidRPr="00D167C2" w:rsidRDefault="006034B6" w:rsidP="006034B6">
            <w:pPr>
              <w:rPr>
                <w:sz w:val="20"/>
              </w:rPr>
            </w:pPr>
            <w:r w:rsidRPr="00D167C2">
              <w:rPr>
                <w:sz w:val="20"/>
              </w:rPr>
              <w:t>Darwin  NT  0801</w:t>
            </w:r>
          </w:p>
          <w:p w14:paraId="28534D2A" w14:textId="77777777" w:rsidR="006034B6" w:rsidRPr="00D167C2" w:rsidRDefault="006034B6" w:rsidP="00D167C2">
            <w:pPr>
              <w:pStyle w:val="BlockText"/>
              <w:numPr>
                <w:ilvl w:val="0"/>
                <w:numId w:val="0"/>
              </w:numPr>
              <w:rPr>
                <w:sz w:val="20"/>
              </w:rPr>
            </w:pPr>
            <w:r w:rsidRPr="00D167C2">
              <w:rPr>
                <w:sz w:val="20"/>
              </w:rPr>
              <w:t xml:space="preserve">Email: </w:t>
            </w:r>
            <w:hyperlink r:id="rId13" w:history="1">
              <w:r w:rsidR="00872F2F" w:rsidRPr="00F24376">
                <w:rPr>
                  <w:rStyle w:val="Hyperlink"/>
                  <w:sz w:val="20"/>
                </w:rPr>
                <w:t>ntrevenue@nt.gov.au</w:t>
              </w:r>
            </w:hyperlink>
          </w:p>
        </w:tc>
        <w:tc>
          <w:tcPr>
            <w:tcW w:w="4927" w:type="dxa"/>
          </w:tcPr>
          <w:p w14:paraId="28534D2B" w14:textId="77777777" w:rsidR="006034B6" w:rsidRPr="00D167C2" w:rsidRDefault="006034B6" w:rsidP="006034B6">
            <w:pPr>
              <w:rPr>
                <w:sz w:val="20"/>
              </w:rPr>
            </w:pPr>
            <w:r w:rsidRPr="00D167C2">
              <w:rPr>
                <w:sz w:val="20"/>
              </w:rPr>
              <w:t>Phone: 1300 305 353</w:t>
            </w:r>
          </w:p>
          <w:p w14:paraId="28534D2C" w14:textId="77777777" w:rsidR="006034B6" w:rsidRPr="00D167C2" w:rsidRDefault="006034B6" w:rsidP="006034B6">
            <w:pPr>
              <w:rPr>
                <w:sz w:val="20"/>
              </w:rPr>
            </w:pPr>
            <w:r w:rsidRPr="00D167C2">
              <w:rPr>
                <w:sz w:val="20"/>
              </w:rPr>
              <w:t xml:space="preserve">Website: </w:t>
            </w:r>
            <w:hyperlink r:id="rId14" w:history="1">
              <w:r w:rsidRPr="00D167C2">
                <w:rPr>
                  <w:rStyle w:val="Hyperlink"/>
                  <w:sz w:val="20"/>
                </w:rPr>
                <w:t>www.revenue.nt.gov.au</w:t>
              </w:r>
            </w:hyperlink>
          </w:p>
        </w:tc>
      </w:tr>
    </w:tbl>
    <w:p w14:paraId="28534D2E" w14:textId="77777777" w:rsidR="006034B6" w:rsidRPr="00364D5F" w:rsidRDefault="006034B6" w:rsidP="00364D5F">
      <w:pPr>
        <w:tabs>
          <w:tab w:val="left" w:pos="3090"/>
        </w:tabs>
      </w:pPr>
    </w:p>
    <w:sectPr w:rsidR="006034B6" w:rsidRPr="00364D5F" w:rsidSect="00F65356">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CA0F2" w14:textId="77777777" w:rsidR="00BC792B" w:rsidRDefault="00BC792B">
      <w:r>
        <w:separator/>
      </w:r>
    </w:p>
  </w:endnote>
  <w:endnote w:type="continuationSeparator" w:id="0">
    <w:p w14:paraId="3F7BCCCF" w14:textId="77777777" w:rsidR="00BC792B" w:rsidRDefault="00BC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4D38" w14:textId="77777777" w:rsidR="00945A49" w:rsidRDefault="00945A49" w:rsidP="00364D5F">
    <w:pPr>
      <w:pStyle w:val="Footer"/>
      <w:tabs>
        <w:tab w:val="clear" w:pos="4153"/>
        <w:tab w:val="clear" w:pos="8306"/>
        <w:tab w:val="right" w:pos="9720"/>
      </w:tabs>
      <w:rPr>
        <w:sz w:val="16"/>
        <w:szCs w:val="16"/>
      </w:rPr>
    </w:pPr>
  </w:p>
  <w:p w14:paraId="28534D39" w14:textId="11B5424A"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A37F29">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A37F29">
      <w:rPr>
        <w:noProof/>
        <w:sz w:val="16"/>
        <w:szCs w:val="16"/>
      </w:rPr>
      <w:t>2</w:t>
    </w:r>
    <w:r w:rsidRPr="006034B6">
      <w:rPr>
        <w:sz w:val="16"/>
        <w:szCs w:val="16"/>
      </w:rPr>
      <w:fldChar w:fldCharType="end"/>
    </w:r>
    <w:r>
      <w:rPr>
        <w:sz w:val="16"/>
        <w:szCs w:val="16"/>
      </w:rPr>
      <w:tab/>
      <w:t>CG-</w:t>
    </w:r>
    <w:r w:rsidR="001F62BE">
      <w:rPr>
        <w:sz w:val="16"/>
        <w:szCs w:val="16"/>
      </w:rPr>
      <w:t>SD-015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4D41" w14:textId="77777777" w:rsidR="00945A49" w:rsidRDefault="00945A49" w:rsidP="00364D5F">
    <w:pPr>
      <w:pStyle w:val="Footer"/>
      <w:tabs>
        <w:tab w:val="clear" w:pos="4153"/>
        <w:tab w:val="clear" w:pos="8306"/>
        <w:tab w:val="right" w:pos="9720"/>
      </w:tabs>
      <w:rPr>
        <w:sz w:val="16"/>
        <w:szCs w:val="16"/>
      </w:rPr>
    </w:pPr>
  </w:p>
  <w:p w14:paraId="28534D42" w14:textId="6A62D724"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A37F29">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A37F29">
      <w:rPr>
        <w:noProof/>
        <w:sz w:val="16"/>
        <w:szCs w:val="16"/>
      </w:rPr>
      <w:t>2</w:t>
    </w:r>
    <w:r w:rsidRPr="006034B6">
      <w:rPr>
        <w:sz w:val="16"/>
        <w:szCs w:val="16"/>
      </w:rPr>
      <w:fldChar w:fldCharType="end"/>
    </w:r>
    <w:r>
      <w:rPr>
        <w:sz w:val="16"/>
        <w:szCs w:val="16"/>
      </w:rPr>
      <w:tab/>
      <w:t>CG-</w:t>
    </w:r>
    <w:r w:rsidR="001F62BE">
      <w:rPr>
        <w:sz w:val="16"/>
        <w:szCs w:val="16"/>
      </w:rPr>
      <w:t>SD-015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37846" w14:textId="77777777" w:rsidR="00BC792B" w:rsidRDefault="00BC792B">
      <w:r>
        <w:separator/>
      </w:r>
    </w:p>
  </w:footnote>
  <w:footnote w:type="continuationSeparator" w:id="0">
    <w:p w14:paraId="3638454F" w14:textId="77777777" w:rsidR="00BC792B" w:rsidRDefault="00BC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4D35" w14:textId="77777777"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34D36" w14:textId="77777777"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4D37" w14:textId="77777777"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4D3A" w14:textId="77777777" w:rsidR="00945A49" w:rsidRDefault="00677E2C" w:rsidP="0019571B">
    <w:pPr>
      <w:pStyle w:val="NTTHeaderInfo"/>
      <w:rPr>
        <w:b/>
        <w:noProof/>
      </w:rPr>
    </w:pPr>
    <w:r>
      <w:rPr>
        <w:noProof/>
      </w:rPr>
      <w:drawing>
        <wp:anchor distT="0" distB="0" distL="114300" distR="114300" simplePos="0" relativeHeight="251657728" behindDoc="1" locked="0" layoutInCell="1" allowOverlap="1" wp14:anchorId="28534D43" wp14:editId="28534D44">
          <wp:simplePos x="0" y="0"/>
          <wp:positionH relativeFrom="column">
            <wp:posOffset>-510540</wp:posOffset>
          </wp:positionH>
          <wp:positionV relativeFrom="paragraph">
            <wp:posOffset>-198120</wp:posOffset>
          </wp:positionV>
          <wp:extent cx="7185025" cy="895350"/>
          <wp:effectExtent l="0" t="0" r="0" b="0"/>
          <wp:wrapThrough wrapText="bothSides">
            <wp:wrapPolygon edited="0">
              <wp:start x="0" y="0"/>
              <wp:lineTo x="0" y="21140"/>
              <wp:lineTo x="21533" y="21140"/>
              <wp:lineTo x="21533"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0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34D3B" w14:textId="77777777" w:rsidR="00945A49" w:rsidRDefault="00945A49" w:rsidP="0019571B">
    <w:pPr>
      <w:pStyle w:val="NTTHeaderInfo"/>
      <w:rPr>
        <w:b/>
        <w:noProof/>
      </w:rPr>
    </w:pPr>
  </w:p>
  <w:p w14:paraId="28534D3C" w14:textId="77777777" w:rsidR="00945A49" w:rsidRDefault="00945A49" w:rsidP="0019571B">
    <w:pPr>
      <w:pStyle w:val="NTTHeaderInfo"/>
      <w:rPr>
        <w:b/>
        <w:noProof/>
      </w:rPr>
    </w:pPr>
  </w:p>
  <w:p w14:paraId="28534D3D" w14:textId="77777777" w:rsidR="00945A49" w:rsidRDefault="00945A49">
    <w:pPr>
      <w:pStyle w:val="Header"/>
    </w:pPr>
  </w:p>
  <w:p w14:paraId="28534D3E" w14:textId="77777777" w:rsidR="00945A49" w:rsidRDefault="00945A49">
    <w:pPr>
      <w:pStyle w:val="Header"/>
    </w:pPr>
  </w:p>
  <w:p w14:paraId="28534D3F" w14:textId="77777777" w:rsidR="00945A49" w:rsidRDefault="00945A49">
    <w:pPr>
      <w:pStyle w:val="Header"/>
    </w:pPr>
  </w:p>
  <w:p w14:paraId="28534D40" w14:textId="77777777"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C1C7635"/>
    <w:multiLevelType w:val="hybridMultilevel"/>
    <w:tmpl w:val="42425F38"/>
    <w:lvl w:ilvl="0" w:tplc="0C090011">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9806C66C">
      <w:start w:val="1"/>
      <w:numFmt w:val="lowerRoman"/>
      <w:lvlText w:val="(%3)"/>
      <w:lvlJc w:val="left"/>
      <w:pPr>
        <w:tabs>
          <w:tab w:val="num" w:pos="2414"/>
        </w:tabs>
        <w:ind w:left="2414" w:hanging="794"/>
      </w:pPr>
      <w:rPr>
        <w:rFonts w:hint="default"/>
        <w:b w:val="0"/>
        <w:i w:val="0"/>
      </w:r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7294591F"/>
    <w:multiLevelType w:val="multilevel"/>
    <w:tmpl w:val="88F6EEB2"/>
    <w:numStyleLink w:val="Text"/>
  </w:abstractNum>
  <w:num w:numId="1">
    <w:abstractNumId w:val="9"/>
  </w:num>
  <w:num w:numId="2">
    <w:abstractNumId w:val="5"/>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6"/>
  </w:num>
  <w:num w:numId="7">
    <w:abstractNumId w:val="7"/>
  </w:num>
  <w:num w:numId="8">
    <w:abstractNumId w:val="0"/>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B4KZK0H7ukjY7SdgkMWyWMxnmXu1KzxCWjhlYsNFlVRYghgP01SP/L6rzFxghU9UqkT5PnwqNEWG1FO4tQVU1g==" w:salt="Cn3IiU6dCa5Hym+ebBFe3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24"/>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C6F0F"/>
    <w:rsid w:val="001D27E9"/>
    <w:rsid w:val="001D4089"/>
    <w:rsid w:val="001D5A9F"/>
    <w:rsid w:val="001D6742"/>
    <w:rsid w:val="001D69E9"/>
    <w:rsid w:val="001D7DC4"/>
    <w:rsid w:val="001E3578"/>
    <w:rsid w:val="001E6135"/>
    <w:rsid w:val="001F4991"/>
    <w:rsid w:val="001F5273"/>
    <w:rsid w:val="001F60FE"/>
    <w:rsid w:val="001F62BE"/>
    <w:rsid w:val="001F6B23"/>
    <w:rsid w:val="001F7B6E"/>
    <w:rsid w:val="0020232B"/>
    <w:rsid w:val="00204372"/>
    <w:rsid w:val="002048E7"/>
    <w:rsid w:val="00206981"/>
    <w:rsid w:val="00207E37"/>
    <w:rsid w:val="00210686"/>
    <w:rsid w:val="002115E6"/>
    <w:rsid w:val="00211ADE"/>
    <w:rsid w:val="00212774"/>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024"/>
    <w:rsid w:val="00431E0A"/>
    <w:rsid w:val="00432945"/>
    <w:rsid w:val="00434F1E"/>
    <w:rsid w:val="0043606C"/>
    <w:rsid w:val="004362E6"/>
    <w:rsid w:val="004379E6"/>
    <w:rsid w:val="004407DC"/>
    <w:rsid w:val="0045323B"/>
    <w:rsid w:val="0045415A"/>
    <w:rsid w:val="00455F9C"/>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E6B3D"/>
    <w:rsid w:val="004F103E"/>
    <w:rsid w:val="004F32ED"/>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77E2C"/>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36E0C"/>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2F2F"/>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C7507"/>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45FA"/>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6623"/>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2654"/>
    <w:rsid w:val="00A15B51"/>
    <w:rsid w:val="00A16927"/>
    <w:rsid w:val="00A2194D"/>
    <w:rsid w:val="00A23E15"/>
    <w:rsid w:val="00A255CB"/>
    <w:rsid w:val="00A27062"/>
    <w:rsid w:val="00A271E9"/>
    <w:rsid w:val="00A3089F"/>
    <w:rsid w:val="00A30A6C"/>
    <w:rsid w:val="00A36699"/>
    <w:rsid w:val="00A37F2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642A6"/>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C792B"/>
    <w:rsid w:val="00BD047B"/>
    <w:rsid w:val="00BD2B44"/>
    <w:rsid w:val="00BD2C00"/>
    <w:rsid w:val="00BE1391"/>
    <w:rsid w:val="00BE71B8"/>
    <w:rsid w:val="00BE7723"/>
    <w:rsid w:val="00BE7D5F"/>
    <w:rsid w:val="00BF25BF"/>
    <w:rsid w:val="00BF59C3"/>
    <w:rsid w:val="00BF618D"/>
    <w:rsid w:val="00BF79D3"/>
    <w:rsid w:val="00BF7C7C"/>
    <w:rsid w:val="00C00DBB"/>
    <w:rsid w:val="00C01A46"/>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071"/>
    <w:rsid w:val="00D1271C"/>
    <w:rsid w:val="00D1311C"/>
    <w:rsid w:val="00D14B39"/>
    <w:rsid w:val="00D15DC7"/>
    <w:rsid w:val="00D167C2"/>
    <w:rsid w:val="00D2734D"/>
    <w:rsid w:val="00D30EFA"/>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97212"/>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4376"/>
    <w:rsid w:val="00F266D3"/>
    <w:rsid w:val="00F26C6C"/>
    <w:rsid w:val="00F26E96"/>
    <w:rsid w:val="00F2739F"/>
    <w:rsid w:val="00F30797"/>
    <w:rsid w:val="00F35A52"/>
    <w:rsid w:val="00F41CD5"/>
    <w:rsid w:val="00F43570"/>
    <w:rsid w:val="00F45A80"/>
    <w:rsid w:val="00F4720B"/>
    <w:rsid w:val="00F51610"/>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8534CF1"/>
  <w15:docId w15:val="{29C15019-C295-41A6-97F5-FF3AB37B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1"/>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431024"/>
    <w:pPr>
      <w:spacing w:before="360" w:line="300" w:lineRule="exact"/>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revenue@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asury.nt.gov.au/PMS/Publications/TaxesRoyaltiesGrants/StampDuty/CG-SD-010.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Transfers of trade debts</Publication_x0020_Title>
    <Details xmlns="378e824e-6e02-4c0d-8321-dd86fba681ee" xsi:nil="true"/>
    <Identifier xmlns="378e824e-6e02-4c0d-8321-dd86fba681ee">CG-SD-015</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BACEC-3C85-4348-9B6A-ECB879330265}">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88D548F6-7D91-4971-B7DA-D4D1487FDCDC}">
  <ds:schemaRefs>
    <ds:schemaRef ds:uri="http://schemas.microsoft.com/sharepoint/v3/contenttype/forms"/>
  </ds:schemaRefs>
</ds:datastoreItem>
</file>

<file path=customXml/itemProps3.xml><?xml version="1.0" encoding="utf-8"?>
<ds:datastoreItem xmlns:ds="http://schemas.openxmlformats.org/officeDocument/2006/customXml" ds:itemID="{C1034F45-9F79-4789-906D-11368648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4615</CharactersWithSpaces>
  <SharedDoc>false</SharedDoc>
  <HLinks>
    <vt:vector size="24" baseType="variant">
      <vt:variant>
        <vt:i4>5242895</vt:i4>
      </vt:variant>
      <vt:variant>
        <vt:i4>12</vt:i4>
      </vt:variant>
      <vt:variant>
        <vt:i4>0</vt:i4>
      </vt:variant>
      <vt:variant>
        <vt:i4>5</vt:i4>
      </vt:variant>
      <vt:variant>
        <vt:lpwstr>http://www.revenue.nt.gov.au/</vt:lpwstr>
      </vt:variant>
      <vt:variant>
        <vt:lpwstr/>
      </vt:variant>
      <vt:variant>
        <vt:i4>7798799</vt:i4>
      </vt:variant>
      <vt:variant>
        <vt:i4>9</vt:i4>
      </vt:variant>
      <vt:variant>
        <vt:i4>0</vt:i4>
      </vt:variant>
      <vt:variant>
        <vt:i4>5</vt:i4>
      </vt:variant>
      <vt:variant>
        <vt:lpwstr>mailto:ntrevenue@nt.gov.au</vt:lpwstr>
      </vt:variant>
      <vt:variant>
        <vt:lpwstr/>
      </vt:variant>
      <vt:variant>
        <vt:i4>2883638</vt:i4>
      </vt:variant>
      <vt:variant>
        <vt:i4>3</vt:i4>
      </vt:variant>
      <vt:variant>
        <vt:i4>0</vt:i4>
      </vt:variant>
      <vt:variant>
        <vt:i4>5</vt:i4>
      </vt:variant>
      <vt:variant>
        <vt:lpwstr>http://www.treasury.nt.gov.au/PMS/Publications/TaxesRoyaltiesGrants/GeneralAdmin/CG-GEN-001.pdf</vt:lpwstr>
      </vt:variant>
      <vt:variant>
        <vt:lpwstr/>
      </vt:variant>
      <vt:variant>
        <vt:i4>3604520</vt:i4>
      </vt:variant>
      <vt:variant>
        <vt:i4>0</vt:i4>
      </vt:variant>
      <vt:variant>
        <vt:i4>0</vt:i4>
      </vt:variant>
      <vt:variant>
        <vt:i4>5</vt:i4>
      </vt:variant>
      <vt:variant>
        <vt:lpwstr>http://www.treasury.nt.gov.au/PMS/Publications/TaxesRoyaltiesGrants/StampDuty/CG-SD-010.pdf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Transfers of trade debts</dc:title>
  <dc:creator>eclark</dc:creator>
  <cp:lastModifiedBy>Jessica Symonds</cp:lastModifiedBy>
  <cp:revision>4</cp:revision>
  <cp:lastPrinted>2011-11-09T04:05:00Z</cp:lastPrinted>
  <dcterms:created xsi:type="dcterms:W3CDTF">2016-02-25T06:07:00Z</dcterms:created>
  <dcterms:modified xsi:type="dcterms:W3CDTF">2021-09-13T02:08:00Z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