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D991A" w14:textId="77777777" w:rsidR="002546CB" w:rsidRPr="00C27A0A" w:rsidRDefault="00DE64A9" w:rsidP="00C27A0A">
      <w:pPr>
        <w:pStyle w:val="HeadingOne"/>
      </w:pPr>
      <w:bookmarkStart w:id="0" w:name="_GoBack"/>
      <w:bookmarkEnd w:id="0"/>
      <w:r>
        <w:t>COMMISSIONER’S GUIDELINE</w:t>
      </w:r>
      <w:r w:rsidR="00513926">
        <w:t xml:space="preserve"> </w:t>
      </w:r>
    </w:p>
    <w:p w14:paraId="5F6D991B" w14:textId="77777777" w:rsidR="00C27A0A" w:rsidRPr="00C27A0A" w:rsidRDefault="00513926" w:rsidP="00C27A0A">
      <w:pPr>
        <w:pStyle w:val="HeadingOne"/>
      </w:pPr>
      <w:r>
        <w:t>CG</w:t>
      </w:r>
      <w:r w:rsidR="00C27A0A" w:rsidRPr="00C27A0A">
        <w:t>-</w:t>
      </w:r>
      <w:r w:rsidR="002D271F">
        <w:t>SD-014</w:t>
      </w:r>
      <w:r>
        <w:t>:</w:t>
      </w:r>
      <w:r w:rsidR="00C27A0A" w:rsidRPr="00C27A0A">
        <w:t xml:space="preserve"> </w:t>
      </w:r>
      <w:r w:rsidR="002D271F">
        <w:t>Stamp duty for substituting a related purchaser</w:t>
      </w:r>
    </w:p>
    <w:p w14:paraId="5F6D991C" w14:textId="77777777"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10"/>
        <w:gridCol w:w="1710"/>
      </w:tblGrid>
      <w:tr w:rsidR="00F65356" w:rsidRPr="00C43778" w14:paraId="5F6D9920" w14:textId="77777777" w:rsidTr="00C43778">
        <w:trPr>
          <w:jc w:val="center"/>
        </w:trPr>
        <w:tc>
          <w:tcPr>
            <w:tcW w:w="1030" w:type="dxa"/>
            <w:vMerge w:val="restart"/>
          </w:tcPr>
          <w:p w14:paraId="5F6D991D" w14:textId="77777777" w:rsidR="00F65356" w:rsidRPr="00C43778" w:rsidRDefault="00F65356" w:rsidP="00C43778">
            <w:pPr>
              <w:jc w:val="center"/>
              <w:rPr>
                <w:b/>
                <w:sz w:val="18"/>
                <w:szCs w:val="18"/>
              </w:rPr>
            </w:pPr>
            <w:r w:rsidRPr="00C43778">
              <w:rPr>
                <w:b/>
                <w:sz w:val="18"/>
                <w:szCs w:val="18"/>
              </w:rPr>
              <w:t>Version</w:t>
            </w:r>
          </w:p>
        </w:tc>
        <w:tc>
          <w:tcPr>
            <w:tcW w:w="1848" w:type="dxa"/>
            <w:vMerge w:val="restart"/>
            <w:tcBorders>
              <w:right w:val="single" w:sz="4" w:space="0" w:color="auto"/>
            </w:tcBorders>
          </w:tcPr>
          <w:p w14:paraId="5F6D991E" w14:textId="77777777" w:rsidR="00F65356" w:rsidRPr="00C43778" w:rsidRDefault="00F65356" w:rsidP="00C43778">
            <w:pPr>
              <w:jc w:val="center"/>
              <w:rPr>
                <w:b/>
                <w:sz w:val="18"/>
                <w:szCs w:val="18"/>
              </w:rPr>
            </w:pPr>
            <w:r w:rsidRPr="00C43778">
              <w:rPr>
                <w:b/>
                <w:sz w:val="18"/>
                <w:szCs w:val="18"/>
              </w:rPr>
              <w:t>Issued</w:t>
            </w:r>
          </w:p>
        </w:tc>
        <w:tc>
          <w:tcPr>
            <w:tcW w:w="3420" w:type="dxa"/>
            <w:gridSpan w:val="2"/>
            <w:tcBorders>
              <w:top w:val="single" w:sz="4" w:space="0" w:color="auto"/>
              <w:left w:val="single" w:sz="4" w:space="0" w:color="auto"/>
              <w:bottom w:val="nil"/>
              <w:right w:val="single" w:sz="4" w:space="0" w:color="auto"/>
            </w:tcBorders>
          </w:tcPr>
          <w:p w14:paraId="5F6D991F" w14:textId="77777777" w:rsidR="00F65356" w:rsidRPr="00C43778" w:rsidRDefault="00F65356" w:rsidP="00C43778">
            <w:pPr>
              <w:jc w:val="center"/>
              <w:rPr>
                <w:b/>
                <w:sz w:val="18"/>
                <w:szCs w:val="18"/>
              </w:rPr>
            </w:pPr>
            <w:r w:rsidRPr="00C43778">
              <w:rPr>
                <w:b/>
                <w:sz w:val="18"/>
                <w:szCs w:val="18"/>
              </w:rPr>
              <w:t>Dates of Effect</w:t>
            </w:r>
          </w:p>
        </w:tc>
      </w:tr>
      <w:tr w:rsidR="00F65356" w:rsidRPr="00C43778" w14:paraId="5F6D9925" w14:textId="77777777" w:rsidTr="00C43778">
        <w:trPr>
          <w:jc w:val="center"/>
        </w:trPr>
        <w:tc>
          <w:tcPr>
            <w:tcW w:w="1030" w:type="dxa"/>
            <w:vMerge/>
          </w:tcPr>
          <w:p w14:paraId="5F6D9921" w14:textId="77777777" w:rsidR="00F65356" w:rsidRPr="00C43778" w:rsidRDefault="00F65356" w:rsidP="00C43778">
            <w:pPr>
              <w:jc w:val="center"/>
              <w:rPr>
                <w:sz w:val="18"/>
                <w:szCs w:val="18"/>
              </w:rPr>
            </w:pPr>
          </w:p>
        </w:tc>
        <w:tc>
          <w:tcPr>
            <w:tcW w:w="1848" w:type="dxa"/>
            <w:vMerge/>
            <w:tcBorders>
              <w:right w:val="single" w:sz="4" w:space="0" w:color="auto"/>
            </w:tcBorders>
          </w:tcPr>
          <w:p w14:paraId="5F6D9922" w14:textId="77777777" w:rsidR="00F65356" w:rsidRPr="00C43778" w:rsidRDefault="00F65356" w:rsidP="00C43778">
            <w:pPr>
              <w:jc w:val="center"/>
              <w:rPr>
                <w:sz w:val="18"/>
                <w:szCs w:val="18"/>
              </w:rPr>
            </w:pPr>
          </w:p>
        </w:tc>
        <w:tc>
          <w:tcPr>
            <w:tcW w:w="1710" w:type="dxa"/>
            <w:tcBorders>
              <w:top w:val="nil"/>
              <w:left w:val="single" w:sz="4" w:space="0" w:color="auto"/>
              <w:bottom w:val="single" w:sz="4" w:space="0" w:color="auto"/>
              <w:right w:val="nil"/>
            </w:tcBorders>
          </w:tcPr>
          <w:p w14:paraId="5F6D9923" w14:textId="77777777" w:rsidR="00F65356" w:rsidRPr="00C43778" w:rsidRDefault="00F65356" w:rsidP="00AD2225">
            <w:pPr>
              <w:rPr>
                <w:b/>
                <w:sz w:val="18"/>
                <w:szCs w:val="18"/>
              </w:rPr>
            </w:pPr>
            <w:r w:rsidRPr="00C43778">
              <w:rPr>
                <w:b/>
                <w:sz w:val="18"/>
                <w:szCs w:val="18"/>
              </w:rPr>
              <w:t>From:</w:t>
            </w:r>
          </w:p>
        </w:tc>
        <w:tc>
          <w:tcPr>
            <w:tcW w:w="1710" w:type="dxa"/>
            <w:tcBorders>
              <w:top w:val="nil"/>
              <w:left w:val="nil"/>
              <w:bottom w:val="single" w:sz="4" w:space="0" w:color="auto"/>
              <w:right w:val="single" w:sz="4" w:space="0" w:color="auto"/>
            </w:tcBorders>
          </w:tcPr>
          <w:p w14:paraId="5F6D9924" w14:textId="77777777" w:rsidR="00F65356" w:rsidRPr="00C43778" w:rsidRDefault="00F65356" w:rsidP="00AD2225">
            <w:pPr>
              <w:rPr>
                <w:b/>
                <w:sz w:val="18"/>
                <w:szCs w:val="18"/>
              </w:rPr>
            </w:pPr>
            <w:r w:rsidRPr="00C43778">
              <w:rPr>
                <w:b/>
                <w:sz w:val="18"/>
                <w:szCs w:val="18"/>
              </w:rPr>
              <w:t xml:space="preserve">To: </w:t>
            </w:r>
          </w:p>
        </w:tc>
      </w:tr>
      <w:tr w:rsidR="002D271F" w:rsidRPr="00C43778" w14:paraId="5F6D992A" w14:textId="77777777" w:rsidTr="00C43778">
        <w:trPr>
          <w:jc w:val="center"/>
        </w:trPr>
        <w:tc>
          <w:tcPr>
            <w:tcW w:w="1030" w:type="dxa"/>
          </w:tcPr>
          <w:p w14:paraId="5F6D9926" w14:textId="77777777" w:rsidR="002D271F" w:rsidRPr="00C43778" w:rsidRDefault="002D271F" w:rsidP="00C43778">
            <w:pPr>
              <w:jc w:val="center"/>
              <w:rPr>
                <w:sz w:val="18"/>
                <w:szCs w:val="18"/>
              </w:rPr>
            </w:pPr>
            <w:r w:rsidRPr="00C43778">
              <w:rPr>
                <w:sz w:val="18"/>
                <w:szCs w:val="18"/>
              </w:rPr>
              <w:t>1</w:t>
            </w:r>
          </w:p>
        </w:tc>
        <w:tc>
          <w:tcPr>
            <w:tcW w:w="1848" w:type="dxa"/>
          </w:tcPr>
          <w:p w14:paraId="5F6D9927" w14:textId="77777777" w:rsidR="002D271F" w:rsidRPr="00C43778" w:rsidRDefault="002D271F" w:rsidP="002D271F">
            <w:pPr>
              <w:rPr>
                <w:sz w:val="18"/>
                <w:szCs w:val="18"/>
              </w:rPr>
            </w:pPr>
            <w:r w:rsidRPr="00C43778">
              <w:rPr>
                <w:sz w:val="18"/>
                <w:szCs w:val="18"/>
              </w:rPr>
              <w:t>1 July 2009</w:t>
            </w:r>
          </w:p>
        </w:tc>
        <w:tc>
          <w:tcPr>
            <w:tcW w:w="1710" w:type="dxa"/>
            <w:tcBorders>
              <w:top w:val="single" w:sz="4" w:space="0" w:color="auto"/>
              <w:bottom w:val="single" w:sz="4" w:space="0" w:color="auto"/>
            </w:tcBorders>
          </w:tcPr>
          <w:p w14:paraId="5F6D9928" w14:textId="77777777" w:rsidR="002D271F" w:rsidRPr="00C43778" w:rsidRDefault="002D271F" w:rsidP="002D271F">
            <w:pPr>
              <w:rPr>
                <w:sz w:val="18"/>
                <w:szCs w:val="18"/>
              </w:rPr>
            </w:pPr>
            <w:r w:rsidRPr="00C43778">
              <w:rPr>
                <w:sz w:val="18"/>
                <w:szCs w:val="18"/>
              </w:rPr>
              <w:t>1 July 2009</w:t>
            </w:r>
          </w:p>
        </w:tc>
        <w:tc>
          <w:tcPr>
            <w:tcW w:w="1710" w:type="dxa"/>
            <w:tcBorders>
              <w:top w:val="single" w:sz="4" w:space="0" w:color="auto"/>
              <w:bottom w:val="single" w:sz="4" w:space="0" w:color="auto"/>
            </w:tcBorders>
          </w:tcPr>
          <w:p w14:paraId="5F6D9929" w14:textId="77777777" w:rsidR="002D271F" w:rsidRPr="00C43778" w:rsidRDefault="002D271F" w:rsidP="002D271F">
            <w:pPr>
              <w:rPr>
                <w:sz w:val="18"/>
                <w:szCs w:val="18"/>
              </w:rPr>
            </w:pPr>
            <w:r w:rsidRPr="00C43778">
              <w:rPr>
                <w:sz w:val="18"/>
                <w:szCs w:val="18"/>
              </w:rPr>
              <w:t>30 June 2010</w:t>
            </w:r>
          </w:p>
        </w:tc>
      </w:tr>
      <w:tr w:rsidR="002D271F" w:rsidRPr="00C43778" w14:paraId="5F6D992F" w14:textId="77777777" w:rsidTr="00C43778">
        <w:trPr>
          <w:jc w:val="center"/>
        </w:trPr>
        <w:tc>
          <w:tcPr>
            <w:tcW w:w="1030" w:type="dxa"/>
          </w:tcPr>
          <w:p w14:paraId="5F6D992B" w14:textId="77777777" w:rsidR="002D271F" w:rsidRPr="00C43778" w:rsidRDefault="002D271F" w:rsidP="00C43778">
            <w:pPr>
              <w:jc w:val="center"/>
              <w:rPr>
                <w:sz w:val="18"/>
                <w:szCs w:val="18"/>
              </w:rPr>
            </w:pPr>
            <w:r w:rsidRPr="00C43778">
              <w:rPr>
                <w:sz w:val="18"/>
                <w:szCs w:val="18"/>
              </w:rPr>
              <w:t>2</w:t>
            </w:r>
          </w:p>
        </w:tc>
        <w:tc>
          <w:tcPr>
            <w:tcW w:w="1848" w:type="dxa"/>
          </w:tcPr>
          <w:p w14:paraId="5F6D992C" w14:textId="77777777" w:rsidR="002D271F" w:rsidRPr="00C43778" w:rsidRDefault="002D271F" w:rsidP="002D271F">
            <w:pPr>
              <w:rPr>
                <w:sz w:val="18"/>
                <w:szCs w:val="18"/>
              </w:rPr>
            </w:pPr>
            <w:r w:rsidRPr="00C43778">
              <w:rPr>
                <w:sz w:val="18"/>
                <w:szCs w:val="18"/>
              </w:rPr>
              <w:t>25 June 2010</w:t>
            </w:r>
          </w:p>
        </w:tc>
        <w:tc>
          <w:tcPr>
            <w:tcW w:w="1710" w:type="dxa"/>
            <w:tcBorders>
              <w:top w:val="single" w:sz="4" w:space="0" w:color="auto"/>
            </w:tcBorders>
          </w:tcPr>
          <w:p w14:paraId="5F6D992D" w14:textId="77777777" w:rsidR="002D271F" w:rsidRPr="00C43778" w:rsidRDefault="002D271F" w:rsidP="002D271F">
            <w:pPr>
              <w:rPr>
                <w:sz w:val="18"/>
                <w:szCs w:val="18"/>
              </w:rPr>
            </w:pPr>
            <w:r w:rsidRPr="00C43778">
              <w:rPr>
                <w:sz w:val="18"/>
                <w:szCs w:val="18"/>
              </w:rPr>
              <w:t>1 July 2010</w:t>
            </w:r>
          </w:p>
        </w:tc>
        <w:tc>
          <w:tcPr>
            <w:tcW w:w="1710" w:type="dxa"/>
            <w:tcBorders>
              <w:top w:val="single" w:sz="4" w:space="0" w:color="auto"/>
            </w:tcBorders>
          </w:tcPr>
          <w:p w14:paraId="5F6D992E" w14:textId="77777777" w:rsidR="002D271F" w:rsidRPr="00C43778" w:rsidRDefault="002D271F" w:rsidP="002D271F">
            <w:pPr>
              <w:rPr>
                <w:sz w:val="18"/>
                <w:szCs w:val="18"/>
              </w:rPr>
            </w:pPr>
            <w:r w:rsidRPr="00C43778">
              <w:rPr>
                <w:sz w:val="18"/>
                <w:szCs w:val="18"/>
              </w:rPr>
              <w:t>Current</w:t>
            </w:r>
          </w:p>
        </w:tc>
      </w:tr>
    </w:tbl>
    <w:p w14:paraId="5F6D9930" w14:textId="77777777" w:rsidR="002D271F" w:rsidRPr="00733450" w:rsidRDefault="002D271F" w:rsidP="002D271F">
      <w:pPr>
        <w:pStyle w:val="HeadingTwo"/>
      </w:pPr>
      <w:r w:rsidRPr="00733450">
        <w:t>Purpose</w:t>
      </w:r>
    </w:p>
    <w:p w14:paraId="5F6D9931" w14:textId="77777777" w:rsidR="002D271F" w:rsidRDefault="002D271F" w:rsidP="002D271F">
      <w:pPr>
        <w:pStyle w:val="BlockText"/>
      </w:pPr>
      <w:r>
        <w:t xml:space="preserve">From 1 July 2009 the </w:t>
      </w:r>
      <w:r>
        <w:rPr>
          <w:i/>
          <w:iCs/>
        </w:rPr>
        <w:t xml:space="preserve">Stamp Duty Act </w:t>
      </w:r>
      <w:r>
        <w:t>(</w:t>
      </w:r>
      <w:r w:rsidR="00BD1F0E">
        <w:t>SDA</w:t>
      </w:r>
      <w:r>
        <w:t>) provides a stamp duty concession for substituting a related purchaser ‘the substituted purchaser concession’. This Guideline explains how the concession operates and outlines the procedure for claiming the concession.</w:t>
      </w:r>
    </w:p>
    <w:p w14:paraId="5F6D9932" w14:textId="77777777" w:rsidR="002D271F" w:rsidRPr="00733450" w:rsidRDefault="002D271F" w:rsidP="002D271F">
      <w:pPr>
        <w:pStyle w:val="HeadingTwo"/>
      </w:pPr>
      <w:r>
        <w:t>Policy</w:t>
      </w:r>
    </w:p>
    <w:p w14:paraId="5F6D9933" w14:textId="77777777" w:rsidR="002D271F" w:rsidRDefault="002D271F" w:rsidP="002D271F">
      <w:pPr>
        <w:pStyle w:val="BlockText"/>
      </w:pPr>
      <w:r>
        <w:t>The intent of the substituted purchaser concession is to provide the flexibility for a purchaser, after entering an agreement to purchase dutiable property, to nominate a related person to join or complete the purchase of the property. Such situations often occur following the purchaser receiving professional advice as to a more appropriate structure to hold the property or after difficulties in obtaining finance.</w:t>
      </w:r>
    </w:p>
    <w:p w14:paraId="5F6D9934" w14:textId="77777777" w:rsidR="002D271F" w:rsidRPr="002D271F" w:rsidRDefault="002D271F" w:rsidP="002D271F">
      <w:pPr>
        <w:pStyle w:val="BlockText"/>
      </w:pPr>
      <w:r>
        <w:t>Prior to 1 July 2009, such a nomination could result in both the original purchaser named in the agreement and the substituted related purchaser each being liable to conveyance duty. In the alternative, the original purchaser may have purported to rescind the agreement to enable the substituted related purchaser to re-enter the same agreement in their name in an attempt to avoid double conveyance duty being payable.</w:t>
      </w:r>
    </w:p>
    <w:p w14:paraId="5F6D9935" w14:textId="77777777" w:rsidR="002D271F" w:rsidRDefault="002D271F" w:rsidP="002D271F">
      <w:pPr>
        <w:pStyle w:val="HeadingTwo"/>
      </w:pPr>
      <w:r>
        <w:t>Concession</w:t>
      </w:r>
    </w:p>
    <w:p w14:paraId="5F6D9936" w14:textId="77777777" w:rsidR="002D271F" w:rsidRPr="002D271F" w:rsidRDefault="002D271F" w:rsidP="002D271F">
      <w:pPr>
        <w:pStyle w:val="BlockText"/>
      </w:pPr>
      <w:r>
        <w:t xml:space="preserve">Item 1(6A) of Schedule 1 to </w:t>
      </w:r>
      <w:r w:rsidR="00BD1F0E">
        <w:t>the SDA</w:t>
      </w:r>
      <w:r>
        <w:t xml:space="preserve"> provides for duty of $5 to apply to a transfer to the substituted related purchaser where the conveyance is in accordance with section 17A(2A) of </w:t>
      </w:r>
      <w:r w:rsidR="00BD1F0E">
        <w:t>the SDA</w:t>
      </w:r>
      <w:r>
        <w:t>.</w:t>
      </w:r>
    </w:p>
    <w:p w14:paraId="5F6D9937" w14:textId="77777777" w:rsidR="002D271F" w:rsidRDefault="002D271F" w:rsidP="00BD1F0E">
      <w:pPr>
        <w:pStyle w:val="HeadingThree"/>
      </w:pPr>
      <w:r>
        <w:t xml:space="preserve">Eligible conveyances </w:t>
      </w:r>
    </w:p>
    <w:p w14:paraId="5F6D9938" w14:textId="77777777" w:rsidR="002D271F" w:rsidRDefault="002D271F" w:rsidP="002D271F">
      <w:pPr>
        <w:pStyle w:val="BlockText"/>
      </w:pPr>
      <w:r>
        <w:t xml:space="preserve">The concession applies </w:t>
      </w:r>
      <w:r w:rsidRPr="001E77C1">
        <w:t xml:space="preserve">to a </w:t>
      </w:r>
      <w:r>
        <w:t>transfer</w:t>
      </w:r>
      <w:r w:rsidRPr="001E77C1">
        <w:t xml:space="preserve"> where</w:t>
      </w:r>
      <w:r>
        <w:t xml:space="preserve"> </w:t>
      </w:r>
      <w:r w:rsidRPr="001E77C1">
        <w:t xml:space="preserve">at the time the relevant agreement for purchase was </w:t>
      </w:r>
      <w:r w:rsidRPr="00154FC4">
        <w:t>made and when it was completed</w:t>
      </w:r>
      <w:r w:rsidRPr="001E77C1">
        <w:t xml:space="preserve"> or settled:</w:t>
      </w:r>
    </w:p>
    <w:p w14:paraId="5F6D9939" w14:textId="77777777" w:rsidR="002D271F" w:rsidRPr="00BD1F0E" w:rsidRDefault="002D271F" w:rsidP="00BD1F0E">
      <w:pPr>
        <w:pStyle w:val="BlockText"/>
        <w:numPr>
          <w:ilvl w:val="1"/>
          <w:numId w:val="3"/>
        </w:numPr>
      </w:pPr>
      <w:r w:rsidRPr="001E77C1">
        <w:t xml:space="preserve">the </w:t>
      </w:r>
      <w:r w:rsidRPr="00BD1F0E">
        <w:t xml:space="preserve">purchaser and the substituted purchaser were in a </w:t>
      </w:r>
      <w:r w:rsidRPr="00BD1F0E">
        <w:rPr>
          <w:b/>
        </w:rPr>
        <w:t>family relationship</w:t>
      </w:r>
      <w:r w:rsidRPr="00BD1F0E">
        <w:t>;</w:t>
      </w:r>
    </w:p>
    <w:p w14:paraId="5F6D993A" w14:textId="77777777" w:rsidR="002D271F" w:rsidRPr="00BD1F0E" w:rsidRDefault="002D271F" w:rsidP="00BD1F0E">
      <w:pPr>
        <w:pStyle w:val="BlockText"/>
        <w:numPr>
          <w:ilvl w:val="1"/>
          <w:numId w:val="3"/>
        </w:numPr>
      </w:pPr>
      <w:r w:rsidRPr="00BD1F0E">
        <w:t xml:space="preserve">one of them is a shareholder of a family company and the other is the </w:t>
      </w:r>
      <w:r w:rsidRPr="00BD1F0E">
        <w:rPr>
          <w:b/>
        </w:rPr>
        <w:t>family company</w:t>
      </w:r>
      <w:r w:rsidRPr="00BD1F0E">
        <w:t>;</w:t>
      </w:r>
    </w:p>
    <w:p w14:paraId="5F6D993B" w14:textId="77777777" w:rsidR="002D271F" w:rsidRPr="00BD1F0E" w:rsidRDefault="002D271F" w:rsidP="00BD1F0E">
      <w:pPr>
        <w:pStyle w:val="BlockText"/>
        <w:numPr>
          <w:ilvl w:val="1"/>
          <w:numId w:val="3"/>
        </w:numPr>
      </w:pPr>
      <w:r w:rsidRPr="00BD1F0E">
        <w:t xml:space="preserve">one of them is a beneficiary in a family trust and the other is a trustee of the </w:t>
      </w:r>
      <w:r w:rsidRPr="00BD1F0E">
        <w:rPr>
          <w:b/>
        </w:rPr>
        <w:t>family trust</w:t>
      </w:r>
      <w:r w:rsidRPr="00BD1F0E">
        <w:t>; or</w:t>
      </w:r>
    </w:p>
    <w:p w14:paraId="5F6D993C" w14:textId="77777777" w:rsidR="002D271F" w:rsidRPr="00BD1F0E" w:rsidRDefault="002D271F" w:rsidP="00BD1F0E">
      <w:pPr>
        <w:pStyle w:val="BlockText"/>
        <w:numPr>
          <w:ilvl w:val="1"/>
          <w:numId w:val="3"/>
        </w:numPr>
      </w:pPr>
      <w:r w:rsidRPr="00BD1F0E">
        <w:t xml:space="preserve">the purchaser and substituted purchaser were </w:t>
      </w:r>
      <w:r w:rsidRPr="00BD1F0E">
        <w:rPr>
          <w:b/>
        </w:rPr>
        <w:t>related corporations</w:t>
      </w:r>
      <w:r w:rsidRPr="00BD1F0E">
        <w:t xml:space="preserve"> under section 50 of the </w:t>
      </w:r>
      <w:r w:rsidRPr="006828FA">
        <w:rPr>
          <w:i/>
        </w:rPr>
        <w:t xml:space="preserve">Corporations Act 2001 </w:t>
      </w:r>
      <w:r w:rsidRPr="00BD1F0E">
        <w:t>(Cth).</w:t>
      </w:r>
    </w:p>
    <w:p w14:paraId="5F6D993D" w14:textId="77777777" w:rsidR="002D271F" w:rsidRDefault="002D271F" w:rsidP="002D271F">
      <w:pPr>
        <w:pStyle w:val="HeadingThree"/>
      </w:pPr>
      <w:r>
        <w:lastRenderedPageBreak/>
        <w:t xml:space="preserve">Other conditions of the concession </w:t>
      </w:r>
    </w:p>
    <w:p w14:paraId="5F6D993E" w14:textId="77777777" w:rsidR="002D271F" w:rsidRDefault="002D271F" w:rsidP="002D271F">
      <w:pPr>
        <w:pStyle w:val="BlockText"/>
      </w:pPr>
      <w:r>
        <w:t>Furthermore, the following conditions must be satisfied:</w:t>
      </w:r>
    </w:p>
    <w:p w14:paraId="5F6D993F" w14:textId="77777777" w:rsidR="002D271F" w:rsidRDefault="002D271F" w:rsidP="002D271F">
      <w:pPr>
        <w:pStyle w:val="BlockText"/>
        <w:numPr>
          <w:ilvl w:val="1"/>
          <w:numId w:val="3"/>
        </w:numPr>
      </w:pPr>
      <w:r>
        <w:t>the agreement for the conveyance of the property is duly stamped – i.e. conveyance duty was paid on the agreement; and</w:t>
      </w:r>
    </w:p>
    <w:p w14:paraId="5F6D9940" w14:textId="77777777" w:rsidR="002D271F" w:rsidRDefault="002D271F" w:rsidP="002D271F">
      <w:pPr>
        <w:pStyle w:val="BlockText"/>
        <w:numPr>
          <w:ilvl w:val="1"/>
          <w:numId w:val="3"/>
        </w:numPr>
      </w:pPr>
      <w:r w:rsidRPr="001E77C1">
        <w:t xml:space="preserve">except </w:t>
      </w:r>
      <w:r>
        <w:t>as</w:t>
      </w:r>
      <w:r w:rsidRPr="001E77C1">
        <w:t xml:space="preserve"> the trustee of a family trust, the </w:t>
      </w:r>
      <w:r>
        <w:t xml:space="preserve">substituted purchaser must </w:t>
      </w:r>
      <w:r w:rsidRPr="001E77C1">
        <w:t>not hold the property as trustee; and</w:t>
      </w:r>
    </w:p>
    <w:p w14:paraId="5F6D9941" w14:textId="77777777" w:rsidR="002D271F" w:rsidRPr="003E5A7B" w:rsidRDefault="002D271F" w:rsidP="002D271F">
      <w:pPr>
        <w:pStyle w:val="BlockText"/>
        <w:numPr>
          <w:ilvl w:val="1"/>
          <w:numId w:val="3"/>
        </w:numPr>
      </w:pPr>
      <w:r w:rsidRPr="003E5A7B">
        <w:t xml:space="preserve">no valuable consideration is given by the </w:t>
      </w:r>
      <w:r>
        <w:t xml:space="preserve">substituted purchaser </w:t>
      </w:r>
      <w:r w:rsidRPr="003E5A7B">
        <w:t>to the</w:t>
      </w:r>
      <w:r>
        <w:t xml:space="preserve"> original</w:t>
      </w:r>
      <w:r w:rsidRPr="003E5A7B">
        <w:t xml:space="preserve"> purchaser; and</w:t>
      </w:r>
    </w:p>
    <w:p w14:paraId="5F6D9942" w14:textId="77777777" w:rsidR="002D271F" w:rsidRPr="002D271F" w:rsidRDefault="002D271F" w:rsidP="002D271F">
      <w:pPr>
        <w:pStyle w:val="BlockText"/>
        <w:numPr>
          <w:ilvl w:val="1"/>
          <w:numId w:val="3"/>
        </w:numPr>
      </w:pPr>
      <w:r w:rsidRPr="003E5A7B">
        <w:t>the conveyance occurs at the same time as, or proximately with, the completion or settlement of the agreement.</w:t>
      </w:r>
    </w:p>
    <w:p w14:paraId="5F6D9943" w14:textId="77777777" w:rsidR="002D271F" w:rsidRDefault="002D271F" w:rsidP="002D271F">
      <w:pPr>
        <w:pStyle w:val="HeadingTwo"/>
      </w:pPr>
      <w:r>
        <w:t>Definitions</w:t>
      </w:r>
    </w:p>
    <w:p w14:paraId="5F6D9944" w14:textId="77777777" w:rsidR="002D271F" w:rsidRPr="00154FC4" w:rsidRDefault="002D271F" w:rsidP="00BD1F0E">
      <w:pPr>
        <w:pStyle w:val="HeadingThree"/>
        <w:spacing w:before="240"/>
      </w:pPr>
      <w:r w:rsidRPr="00154FC4">
        <w:t>Family</w:t>
      </w:r>
    </w:p>
    <w:p w14:paraId="5F6D9945" w14:textId="77777777" w:rsidR="002D271F" w:rsidRPr="002D271F" w:rsidRDefault="002D271F" w:rsidP="002D271F">
      <w:pPr>
        <w:pStyle w:val="BlockText"/>
      </w:pPr>
      <w:r>
        <w:t xml:space="preserve">Two or more persons are members of the same family where they are connected by </w:t>
      </w:r>
      <w:r>
        <w:rPr>
          <w:b/>
          <w:bCs/>
        </w:rPr>
        <w:t>family relationships</w:t>
      </w:r>
      <w:r>
        <w:t>.</w:t>
      </w:r>
    </w:p>
    <w:p w14:paraId="5F6D9946" w14:textId="77777777" w:rsidR="002D271F" w:rsidRPr="00154FC4" w:rsidRDefault="002D271F" w:rsidP="002D271F">
      <w:pPr>
        <w:pStyle w:val="HeadingThree"/>
      </w:pPr>
      <w:r w:rsidRPr="00154FC4">
        <w:t>Family relationship</w:t>
      </w:r>
    </w:p>
    <w:p w14:paraId="5F6D9947" w14:textId="77777777" w:rsidR="002D271F" w:rsidRDefault="002D271F" w:rsidP="002D271F">
      <w:pPr>
        <w:pStyle w:val="BlockText"/>
      </w:pPr>
      <w:r>
        <w:t xml:space="preserve">Two persons are joined by a </w:t>
      </w:r>
      <w:r w:rsidRPr="00826D9D">
        <w:rPr>
          <w:b/>
        </w:rPr>
        <w:t>family relationship</w:t>
      </w:r>
      <w:r>
        <w:t xml:space="preserve"> where:</w:t>
      </w:r>
    </w:p>
    <w:p w14:paraId="5F6D9948" w14:textId="77777777" w:rsidR="002D271F" w:rsidRDefault="002D271F" w:rsidP="002D271F">
      <w:pPr>
        <w:pStyle w:val="BlockText"/>
        <w:numPr>
          <w:ilvl w:val="1"/>
          <w:numId w:val="3"/>
        </w:numPr>
      </w:pPr>
      <w:r>
        <w:t>they are spouses (which includes de facto partners);</w:t>
      </w:r>
    </w:p>
    <w:p w14:paraId="5F6D9949" w14:textId="77777777" w:rsidR="002D271F" w:rsidRDefault="002D271F" w:rsidP="002D271F">
      <w:pPr>
        <w:pStyle w:val="BlockText"/>
        <w:numPr>
          <w:ilvl w:val="1"/>
          <w:numId w:val="3"/>
        </w:numPr>
      </w:pPr>
      <w:r>
        <w:t>one is a child (including an adopted child) or remoter lineal descendant of the other person;</w:t>
      </w:r>
    </w:p>
    <w:p w14:paraId="5F6D994A" w14:textId="77777777" w:rsidR="002D271F" w:rsidRDefault="002D271F" w:rsidP="002D271F">
      <w:pPr>
        <w:pStyle w:val="BlockText"/>
        <w:numPr>
          <w:ilvl w:val="1"/>
          <w:numId w:val="3"/>
        </w:numPr>
      </w:pPr>
      <w:r>
        <w:t>one is a child or remoter lineal descendant of the other person’s spouse;</w:t>
      </w:r>
    </w:p>
    <w:p w14:paraId="5F6D994B" w14:textId="77777777" w:rsidR="002D271F" w:rsidRDefault="002D271F" w:rsidP="002D271F">
      <w:pPr>
        <w:pStyle w:val="BlockText"/>
        <w:numPr>
          <w:ilvl w:val="1"/>
          <w:numId w:val="3"/>
        </w:numPr>
      </w:pPr>
      <w:r>
        <w:t>one is a brother or sister (including step-brother or step-sister) of the other person;</w:t>
      </w:r>
    </w:p>
    <w:p w14:paraId="5F6D994C" w14:textId="77777777" w:rsidR="002D271F" w:rsidRDefault="002D271F" w:rsidP="002D271F">
      <w:pPr>
        <w:pStyle w:val="BlockText"/>
        <w:numPr>
          <w:ilvl w:val="1"/>
          <w:numId w:val="3"/>
        </w:numPr>
      </w:pPr>
      <w:r>
        <w:t>one is the child or remoter lineal descendant of a brother or sister (including step brother or step-sister) of the other person; or</w:t>
      </w:r>
    </w:p>
    <w:p w14:paraId="5F6D994D" w14:textId="77777777" w:rsidR="002D271F" w:rsidRPr="002D271F" w:rsidRDefault="002D271F" w:rsidP="002D271F">
      <w:pPr>
        <w:pStyle w:val="BlockText"/>
        <w:numPr>
          <w:ilvl w:val="1"/>
          <w:numId w:val="3"/>
        </w:numPr>
      </w:pPr>
      <w:r>
        <w:t>one is the spouse of a person who has a family relationship referred to in paragraphs (2) to (5) with the other person.</w:t>
      </w:r>
    </w:p>
    <w:p w14:paraId="5F6D994E" w14:textId="77777777" w:rsidR="002D271F" w:rsidRPr="002D271F" w:rsidRDefault="002D271F" w:rsidP="00EF1E79">
      <w:pPr>
        <w:pStyle w:val="BlockText"/>
        <w:numPr>
          <w:ilvl w:val="0"/>
          <w:numId w:val="0"/>
        </w:numPr>
        <w:ind w:left="567"/>
      </w:pPr>
      <w:r w:rsidRPr="00EF1E79">
        <w:rPr>
          <w:b/>
        </w:rPr>
        <w:t>Note</w:t>
      </w:r>
      <w:r>
        <w:t xml:space="preserve">: The term ’remoter lineal descendant‘ means persons who are direct descendants of another person. For example, this could include a person’s child, grandchild or great grandchild. </w:t>
      </w:r>
    </w:p>
    <w:p w14:paraId="5F6D994F" w14:textId="77777777" w:rsidR="002D271F" w:rsidRPr="00154FC4" w:rsidRDefault="002D271F" w:rsidP="002D271F">
      <w:pPr>
        <w:pStyle w:val="HeadingThree"/>
      </w:pPr>
      <w:r w:rsidRPr="00154FC4">
        <w:t>Family company</w:t>
      </w:r>
    </w:p>
    <w:p w14:paraId="5F6D9950" w14:textId="77777777" w:rsidR="002D271F" w:rsidRDefault="002D271F" w:rsidP="002D271F">
      <w:pPr>
        <w:pStyle w:val="BlockText"/>
      </w:pPr>
      <w:r>
        <w:t>A family company is a company of which all shareholders are members of the same family.</w:t>
      </w:r>
    </w:p>
    <w:p w14:paraId="5F6D9951" w14:textId="77777777" w:rsidR="002D271F" w:rsidRPr="00154FC4" w:rsidRDefault="002D271F" w:rsidP="002D271F">
      <w:pPr>
        <w:pStyle w:val="HeadingThree"/>
      </w:pPr>
      <w:r w:rsidRPr="00154FC4">
        <w:t>Family trust</w:t>
      </w:r>
    </w:p>
    <w:p w14:paraId="5F6D9952" w14:textId="77777777" w:rsidR="002D271F" w:rsidRPr="000807B2" w:rsidRDefault="002D271F" w:rsidP="002D271F">
      <w:pPr>
        <w:pStyle w:val="BlockText"/>
      </w:pPr>
      <w:r>
        <w:t>A family trust is a trust, whether a fixed trust, unit trust or discretionary trust, established to benefit the members of a particular family and in which only members of that family and/or family companies of that family may be beneficiaries. This includes objects of a discretionary trust.</w:t>
      </w:r>
    </w:p>
    <w:p w14:paraId="5F6D9953" w14:textId="77777777" w:rsidR="002D271F" w:rsidRPr="002D271F" w:rsidRDefault="002D271F" w:rsidP="002D271F">
      <w:pPr>
        <w:pStyle w:val="BlockText"/>
      </w:pPr>
      <w:r w:rsidRPr="000807B2">
        <w:t xml:space="preserve">A trust </w:t>
      </w:r>
      <w:r>
        <w:t xml:space="preserve">that </w:t>
      </w:r>
      <w:r w:rsidRPr="000807B2">
        <w:t xml:space="preserve">allows for </w:t>
      </w:r>
      <w:r>
        <w:t xml:space="preserve">non-family members or non-family companies to benefit from or to be added to the trust, whether contingent or otherwise, is </w:t>
      </w:r>
      <w:r w:rsidRPr="000807B2">
        <w:t xml:space="preserve">not eligible for the substituted purchaser concession. </w:t>
      </w:r>
    </w:p>
    <w:p w14:paraId="5F6D9954" w14:textId="77777777" w:rsidR="002D271F" w:rsidRDefault="002D271F" w:rsidP="002D271F">
      <w:pPr>
        <w:pStyle w:val="HeadingTwo"/>
      </w:pPr>
      <w:r>
        <w:lastRenderedPageBreak/>
        <w:t>Procedure for claiming the concession</w:t>
      </w:r>
    </w:p>
    <w:p w14:paraId="5F6D9955" w14:textId="77777777" w:rsidR="002D271F" w:rsidRPr="002D271F" w:rsidRDefault="002D271F" w:rsidP="002D271F">
      <w:pPr>
        <w:pStyle w:val="BlockText"/>
      </w:pPr>
      <w:r>
        <w:t>Persons who consider they meet the criteria for the concession may apply by completing the details on the appropriate form (</w:t>
      </w:r>
      <w:hyperlink r:id="rId10" w:history="1">
        <w:r w:rsidRPr="00980D64">
          <w:rPr>
            <w:rStyle w:val="Hyperlink"/>
            <w:sz w:val="24"/>
            <w:szCs w:val="24"/>
          </w:rPr>
          <w:t>F-SD-027</w:t>
        </w:r>
      </w:hyperlink>
      <w:r>
        <w:t xml:space="preserve">). The completed form, together with the information specified in that form, the agreement for purchase and the conveyance to the substituted related purchaser should be lodged with </w:t>
      </w:r>
      <w:r w:rsidR="00EF1E79">
        <w:t>TRO</w:t>
      </w:r>
      <w:r>
        <w:t xml:space="preserve"> for stamping within 60 days of the instruments being first executed.</w:t>
      </w:r>
    </w:p>
    <w:p w14:paraId="5F6D9956" w14:textId="77777777" w:rsidR="002D271F" w:rsidRDefault="002D271F" w:rsidP="002D271F">
      <w:pPr>
        <w:pStyle w:val="BlockText"/>
        <w:rPr>
          <w:szCs w:val="16"/>
        </w:rPr>
      </w:pPr>
      <w:r>
        <w:rPr>
          <w:szCs w:val="24"/>
        </w:rPr>
        <w:t xml:space="preserve">See Commissioner’s Guideline </w:t>
      </w:r>
      <w:hyperlink r:id="rId11" w:history="1">
        <w:r w:rsidRPr="00EF1E79">
          <w:rPr>
            <w:rStyle w:val="Hyperlink"/>
            <w:szCs w:val="24"/>
          </w:rPr>
          <w:t>CG-SD-001</w:t>
        </w:r>
      </w:hyperlink>
      <w:r>
        <w:rPr>
          <w:szCs w:val="24"/>
        </w:rPr>
        <w:t xml:space="preserve">: </w:t>
      </w:r>
      <w:r w:rsidRPr="00EF1E79">
        <w:rPr>
          <w:i/>
          <w:szCs w:val="24"/>
        </w:rPr>
        <w:t>Document lodgement and payment periods</w:t>
      </w:r>
      <w:r>
        <w:rPr>
          <w:szCs w:val="24"/>
        </w:rPr>
        <w:t xml:space="preserve"> for more information on the lodgement timeframes.</w:t>
      </w:r>
    </w:p>
    <w:p w14:paraId="5F6D9957" w14:textId="77777777" w:rsidR="006034B6" w:rsidRDefault="00513926" w:rsidP="006034B6">
      <w:pPr>
        <w:pStyle w:val="HeadingTwo"/>
      </w:pPr>
      <w:r>
        <w:t>Commissioner’s Guidelines</w:t>
      </w:r>
    </w:p>
    <w:p w14:paraId="5F6D9958" w14:textId="77777777" w:rsidR="00206981" w:rsidRPr="002D6D82" w:rsidRDefault="00513926" w:rsidP="00206981">
      <w:pPr>
        <w:pStyle w:val="BlockText"/>
      </w:pPr>
      <w:r w:rsidRPr="002D6D82">
        <w:t>Co</w:t>
      </w:r>
      <w:r>
        <w:t xml:space="preserve">mmissioner’s Guideline </w:t>
      </w:r>
      <w:hyperlink r:id="rId12" w:history="1">
        <w:r w:rsidR="00AE401C">
          <w:rPr>
            <w:rStyle w:val="Hyperlink"/>
          </w:rPr>
          <w:t>CG-GEN-001</w:t>
        </w:r>
      </w:hyperlink>
      <w:r w:rsidRPr="002D6D82">
        <w:t>, which sets out information on the revenue publication system, is incorporated into and is to be read as one with this Guideline.</w:t>
      </w:r>
      <w:r>
        <w:t xml:space="preserve"> </w:t>
      </w:r>
      <w:r w:rsidRPr="00987211">
        <w:t xml:space="preserve">All Circulars and Guidelines are available from </w:t>
      </w:r>
      <w:r w:rsidR="00196C1B">
        <w:t xml:space="preserve">the </w:t>
      </w:r>
      <w:r w:rsidRPr="00987211">
        <w:t>TRO website.</w:t>
      </w:r>
    </w:p>
    <w:p w14:paraId="5F6D9959" w14:textId="77777777" w:rsidR="00F65356" w:rsidRDefault="00F65356" w:rsidP="00F65356">
      <w:pPr>
        <w:pStyle w:val="HeadingTwo"/>
      </w:pPr>
      <w:r>
        <w:t>Date of effect</w:t>
      </w:r>
    </w:p>
    <w:p w14:paraId="5F6D995A" w14:textId="77777777" w:rsidR="00F65356" w:rsidRDefault="00F65356" w:rsidP="00EF1E79">
      <w:pPr>
        <w:pStyle w:val="BlockText"/>
        <w:numPr>
          <w:ilvl w:val="0"/>
          <w:numId w:val="0"/>
        </w:numPr>
      </w:pPr>
      <w:r>
        <w:t>This version of the Gui</w:t>
      </w:r>
      <w:r w:rsidR="002D271F">
        <w:t>deline takes effect from 1 July 2010</w:t>
      </w:r>
      <w:r w:rsidR="00EF1E79">
        <w:t>.</w:t>
      </w:r>
    </w:p>
    <w:p w14:paraId="5F6D995B" w14:textId="77777777" w:rsidR="006034B6" w:rsidRDefault="006034B6" w:rsidP="006034B6"/>
    <w:p w14:paraId="5F6D995C" w14:textId="77777777" w:rsidR="00364D5F" w:rsidRDefault="00E97E71" w:rsidP="006034B6">
      <w:r>
        <w:rPr>
          <w:noProof/>
        </w:rPr>
        <w:drawing>
          <wp:inline distT="0" distB="0" distL="0" distR="0" wp14:anchorId="5F6D996C" wp14:editId="5F6D996D">
            <wp:extent cx="601980" cy="2009775"/>
            <wp:effectExtent l="952" t="0" r="8573" b="8572"/>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601980" cy="2009775"/>
                    </a:xfrm>
                    <a:prstGeom prst="rect">
                      <a:avLst/>
                    </a:prstGeom>
                    <a:noFill/>
                    <a:ln>
                      <a:noFill/>
                    </a:ln>
                  </pic:spPr>
                </pic:pic>
              </a:graphicData>
            </a:graphic>
          </wp:inline>
        </w:drawing>
      </w:r>
    </w:p>
    <w:p w14:paraId="5F6D995D" w14:textId="77777777" w:rsidR="006034B6" w:rsidRDefault="002D271F" w:rsidP="006034B6">
      <w:smartTag w:uri="urn:schemas-microsoft-com:office:smarttags" w:element="State">
        <w:smartTag w:uri="urn:schemas-microsoft-com:office:smarttags" w:element="place">
          <w:r>
            <w:t>Murray</w:t>
          </w:r>
        </w:smartTag>
      </w:smartTag>
      <w:r>
        <w:t xml:space="preserve"> Hancock</w:t>
      </w:r>
    </w:p>
    <w:p w14:paraId="5F6D995E" w14:textId="77777777" w:rsidR="006034B6" w:rsidRPr="005247E5" w:rsidRDefault="002D271F" w:rsidP="006034B6">
      <w:pPr>
        <w:rPr>
          <w:b/>
        </w:rPr>
      </w:pPr>
      <w:r>
        <w:rPr>
          <w:b/>
        </w:rPr>
        <w:t xml:space="preserve">DEPUTY </w:t>
      </w:r>
      <w:r w:rsidR="005247E5" w:rsidRPr="005247E5">
        <w:rPr>
          <w:b/>
        </w:rPr>
        <w:t>COMMISSIONER OF TERRITORY REVENUE</w:t>
      </w:r>
    </w:p>
    <w:p w14:paraId="5F6D995F" w14:textId="77777777" w:rsidR="006034B6" w:rsidRDefault="006034B6" w:rsidP="006034B6"/>
    <w:p w14:paraId="5F6D9960" w14:textId="77777777" w:rsidR="006034B6" w:rsidRDefault="006034B6" w:rsidP="006034B6">
      <w:r>
        <w:t>Date of Issue:</w:t>
      </w:r>
      <w:r w:rsidR="00EF1E79">
        <w:t xml:space="preserve"> </w:t>
      </w:r>
      <w:r w:rsidR="002D271F">
        <w:t>25 June 2010</w:t>
      </w:r>
    </w:p>
    <w:p w14:paraId="5F6D9961" w14:textId="77777777"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RPr="00C43778" w14:paraId="5F6D9963" w14:textId="77777777" w:rsidTr="00C43778">
        <w:tc>
          <w:tcPr>
            <w:tcW w:w="9854" w:type="dxa"/>
            <w:gridSpan w:val="2"/>
          </w:tcPr>
          <w:p w14:paraId="5F6D9962" w14:textId="77777777" w:rsidR="006034B6" w:rsidRPr="00C43778" w:rsidRDefault="006034B6" w:rsidP="006034B6">
            <w:pPr>
              <w:rPr>
                <w:sz w:val="20"/>
              </w:rPr>
            </w:pPr>
            <w:r w:rsidRPr="00C43778">
              <w:rPr>
                <w:sz w:val="20"/>
              </w:rPr>
              <w:t>For further information please contact the Territory Revenue Office:</w:t>
            </w:r>
          </w:p>
        </w:tc>
      </w:tr>
      <w:tr w:rsidR="006034B6" w:rsidRPr="00C43778" w14:paraId="5F6D996A" w14:textId="77777777" w:rsidTr="00C43778">
        <w:tc>
          <w:tcPr>
            <w:tcW w:w="4927" w:type="dxa"/>
          </w:tcPr>
          <w:p w14:paraId="5F6D9964" w14:textId="1D02E176" w:rsidR="006034B6" w:rsidRPr="00C43778" w:rsidRDefault="0058272B" w:rsidP="006034B6">
            <w:pPr>
              <w:rPr>
                <w:sz w:val="20"/>
              </w:rPr>
            </w:pPr>
            <w:r>
              <w:rPr>
                <w:sz w:val="20"/>
              </w:rPr>
              <w:t>GPO Box 197</w:t>
            </w:r>
            <w:r w:rsidR="006034B6" w:rsidRPr="00C43778">
              <w:rPr>
                <w:sz w:val="20"/>
              </w:rPr>
              <w:t>4</w:t>
            </w:r>
          </w:p>
          <w:p w14:paraId="5F6D9965" w14:textId="77777777" w:rsidR="006034B6" w:rsidRPr="00C43778" w:rsidRDefault="006034B6" w:rsidP="006034B6">
            <w:pPr>
              <w:rPr>
                <w:sz w:val="20"/>
              </w:rPr>
            </w:pPr>
            <w:r w:rsidRPr="00C43778">
              <w:rPr>
                <w:sz w:val="20"/>
              </w:rPr>
              <w:t>Darwin  NT  0801</w:t>
            </w:r>
          </w:p>
          <w:p w14:paraId="5F6D9966" w14:textId="1004DA76" w:rsidR="006034B6" w:rsidRPr="00C43778" w:rsidRDefault="006034B6" w:rsidP="00C43778">
            <w:pPr>
              <w:pStyle w:val="BlockText"/>
              <w:numPr>
                <w:ilvl w:val="0"/>
                <w:numId w:val="0"/>
              </w:numPr>
              <w:rPr>
                <w:sz w:val="20"/>
              </w:rPr>
            </w:pPr>
            <w:r w:rsidRPr="00C43778">
              <w:rPr>
                <w:sz w:val="20"/>
              </w:rPr>
              <w:t xml:space="preserve">Email: </w:t>
            </w:r>
            <w:hyperlink r:id="rId14" w:history="1">
              <w:r w:rsidR="00B476A9" w:rsidRPr="009C5B91">
                <w:rPr>
                  <w:rStyle w:val="Hyperlink"/>
                  <w:sz w:val="20"/>
                </w:rPr>
                <w:t>ntrevenue@nt.gov.au</w:t>
              </w:r>
            </w:hyperlink>
          </w:p>
        </w:tc>
        <w:tc>
          <w:tcPr>
            <w:tcW w:w="4927" w:type="dxa"/>
          </w:tcPr>
          <w:p w14:paraId="5F6D9967" w14:textId="77777777" w:rsidR="006034B6" w:rsidRPr="00C43778" w:rsidRDefault="006034B6" w:rsidP="006034B6">
            <w:pPr>
              <w:rPr>
                <w:sz w:val="20"/>
              </w:rPr>
            </w:pPr>
            <w:r w:rsidRPr="00C43778">
              <w:rPr>
                <w:sz w:val="20"/>
              </w:rPr>
              <w:t>Phone: 1300 305 353</w:t>
            </w:r>
          </w:p>
          <w:p w14:paraId="5F6D9968" w14:textId="77777777" w:rsidR="006034B6" w:rsidRPr="00C43778" w:rsidRDefault="006034B6" w:rsidP="006034B6">
            <w:pPr>
              <w:rPr>
                <w:sz w:val="20"/>
              </w:rPr>
            </w:pPr>
            <w:r w:rsidRPr="00C43778">
              <w:rPr>
                <w:sz w:val="20"/>
              </w:rPr>
              <w:t>Fax: 08 8999 5577</w:t>
            </w:r>
          </w:p>
          <w:p w14:paraId="5F6D9969" w14:textId="77777777" w:rsidR="006034B6" w:rsidRPr="00C43778" w:rsidRDefault="006034B6" w:rsidP="006034B6">
            <w:pPr>
              <w:rPr>
                <w:sz w:val="20"/>
              </w:rPr>
            </w:pPr>
            <w:r w:rsidRPr="00C43778">
              <w:rPr>
                <w:sz w:val="20"/>
              </w:rPr>
              <w:t xml:space="preserve">Website: </w:t>
            </w:r>
            <w:hyperlink r:id="rId15" w:history="1">
              <w:r w:rsidRPr="00C43778">
                <w:rPr>
                  <w:rStyle w:val="Hyperlink"/>
                  <w:sz w:val="20"/>
                </w:rPr>
                <w:t>www.revenue.nt.gov.au</w:t>
              </w:r>
            </w:hyperlink>
          </w:p>
        </w:tc>
      </w:tr>
    </w:tbl>
    <w:p w14:paraId="5F6D996B" w14:textId="77777777" w:rsidR="006034B6" w:rsidRPr="00364D5F" w:rsidRDefault="006034B6" w:rsidP="00364D5F">
      <w:pPr>
        <w:tabs>
          <w:tab w:val="left" w:pos="3090"/>
        </w:tabs>
      </w:pPr>
    </w:p>
    <w:sectPr w:rsidR="006034B6" w:rsidRPr="00364D5F" w:rsidSect="00F65356">
      <w:headerReference w:type="even" r:id="rId16"/>
      <w:headerReference w:type="default" r:id="rId17"/>
      <w:footerReference w:type="default" r:id="rId18"/>
      <w:headerReference w:type="first" r:id="rId19"/>
      <w:footerReference w:type="first" r:id="rId20"/>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21B20" w14:textId="77777777" w:rsidR="00A20057" w:rsidRDefault="00A20057">
      <w:r>
        <w:separator/>
      </w:r>
    </w:p>
  </w:endnote>
  <w:endnote w:type="continuationSeparator" w:id="0">
    <w:p w14:paraId="3035422A" w14:textId="77777777" w:rsidR="00A20057" w:rsidRDefault="00A2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D9975" w14:textId="77777777" w:rsidR="00945A49" w:rsidRDefault="00945A49" w:rsidP="00364D5F">
    <w:pPr>
      <w:pStyle w:val="Footer"/>
      <w:tabs>
        <w:tab w:val="clear" w:pos="4153"/>
        <w:tab w:val="clear" w:pos="8306"/>
        <w:tab w:val="right" w:pos="9720"/>
      </w:tabs>
      <w:rPr>
        <w:sz w:val="16"/>
        <w:szCs w:val="16"/>
      </w:rPr>
    </w:pPr>
  </w:p>
  <w:p w14:paraId="5F6D9976" w14:textId="474256EB" w:rsidR="00945A49" w:rsidRPr="00364D5F"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58272B">
      <w:rPr>
        <w:noProof/>
        <w:sz w:val="16"/>
        <w:szCs w:val="16"/>
      </w:rPr>
      <w:t>2</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58272B">
      <w:rPr>
        <w:noProof/>
        <w:sz w:val="16"/>
        <w:szCs w:val="16"/>
      </w:rPr>
      <w:t>3</w:t>
    </w:r>
    <w:r w:rsidRPr="006034B6">
      <w:rPr>
        <w:sz w:val="16"/>
        <w:szCs w:val="16"/>
      </w:rPr>
      <w:fldChar w:fldCharType="end"/>
    </w:r>
    <w:r>
      <w:rPr>
        <w:sz w:val="16"/>
        <w:szCs w:val="16"/>
      </w:rPr>
      <w:tab/>
      <w:t>CG-</w:t>
    </w:r>
    <w:r w:rsidR="002D271F">
      <w:rPr>
        <w:sz w:val="16"/>
        <w:szCs w:val="16"/>
      </w:rPr>
      <w:t>SD-014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D997E" w14:textId="77777777" w:rsidR="00945A49" w:rsidRDefault="00945A49" w:rsidP="00364D5F">
    <w:pPr>
      <w:pStyle w:val="Footer"/>
      <w:tabs>
        <w:tab w:val="clear" w:pos="4153"/>
        <w:tab w:val="clear" w:pos="8306"/>
        <w:tab w:val="right" w:pos="9720"/>
      </w:tabs>
      <w:rPr>
        <w:sz w:val="16"/>
        <w:szCs w:val="16"/>
      </w:rPr>
    </w:pPr>
  </w:p>
  <w:p w14:paraId="5F6D997F" w14:textId="258E61CA" w:rsidR="00945A49" w:rsidRPr="006034B6"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58272B">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58272B">
      <w:rPr>
        <w:noProof/>
        <w:sz w:val="16"/>
        <w:szCs w:val="16"/>
      </w:rPr>
      <w:t>3</w:t>
    </w:r>
    <w:r w:rsidRPr="006034B6">
      <w:rPr>
        <w:sz w:val="16"/>
        <w:szCs w:val="16"/>
      </w:rPr>
      <w:fldChar w:fldCharType="end"/>
    </w:r>
    <w:r>
      <w:rPr>
        <w:sz w:val="16"/>
        <w:szCs w:val="16"/>
      </w:rPr>
      <w:tab/>
      <w:t>CG-</w:t>
    </w:r>
    <w:r w:rsidR="002D271F">
      <w:rPr>
        <w:sz w:val="16"/>
        <w:szCs w:val="16"/>
      </w:rPr>
      <w:t>SD-014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227EB" w14:textId="77777777" w:rsidR="00A20057" w:rsidRDefault="00A20057">
      <w:r>
        <w:separator/>
      </w:r>
    </w:p>
  </w:footnote>
  <w:footnote w:type="continuationSeparator" w:id="0">
    <w:p w14:paraId="1400F354" w14:textId="77777777" w:rsidR="00A20057" w:rsidRDefault="00A2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D9972" w14:textId="77777777" w:rsidR="00945A49" w:rsidRDefault="00945A49"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6D9973" w14:textId="77777777" w:rsidR="00945A49" w:rsidRDefault="00945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D9974" w14:textId="77777777" w:rsidR="00945A49" w:rsidRPr="003765CD" w:rsidRDefault="00945A49"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D9977" w14:textId="77777777" w:rsidR="00945A49" w:rsidRDefault="00E97E71" w:rsidP="0019571B">
    <w:pPr>
      <w:pStyle w:val="NTTHeaderInfo"/>
      <w:rPr>
        <w:b/>
        <w:noProof/>
      </w:rPr>
    </w:pPr>
    <w:r>
      <w:rPr>
        <w:b/>
        <w:noProof/>
      </w:rPr>
      <w:drawing>
        <wp:anchor distT="0" distB="0" distL="114300" distR="114300" simplePos="0" relativeHeight="251657728" behindDoc="1" locked="0" layoutInCell="0" allowOverlap="1" wp14:anchorId="5F6D9980" wp14:editId="5F6D9981">
          <wp:simplePos x="0" y="0"/>
          <wp:positionH relativeFrom="page">
            <wp:posOffset>180340</wp:posOffset>
          </wp:positionH>
          <wp:positionV relativeFrom="page">
            <wp:posOffset>180340</wp:posOffset>
          </wp:positionV>
          <wp:extent cx="7179945" cy="931545"/>
          <wp:effectExtent l="0" t="0" r="1905" b="1905"/>
          <wp:wrapNone/>
          <wp:docPr id="4" name="Picture 4" descr="200807 tro do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807 tro do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994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D9978" w14:textId="77777777" w:rsidR="00945A49" w:rsidRDefault="00945A49" w:rsidP="0019571B">
    <w:pPr>
      <w:pStyle w:val="NTTHeaderInfo"/>
      <w:rPr>
        <w:b/>
        <w:noProof/>
      </w:rPr>
    </w:pPr>
  </w:p>
  <w:p w14:paraId="5F6D9979" w14:textId="77777777" w:rsidR="00945A49" w:rsidRDefault="00945A49" w:rsidP="0019571B">
    <w:pPr>
      <w:pStyle w:val="NTTHeaderInfo"/>
      <w:rPr>
        <w:b/>
        <w:noProof/>
      </w:rPr>
    </w:pPr>
  </w:p>
  <w:p w14:paraId="5F6D997A" w14:textId="77777777" w:rsidR="00945A49" w:rsidRDefault="00945A49">
    <w:pPr>
      <w:pStyle w:val="Header"/>
    </w:pPr>
  </w:p>
  <w:p w14:paraId="5F6D997B" w14:textId="77777777" w:rsidR="00945A49" w:rsidRDefault="00945A49">
    <w:pPr>
      <w:pStyle w:val="Header"/>
    </w:pPr>
  </w:p>
  <w:p w14:paraId="5F6D997C" w14:textId="77777777" w:rsidR="00945A49" w:rsidRDefault="00945A49">
    <w:pPr>
      <w:pStyle w:val="Header"/>
    </w:pPr>
  </w:p>
  <w:p w14:paraId="5F6D997D" w14:textId="77777777" w:rsidR="00F65356" w:rsidRDefault="00F65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88F6EEB2"/>
    <w:numStyleLink w:val="Text"/>
  </w:abstractNum>
  <w:abstractNum w:abstractNumId="3" w15:restartNumberingAfterBreak="0">
    <w:nsid w:val="0FC94AA2"/>
    <w:multiLevelType w:val="singleLevel"/>
    <w:tmpl w:val="25184BCA"/>
    <w:lvl w:ilvl="0">
      <w:start w:val="1"/>
      <w:numFmt w:val="decimal"/>
      <w:lvlText w:val="(%1)"/>
      <w:lvlJc w:val="left"/>
      <w:pPr>
        <w:tabs>
          <w:tab w:val="num" w:pos="375"/>
        </w:tabs>
        <w:ind w:left="375" w:hanging="375"/>
      </w:pPr>
      <w:rPr>
        <w:rFonts w:hint="default"/>
      </w:rPr>
    </w:lvl>
  </w:abstractNum>
  <w:abstractNum w:abstractNumId="4" w15:restartNumberingAfterBreak="0">
    <w:nsid w:val="146763A1"/>
    <w:multiLevelType w:val="hybridMultilevel"/>
    <w:tmpl w:val="CD3C240C"/>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36CF7203"/>
    <w:multiLevelType w:val="hybridMultilevel"/>
    <w:tmpl w:val="486E146C"/>
    <w:lvl w:ilvl="0" w:tplc="0204B61A">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 w15:restartNumberingAfterBreak="0">
    <w:nsid w:val="49B557DD"/>
    <w:multiLevelType w:val="multilevel"/>
    <w:tmpl w:val="1A6ABC64"/>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C07793"/>
    <w:multiLevelType w:val="hybridMultilevel"/>
    <w:tmpl w:val="9C0E6342"/>
    <w:lvl w:ilvl="0" w:tplc="4D4A816A">
      <w:start w:val="1"/>
      <w:numFmt w:val="decimal"/>
      <w:lvlText w:val="%1)"/>
      <w:lvlJc w:val="left"/>
      <w:pPr>
        <w:tabs>
          <w:tab w:val="num" w:pos="360"/>
        </w:tabs>
        <w:ind w:left="360" w:hanging="360"/>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7294591F"/>
    <w:multiLevelType w:val="multilevel"/>
    <w:tmpl w:val="88F6EEB2"/>
    <w:numStyleLink w:val="Text"/>
  </w:abstractNum>
  <w:num w:numId="1">
    <w:abstractNumId w:val="12"/>
  </w:num>
  <w:num w:numId="2">
    <w:abstractNumId w:val="7"/>
  </w:num>
  <w:num w:numId="3">
    <w:abstractNumId w:val="5"/>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num>
  <w:num w:numId="5">
    <w:abstractNumId w:val="2"/>
  </w:num>
  <w:num w:numId="6">
    <w:abstractNumId w:val="8"/>
  </w:num>
  <w:num w:numId="7">
    <w:abstractNumId w:val="10"/>
  </w:num>
  <w:num w:numId="8">
    <w:abstractNumId w:val="0"/>
  </w:num>
  <w:num w:numId="9">
    <w:abstractNumId w:val="3"/>
  </w:num>
  <w:num w:numId="10">
    <w:abstractNumId w:val="6"/>
  </w:num>
  <w:num w:numId="11">
    <w:abstractNumId w:val="11"/>
  </w:num>
  <w:num w:numId="12">
    <w:abstractNumId w:val="4"/>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m8gnkC01Fmvp/jfus4/EI8yIXVxHYgNicE9uvhIh/4eX5Hgqf2Me7H6YlLIaicjphJebT44buTz8vRwPkGeQ+A==" w:salt="bUB7p4F0UdHDZSN3i9dqa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71F"/>
    <w:rsid w:val="000060BF"/>
    <w:rsid w:val="000064CB"/>
    <w:rsid w:val="000104AB"/>
    <w:rsid w:val="00010EEA"/>
    <w:rsid w:val="0002150C"/>
    <w:rsid w:val="00022413"/>
    <w:rsid w:val="00023645"/>
    <w:rsid w:val="00025614"/>
    <w:rsid w:val="000302C0"/>
    <w:rsid w:val="000333C6"/>
    <w:rsid w:val="000376B2"/>
    <w:rsid w:val="000424F1"/>
    <w:rsid w:val="00042BC9"/>
    <w:rsid w:val="00045CCE"/>
    <w:rsid w:val="00046838"/>
    <w:rsid w:val="0005160E"/>
    <w:rsid w:val="00054E58"/>
    <w:rsid w:val="00055A15"/>
    <w:rsid w:val="00055F6E"/>
    <w:rsid w:val="000567BE"/>
    <w:rsid w:val="0005747B"/>
    <w:rsid w:val="00063A93"/>
    <w:rsid w:val="00063EAC"/>
    <w:rsid w:val="00067AE5"/>
    <w:rsid w:val="00070001"/>
    <w:rsid w:val="000755D7"/>
    <w:rsid w:val="00081963"/>
    <w:rsid w:val="00081984"/>
    <w:rsid w:val="000917B2"/>
    <w:rsid w:val="00094D2B"/>
    <w:rsid w:val="000968BE"/>
    <w:rsid w:val="000A058E"/>
    <w:rsid w:val="000A1789"/>
    <w:rsid w:val="000A57FE"/>
    <w:rsid w:val="000A5BAB"/>
    <w:rsid w:val="000A5FAF"/>
    <w:rsid w:val="000A7ABD"/>
    <w:rsid w:val="000B1FE4"/>
    <w:rsid w:val="000C0DD5"/>
    <w:rsid w:val="000C2C04"/>
    <w:rsid w:val="000C3AD0"/>
    <w:rsid w:val="000C3EA1"/>
    <w:rsid w:val="000C5DAB"/>
    <w:rsid w:val="000D21B9"/>
    <w:rsid w:val="000D4683"/>
    <w:rsid w:val="000D760C"/>
    <w:rsid w:val="000E26E6"/>
    <w:rsid w:val="000E4D8E"/>
    <w:rsid w:val="000F7515"/>
    <w:rsid w:val="00112237"/>
    <w:rsid w:val="001171EA"/>
    <w:rsid w:val="00117E21"/>
    <w:rsid w:val="00117F5D"/>
    <w:rsid w:val="00120400"/>
    <w:rsid w:val="0012101B"/>
    <w:rsid w:val="0012610A"/>
    <w:rsid w:val="001271FF"/>
    <w:rsid w:val="0013250A"/>
    <w:rsid w:val="00134634"/>
    <w:rsid w:val="00135C96"/>
    <w:rsid w:val="001364CD"/>
    <w:rsid w:val="00140730"/>
    <w:rsid w:val="001407E2"/>
    <w:rsid w:val="00141F96"/>
    <w:rsid w:val="001422DD"/>
    <w:rsid w:val="001521B6"/>
    <w:rsid w:val="00153959"/>
    <w:rsid w:val="00153AFD"/>
    <w:rsid w:val="001545F9"/>
    <w:rsid w:val="001579C2"/>
    <w:rsid w:val="00160881"/>
    <w:rsid w:val="0016262C"/>
    <w:rsid w:val="00164258"/>
    <w:rsid w:val="00164A3A"/>
    <w:rsid w:val="00166509"/>
    <w:rsid w:val="00176573"/>
    <w:rsid w:val="0018229E"/>
    <w:rsid w:val="00184056"/>
    <w:rsid w:val="00184984"/>
    <w:rsid w:val="00184B7C"/>
    <w:rsid w:val="00187674"/>
    <w:rsid w:val="00192F6F"/>
    <w:rsid w:val="0019571B"/>
    <w:rsid w:val="00196C1B"/>
    <w:rsid w:val="001971A1"/>
    <w:rsid w:val="0019771F"/>
    <w:rsid w:val="001A6196"/>
    <w:rsid w:val="001B71AE"/>
    <w:rsid w:val="001B7AC7"/>
    <w:rsid w:val="001C422C"/>
    <w:rsid w:val="001C4568"/>
    <w:rsid w:val="001D27E9"/>
    <w:rsid w:val="001D4089"/>
    <w:rsid w:val="001D5A9F"/>
    <w:rsid w:val="001D6742"/>
    <w:rsid w:val="001D69E9"/>
    <w:rsid w:val="001D7DC4"/>
    <w:rsid w:val="001E3578"/>
    <w:rsid w:val="001E48AD"/>
    <w:rsid w:val="001E6135"/>
    <w:rsid w:val="001F4991"/>
    <w:rsid w:val="001F5273"/>
    <w:rsid w:val="001F60FE"/>
    <w:rsid w:val="001F6B23"/>
    <w:rsid w:val="001F7B6E"/>
    <w:rsid w:val="0020232B"/>
    <w:rsid w:val="002031C4"/>
    <w:rsid w:val="00204372"/>
    <w:rsid w:val="002048E7"/>
    <w:rsid w:val="00206981"/>
    <w:rsid w:val="00207E37"/>
    <w:rsid w:val="00210686"/>
    <w:rsid w:val="002115E6"/>
    <w:rsid w:val="00211ADE"/>
    <w:rsid w:val="00215A9D"/>
    <w:rsid w:val="0021684D"/>
    <w:rsid w:val="00220E1E"/>
    <w:rsid w:val="00221114"/>
    <w:rsid w:val="0022361B"/>
    <w:rsid w:val="00224644"/>
    <w:rsid w:val="0022584E"/>
    <w:rsid w:val="002306CE"/>
    <w:rsid w:val="0023083D"/>
    <w:rsid w:val="002374AC"/>
    <w:rsid w:val="00237B7C"/>
    <w:rsid w:val="00242910"/>
    <w:rsid w:val="002440CC"/>
    <w:rsid w:val="0024555A"/>
    <w:rsid w:val="002466CE"/>
    <w:rsid w:val="002524C0"/>
    <w:rsid w:val="002526A8"/>
    <w:rsid w:val="00252EA3"/>
    <w:rsid w:val="0025439F"/>
    <w:rsid w:val="002545A4"/>
    <w:rsid w:val="002546CB"/>
    <w:rsid w:val="002548C6"/>
    <w:rsid w:val="002555DE"/>
    <w:rsid w:val="00271740"/>
    <w:rsid w:val="0027710E"/>
    <w:rsid w:val="002863EF"/>
    <w:rsid w:val="00295BEF"/>
    <w:rsid w:val="00297E74"/>
    <w:rsid w:val="002A03A5"/>
    <w:rsid w:val="002A3775"/>
    <w:rsid w:val="002A5567"/>
    <w:rsid w:val="002A5623"/>
    <w:rsid w:val="002A7D1F"/>
    <w:rsid w:val="002B1738"/>
    <w:rsid w:val="002C0386"/>
    <w:rsid w:val="002C1DA7"/>
    <w:rsid w:val="002C267D"/>
    <w:rsid w:val="002D271F"/>
    <w:rsid w:val="002D4686"/>
    <w:rsid w:val="002D6B9D"/>
    <w:rsid w:val="002D7B81"/>
    <w:rsid w:val="002E1CE1"/>
    <w:rsid w:val="00301586"/>
    <w:rsid w:val="00307F79"/>
    <w:rsid w:val="00311AB6"/>
    <w:rsid w:val="00314B99"/>
    <w:rsid w:val="00314C98"/>
    <w:rsid w:val="00314E75"/>
    <w:rsid w:val="00323FDD"/>
    <w:rsid w:val="00327C11"/>
    <w:rsid w:val="00330CA3"/>
    <w:rsid w:val="00332D45"/>
    <w:rsid w:val="00340212"/>
    <w:rsid w:val="00343BDF"/>
    <w:rsid w:val="003455BA"/>
    <w:rsid w:val="003458E7"/>
    <w:rsid w:val="00350C52"/>
    <w:rsid w:val="00350DA3"/>
    <w:rsid w:val="0035373D"/>
    <w:rsid w:val="00354185"/>
    <w:rsid w:val="00354627"/>
    <w:rsid w:val="00355A73"/>
    <w:rsid w:val="00355AD3"/>
    <w:rsid w:val="003566B4"/>
    <w:rsid w:val="003627B1"/>
    <w:rsid w:val="003649F0"/>
    <w:rsid w:val="00364D5F"/>
    <w:rsid w:val="00365875"/>
    <w:rsid w:val="003659AD"/>
    <w:rsid w:val="00371470"/>
    <w:rsid w:val="00371523"/>
    <w:rsid w:val="00371DC6"/>
    <w:rsid w:val="00371E1A"/>
    <w:rsid w:val="003765CD"/>
    <w:rsid w:val="00385103"/>
    <w:rsid w:val="00386424"/>
    <w:rsid w:val="00386D5A"/>
    <w:rsid w:val="0038749B"/>
    <w:rsid w:val="00393DD6"/>
    <w:rsid w:val="00394D70"/>
    <w:rsid w:val="0039737A"/>
    <w:rsid w:val="003A525E"/>
    <w:rsid w:val="003A7455"/>
    <w:rsid w:val="003B21D5"/>
    <w:rsid w:val="003B4A50"/>
    <w:rsid w:val="003B4C4C"/>
    <w:rsid w:val="003B680A"/>
    <w:rsid w:val="003C1073"/>
    <w:rsid w:val="003C6832"/>
    <w:rsid w:val="003D0F41"/>
    <w:rsid w:val="003D26A8"/>
    <w:rsid w:val="003D3D24"/>
    <w:rsid w:val="003D400C"/>
    <w:rsid w:val="003D5245"/>
    <w:rsid w:val="003D6126"/>
    <w:rsid w:val="003E23F6"/>
    <w:rsid w:val="003E5274"/>
    <w:rsid w:val="003E62DE"/>
    <w:rsid w:val="003F5E2C"/>
    <w:rsid w:val="003F70DD"/>
    <w:rsid w:val="003F7195"/>
    <w:rsid w:val="003F73D3"/>
    <w:rsid w:val="003F7433"/>
    <w:rsid w:val="003F7BDE"/>
    <w:rsid w:val="00401F0A"/>
    <w:rsid w:val="004050CF"/>
    <w:rsid w:val="0041111B"/>
    <w:rsid w:val="004124F6"/>
    <w:rsid w:val="00412F76"/>
    <w:rsid w:val="004130A1"/>
    <w:rsid w:val="0041454C"/>
    <w:rsid w:val="004154A9"/>
    <w:rsid w:val="0041637D"/>
    <w:rsid w:val="0041795D"/>
    <w:rsid w:val="00424DCE"/>
    <w:rsid w:val="004302A2"/>
    <w:rsid w:val="00430725"/>
    <w:rsid w:val="00431E0A"/>
    <w:rsid w:val="00432945"/>
    <w:rsid w:val="00434F1E"/>
    <w:rsid w:val="004362E6"/>
    <w:rsid w:val="004379E6"/>
    <w:rsid w:val="004407DC"/>
    <w:rsid w:val="0045415A"/>
    <w:rsid w:val="0045697A"/>
    <w:rsid w:val="00456CDA"/>
    <w:rsid w:val="004572A6"/>
    <w:rsid w:val="00461243"/>
    <w:rsid w:val="00463743"/>
    <w:rsid w:val="004646F7"/>
    <w:rsid w:val="00465AB2"/>
    <w:rsid w:val="00466FB5"/>
    <w:rsid w:val="00470036"/>
    <w:rsid w:val="004707BC"/>
    <w:rsid w:val="004726D4"/>
    <w:rsid w:val="00473F14"/>
    <w:rsid w:val="004742EA"/>
    <w:rsid w:val="004743B6"/>
    <w:rsid w:val="00474B80"/>
    <w:rsid w:val="00476314"/>
    <w:rsid w:val="00481F7B"/>
    <w:rsid w:val="00482184"/>
    <w:rsid w:val="00482C30"/>
    <w:rsid w:val="00490396"/>
    <w:rsid w:val="0049040E"/>
    <w:rsid w:val="004909A0"/>
    <w:rsid w:val="00492379"/>
    <w:rsid w:val="004941E5"/>
    <w:rsid w:val="00494D6F"/>
    <w:rsid w:val="004A5CE6"/>
    <w:rsid w:val="004A60E1"/>
    <w:rsid w:val="004B003D"/>
    <w:rsid w:val="004B39EB"/>
    <w:rsid w:val="004B4B9D"/>
    <w:rsid w:val="004C0D46"/>
    <w:rsid w:val="004C12DE"/>
    <w:rsid w:val="004C5782"/>
    <w:rsid w:val="004C5891"/>
    <w:rsid w:val="004C6027"/>
    <w:rsid w:val="004D04AA"/>
    <w:rsid w:val="004D3B44"/>
    <w:rsid w:val="004E09CA"/>
    <w:rsid w:val="004E391B"/>
    <w:rsid w:val="004E502F"/>
    <w:rsid w:val="004E5F24"/>
    <w:rsid w:val="004E69E8"/>
    <w:rsid w:val="004F103E"/>
    <w:rsid w:val="00500BE6"/>
    <w:rsid w:val="0050534D"/>
    <w:rsid w:val="0051194C"/>
    <w:rsid w:val="00513926"/>
    <w:rsid w:val="00516D27"/>
    <w:rsid w:val="00517382"/>
    <w:rsid w:val="005205CA"/>
    <w:rsid w:val="00520F76"/>
    <w:rsid w:val="00522191"/>
    <w:rsid w:val="005247E5"/>
    <w:rsid w:val="00525881"/>
    <w:rsid w:val="0052614B"/>
    <w:rsid w:val="0052675D"/>
    <w:rsid w:val="00526B7A"/>
    <w:rsid w:val="00530165"/>
    <w:rsid w:val="005302CE"/>
    <w:rsid w:val="00532754"/>
    <w:rsid w:val="00536F37"/>
    <w:rsid w:val="00537837"/>
    <w:rsid w:val="005400EA"/>
    <w:rsid w:val="005419BC"/>
    <w:rsid w:val="005428F8"/>
    <w:rsid w:val="00542966"/>
    <w:rsid w:val="00545D20"/>
    <w:rsid w:val="005475C0"/>
    <w:rsid w:val="00547681"/>
    <w:rsid w:val="00551CBC"/>
    <w:rsid w:val="00555249"/>
    <w:rsid w:val="0056224B"/>
    <w:rsid w:val="005628C3"/>
    <w:rsid w:val="00566890"/>
    <w:rsid w:val="005707AB"/>
    <w:rsid w:val="00572867"/>
    <w:rsid w:val="00573A16"/>
    <w:rsid w:val="0058140E"/>
    <w:rsid w:val="00581D64"/>
    <w:rsid w:val="0058272B"/>
    <w:rsid w:val="00582D7B"/>
    <w:rsid w:val="005855C5"/>
    <w:rsid w:val="0058646E"/>
    <w:rsid w:val="00587446"/>
    <w:rsid w:val="00596353"/>
    <w:rsid w:val="00596B7E"/>
    <w:rsid w:val="005A0101"/>
    <w:rsid w:val="005A6A98"/>
    <w:rsid w:val="005A6EAB"/>
    <w:rsid w:val="005B03D6"/>
    <w:rsid w:val="005B3B6D"/>
    <w:rsid w:val="005B419B"/>
    <w:rsid w:val="005B43D5"/>
    <w:rsid w:val="005B4B9A"/>
    <w:rsid w:val="005B5511"/>
    <w:rsid w:val="005D0992"/>
    <w:rsid w:val="005D4468"/>
    <w:rsid w:val="005D54FC"/>
    <w:rsid w:val="005E5A0B"/>
    <w:rsid w:val="005E722D"/>
    <w:rsid w:val="005F0CAA"/>
    <w:rsid w:val="005F1765"/>
    <w:rsid w:val="005F21D9"/>
    <w:rsid w:val="005F2627"/>
    <w:rsid w:val="006023B8"/>
    <w:rsid w:val="0060284F"/>
    <w:rsid w:val="006034B6"/>
    <w:rsid w:val="00605813"/>
    <w:rsid w:val="00605CAB"/>
    <w:rsid w:val="006102F8"/>
    <w:rsid w:val="00612FBB"/>
    <w:rsid w:val="0061625F"/>
    <w:rsid w:val="006226DC"/>
    <w:rsid w:val="00623756"/>
    <w:rsid w:val="00624CDA"/>
    <w:rsid w:val="00626B28"/>
    <w:rsid w:val="00630FFB"/>
    <w:rsid w:val="00632A1A"/>
    <w:rsid w:val="00634CF3"/>
    <w:rsid w:val="00635C62"/>
    <w:rsid w:val="00635F78"/>
    <w:rsid w:val="00642432"/>
    <w:rsid w:val="00645230"/>
    <w:rsid w:val="00645F0D"/>
    <w:rsid w:val="006501B7"/>
    <w:rsid w:val="00654280"/>
    <w:rsid w:val="006552F7"/>
    <w:rsid w:val="006575EA"/>
    <w:rsid w:val="0066709F"/>
    <w:rsid w:val="006828FA"/>
    <w:rsid w:val="006831AE"/>
    <w:rsid w:val="0069461E"/>
    <w:rsid w:val="006A21A5"/>
    <w:rsid w:val="006A30C4"/>
    <w:rsid w:val="006A356D"/>
    <w:rsid w:val="006B002A"/>
    <w:rsid w:val="006B0776"/>
    <w:rsid w:val="006B19DB"/>
    <w:rsid w:val="006B3D13"/>
    <w:rsid w:val="006B455C"/>
    <w:rsid w:val="006B605D"/>
    <w:rsid w:val="006B7698"/>
    <w:rsid w:val="006C05D0"/>
    <w:rsid w:val="006C1229"/>
    <w:rsid w:val="006C12B1"/>
    <w:rsid w:val="006C360A"/>
    <w:rsid w:val="006D0C05"/>
    <w:rsid w:val="006D19A1"/>
    <w:rsid w:val="006D34E1"/>
    <w:rsid w:val="006D7D4A"/>
    <w:rsid w:val="006E03DB"/>
    <w:rsid w:val="006E0735"/>
    <w:rsid w:val="006E32F6"/>
    <w:rsid w:val="006E3A88"/>
    <w:rsid w:val="006E3FC6"/>
    <w:rsid w:val="006E79AA"/>
    <w:rsid w:val="006F1AB6"/>
    <w:rsid w:val="006F56AA"/>
    <w:rsid w:val="006F5C85"/>
    <w:rsid w:val="00700C9F"/>
    <w:rsid w:val="00703666"/>
    <w:rsid w:val="0070603B"/>
    <w:rsid w:val="00706F00"/>
    <w:rsid w:val="00713E0D"/>
    <w:rsid w:val="00720153"/>
    <w:rsid w:val="00724967"/>
    <w:rsid w:val="00731530"/>
    <w:rsid w:val="00736DB7"/>
    <w:rsid w:val="0074419C"/>
    <w:rsid w:val="007445E4"/>
    <w:rsid w:val="007501B1"/>
    <w:rsid w:val="0075176D"/>
    <w:rsid w:val="0075179B"/>
    <w:rsid w:val="007553B7"/>
    <w:rsid w:val="00755BFC"/>
    <w:rsid w:val="007572CE"/>
    <w:rsid w:val="00757465"/>
    <w:rsid w:val="00761932"/>
    <w:rsid w:val="00762067"/>
    <w:rsid w:val="00762918"/>
    <w:rsid w:val="00762969"/>
    <w:rsid w:val="00763A20"/>
    <w:rsid w:val="00766A70"/>
    <w:rsid w:val="00767E45"/>
    <w:rsid w:val="007719DE"/>
    <w:rsid w:val="007735E7"/>
    <w:rsid w:val="00773B36"/>
    <w:rsid w:val="00777491"/>
    <w:rsid w:val="00780551"/>
    <w:rsid w:val="00780F8C"/>
    <w:rsid w:val="007817A1"/>
    <w:rsid w:val="007829AE"/>
    <w:rsid w:val="00784A94"/>
    <w:rsid w:val="00787076"/>
    <w:rsid w:val="00791ACA"/>
    <w:rsid w:val="00797A22"/>
    <w:rsid w:val="007A07E8"/>
    <w:rsid w:val="007A442B"/>
    <w:rsid w:val="007A4587"/>
    <w:rsid w:val="007A553D"/>
    <w:rsid w:val="007B1307"/>
    <w:rsid w:val="007B51DD"/>
    <w:rsid w:val="007B7CC0"/>
    <w:rsid w:val="007C0E96"/>
    <w:rsid w:val="007C1D40"/>
    <w:rsid w:val="007C4B87"/>
    <w:rsid w:val="007C62CA"/>
    <w:rsid w:val="007C71F4"/>
    <w:rsid w:val="007D290F"/>
    <w:rsid w:val="007D34CA"/>
    <w:rsid w:val="007D40A4"/>
    <w:rsid w:val="007D4D03"/>
    <w:rsid w:val="007D7071"/>
    <w:rsid w:val="007E4470"/>
    <w:rsid w:val="007E6321"/>
    <w:rsid w:val="007E6726"/>
    <w:rsid w:val="007F0790"/>
    <w:rsid w:val="007F10F3"/>
    <w:rsid w:val="007F23CE"/>
    <w:rsid w:val="007F3D47"/>
    <w:rsid w:val="007F458D"/>
    <w:rsid w:val="007F5FDB"/>
    <w:rsid w:val="007F658A"/>
    <w:rsid w:val="007F78D8"/>
    <w:rsid w:val="008049A2"/>
    <w:rsid w:val="00807DD2"/>
    <w:rsid w:val="0081131C"/>
    <w:rsid w:val="00821BA6"/>
    <w:rsid w:val="00824BAA"/>
    <w:rsid w:val="00824DF7"/>
    <w:rsid w:val="00827A50"/>
    <w:rsid w:val="008323D0"/>
    <w:rsid w:val="00832DC1"/>
    <w:rsid w:val="0084462A"/>
    <w:rsid w:val="008525BF"/>
    <w:rsid w:val="0085320A"/>
    <w:rsid w:val="00854345"/>
    <w:rsid w:val="00855DA8"/>
    <w:rsid w:val="008572B7"/>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7265"/>
    <w:rsid w:val="008B23E9"/>
    <w:rsid w:val="008B3039"/>
    <w:rsid w:val="008C0559"/>
    <w:rsid w:val="008C1207"/>
    <w:rsid w:val="008C3763"/>
    <w:rsid w:val="008D038F"/>
    <w:rsid w:val="008D0BA9"/>
    <w:rsid w:val="008D2392"/>
    <w:rsid w:val="008D5BB0"/>
    <w:rsid w:val="008D7117"/>
    <w:rsid w:val="008E1DC7"/>
    <w:rsid w:val="008E5AC0"/>
    <w:rsid w:val="008E6244"/>
    <w:rsid w:val="008F2A38"/>
    <w:rsid w:val="008F3E64"/>
    <w:rsid w:val="008F5DAC"/>
    <w:rsid w:val="008F7654"/>
    <w:rsid w:val="0090131A"/>
    <w:rsid w:val="00902884"/>
    <w:rsid w:val="00903EAE"/>
    <w:rsid w:val="009069DD"/>
    <w:rsid w:val="0091589D"/>
    <w:rsid w:val="009312EE"/>
    <w:rsid w:val="00931A46"/>
    <w:rsid w:val="009329EC"/>
    <w:rsid w:val="009342C0"/>
    <w:rsid w:val="00944373"/>
    <w:rsid w:val="00944463"/>
    <w:rsid w:val="0094548B"/>
    <w:rsid w:val="00945A49"/>
    <w:rsid w:val="00947358"/>
    <w:rsid w:val="00951504"/>
    <w:rsid w:val="00955AC5"/>
    <w:rsid w:val="00956834"/>
    <w:rsid w:val="0096299F"/>
    <w:rsid w:val="00966B8B"/>
    <w:rsid w:val="00971B1A"/>
    <w:rsid w:val="00972562"/>
    <w:rsid w:val="0097383F"/>
    <w:rsid w:val="00981A37"/>
    <w:rsid w:val="00981DD0"/>
    <w:rsid w:val="009912B8"/>
    <w:rsid w:val="00993121"/>
    <w:rsid w:val="0099370B"/>
    <w:rsid w:val="00993BA5"/>
    <w:rsid w:val="009A4C0F"/>
    <w:rsid w:val="009A5957"/>
    <w:rsid w:val="009A5B4C"/>
    <w:rsid w:val="009A75A0"/>
    <w:rsid w:val="009B08B2"/>
    <w:rsid w:val="009B13A1"/>
    <w:rsid w:val="009B1546"/>
    <w:rsid w:val="009B1644"/>
    <w:rsid w:val="009C414E"/>
    <w:rsid w:val="009D0425"/>
    <w:rsid w:val="009D1CC1"/>
    <w:rsid w:val="009D385D"/>
    <w:rsid w:val="009D5D56"/>
    <w:rsid w:val="009D5DA2"/>
    <w:rsid w:val="009E0273"/>
    <w:rsid w:val="009E1CE4"/>
    <w:rsid w:val="009E2103"/>
    <w:rsid w:val="009E21DC"/>
    <w:rsid w:val="009E7450"/>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5B51"/>
    <w:rsid w:val="00A16927"/>
    <w:rsid w:val="00A20057"/>
    <w:rsid w:val="00A2194D"/>
    <w:rsid w:val="00A23E15"/>
    <w:rsid w:val="00A255CB"/>
    <w:rsid w:val="00A27062"/>
    <w:rsid w:val="00A271E9"/>
    <w:rsid w:val="00A3089F"/>
    <w:rsid w:val="00A30A6C"/>
    <w:rsid w:val="00A36699"/>
    <w:rsid w:val="00A45774"/>
    <w:rsid w:val="00A47EC0"/>
    <w:rsid w:val="00A537CF"/>
    <w:rsid w:val="00A5494C"/>
    <w:rsid w:val="00A55ECC"/>
    <w:rsid w:val="00A57A39"/>
    <w:rsid w:val="00A60570"/>
    <w:rsid w:val="00A608B1"/>
    <w:rsid w:val="00A641DF"/>
    <w:rsid w:val="00A65BF5"/>
    <w:rsid w:val="00A7187B"/>
    <w:rsid w:val="00A728DB"/>
    <w:rsid w:val="00A73C0C"/>
    <w:rsid w:val="00A8134F"/>
    <w:rsid w:val="00A81BDC"/>
    <w:rsid w:val="00A82727"/>
    <w:rsid w:val="00A8454A"/>
    <w:rsid w:val="00A84B88"/>
    <w:rsid w:val="00A94CD2"/>
    <w:rsid w:val="00A968CE"/>
    <w:rsid w:val="00A97CCB"/>
    <w:rsid w:val="00AA04C3"/>
    <w:rsid w:val="00AA0714"/>
    <w:rsid w:val="00AA548A"/>
    <w:rsid w:val="00AA6273"/>
    <w:rsid w:val="00AA632B"/>
    <w:rsid w:val="00AA7082"/>
    <w:rsid w:val="00AB1281"/>
    <w:rsid w:val="00AB22EA"/>
    <w:rsid w:val="00AB3949"/>
    <w:rsid w:val="00AB3EA7"/>
    <w:rsid w:val="00AB4AB1"/>
    <w:rsid w:val="00AB5CE5"/>
    <w:rsid w:val="00AC0479"/>
    <w:rsid w:val="00AC5873"/>
    <w:rsid w:val="00AC6677"/>
    <w:rsid w:val="00AD2225"/>
    <w:rsid w:val="00AD5CC0"/>
    <w:rsid w:val="00AD5EAB"/>
    <w:rsid w:val="00AD5EAF"/>
    <w:rsid w:val="00AE0B75"/>
    <w:rsid w:val="00AE2154"/>
    <w:rsid w:val="00AE401C"/>
    <w:rsid w:val="00AF2DB3"/>
    <w:rsid w:val="00AF35EB"/>
    <w:rsid w:val="00AF42F0"/>
    <w:rsid w:val="00AF5B58"/>
    <w:rsid w:val="00B0128A"/>
    <w:rsid w:val="00B01BD5"/>
    <w:rsid w:val="00B02AB8"/>
    <w:rsid w:val="00B03943"/>
    <w:rsid w:val="00B11074"/>
    <w:rsid w:val="00B142D1"/>
    <w:rsid w:val="00B14E33"/>
    <w:rsid w:val="00B1670C"/>
    <w:rsid w:val="00B16B84"/>
    <w:rsid w:val="00B17B7E"/>
    <w:rsid w:val="00B21D03"/>
    <w:rsid w:val="00B23100"/>
    <w:rsid w:val="00B24316"/>
    <w:rsid w:val="00B407CC"/>
    <w:rsid w:val="00B476A9"/>
    <w:rsid w:val="00B5270D"/>
    <w:rsid w:val="00B54F76"/>
    <w:rsid w:val="00B555A0"/>
    <w:rsid w:val="00B60FD0"/>
    <w:rsid w:val="00B621B6"/>
    <w:rsid w:val="00B63555"/>
    <w:rsid w:val="00B71990"/>
    <w:rsid w:val="00B71D61"/>
    <w:rsid w:val="00B828A5"/>
    <w:rsid w:val="00B82C46"/>
    <w:rsid w:val="00B85594"/>
    <w:rsid w:val="00B921A2"/>
    <w:rsid w:val="00BA04F9"/>
    <w:rsid w:val="00BA093E"/>
    <w:rsid w:val="00BA0D70"/>
    <w:rsid w:val="00BA24A6"/>
    <w:rsid w:val="00BA263D"/>
    <w:rsid w:val="00BA2971"/>
    <w:rsid w:val="00BA3777"/>
    <w:rsid w:val="00BA48FA"/>
    <w:rsid w:val="00BA4ABE"/>
    <w:rsid w:val="00BA63DE"/>
    <w:rsid w:val="00BA6FAF"/>
    <w:rsid w:val="00BB0A32"/>
    <w:rsid w:val="00BB0B06"/>
    <w:rsid w:val="00BB2188"/>
    <w:rsid w:val="00BC0077"/>
    <w:rsid w:val="00BC590E"/>
    <w:rsid w:val="00BD00E4"/>
    <w:rsid w:val="00BD047B"/>
    <w:rsid w:val="00BD1F0E"/>
    <w:rsid w:val="00BD2B44"/>
    <w:rsid w:val="00BD2C00"/>
    <w:rsid w:val="00BE1391"/>
    <w:rsid w:val="00BE71B8"/>
    <w:rsid w:val="00BE7723"/>
    <w:rsid w:val="00BE7D5F"/>
    <w:rsid w:val="00BF25BF"/>
    <w:rsid w:val="00BF59C3"/>
    <w:rsid w:val="00BF618D"/>
    <w:rsid w:val="00BF79D3"/>
    <w:rsid w:val="00BF7C7C"/>
    <w:rsid w:val="00C02729"/>
    <w:rsid w:val="00C03D88"/>
    <w:rsid w:val="00C03F77"/>
    <w:rsid w:val="00C04FF1"/>
    <w:rsid w:val="00C1093F"/>
    <w:rsid w:val="00C12329"/>
    <w:rsid w:val="00C21CAC"/>
    <w:rsid w:val="00C2238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3778"/>
    <w:rsid w:val="00C44F7F"/>
    <w:rsid w:val="00C45C9C"/>
    <w:rsid w:val="00C45FB9"/>
    <w:rsid w:val="00C47288"/>
    <w:rsid w:val="00C51229"/>
    <w:rsid w:val="00C55095"/>
    <w:rsid w:val="00C613A4"/>
    <w:rsid w:val="00C63A22"/>
    <w:rsid w:val="00C666F3"/>
    <w:rsid w:val="00C67A86"/>
    <w:rsid w:val="00C75F63"/>
    <w:rsid w:val="00C7642D"/>
    <w:rsid w:val="00C80B4A"/>
    <w:rsid w:val="00C83BA4"/>
    <w:rsid w:val="00C8698C"/>
    <w:rsid w:val="00C90E10"/>
    <w:rsid w:val="00C914DE"/>
    <w:rsid w:val="00C92230"/>
    <w:rsid w:val="00C93068"/>
    <w:rsid w:val="00C93DBA"/>
    <w:rsid w:val="00C973DA"/>
    <w:rsid w:val="00CA4134"/>
    <w:rsid w:val="00CA44FC"/>
    <w:rsid w:val="00CA7A00"/>
    <w:rsid w:val="00CB5202"/>
    <w:rsid w:val="00CB556E"/>
    <w:rsid w:val="00CB6136"/>
    <w:rsid w:val="00CB634F"/>
    <w:rsid w:val="00CB7F80"/>
    <w:rsid w:val="00CC1325"/>
    <w:rsid w:val="00CC1B04"/>
    <w:rsid w:val="00CD3BEC"/>
    <w:rsid w:val="00CD41B4"/>
    <w:rsid w:val="00CD472A"/>
    <w:rsid w:val="00CD5754"/>
    <w:rsid w:val="00CD6756"/>
    <w:rsid w:val="00CE0218"/>
    <w:rsid w:val="00CE2985"/>
    <w:rsid w:val="00CF094D"/>
    <w:rsid w:val="00CF1679"/>
    <w:rsid w:val="00CF26C4"/>
    <w:rsid w:val="00CF3458"/>
    <w:rsid w:val="00CF76E8"/>
    <w:rsid w:val="00CF7CE4"/>
    <w:rsid w:val="00D00D00"/>
    <w:rsid w:val="00D01D91"/>
    <w:rsid w:val="00D01EDD"/>
    <w:rsid w:val="00D03DDB"/>
    <w:rsid w:val="00D10561"/>
    <w:rsid w:val="00D1271C"/>
    <w:rsid w:val="00D1311C"/>
    <w:rsid w:val="00D14B39"/>
    <w:rsid w:val="00D15DC7"/>
    <w:rsid w:val="00D2734D"/>
    <w:rsid w:val="00D339A3"/>
    <w:rsid w:val="00D40FB2"/>
    <w:rsid w:val="00D426E7"/>
    <w:rsid w:val="00D44B5C"/>
    <w:rsid w:val="00D4588E"/>
    <w:rsid w:val="00D4597F"/>
    <w:rsid w:val="00D46D7A"/>
    <w:rsid w:val="00D47F5D"/>
    <w:rsid w:val="00D52970"/>
    <w:rsid w:val="00D54990"/>
    <w:rsid w:val="00D54F29"/>
    <w:rsid w:val="00D61191"/>
    <w:rsid w:val="00D63C57"/>
    <w:rsid w:val="00D65C30"/>
    <w:rsid w:val="00D6670A"/>
    <w:rsid w:val="00D71F16"/>
    <w:rsid w:val="00D73CD8"/>
    <w:rsid w:val="00D81604"/>
    <w:rsid w:val="00D818DB"/>
    <w:rsid w:val="00D90F1C"/>
    <w:rsid w:val="00D91A6D"/>
    <w:rsid w:val="00D91D80"/>
    <w:rsid w:val="00D94CCC"/>
    <w:rsid w:val="00D95631"/>
    <w:rsid w:val="00D9777E"/>
    <w:rsid w:val="00D97E0B"/>
    <w:rsid w:val="00D97F9A"/>
    <w:rsid w:val="00DA0588"/>
    <w:rsid w:val="00DA3638"/>
    <w:rsid w:val="00DA4644"/>
    <w:rsid w:val="00DA73FE"/>
    <w:rsid w:val="00DB3E79"/>
    <w:rsid w:val="00DB70C4"/>
    <w:rsid w:val="00DB7968"/>
    <w:rsid w:val="00DB7D4C"/>
    <w:rsid w:val="00DC332A"/>
    <w:rsid w:val="00DC3F21"/>
    <w:rsid w:val="00DC3F78"/>
    <w:rsid w:val="00DC41DE"/>
    <w:rsid w:val="00DD2AC4"/>
    <w:rsid w:val="00DD3F35"/>
    <w:rsid w:val="00DE2A7B"/>
    <w:rsid w:val="00DE64A9"/>
    <w:rsid w:val="00DE6553"/>
    <w:rsid w:val="00DF40ED"/>
    <w:rsid w:val="00E01CEC"/>
    <w:rsid w:val="00E0391A"/>
    <w:rsid w:val="00E03A9E"/>
    <w:rsid w:val="00E07172"/>
    <w:rsid w:val="00E120D0"/>
    <w:rsid w:val="00E229A3"/>
    <w:rsid w:val="00E26BA3"/>
    <w:rsid w:val="00E33ABF"/>
    <w:rsid w:val="00E50EEB"/>
    <w:rsid w:val="00E51BC9"/>
    <w:rsid w:val="00E55AAB"/>
    <w:rsid w:val="00E564E8"/>
    <w:rsid w:val="00E65FE2"/>
    <w:rsid w:val="00E71056"/>
    <w:rsid w:val="00E718BD"/>
    <w:rsid w:val="00E722AF"/>
    <w:rsid w:val="00E80CEE"/>
    <w:rsid w:val="00E82C12"/>
    <w:rsid w:val="00E84A38"/>
    <w:rsid w:val="00E95529"/>
    <w:rsid w:val="00E97E71"/>
    <w:rsid w:val="00EA01AC"/>
    <w:rsid w:val="00EA0B33"/>
    <w:rsid w:val="00EA100C"/>
    <w:rsid w:val="00EA5777"/>
    <w:rsid w:val="00EB4DF2"/>
    <w:rsid w:val="00EB5C29"/>
    <w:rsid w:val="00EC10FD"/>
    <w:rsid w:val="00EC1254"/>
    <w:rsid w:val="00EC14FC"/>
    <w:rsid w:val="00EC4686"/>
    <w:rsid w:val="00ED07DF"/>
    <w:rsid w:val="00ED0B9A"/>
    <w:rsid w:val="00ED0D88"/>
    <w:rsid w:val="00ED3D74"/>
    <w:rsid w:val="00ED7B90"/>
    <w:rsid w:val="00EE1282"/>
    <w:rsid w:val="00EE2D47"/>
    <w:rsid w:val="00EE37D3"/>
    <w:rsid w:val="00EF0350"/>
    <w:rsid w:val="00EF0F77"/>
    <w:rsid w:val="00EF1E79"/>
    <w:rsid w:val="00F00E4D"/>
    <w:rsid w:val="00F07436"/>
    <w:rsid w:val="00F078AC"/>
    <w:rsid w:val="00F10AF7"/>
    <w:rsid w:val="00F12497"/>
    <w:rsid w:val="00F21E75"/>
    <w:rsid w:val="00F266D3"/>
    <w:rsid w:val="00F26C6C"/>
    <w:rsid w:val="00F26E96"/>
    <w:rsid w:val="00F2739F"/>
    <w:rsid w:val="00F30797"/>
    <w:rsid w:val="00F35A52"/>
    <w:rsid w:val="00F41CD5"/>
    <w:rsid w:val="00F43570"/>
    <w:rsid w:val="00F45A80"/>
    <w:rsid w:val="00F4720B"/>
    <w:rsid w:val="00F53BD0"/>
    <w:rsid w:val="00F54766"/>
    <w:rsid w:val="00F65356"/>
    <w:rsid w:val="00F65883"/>
    <w:rsid w:val="00F775A7"/>
    <w:rsid w:val="00F81AB7"/>
    <w:rsid w:val="00F83718"/>
    <w:rsid w:val="00F84042"/>
    <w:rsid w:val="00F85133"/>
    <w:rsid w:val="00F9092C"/>
    <w:rsid w:val="00F93BC7"/>
    <w:rsid w:val="00F94421"/>
    <w:rsid w:val="00F946ED"/>
    <w:rsid w:val="00F965BC"/>
    <w:rsid w:val="00FA2A4F"/>
    <w:rsid w:val="00FA2CCF"/>
    <w:rsid w:val="00FA3740"/>
    <w:rsid w:val="00FA3A1B"/>
    <w:rsid w:val="00FB0857"/>
    <w:rsid w:val="00FB13A9"/>
    <w:rsid w:val="00FB265C"/>
    <w:rsid w:val="00FB556D"/>
    <w:rsid w:val="00FC033B"/>
    <w:rsid w:val="00FC0B62"/>
    <w:rsid w:val="00FC2011"/>
    <w:rsid w:val="00FC2B90"/>
    <w:rsid w:val="00FC4A2E"/>
    <w:rsid w:val="00FC6726"/>
    <w:rsid w:val="00FD4385"/>
    <w:rsid w:val="00FD5FBD"/>
    <w:rsid w:val="00FE2CB7"/>
    <w:rsid w:val="00FE4969"/>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5F6D991A"/>
  <w15:docId w15:val="{F0BB6563-D526-43A3-BFD4-007F0765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basedOn w:val="DefaultParagraphFont"/>
    <w:link w:val="Heading1"/>
    <w:rsid w:val="00BD2B44"/>
    <w:rPr>
      <w:rFonts w:ascii="Arial" w:hAnsi="Arial"/>
      <w:sz w:val="18"/>
      <w:szCs w:val="18"/>
      <w:lang w:val="en-AU" w:eastAsia="en-AU" w:bidi="ar-SA"/>
    </w:rPr>
  </w:style>
  <w:style w:type="character" w:customStyle="1" w:styleId="Heading2Char">
    <w:name w:val="Heading 2 Char"/>
    <w:basedOn w:val="Heading1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rsid w:val="00B24316"/>
    <w:pPr>
      <w:keepNext/>
      <w:keepLines/>
      <w:pBdr>
        <w:bottom w:val="single" w:sz="4" w:space="1" w:color="auto"/>
      </w:pBdr>
      <w:spacing w:before="360" w:after="120"/>
    </w:pPr>
    <w:rPr>
      <w:rFonts w:cs="Times New Roman"/>
      <w:b/>
      <w:bCs/>
    </w:rPr>
  </w:style>
  <w:style w:type="numbering" w:customStyle="1" w:styleId="Text">
    <w:name w:val="Text"/>
    <w:rsid w:val="00545D20"/>
    <w:pPr>
      <w:numPr>
        <w:numId w:val="14"/>
      </w:numPr>
    </w:pPr>
  </w:style>
  <w:style w:type="character" w:styleId="Hyperlink">
    <w:name w:val="Hyperlink"/>
    <w:basedOn w:val="DefaultParagraphFont"/>
    <w:rsid w:val="00545D20"/>
    <w:rPr>
      <w:color w:val="0000FF"/>
      <w:u w:val="single"/>
    </w:rPr>
  </w:style>
  <w:style w:type="paragraph" w:styleId="BlockText">
    <w:name w:val="Block Text"/>
    <w:basedOn w:val="ListNumber"/>
    <w:rsid w:val="00206981"/>
    <w:pPr>
      <w:keepLines/>
      <w:numPr>
        <w:numId w:val="3"/>
      </w:numPr>
      <w:tabs>
        <w:tab w:val="clear" w:pos="567"/>
      </w:tabs>
      <w:spacing w:after="120"/>
      <w:jc w:val="both"/>
    </w:p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rsid w:val="00890996"/>
    <w:pPr>
      <w:numPr>
        <w:numId w:val="8"/>
      </w:numPr>
    </w:pPr>
  </w:style>
  <w:style w:type="paragraph" w:customStyle="1" w:styleId="ExampleBox">
    <w:name w:val="Example Box"/>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 w:val="22"/>
    </w:rPr>
  </w:style>
  <w:style w:type="paragraph" w:customStyle="1" w:styleId="Subheading1">
    <w:name w:val="Subheading 1"/>
    <w:basedOn w:val="Normal"/>
    <w:rsid w:val="002D271F"/>
    <w:pPr>
      <w:spacing w:before="360" w:line="300" w:lineRule="exact"/>
    </w:pPr>
    <w:rPr>
      <w:rFonts w:cs="Times New Roman"/>
      <w:sz w:val="28"/>
      <w:szCs w:val="28"/>
    </w:rPr>
  </w:style>
  <w:style w:type="character" w:styleId="FollowedHyperlink">
    <w:name w:val="FollowedHyperlink"/>
    <w:basedOn w:val="DefaultParagraphFont"/>
    <w:rsid w:val="00BD1F0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reasury.nt.gov.au/PMS/Publications/TaxesRoyaltiesGrants/GeneralAdmin/CG-GEN-001.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asury.nt.gov.au/PMS/Publications/TaxesRoyaltiesGrants/StampDuty/CG-SD-001.pdf" TargetMode="External"/><Relationship Id="rId5" Type="http://schemas.openxmlformats.org/officeDocument/2006/relationships/styles" Target="styles.xml"/><Relationship Id="rId15" Type="http://schemas.openxmlformats.org/officeDocument/2006/relationships/hyperlink" Target="http://www.revenue.nt.gov.au" TargetMode="External"/><Relationship Id="rId10" Type="http://schemas.openxmlformats.org/officeDocument/2006/relationships/hyperlink" Target="http://www.treasury.nt.gov.au/PMS/Publications/TaxesRoyaltiesGrants/StampDuty/F-SD-027.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trevenue@nt.gov.a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_x0020_Type xmlns="378e824e-6e02-4c0d-8321-dd86fba681ee">Stamp Duty (SD)</Tax_x0020_Type>
    <Release_x0020_Date xmlns="378e824e-6e02-4c0d-8321-dd86fba681ee" xsi:nil="true"/>
    <Publication_x0020_Title xmlns="378e824e-6e02-4c0d-8321-dd86fba681ee">Stamp Duty Concession for Substituting a Related Purchaser</Publication_x0020_Title>
    <Sub_x0020_Sub_x0020_Category xmlns="378e824e-6e02-4c0d-8321-dd86fba681ee" xsi:nil="true"/>
    <Details xmlns="378e824e-6e02-4c0d-8321-dd86fba681ee" xsi:nil="true"/>
    <Main_x0020_Category xmlns="378e824e-6e02-4c0d-8321-dd86fba681ee">6</Main_x0020_Category>
    <Tax_x0020_Type_x0020_Topic xmlns="378e824e-6e02-4c0d-8321-dd86fba681ee" xsi:nil="true"/>
    <Sub_x0020_Category xmlns="378e824e-6e02-4c0d-8321-dd86fba681ee">24</Sub_x0020_Category>
    <Identifier xmlns="378e824e-6e02-4c0d-8321-dd86fba681ee">CG-SD-014</Identifier>
    <Notify xmlns="378e824e-6e02-4c0d-8321-dd86fba681ee">false</Notify>
    <Publication_x0020_Type xmlns="378e824e-6e02-4c0d-8321-dd86fba681ee">Commissioner's Guidelines (CG)</Publication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09607-6482-458C-A4F2-CBBAF9ED3124}">
  <ds:schemaRefs>
    <ds:schemaRef ds:uri="http://schemas.microsoft.com/sharepoint/v3/contenttype/forms"/>
  </ds:schemaRefs>
</ds:datastoreItem>
</file>

<file path=customXml/itemProps2.xml><?xml version="1.0" encoding="utf-8"?>
<ds:datastoreItem xmlns:ds="http://schemas.openxmlformats.org/officeDocument/2006/customXml" ds:itemID="{F3C80942-C21A-4EAF-B2C9-49488BAC46C4}">
  <ds:schemaRefs>
    <ds:schemaRef ds:uri="http://schemas.microsoft.com/office/2006/metadata/properties"/>
    <ds:schemaRef ds:uri="http://schemas.microsoft.com/office/infopath/2007/PartnerControls"/>
    <ds:schemaRef ds:uri="378e824e-6e02-4c0d-8321-dd86fba681ee"/>
  </ds:schemaRefs>
</ds:datastoreItem>
</file>

<file path=customXml/itemProps3.xml><?xml version="1.0" encoding="utf-8"?>
<ds:datastoreItem xmlns:ds="http://schemas.openxmlformats.org/officeDocument/2006/customXml" ds:itemID="{006E6F54-EC31-487B-A803-4968460BF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855</Words>
  <Characters>4879</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5723</CharactersWithSpaces>
  <SharedDoc>false</SharedDoc>
  <HLinks>
    <vt:vector size="30" baseType="variant">
      <vt:variant>
        <vt:i4>5242895</vt:i4>
      </vt:variant>
      <vt:variant>
        <vt:i4>15</vt:i4>
      </vt:variant>
      <vt:variant>
        <vt:i4>0</vt:i4>
      </vt:variant>
      <vt:variant>
        <vt:i4>5</vt:i4>
      </vt:variant>
      <vt:variant>
        <vt:lpwstr>http://www.revenue.nt.gov.au/</vt:lpwstr>
      </vt:variant>
      <vt:variant>
        <vt:lpwstr/>
      </vt:variant>
      <vt:variant>
        <vt:i4>7143509</vt:i4>
      </vt:variant>
      <vt:variant>
        <vt:i4>12</vt:i4>
      </vt:variant>
      <vt:variant>
        <vt:i4>0</vt:i4>
      </vt:variant>
      <vt:variant>
        <vt:i4>5</vt:i4>
      </vt:variant>
      <vt:variant>
        <vt:lpwstr>mailto:ntrevenue.ntt@nt.gov.au</vt:lpwstr>
      </vt:variant>
      <vt:variant>
        <vt:lpwstr/>
      </vt:variant>
      <vt:variant>
        <vt:i4>2883638</vt:i4>
      </vt:variant>
      <vt:variant>
        <vt:i4>6</vt:i4>
      </vt:variant>
      <vt:variant>
        <vt:i4>0</vt:i4>
      </vt:variant>
      <vt:variant>
        <vt:i4>5</vt:i4>
      </vt:variant>
      <vt:variant>
        <vt:lpwstr>http://www.treasury.nt.gov.au/PMS/Publications/TaxesRoyaltiesGrants/GeneralAdmin/CG-GEN-001.pdf</vt:lpwstr>
      </vt:variant>
      <vt:variant>
        <vt:lpwstr/>
      </vt:variant>
      <vt:variant>
        <vt:i4>3538985</vt:i4>
      </vt:variant>
      <vt:variant>
        <vt:i4>3</vt:i4>
      </vt:variant>
      <vt:variant>
        <vt:i4>0</vt:i4>
      </vt:variant>
      <vt:variant>
        <vt:i4>5</vt:i4>
      </vt:variant>
      <vt:variant>
        <vt:lpwstr>http://www.treasury.nt.gov.au/PMS/Publications/TaxesRoyaltiesGrants/StampDuty/CG-SD-001.pdf</vt:lpwstr>
      </vt:variant>
      <vt:variant>
        <vt:lpwstr/>
      </vt:variant>
      <vt:variant>
        <vt:i4>2949170</vt:i4>
      </vt:variant>
      <vt:variant>
        <vt:i4>0</vt:i4>
      </vt:variant>
      <vt:variant>
        <vt:i4>0</vt:i4>
      </vt:variant>
      <vt:variant>
        <vt:i4>5</vt:i4>
      </vt:variant>
      <vt:variant>
        <vt:lpwstr>http://www.treasury.nt.gov.au/PMS/Publications/TaxesRoyaltiesGrants/StampDuty/F-SD-027.pdf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Stamp Duty Concession for Substituting a Related Purchaser</dc:title>
  <dc:subject/>
  <dc:creator>eclark</dc:creator>
  <cp:keywords/>
  <dc:description/>
  <cp:lastModifiedBy>Jessica Symonds</cp:lastModifiedBy>
  <cp:revision>5</cp:revision>
  <cp:lastPrinted>2011-11-09T04:02:00Z</cp:lastPrinted>
  <dcterms:created xsi:type="dcterms:W3CDTF">2013-02-06T23:48:00Z</dcterms:created>
  <dcterms:modified xsi:type="dcterms:W3CDTF">2021-09-13T02:05:00Z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