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6CB" w:rsidRPr="00C27A0A" w:rsidRDefault="00DE64A9" w:rsidP="00C27A0A">
      <w:pPr>
        <w:pStyle w:val="HeadingOne"/>
      </w:pPr>
      <w:r>
        <w:t>COMMISSIONER’S GUIDELINE</w:t>
      </w:r>
      <w:r w:rsidR="00513926">
        <w:t xml:space="preserve"> </w:t>
      </w:r>
    </w:p>
    <w:p w:rsidR="00C27A0A" w:rsidRPr="00C27A0A" w:rsidRDefault="00513926" w:rsidP="00C27A0A">
      <w:pPr>
        <w:pStyle w:val="HeadingOne"/>
      </w:pPr>
      <w:r>
        <w:t>CG</w:t>
      </w:r>
      <w:r w:rsidR="00C27A0A" w:rsidRPr="00C27A0A">
        <w:t>-</w:t>
      </w:r>
      <w:r w:rsidR="005C6040">
        <w:t>SD-011</w:t>
      </w:r>
      <w:r>
        <w:t>:</w:t>
      </w:r>
      <w:r w:rsidR="00C27A0A" w:rsidRPr="00C27A0A">
        <w:t xml:space="preserve"> </w:t>
      </w:r>
      <w:r w:rsidR="005C6040">
        <w:t>Improvements on land built by the conveyee</w:t>
      </w:r>
    </w:p>
    <w:p w:rsidR="00C27A0A" w:rsidRDefault="00C27A0A" w:rsidP="00C27A0A">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30"/>
        <w:gridCol w:w="1848"/>
        <w:gridCol w:w="1710"/>
        <w:gridCol w:w="1842"/>
      </w:tblGrid>
      <w:tr w:rsidR="00F65356" w:rsidRPr="00526A7A" w:rsidTr="00526A7A">
        <w:trPr>
          <w:jc w:val="center"/>
        </w:trPr>
        <w:tc>
          <w:tcPr>
            <w:tcW w:w="1030" w:type="dxa"/>
            <w:vMerge w:val="restart"/>
          </w:tcPr>
          <w:p w:rsidR="00F65356" w:rsidRPr="00526A7A" w:rsidRDefault="00F65356" w:rsidP="00526A7A">
            <w:pPr>
              <w:jc w:val="center"/>
              <w:rPr>
                <w:b/>
                <w:sz w:val="18"/>
                <w:szCs w:val="18"/>
              </w:rPr>
            </w:pPr>
            <w:r w:rsidRPr="00526A7A">
              <w:rPr>
                <w:b/>
                <w:sz w:val="18"/>
                <w:szCs w:val="18"/>
              </w:rPr>
              <w:t>Version</w:t>
            </w:r>
          </w:p>
        </w:tc>
        <w:tc>
          <w:tcPr>
            <w:tcW w:w="1848" w:type="dxa"/>
            <w:vMerge w:val="restart"/>
            <w:tcBorders>
              <w:right w:val="single" w:sz="4" w:space="0" w:color="auto"/>
            </w:tcBorders>
          </w:tcPr>
          <w:p w:rsidR="00F65356" w:rsidRPr="00526A7A" w:rsidRDefault="00F65356" w:rsidP="00526A7A">
            <w:pPr>
              <w:jc w:val="center"/>
              <w:rPr>
                <w:b/>
                <w:sz w:val="18"/>
                <w:szCs w:val="18"/>
              </w:rPr>
            </w:pPr>
            <w:r w:rsidRPr="00526A7A">
              <w:rPr>
                <w:b/>
                <w:sz w:val="18"/>
                <w:szCs w:val="18"/>
              </w:rPr>
              <w:t>Issued</w:t>
            </w:r>
          </w:p>
        </w:tc>
        <w:tc>
          <w:tcPr>
            <w:tcW w:w="3552" w:type="dxa"/>
            <w:gridSpan w:val="2"/>
            <w:tcBorders>
              <w:top w:val="single" w:sz="4" w:space="0" w:color="auto"/>
              <w:left w:val="single" w:sz="4" w:space="0" w:color="auto"/>
              <w:bottom w:val="nil"/>
              <w:right w:val="single" w:sz="4" w:space="0" w:color="auto"/>
            </w:tcBorders>
          </w:tcPr>
          <w:p w:rsidR="00F65356" w:rsidRPr="00526A7A" w:rsidRDefault="00F65356" w:rsidP="00526A7A">
            <w:pPr>
              <w:jc w:val="center"/>
              <w:rPr>
                <w:b/>
                <w:sz w:val="18"/>
                <w:szCs w:val="18"/>
              </w:rPr>
            </w:pPr>
            <w:r w:rsidRPr="00526A7A">
              <w:rPr>
                <w:b/>
                <w:sz w:val="18"/>
                <w:szCs w:val="18"/>
              </w:rPr>
              <w:t>Dates of Effect</w:t>
            </w:r>
          </w:p>
        </w:tc>
      </w:tr>
      <w:tr w:rsidR="00F65356" w:rsidRPr="00526A7A" w:rsidTr="00526A7A">
        <w:trPr>
          <w:jc w:val="center"/>
        </w:trPr>
        <w:tc>
          <w:tcPr>
            <w:tcW w:w="1030" w:type="dxa"/>
            <w:vMerge/>
          </w:tcPr>
          <w:p w:rsidR="00F65356" w:rsidRPr="00526A7A" w:rsidRDefault="00F65356" w:rsidP="00526A7A">
            <w:pPr>
              <w:jc w:val="center"/>
              <w:rPr>
                <w:sz w:val="18"/>
                <w:szCs w:val="18"/>
              </w:rPr>
            </w:pPr>
          </w:p>
        </w:tc>
        <w:tc>
          <w:tcPr>
            <w:tcW w:w="1848" w:type="dxa"/>
            <w:vMerge/>
            <w:tcBorders>
              <w:right w:val="single" w:sz="4" w:space="0" w:color="auto"/>
            </w:tcBorders>
          </w:tcPr>
          <w:p w:rsidR="00F65356" w:rsidRPr="00526A7A" w:rsidRDefault="00F65356" w:rsidP="00526A7A">
            <w:pPr>
              <w:jc w:val="center"/>
              <w:rPr>
                <w:sz w:val="18"/>
                <w:szCs w:val="18"/>
              </w:rPr>
            </w:pPr>
          </w:p>
        </w:tc>
        <w:tc>
          <w:tcPr>
            <w:tcW w:w="1710" w:type="dxa"/>
            <w:tcBorders>
              <w:top w:val="nil"/>
              <w:left w:val="single" w:sz="4" w:space="0" w:color="auto"/>
              <w:bottom w:val="single" w:sz="4" w:space="0" w:color="auto"/>
              <w:right w:val="nil"/>
            </w:tcBorders>
          </w:tcPr>
          <w:p w:rsidR="00F65356" w:rsidRPr="00526A7A" w:rsidRDefault="00F65356" w:rsidP="00AD2225">
            <w:pPr>
              <w:rPr>
                <w:b/>
                <w:sz w:val="18"/>
                <w:szCs w:val="18"/>
              </w:rPr>
            </w:pPr>
            <w:r w:rsidRPr="00526A7A">
              <w:rPr>
                <w:b/>
                <w:sz w:val="18"/>
                <w:szCs w:val="18"/>
              </w:rPr>
              <w:t>From:</w:t>
            </w:r>
          </w:p>
        </w:tc>
        <w:tc>
          <w:tcPr>
            <w:tcW w:w="1842" w:type="dxa"/>
            <w:tcBorders>
              <w:top w:val="nil"/>
              <w:left w:val="nil"/>
              <w:bottom w:val="single" w:sz="4" w:space="0" w:color="auto"/>
              <w:right w:val="single" w:sz="4" w:space="0" w:color="auto"/>
            </w:tcBorders>
          </w:tcPr>
          <w:p w:rsidR="00F65356" w:rsidRPr="00526A7A" w:rsidRDefault="00F65356" w:rsidP="00AD2225">
            <w:pPr>
              <w:rPr>
                <w:b/>
                <w:sz w:val="18"/>
                <w:szCs w:val="18"/>
              </w:rPr>
            </w:pPr>
            <w:r w:rsidRPr="00526A7A">
              <w:rPr>
                <w:b/>
                <w:sz w:val="18"/>
                <w:szCs w:val="18"/>
              </w:rPr>
              <w:t xml:space="preserve">To: </w:t>
            </w:r>
          </w:p>
        </w:tc>
      </w:tr>
      <w:tr w:rsidR="005C6040" w:rsidRPr="00526A7A" w:rsidTr="00526A7A">
        <w:trPr>
          <w:jc w:val="center"/>
        </w:trPr>
        <w:tc>
          <w:tcPr>
            <w:tcW w:w="1030" w:type="dxa"/>
          </w:tcPr>
          <w:p w:rsidR="005C6040" w:rsidRPr="00526A7A" w:rsidRDefault="005C6040" w:rsidP="00526A7A">
            <w:pPr>
              <w:jc w:val="center"/>
              <w:rPr>
                <w:sz w:val="18"/>
                <w:szCs w:val="18"/>
              </w:rPr>
            </w:pPr>
            <w:r w:rsidRPr="00526A7A">
              <w:rPr>
                <w:sz w:val="18"/>
                <w:szCs w:val="18"/>
              </w:rPr>
              <w:t>1</w:t>
            </w:r>
          </w:p>
        </w:tc>
        <w:tc>
          <w:tcPr>
            <w:tcW w:w="1848" w:type="dxa"/>
          </w:tcPr>
          <w:p w:rsidR="005C6040" w:rsidRPr="00526A7A" w:rsidRDefault="005C6040" w:rsidP="005C6040">
            <w:pPr>
              <w:rPr>
                <w:sz w:val="18"/>
                <w:szCs w:val="18"/>
              </w:rPr>
            </w:pPr>
            <w:r w:rsidRPr="00526A7A">
              <w:rPr>
                <w:sz w:val="18"/>
                <w:szCs w:val="18"/>
              </w:rPr>
              <w:t>8 February 2007</w:t>
            </w:r>
          </w:p>
        </w:tc>
        <w:tc>
          <w:tcPr>
            <w:tcW w:w="1710" w:type="dxa"/>
            <w:tcBorders>
              <w:top w:val="single" w:sz="4" w:space="0" w:color="auto"/>
              <w:bottom w:val="single" w:sz="4" w:space="0" w:color="auto"/>
            </w:tcBorders>
          </w:tcPr>
          <w:p w:rsidR="005C6040" w:rsidRPr="00526A7A" w:rsidRDefault="005C6040" w:rsidP="005C6040">
            <w:pPr>
              <w:rPr>
                <w:sz w:val="18"/>
                <w:szCs w:val="18"/>
              </w:rPr>
            </w:pPr>
            <w:r w:rsidRPr="00526A7A">
              <w:rPr>
                <w:sz w:val="18"/>
                <w:szCs w:val="18"/>
              </w:rPr>
              <w:t>8 February 2007</w:t>
            </w:r>
          </w:p>
        </w:tc>
        <w:tc>
          <w:tcPr>
            <w:tcW w:w="1842" w:type="dxa"/>
            <w:tcBorders>
              <w:top w:val="single" w:sz="4" w:space="0" w:color="auto"/>
              <w:bottom w:val="single" w:sz="4" w:space="0" w:color="auto"/>
            </w:tcBorders>
          </w:tcPr>
          <w:p w:rsidR="005C6040" w:rsidRPr="00526A7A" w:rsidRDefault="005C6040" w:rsidP="005C6040">
            <w:pPr>
              <w:rPr>
                <w:sz w:val="18"/>
                <w:szCs w:val="18"/>
              </w:rPr>
            </w:pPr>
            <w:r w:rsidRPr="00526A7A">
              <w:rPr>
                <w:sz w:val="18"/>
                <w:szCs w:val="18"/>
              </w:rPr>
              <w:t>30 June 2007</w:t>
            </w:r>
          </w:p>
        </w:tc>
      </w:tr>
      <w:tr w:rsidR="005C6040" w:rsidRPr="00526A7A" w:rsidTr="00526A7A">
        <w:trPr>
          <w:jc w:val="center"/>
        </w:trPr>
        <w:tc>
          <w:tcPr>
            <w:tcW w:w="1030" w:type="dxa"/>
          </w:tcPr>
          <w:p w:rsidR="005C6040" w:rsidRPr="00526A7A" w:rsidRDefault="005C6040" w:rsidP="00526A7A">
            <w:pPr>
              <w:jc w:val="center"/>
              <w:rPr>
                <w:sz w:val="18"/>
                <w:szCs w:val="18"/>
              </w:rPr>
            </w:pPr>
            <w:r w:rsidRPr="00526A7A">
              <w:rPr>
                <w:sz w:val="18"/>
                <w:szCs w:val="18"/>
              </w:rPr>
              <w:t>2</w:t>
            </w:r>
          </w:p>
        </w:tc>
        <w:tc>
          <w:tcPr>
            <w:tcW w:w="1848" w:type="dxa"/>
          </w:tcPr>
          <w:p w:rsidR="005C6040" w:rsidRPr="00526A7A" w:rsidRDefault="005C6040" w:rsidP="005C6040">
            <w:pPr>
              <w:rPr>
                <w:sz w:val="18"/>
                <w:szCs w:val="18"/>
              </w:rPr>
            </w:pPr>
            <w:r w:rsidRPr="00526A7A">
              <w:rPr>
                <w:sz w:val="18"/>
                <w:szCs w:val="18"/>
              </w:rPr>
              <w:t xml:space="preserve">  23 July 2007</w:t>
            </w:r>
          </w:p>
        </w:tc>
        <w:tc>
          <w:tcPr>
            <w:tcW w:w="1710" w:type="dxa"/>
            <w:tcBorders>
              <w:top w:val="single" w:sz="4" w:space="0" w:color="auto"/>
              <w:bottom w:val="single" w:sz="4" w:space="0" w:color="auto"/>
            </w:tcBorders>
          </w:tcPr>
          <w:p w:rsidR="005C6040" w:rsidRPr="00526A7A" w:rsidRDefault="005C6040" w:rsidP="005C6040">
            <w:pPr>
              <w:rPr>
                <w:sz w:val="18"/>
                <w:szCs w:val="18"/>
              </w:rPr>
            </w:pPr>
            <w:r w:rsidRPr="00526A7A">
              <w:rPr>
                <w:sz w:val="18"/>
                <w:szCs w:val="18"/>
              </w:rPr>
              <w:t>1 July 2007</w:t>
            </w:r>
          </w:p>
        </w:tc>
        <w:tc>
          <w:tcPr>
            <w:tcW w:w="1842" w:type="dxa"/>
            <w:tcBorders>
              <w:top w:val="single" w:sz="4" w:space="0" w:color="auto"/>
              <w:bottom w:val="single" w:sz="4" w:space="0" w:color="auto"/>
            </w:tcBorders>
          </w:tcPr>
          <w:p w:rsidR="005C6040" w:rsidRPr="00526A7A" w:rsidRDefault="005C6040" w:rsidP="005C6040">
            <w:pPr>
              <w:rPr>
                <w:sz w:val="18"/>
                <w:szCs w:val="18"/>
              </w:rPr>
            </w:pPr>
            <w:r w:rsidRPr="00526A7A">
              <w:rPr>
                <w:sz w:val="18"/>
                <w:szCs w:val="18"/>
              </w:rPr>
              <w:t>31 December 2007</w:t>
            </w:r>
          </w:p>
        </w:tc>
      </w:tr>
      <w:tr w:rsidR="005C6040" w:rsidRPr="00526A7A" w:rsidTr="00526A7A">
        <w:trPr>
          <w:jc w:val="center"/>
        </w:trPr>
        <w:tc>
          <w:tcPr>
            <w:tcW w:w="1030" w:type="dxa"/>
          </w:tcPr>
          <w:p w:rsidR="005C6040" w:rsidRPr="00526A7A" w:rsidRDefault="005C6040" w:rsidP="00526A7A">
            <w:pPr>
              <w:jc w:val="center"/>
              <w:rPr>
                <w:sz w:val="18"/>
                <w:szCs w:val="18"/>
              </w:rPr>
            </w:pPr>
            <w:r w:rsidRPr="00526A7A">
              <w:rPr>
                <w:sz w:val="18"/>
                <w:szCs w:val="18"/>
              </w:rPr>
              <w:t>3</w:t>
            </w:r>
          </w:p>
        </w:tc>
        <w:tc>
          <w:tcPr>
            <w:tcW w:w="1848" w:type="dxa"/>
          </w:tcPr>
          <w:p w:rsidR="005C6040" w:rsidRPr="00526A7A" w:rsidRDefault="005C6040" w:rsidP="005C6040">
            <w:pPr>
              <w:rPr>
                <w:sz w:val="18"/>
                <w:szCs w:val="18"/>
              </w:rPr>
            </w:pPr>
            <w:r w:rsidRPr="00526A7A">
              <w:rPr>
                <w:sz w:val="18"/>
                <w:szCs w:val="18"/>
              </w:rPr>
              <w:t>2 January 2008</w:t>
            </w:r>
          </w:p>
        </w:tc>
        <w:tc>
          <w:tcPr>
            <w:tcW w:w="1710" w:type="dxa"/>
            <w:tcBorders>
              <w:top w:val="single" w:sz="4" w:space="0" w:color="auto"/>
            </w:tcBorders>
          </w:tcPr>
          <w:p w:rsidR="005C6040" w:rsidRPr="00526A7A" w:rsidRDefault="005C6040" w:rsidP="005C6040">
            <w:pPr>
              <w:rPr>
                <w:sz w:val="18"/>
                <w:szCs w:val="18"/>
              </w:rPr>
            </w:pPr>
            <w:r w:rsidRPr="00526A7A">
              <w:rPr>
                <w:sz w:val="18"/>
                <w:szCs w:val="18"/>
              </w:rPr>
              <w:t>1 January 2008</w:t>
            </w:r>
          </w:p>
        </w:tc>
        <w:tc>
          <w:tcPr>
            <w:tcW w:w="1842" w:type="dxa"/>
            <w:tcBorders>
              <w:top w:val="single" w:sz="4" w:space="0" w:color="auto"/>
            </w:tcBorders>
          </w:tcPr>
          <w:p w:rsidR="005C6040" w:rsidRPr="00526A7A" w:rsidRDefault="005C6040" w:rsidP="005C6040">
            <w:pPr>
              <w:rPr>
                <w:sz w:val="18"/>
                <w:szCs w:val="18"/>
              </w:rPr>
            </w:pPr>
            <w:r w:rsidRPr="00526A7A">
              <w:rPr>
                <w:sz w:val="18"/>
                <w:szCs w:val="18"/>
              </w:rPr>
              <w:t>Current</w:t>
            </w:r>
          </w:p>
        </w:tc>
      </w:tr>
    </w:tbl>
    <w:p w:rsidR="005C6040" w:rsidRPr="005C6040" w:rsidRDefault="005C6040" w:rsidP="005C6040">
      <w:pPr>
        <w:pStyle w:val="HeadingTwo"/>
      </w:pPr>
      <w:r w:rsidRPr="00733450">
        <w:t>Purpose</w:t>
      </w:r>
    </w:p>
    <w:p w:rsidR="005C6040" w:rsidRPr="005C6040" w:rsidRDefault="005C6040" w:rsidP="005C6040">
      <w:pPr>
        <w:pStyle w:val="BlockText"/>
      </w:pPr>
      <w:r w:rsidRPr="005A74CE">
        <w:t xml:space="preserve">This Guideline explains the circumstances in which the Territory Revenue Office (TRO) will generally exercise the discretion under section 4A(5) of the </w:t>
      </w:r>
      <w:r w:rsidRPr="005A74CE">
        <w:rPr>
          <w:i/>
        </w:rPr>
        <w:t>Stamp Duty Act</w:t>
      </w:r>
      <w:r>
        <w:t xml:space="preserve"> (</w:t>
      </w:r>
      <w:r w:rsidR="005C3B4B">
        <w:t>the Act</w:t>
      </w:r>
      <w:r w:rsidRPr="005A74CE">
        <w:t>) to disregard, for the purpose of making an assessment of the stamp duty payable on a conveyance of land, improvements on the land built by, or at the expense of, the conveyee of the land.</w:t>
      </w:r>
    </w:p>
    <w:p w:rsidR="005C6040" w:rsidRPr="005C6040" w:rsidRDefault="005C6040" w:rsidP="005C6040">
      <w:pPr>
        <w:pStyle w:val="HeadingTwo"/>
      </w:pPr>
      <w:r w:rsidRPr="00653529">
        <w:t xml:space="preserve">Background </w:t>
      </w:r>
    </w:p>
    <w:p w:rsidR="005C6040" w:rsidRPr="005A74CE" w:rsidRDefault="005C6040" w:rsidP="005C6040">
      <w:pPr>
        <w:pStyle w:val="BlockText"/>
      </w:pPr>
      <w:r w:rsidRPr="005A74CE">
        <w:t>Stamp duty is payable on instruments effecting or evidencing a conveyance of land including fixtures such as houses, sheds and similar structures. Duty is calculated on the greater of the consideration for or the unencumbered value of the land at the date of execution of the instrument of conveyance.</w:t>
      </w:r>
    </w:p>
    <w:p w:rsidR="005C6040" w:rsidRPr="005A74CE" w:rsidRDefault="005C6040" w:rsidP="005C6040">
      <w:pPr>
        <w:pStyle w:val="BlockText"/>
      </w:pPr>
      <w:r w:rsidRPr="005A74CE">
        <w:t xml:space="preserve">Section 4A(5) of the </w:t>
      </w:r>
      <w:r w:rsidR="005C3B4B">
        <w:t>Act</w:t>
      </w:r>
      <w:r w:rsidRPr="005A74CE">
        <w:t xml:space="preserve"> deals with the circumstance where a conveyee has made improvements on the land prior to the conveyance as a result of arrangements with the conveyor and the parties have taken these improvements into account when negotiating the purchase price of the land. The provision recognises it would generally be inequitable for duty to be paid by the conveyee in relation to improvements built by or at the expense of the conveyee.</w:t>
      </w:r>
    </w:p>
    <w:p w:rsidR="005C6040" w:rsidRPr="005C6040" w:rsidRDefault="005C6040" w:rsidP="005C6040">
      <w:pPr>
        <w:pStyle w:val="BlockText"/>
      </w:pPr>
      <w:r w:rsidRPr="005A74CE">
        <w:t xml:space="preserve">Accordingly, the provision confers on the Commissioner of Territory Revenue </w:t>
      </w:r>
      <w:r w:rsidR="00F25EB9">
        <w:t xml:space="preserve">(the Commissioner) </w:t>
      </w:r>
      <w:r w:rsidRPr="005A74CE">
        <w:t>a discretion to reduce the unencumbered value of the land by the amount that, in the Commissioner’s opinion, reflects the value of those improvements as at the date of execution of the relevant instrument.</w:t>
      </w:r>
    </w:p>
    <w:p w:rsidR="005C6040" w:rsidRPr="005C6040" w:rsidRDefault="005C6040" w:rsidP="005C6040">
      <w:pPr>
        <w:pStyle w:val="HeadingTwo"/>
      </w:pPr>
      <w:r w:rsidRPr="00653529">
        <w:t>Terms explained</w:t>
      </w:r>
    </w:p>
    <w:p w:rsidR="005C6040" w:rsidRPr="005C6040" w:rsidRDefault="005C6040" w:rsidP="00C7789A">
      <w:pPr>
        <w:pStyle w:val="HeadingFour"/>
        <w:spacing w:before="240"/>
        <w:rPr>
          <w:rFonts w:cs="Arial"/>
        </w:rPr>
      </w:pPr>
      <w:r w:rsidRPr="005A74CE">
        <w:rPr>
          <w:rFonts w:cs="Arial"/>
        </w:rPr>
        <w:t>Mean</w:t>
      </w:r>
      <w:r>
        <w:t>ing of ‘improvements on land’</w:t>
      </w:r>
    </w:p>
    <w:p w:rsidR="005C6040" w:rsidRPr="005A74CE" w:rsidRDefault="005C6040" w:rsidP="005C6040">
      <w:pPr>
        <w:pStyle w:val="BlockText"/>
      </w:pPr>
      <w:r w:rsidRPr="005A74CE">
        <w:t xml:space="preserve">In the context of section 4A(5) of the </w:t>
      </w:r>
      <w:r w:rsidR="005C3B4B">
        <w:t>Act</w:t>
      </w:r>
      <w:r w:rsidRPr="005A74CE">
        <w:t xml:space="preserve">, ‘improvements on land’ means something that substantially and permanently enhances the value of the land, generally by the addition of new fixtures to the land, such as the construction of a dwelling or the addition of rooms to an existing building. </w:t>
      </w:r>
    </w:p>
    <w:p w:rsidR="005C6040" w:rsidRPr="005C6040" w:rsidRDefault="005C6040" w:rsidP="005C6040">
      <w:pPr>
        <w:pStyle w:val="BlockText"/>
      </w:pPr>
      <w:r w:rsidRPr="005A74CE">
        <w:t>The term ‘improvements on land’ means more than mere repairs and maintenance. The term does not extend to work performed by or at the expense of the conveyee that merely rectifies defects or is undertaken in anticipation of forthcoming defects (preventative repairs and maintenance). Similarly, it does not include work undertaken to keep the property in a suitable condition to allow it to serve the purpose for which it exists – that is, keeping the property in good ‘working order’, even where that work extends to the replacement of items.</w:t>
      </w:r>
    </w:p>
    <w:p w:rsidR="005C6040" w:rsidRPr="005C6040" w:rsidRDefault="005C6040" w:rsidP="005C6040">
      <w:pPr>
        <w:pStyle w:val="HeadingFour"/>
      </w:pPr>
      <w:r w:rsidRPr="005A74CE">
        <w:lastRenderedPageBreak/>
        <w:t>Meaning of ‘unencumbered value’</w:t>
      </w:r>
    </w:p>
    <w:p w:rsidR="005C6040" w:rsidRPr="005C6040" w:rsidRDefault="005C6040" w:rsidP="005C6040">
      <w:pPr>
        <w:pStyle w:val="BlockText"/>
      </w:pPr>
      <w:r w:rsidRPr="005A74CE">
        <w:t xml:space="preserve">The composite term ‘unencumbered value’ is defined in section 4A(1) of the </w:t>
      </w:r>
      <w:r w:rsidR="005C3B4B">
        <w:t>Act</w:t>
      </w:r>
      <w:r w:rsidRPr="005A74CE">
        <w:t xml:space="preserve"> to mean the full value of the property free from encumbrances. For further information on valuing land for the purposes of stamp duty, refer to Commissioner’s Guideline </w:t>
      </w:r>
      <w:hyperlink r:id="rId10" w:history="1">
        <w:r w:rsidRPr="00103B69">
          <w:rPr>
            <w:rStyle w:val="Hyperlink"/>
          </w:rPr>
          <w:t>CG</w:t>
        </w:r>
        <w:r w:rsidRPr="00103B69">
          <w:rPr>
            <w:rStyle w:val="Hyperlink"/>
          </w:rPr>
          <w:noBreakHyphen/>
          <w:t>SD</w:t>
        </w:r>
        <w:r w:rsidRPr="00103B69">
          <w:rPr>
            <w:rStyle w:val="Hyperlink"/>
          </w:rPr>
          <w:noBreakHyphen/>
          <w:t>010</w:t>
        </w:r>
      </w:hyperlink>
      <w:r w:rsidRPr="005A74CE">
        <w:t xml:space="preserve">: </w:t>
      </w:r>
      <w:r w:rsidRPr="005A74CE">
        <w:rPr>
          <w:i/>
        </w:rPr>
        <w:t>Tax assessments requiring evidence of value</w:t>
      </w:r>
      <w:r w:rsidRPr="005A74CE">
        <w:t xml:space="preserve">. </w:t>
      </w:r>
    </w:p>
    <w:p w:rsidR="005C6040" w:rsidRPr="005C6040" w:rsidRDefault="005C6040" w:rsidP="005C6040">
      <w:pPr>
        <w:pStyle w:val="HeadingThree"/>
      </w:pPr>
      <w:r w:rsidRPr="00653529">
        <w:t>When the discretion will be exercised</w:t>
      </w:r>
    </w:p>
    <w:p w:rsidR="005C6040" w:rsidRPr="005A74CE" w:rsidRDefault="005C6040" w:rsidP="005C6040">
      <w:pPr>
        <w:pStyle w:val="BlockText"/>
      </w:pPr>
      <w:r w:rsidRPr="005A74CE">
        <w:t xml:space="preserve">Generally, the discretion will be exercised where TRO is satisfied that the improvements have been built by or at the expense of the conveyee whether or not they were made in contemplation of a conveyance of the land to the conveyee at the time they were made.  </w:t>
      </w:r>
    </w:p>
    <w:p w:rsidR="00F25EB9" w:rsidRDefault="005C6040" w:rsidP="005C6040">
      <w:pPr>
        <w:pStyle w:val="BlockText"/>
      </w:pPr>
      <w:r w:rsidRPr="005A74CE">
        <w:t>The discretion will not be exercised where the improvements are effected under, or by virtue of, an agreement or arrangement, whether formal or informal, express or implied whereby the conveyor, directly or indirectly, is ultimately responsible for the improvement(s).</w:t>
      </w:r>
    </w:p>
    <w:p w:rsidR="005C6040" w:rsidRPr="005C6040" w:rsidRDefault="005C6040" w:rsidP="00C7789A">
      <w:pPr>
        <w:pStyle w:val="ExampleBox"/>
        <w:spacing w:before="240"/>
      </w:pPr>
      <w:r w:rsidRPr="005A74CE">
        <w:t>For example, if the conveyee, in consideration for the use of the land or for a discount in rent, made the improvements in accordance with a contractual obligation to do so, TRO will not exercise the discretion. In these circumstances, the improvements have not been built by or at the expense of the conveyee, but rather by the conveyor.</w:t>
      </w:r>
    </w:p>
    <w:p w:rsidR="005C6040" w:rsidRPr="005C6040" w:rsidRDefault="005C6040" w:rsidP="005C6040">
      <w:pPr>
        <w:pStyle w:val="HeadingThree"/>
      </w:pPr>
      <w:r w:rsidRPr="00653529">
        <w:t>Reduction of the unencumbered value</w:t>
      </w:r>
    </w:p>
    <w:p w:rsidR="005C6040" w:rsidRPr="005A74CE" w:rsidRDefault="005C6040" w:rsidP="005C6040">
      <w:pPr>
        <w:pStyle w:val="BlockText"/>
      </w:pPr>
      <w:r w:rsidRPr="005A74CE">
        <w:t>If TRO is satisfied that the improvements were built by or at the expense of the conveyee in the circumstances set out above, the unencumbered value of the land will generally be reduced by the difference between the unencumbered value of the land including and excluding the improvements built by the conveyee irrespective of the expenditure incurred to effect those improvements.</w:t>
      </w:r>
    </w:p>
    <w:p w:rsidR="005C6040" w:rsidRPr="005C6040" w:rsidRDefault="005C6040" w:rsidP="005C6040">
      <w:pPr>
        <w:pStyle w:val="BlockText"/>
      </w:pPr>
      <w:r w:rsidRPr="005A74CE">
        <w:t xml:space="preserve">Duty is then assessed on the greater of the consideration (which generally takes into account the improvements made by the conveyee) for the conveyance or the unencumbered value of the land excluding the conveyee’s improvements. </w:t>
      </w:r>
    </w:p>
    <w:p w:rsidR="005C6040" w:rsidRPr="005C6040" w:rsidRDefault="005C6040" w:rsidP="005C6040">
      <w:pPr>
        <w:pStyle w:val="HeadingTwo"/>
      </w:pPr>
      <w:r w:rsidRPr="00653529">
        <w:t>Lodgement requirements</w:t>
      </w:r>
    </w:p>
    <w:p w:rsidR="005C6040" w:rsidRPr="005C6040" w:rsidRDefault="005C6040" w:rsidP="005C6040">
      <w:pPr>
        <w:pStyle w:val="BlockText"/>
      </w:pPr>
      <w:r w:rsidRPr="005A74CE">
        <w:t>Conveyees requesting TRO to exercise the discretion to exclude the value of conveyee’s improvements on land will need to provide the following information when lodging the instrument for assessment of duty.</w:t>
      </w:r>
    </w:p>
    <w:p w:rsidR="005C6040" w:rsidRPr="005A74CE" w:rsidRDefault="005C6040" w:rsidP="005C6040">
      <w:pPr>
        <w:pStyle w:val="BlockText"/>
        <w:numPr>
          <w:ilvl w:val="1"/>
          <w:numId w:val="3"/>
        </w:numPr>
      </w:pPr>
      <w:r w:rsidRPr="005A74CE">
        <w:t xml:space="preserve">A written statement from the conveyor and conveyee confirming the nature of and terms on which the conveyee built the improvements on the land. </w:t>
      </w:r>
    </w:p>
    <w:p w:rsidR="005C6040" w:rsidRPr="005A74CE" w:rsidRDefault="005C6040" w:rsidP="005C6040">
      <w:pPr>
        <w:pStyle w:val="BlockText"/>
        <w:numPr>
          <w:ilvl w:val="1"/>
          <w:numId w:val="3"/>
        </w:numPr>
      </w:pPr>
      <w:r w:rsidRPr="005A74CE">
        <w:t>A copy of any agreement that provides the conveyee with the right of possession to, or occupation of, the land (or part of it) for the period that the improvements were being built.</w:t>
      </w:r>
    </w:p>
    <w:p w:rsidR="005C6040" w:rsidRPr="005A74CE" w:rsidRDefault="005C6040" w:rsidP="005C6040">
      <w:pPr>
        <w:pStyle w:val="BlockText"/>
        <w:numPr>
          <w:ilvl w:val="1"/>
          <w:numId w:val="3"/>
        </w:numPr>
      </w:pPr>
      <w:r w:rsidRPr="005A74CE">
        <w:t xml:space="preserve">A detailed description of the improvements built on the land by the conveyee. For example, the nature, characteristics and features of the improvements. </w:t>
      </w:r>
    </w:p>
    <w:p w:rsidR="005C6040" w:rsidRPr="005A74CE" w:rsidRDefault="005C6040" w:rsidP="005C6040">
      <w:pPr>
        <w:pStyle w:val="BlockText"/>
        <w:numPr>
          <w:ilvl w:val="1"/>
          <w:numId w:val="3"/>
        </w:numPr>
      </w:pPr>
      <w:r w:rsidRPr="005A74CE">
        <w:t>Independent corroborative evidence that the conveyee built the improvements or incurred the expense to build the improvements on the land. For example, a building contract, building permits, invoices, bank statements or other relevant financial documents.</w:t>
      </w:r>
    </w:p>
    <w:p w:rsidR="005C6040" w:rsidRPr="005A74CE" w:rsidRDefault="005C6040" w:rsidP="005C6040">
      <w:pPr>
        <w:pStyle w:val="BlockText"/>
        <w:numPr>
          <w:ilvl w:val="1"/>
          <w:numId w:val="3"/>
        </w:numPr>
      </w:pPr>
      <w:r w:rsidRPr="005A74CE">
        <w:t xml:space="preserve">A copy of any development plans, building plans or photographic evidence of the land prior to and after the improvements were built. </w:t>
      </w:r>
    </w:p>
    <w:p w:rsidR="005C6040" w:rsidRPr="005A74CE" w:rsidRDefault="005C6040" w:rsidP="005C6040">
      <w:pPr>
        <w:pStyle w:val="BlockText"/>
        <w:numPr>
          <w:ilvl w:val="1"/>
          <w:numId w:val="3"/>
        </w:numPr>
      </w:pPr>
      <w:r w:rsidRPr="005A74CE">
        <w:t xml:space="preserve">Evidence of the unencumbered value of the land with and without the improvements built by the conveyee. </w:t>
      </w:r>
    </w:p>
    <w:p w:rsidR="005C6040" w:rsidRPr="005C6040" w:rsidRDefault="005C6040" w:rsidP="005C6040">
      <w:pPr>
        <w:pStyle w:val="BlockText"/>
        <w:numPr>
          <w:ilvl w:val="1"/>
          <w:numId w:val="3"/>
        </w:numPr>
      </w:pPr>
      <w:r w:rsidRPr="005A74CE">
        <w:lastRenderedPageBreak/>
        <w:t>Any other relevant information that may support the conveyee’s claim, bearing in mind the obligation to make a full and true disclosure of all material facts and circumstances that may affect the assessment of tax (refer to Commissioner’s Guideline</w:t>
      </w:r>
      <w:r w:rsidR="00F25EB9">
        <w:t xml:space="preserve"> </w:t>
      </w:r>
      <w:r w:rsidR="00F25EB9">
        <w:br/>
      </w:r>
      <w:hyperlink r:id="rId11" w:history="1">
        <w:r w:rsidRPr="00F25EB9">
          <w:rPr>
            <w:rStyle w:val="Hyperlink"/>
          </w:rPr>
          <w:t>CG-GEN-005</w:t>
        </w:r>
      </w:hyperlink>
      <w:r w:rsidRPr="005A74CE">
        <w:t xml:space="preserve">: </w:t>
      </w:r>
      <w:r w:rsidRPr="005A74CE">
        <w:rPr>
          <w:i/>
        </w:rPr>
        <w:t>Requirement for full and true disclosure</w:t>
      </w:r>
      <w:r w:rsidRPr="005A74CE">
        <w:t>).</w:t>
      </w:r>
    </w:p>
    <w:p w:rsidR="005C6040" w:rsidRPr="005A74CE" w:rsidRDefault="005C6040" w:rsidP="005C6040">
      <w:pPr>
        <w:pStyle w:val="BlockText"/>
      </w:pPr>
      <w:r w:rsidRPr="005A74CE">
        <w:t xml:space="preserve">For further information on what evidence is acceptable, refer to Commissioner’s Guideline </w:t>
      </w:r>
      <w:hyperlink r:id="rId12" w:history="1">
        <w:r w:rsidRPr="00F25EB9">
          <w:rPr>
            <w:rStyle w:val="Hyperlink"/>
          </w:rPr>
          <w:t>CG-SD-010</w:t>
        </w:r>
      </w:hyperlink>
      <w:r w:rsidRPr="005A74CE">
        <w:t xml:space="preserve">: </w:t>
      </w:r>
      <w:r w:rsidRPr="005A74CE">
        <w:rPr>
          <w:i/>
        </w:rPr>
        <w:t>Tax assessments requiring evidence of value.</w:t>
      </w:r>
    </w:p>
    <w:p w:rsidR="006034B6" w:rsidRDefault="00513926" w:rsidP="006034B6">
      <w:pPr>
        <w:pStyle w:val="HeadingTwo"/>
      </w:pPr>
      <w:r>
        <w:t>Commissioner’s Guidelines</w:t>
      </w:r>
    </w:p>
    <w:p w:rsidR="00206981" w:rsidRPr="002D6D82" w:rsidRDefault="00513926" w:rsidP="00206981">
      <w:pPr>
        <w:pStyle w:val="BlockText"/>
      </w:pPr>
      <w:r w:rsidRPr="002D6D82">
        <w:t>Co</w:t>
      </w:r>
      <w:r>
        <w:t xml:space="preserve">mmissioner’s Guideline </w:t>
      </w:r>
      <w:hyperlink r:id="rId13" w:history="1">
        <w:r w:rsidR="00532FF7">
          <w:rPr>
            <w:rStyle w:val="Hyperlink"/>
          </w:rPr>
          <w:t>CG-GEN-001</w:t>
        </w:r>
      </w:hyperlink>
      <w:r w:rsidRPr="002D6D82">
        <w:t>, which sets out information on the revenue publication system, is incorporated into and is to be read as one with this Guideline.</w:t>
      </w:r>
      <w:r>
        <w:t xml:space="preserve"> </w:t>
      </w:r>
      <w:r w:rsidRPr="00987211">
        <w:t xml:space="preserve">All Circulars and Guidelines are available from </w:t>
      </w:r>
      <w:r w:rsidR="00196C1B">
        <w:t xml:space="preserve">the </w:t>
      </w:r>
      <w:r w:rsidRPr="00987211">
        <w:t>TRO website.</w:t>
      </w:r>
    </w:p>
    <w:p w:rsidR="00F65356" w:rsidRDefault="00F65356" w:rsidP="00F65356">
      <w:pPr>
        <w:pStyle w:val="HeadingTwo"/>
      </w:pPr>
      <w:r>
        <w:t>Date of effect</w:t>
      </w:r>
    </w:p>
    <w:p w:rsidR="00F65356" w:rsidRDefault="00F65356" w:rsidP="00F25EB9">
      <w:pPr>
        <w:pStyle w:val="BlockText"/>
        <w:numPr>
          <w:ilvl w:val="0"/>
          <w:numId w:val="0"/>
        </w:numPr>
      </w:pPr>
      <w:r>
        <w:t>This version of the Gui</w:t>
      </w:r>
      <w:r w:rsidR="005C6040">
        <w:t>deline takes effect from 1 January 2008</w:t>
      </w:r>
      <w:r w:rsidR="00F25EB9">
        <w:t>.</w:t>
      </w:r>
    </w:p>
    <w:p w:rsidR="006034B6" w:rsidRDefault="006034B6" w:rsidP="006034B6"/>
    <w:p w:rsidR="00364D5F" w:rsidRDefault="002B473A" w:rsidP="006034B6">
      <w:r>
        <w:rPr>
          <w:noProof/>
        </w:rPr>
        <w:drawing>
          <wp:inline distT="0" distB="0" distL="0" distR="0">
            <wp:extent cx="2390775"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0775" cy="495300"/>
                    </a:xfrm>
                    <a:prstGeom prst="rect">
                      <a:avLst/>
                    </a:prstGeom>
                    <a:noFill/>
                    <a:ln>
                      <a:noFill/>
                    </a:ln>
                  </pic:spPr>
                </pic:pic>
              </a:graphicData>
            </a:graphic>
          </wp:inline>
        </w:drawing>
      </w:r>
    </w:p>
    <w:p w:rsidR="006034B6" w:rsidRDefault="005C6040" w:rsidP="006034B6">
      <w:r>
        <w:t>Craig Vukman</w:t>
      </w:r>
    </w:p>
    <w:p w:rsidR="006034B6" w:rsidRPr="005247E5" w:rsidRDefault="005247E5" w:rsidP="006034B6">
      <w:pPr>
        <w:rPr>
          <w:b/>
        </w:rPr>
      </w:pPr>
      <w:r w:rsidRPr="005247E5">
        <w:rPr>
          <w:b/>
        </w:rPr>
        <w:t>COMMISSIONER OF TERRITORY REVENUE</w:t>
      </w:r>
    </w:p>
    <w:p w:rsidR="006034B6" w:rsidRDefault="006034B6" w:rsidP="006034B6"/>
    <w:p w:rsidR="006034B6" w:rsidRDefault="006034B6" w:rsidP="006034B6">
      <w:r>
        <w:t>Date of Issue:</w:t>
      </w:r>
      <w:r w:rsidR="005C6040">
        <w:tab/>
      </w:r>
      <w:r w:rsidR="005C6040">
        <w:tab/>
        <w:t>2 January 2008</w:t>
      </w:r>
    </w:p>
    <w:p w:rsidR="006034B6" w:rsidRDefault="006034B6" w:rsidP="006034B6"/>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927"/>
        <w:gridCol w:w="4927"/>
      </w:tblGrid>
      <w:tr w:rsidR="006034B6" w:rsidRPr="00526A7A" w:rsidTr="00526A7A">
        <w:tc>
          <w:tcPr>
            <w:tcW w:w="9854" w:type="dxa"/>
            <w:gridSpan w:val="2"/>
          </w:tcPr>
          <w:p w:rsidR="006034B6" w:rsidRPr="00526A7A" w:rsidRDefault="006034B6" w:rsidP="006034B6">
            <w:pPr>
              <w:rPr>
                <w:sz w:val="20"/>
              </w:rPr>
            </w:pPr>
            <w:r w:rsidRPr="00526A7A">
              <w:rPr>
                <w:sz w:val="20"/>
              </w:rPr>
              <w:t>For further information please contact the Territory Revenue Office:</w:t>
            </w:r>
          </w:p>
        </w:tc>
      </w:tr>
      <w:tr w:rsidR="006034B6" w:rsidRPr="00526A7A" w:rsidTr="00526A7A">
        <w:tc>
          <w:tcPr>
            <w:tcW w:w="4927" w:type="dxa"/>
          </w:tcPr>
          <w:p w:rsidR="006034B6" w:rsidRPr="00526A7A" w:rsidRDefault="005D363E" w:rsidP="006034B6">
            <w:pPr>
              <w:rPr>
                <w:sz w:val="20"/>
              </w:rPr>
            </w:pPr>
            <w:r>
              <w:rPr>
                <w:sz w:val="20"/>
              </w:rPr>
              <w:t>GPO Box 197</w:t>
            </w:r>
            <w:bookmarkStart w:id="0" w:name="_GoBack"/>
            <w:bookmarkEnd w:id="0"/>
            <w:r w:rsidR="006034B6" w:rsidRPr="00526A7A">
              <w:rPr>
                <w:sz w:val="20"/>
              </w:rPr>
              <w:t>4</w:t>
            </w:r>
          </w:p>
          <w:p w:rsidR="006034B6" w:rsidRPr="00526A7A" w:rsidRDefault="006034B6" w:rsidP="006034B6">
            <w:pPr>
              <w:rPr>
                <w:sz w:val="20"/>
              </w:rPr>
            </w:pPr>
            <w:r w:rsidRPr="00526A7A">
              <w:rPr>
                <w:sz w:val="20"/>
              </w:rPr>
              <w:t>Darwin  NT  0801</w:t>
            </w:r>
          </w:p>
          <w:p w:rsidR="006034B6" w:rsidRPr="00526A7A" w:rsidRDefault="006034B6" w:rsidP="00526A7A">
            <w:pPr>
              <w:pStyle w:val="BlockText"/>
              <w:numPr>
                <w:ilvl w:val="0"/>
                <w:numId w:val="0"/>
              </w:numPr>
              <w:rPr>
                <w:sz w:val="20"/>
              </w:rPr>
            </w:pPr>
            <w:r w:rsidRPr="00526A7A">
              <w:rPr>
                <w:sz w:val="20"/>
              </w:rPr>
              <w:t xml:space="preserve">Email: </w:t>
            </w:r>
            <w:hyperlink r:id="rId15" w:history="1">
              <w:r w:rsidR="000D1328" w:rsidRPr="00C7789A">
                <w:rPr>
                  <w:rStyle w:val="Hyperlink"/>
                  <w:sz w:val="20"/>
                </w:rPr>
                <w:t>ntrevenue@nt.gov.au</w:t>
              </w:r>
            </w:hyperlink>
          </w:p>
        </w:tc>
        <w:tc>
          <w:tcPr>
            <w:tcW w:w="4927" w:type="dxa"/>
          </w:tcPr>
          <w:p w:rsidR="006034B6" w:rsidRPr="00526A7A" w:rsidRDefault="006034B6" w:rsidP="006034B6">
            <w:pPr>
              <w:rPr>
                <w:sz w:val="20"/>
              </w:rPr>
            </w:pPr>
            <w:r w:rsidRPr="00526A7A">
              <w:rPr>
                <w:sz w:val="20"/>
              </w:rPr>
              <w:t>Phone: 1300 305 353</w:t>
            </w:r>
          </w:p>
          <w:p w:rsidR="006034B6" w:rsidRPr="00526A7A" w:rsidRDefault="006034B6" w:rsidP="006034B6">
            <w:pPr>
              <w:rPr>
                <w:sz w:val="20"/>
              </w:rPr>
            </w:pPr>
            <w:r w:rsidRPr="00526A7A">
              <w:rPr>
                <w:sz w:val="20"/>
              </w:rPr>
              <w:t xml:space="preserve">Website: </w:t>
            </w:r>
            <w:hyperlink r:id="rId16" w:history="1">
              <w:r w:rsidRPr="00526A7A">
                <w:rPr>
                  <w:rStyle w:val="Hyperlink"/>
                  <w:sz w:val="20"/>
                </w:rPr>
                <w:t>www.revenue.nt.gov.au</w:t>
              </w:r>
            </w:hyperlink>
          </w:p>
        </w:tc>
      </w:tr>
    </w:tbl>
    <w:p w:rsidR="006034B6" w:rsidRPr="00364D5F" w:rsidRDefault="006034B6" w:rsidP="00364D5F">
      <w:pPr>
        <w:tabs>
          <w:tab w:val="left" w:pos="3090"/>
        </w:tabs>
      </w:pPr>
    </w:p>
    <w:sectPr w:rsidR="006034B6" w:rsidRPr="00364D5F" w:rsidSect="00F65356">
      <w:headerReference w:type="even" r:id="rId17"/>
      <w:headerReference w:type="default" r:id="rId18"/>
      <w:footerReference w:type="default" r:id="rId19"/>
      <w:headerReference w:type="first" r:id="rId20"/>
      <w:footerReference w:type="first" r:id="rId21"/>
      <w:pgSz w:w="11906" w:h="16838"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361" w:rsidRDefault="00B04361">
      <w:r>
        <w:separator/>
      </w:r>
    </w:p>
  </w:endnote>
  <w:endnote w:type="continuationSeparator" w:id="0">
    <w:p w:rsidR="00B04361" w:rsidRDefault="00B0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364D5F">
    <w:pPr>
      <w:pStyle w:val="Footer"/>
      <w:tabs>
        <w:tab w:val="clear" w:pos="4153"/>
        <w:tab w:val="clear" w:pos="8306"/>
        <w:tab w:val="right" w:pos="9720"/>
      </w:tabs>
      <w:rPr>
        <w:sz w:val="16"/>
        <w:szCs w:val="16"/>
      </w:rPr>
    </w:pPr>
  </w:p>
  <w:p w:rsidR="00945A49" w:rsidRPr="00364D5F" w:rsidRDefault="00945A49"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5D363E">
      <w:rPr>
        <w:noProof/>
        <w:sz w:val="16"/>
        <w:szCs w:val="16"/>
      </w:rPr>
      <w:t>3</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5D363E">
      <w:rPr>
        <w:noProof/>
        <w:sz w:val="16"/>
        <w:szCs w:val="16"/>
      </w:rPr>
      <w:t>3</w:t>
    </w:r>
    <w:r w:rsidRPr="006034B6">
      <w:rPr>
        <w:sz w:val="16"/>
        <w:szCs w:val="16"/>
      </w:rPr>
      <w:fldChar w:fldCharType="end"/>
    </w:r>
    <w:r>
      <w:rPr>
        <w:sz w:val="16"/>
        <w:szCs w:val="16"/>
      </w:rPr>
      <w:tab/>
      <w:t>CG-</w:t>
    </w:r>
    <w:r w:rsidR="005C6040">
      <w:rPr>
        <w:sz w:val="16"/>
        <w:szCs w:val="16"/>
      </w:rPr>
      <w:t>SD-011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364D5F">
    <w:pPr>
      <w:pStyle w:val="Footer"/>
      <w:tabs>
        <w:tab w:val="clear" w:pos="4153"/>
        <w:tab w:val="clear" w:pos="8306"/>
        <w:tab w:val="right" w:pos="9720"/>
      </w:tabs>
      <w:rPr>
        <w:sz w:val="16"/>
        <w:szCs w:val="16"/>
      </w:rPr>
    </w:pPr>
  </w:p>
  <w:p w:rsidR="00945A49" w:rsidRPr="006034B6" w:rsidRDefault="00945A49"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5D363E">
      <w:rPr>
        <w:noProof/>
        <w:sz w:val="16"/>
        <w:szCs w:val="16"/>
      </w:rPr>
      <w:t>1</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5D363E">
      <w:rPr>
        <w:noProof/>
        <w:sz w:val="16"/>
        <w:szCs w:val="16"/>
      </w:rPr>
      <w:t>3</w:t>
    </w:r>
    <w:r w:rsidRPr="006034B6">
      <w:rPr>
        <w:sz w:val="16"/>
        <w:szCs w:val="16"/>
      </w:rPr>
      <w:fldChar w:fldCharType="end"/>
    </w:r>
    <w:r>
      <w:rPr>
        <w:sz w:val="16"/>
        <w:szCs w:val="16"/>
      </w:rPr>
      <w:tab/>
      <w:t>CG-</w:t>
    </w:r>
    <w:r w:rsidR="005C6040">
      <w:rPr>
        <w:sz w:val="16"/>
        <w:szCs w:val="16"/>
      </w:rPr>
      <w:t>SD-011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361" w:rsidRDefault="00B04361">
      <w:r>
        <w:separator/>
      </w:r>
    </w:p>
  </w:footnote>
  <w:footnote w:type="continuationSeparator" w:id="0">
    <w:p w:rsidR="00B04361" w:rsidRDefault="00B0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763A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5A49" w:rsidRDefault="00945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Pr="003765CD" w:rsidRDefault="00945A49" w:rsidP="0019571B">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2B473A" w:rsidP="0019571B">
    <w:pPr>
      <w:pStyle w:val="NTTHeaderInfo"/>
      <w:rPr>
        <w:b/>
        <w:noProof/>
      </w:rPr>
    </w:pPr>
    <w:r>
      <w:rPr>
        <w:noProof/>
      </w:rPr>
      <w:drawing>
        <wp:anchor distT="0" distB="0" distL="114300" distR="114300" simplePos="0" relativeHeight="251657728" behindDoc="1" locked="0" layoutInCell="1" allowOverlap="1">
          <wp:simplePos x="0" y="0"/>
          <wp:positionH relativeFrom="column">
            <wp:posOffset>-510540</wp:posOffset>
          </wp:positionH>
          <wp:positionV relativeFrom="paragraph">
            <wp:posOffset>-198120</wp:posOffset>
          </wp:positionV>
          <wp:extent cx="7185025" cy="895350"/>
          <wp:effectExtent l="0" t="0" r="0" b="0"/>
          <wp:wrapThrough wrapText="bothSides">
            <wp:wrapPolygon edited="0">
              <wp:start x="0" y="0"/>
              <wp:lineTo x="0" y="21140"/>
              <wp:lineTo x="21533" y="21140"/>
              <wp:lineTo x="21533" y="0"/>
              <wp:lineTo x="0" y="0"/>
            </wp:wrapPolygon>
          </wp:wrapThrough>
          <wp:docPr id="5" name="Picture 5" descr="D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T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502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5A49" w:rsidRDefault="00945A49" w:rsidP="0019571B">
    <w:pPr>
      <w:pStyle w:val="NTTHeaderInfo"/>
      <w:rPr>
        <w:b/>
        <w:noProof/>
      </w:rPr>
    </w:pPr>
  </w:p>
  <w:p w:rsidR="00945A49" w:rsidRDefault="00945A49" w:rsidP="0019571B">
    <w:pPr>
      <w:pStyle w:val="NTTHeaderInfo"/>
      <w:rPr>
        <w:b/>
        <w:noProof/>
      </w:rPr>
    </w:pPr>
  </w:p>
  <w:p w:rsidR="00945A49" w:rsidRDefault="00945A49">
    <w:pPr>
      <w:pStyle w:val="Header"/>
    </w:pPr>
  </w:p>
  <w:p w:rsidR="00945A49" w:rsidRDefault="00945A49">
    <w:pPr>
      <w:pStyle w:val="Header"/>
    </w:pPr>
  </w:p>
  <w:p w:rsidR="00945A49" w:rsidRDefault="00945A49">
    <w:pPr>
      <w:pStyle w:val="Header"/>
    </w:pPr>
  </w:p>
  <w:p w:rsidR="00F65356" w:rsidRDefault="00F65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74482B0"/>
    <w:lvl w:ilvl="0">
      <w:start w:val="1"/>
      <w:numFmt w:val="decimal"/>
      <w:pStyle w:val="ListNumber"/>
      <w:lvlText w:val="%1."/>
      <w:lvlJc w:val="left"/>
      <w:pPr>
        <w:tabs>
          <w:tab w:val="num" w:pos="360"/>
        </w:tabs>
        <w:ind w:left="360" w:hanging="360"/>
      </w:pPr>
    </w:lvl>
  </w:abstractNum>
  <w:abstractNum w:abstractNumId="1" w15:restartNumberingAfterBreak="0">
    <w:nsid w:val="02D310B8"/>
    <w:multiLevelType w:val="multilevel"/>
    <w:tmpl w:val="6DA248D0"/>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593059"/>
    <w:multiLevelType w:val="multilevel"/>
    <w:tmpl w:val="88F6EEB2"/>
    <w:numStyleLink w:val="Text"/>
  </w:abstractNum>
  <w:abstractNum w:abstractNumId="3" w15:restartNumberingAfterBreak="0">
    <w:nsid w:val="0FC94AA2"/>
    <w:multiLevelType w:val="singleLevel"/>
    <w:tmpl w:val="25184BCA"/>
    <w:lvl w:ilvl="0">
      <w:start w:val="1"/>
      <w:numFmt w:val="decimal"/>
      <w:lvlText w:val="(%1)"/>
      <w:lvlJc w:val="left"/>
      <w:pPr>
        <w:tabs>
          <w:tab w:val="num" w:pos="375"/>
        </w:tabs>
        <w:ind w:left="375" w:hanging="375"/>
      </w:pPr>
      <w:rPr>
        <w:rFonts w:hint="default"/>
      </w:rPr>
    </w:lvl>
  </w:abstractNum>
  <w:abstractNum w:abstractNumId="4" w15:restartNumberingAfterBreak="0">
    <w:nsid w:val="1E903CE7"/>
    <w:multiLevelType w:val="multilevel"/>
    <w:tmpl w:val="88F6EEB2"/>
    <w:styleLink w:val="Text"/>
    <w:lvl w:ilvl="0">
      <w:start w:val="1"/>
      <w:numFmt w:val="decimal"/>
      <w:pStyle w:val="BlockText"/>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3F0D1A6E"/>
    <w:multiLevelType w:val="multilevel"/>
    <w:tmpl w:val="74F6A72C"/>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39B51DF"/>
    <w:multiLevelType w:val="multilevel"/>
    <w:tmpl w:val="0C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7" w15:restartNumberingAfterBreak="0">
    <w:nsid w:val="4A167D1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294591F"/>
    <w:multiLevelType w:val="multilevel"/>
    <w:tmpl w:val="88F6EEB2"/>
    <w:numStyleLink w:val="Text"/>
  </w:abstractNum>
  <w:abstractNum w:abstractNumId="9" w15:restartNumberingAfterBreak="0">
    <w:nsid w:val="7A195C50"/>
    <w:multiLevelType w:val="hybridMultilevel"/>
    <w:tmpl w:val="B0E03210"/>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4"/>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
    <w:abstractNumId w:val="1"/>
  </w:num>
  <w:num w:numId="5">
    <w:abstractNumId w:val="2"/>
  </w:num>
  <w:num w:numId="6">
    <w:abstractNumId w:val="6"/>
  </w:num>
  <w:num w:numId="7">
    <w:abstractNumId w:val="7"/>
  </w:num>
  <w:num w:numId="8">
    <w:abstractNumId w:val="0"/>
  </w:num>
  <w:num w:numId="9">
    <w:abstractNumId w:val="3"/>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MGbLrvLqjRcMa8gKqZmTb0jLBoolK4WPT6cMuNpXetIk7Lo39BWBtwokC4SHOl9Lwv+QHXa2CbRZ3g6ZmJQJwA==" w:salt="d2gMcvWqSL6r/dK9UqH4P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040"/>
    <w:rsid w:val="000060BF"/>
    <w:rsid w:val="000064CB"/>
    <w:rsid w:val="000104AB"/>
    <w:rsid w:val="00010EEA"/>
    <w:rsid w:val="0002150C"/>
    <w:rsid w:val="00022413"/>
    <w:rsid w:val="00023645"/>
    <w:rsid w:val="00025614"/>
    <w:rsid w:val="000302C0"/>
    <w:rsid w:val="000333C6"/>
    <w:rsid w:val="000376B2"/>
    <w:rsid w:val="000424F1"/>
    <w:rsid w:val="00042BC9"/>
    <w:rsid w:val="00045CCE"/>
    <w:rsid w:val="00046838"/>
    <w:rsid w:val="0005160E"/>
    <w:rsid w:val="00054E58"/>
    <w:rsid w:val="00055A15"/>
    <w:rsid w:val="00055F6E"/>
    <w:rsid w:val="000567BE"/>
    <w:rsid w:val="0005747B"/>
    <w:rsid w:val="00063A93"/>
    <w:rsid w:val="00063EAC"/>
    <w:rsid w:val="00067AE5"/>
    <w:rsid w:val="00070001"/>
    <w:rsid w:val="000755D7"/>
    <w:rsid w:val="00081963"/>
    <w:rsid w:val="00081984"/>
    <w:rsid w:val="000917B2"/>
    <w:rsid w:val="00094D2B"/>
    <w:rsid w:val="000968BE"/>
    <w:rsid w:val="000A058E"/>
    <w:rsid w:val="000A1789"/>
    <w:rsid w:val="000A57FE"/>
    <w:rsid w:val="000A5BAB"/>
    <w:rsid w:val="000A5FAF"/>
    <w:rsid w:val="000A7ABD"/>
    <w:rsid w:val="000B1FE4"/>
    <w:rsid w:val="000C0DD5"/>
    <w:rsid w:val="000C2C04"/>
    <w:rsid w:val="000C3AD0"/>
    <w:rsid w:val="000C5DAB"/>
    <w:rsid w:val="000D1328"/>
    <w:rsid w:val="000D21B9"/>
    <w:rsid w:val="000D4683"/>
    <w:rsid w:val="000D7512"/>
    <w:rsid w:val="000D760C"/>
    <w:rsid w:val="000E26E6"/>
    <w:rsid w:val="000E4D8E"/>
    <w:rsid w:val="000F7515"/>
    <w:rsid w:val="00103B69"/>
    <w:rsid w:val="00111D7E"/>
    <w:rsid w:val="00112237"/>
    <w:rsid w:val="001171EA"/>
    <w:rsid w:val="00117E21"/>
    <w:rsid w:val="00117F5D"/>
    <w:rsid w:val="00120400"/>
    <w:rsid w:val="0012101B"/>
    <w:rsid w:val="0012610A"/>
    <w:rsid w:val="001271FF"/>
    <w:rsid w:val="0013250A"/>
    <w:rsid w:val="00134634"/>
    <w:rsid w:val="00135C96"/>
    <w:rsid w:val="001364CD"/>
    <w:rsid w:val="001407E2"/>
    <w:rsid w:val="001422DD"/>
    <w:rsid w:val="001521B6"/>
    <w:rsid w:val="00153959"/>
    <w:rsid w:val="00153AFD"/>
    <w:rsid w:val="00153C63"/>
    <w:rsid w:val="001545F9"/>
    <w:rsid w:val="001579C2"/>
    <w:rsid w:val="00160881"/>
    <w:rsid w:val="0016262C"/>
    <w:rsid w:val="00164258"/>
    <w:rsid w:val="00164A3A"/>
    <w:rsid w:val="00166509"/>
    <w:rsid w:val="00176573"/>
    <w:rsid w:val="0018229E"/>
    <w:rsid w:val="00184056"/>
    <w:rsid w:val="00184984"/>
    <w:rsid w:val="00184B7C"/>
    <w:rsid w:val="00187674"/>
    <w:rsid w:val="00192F6F"/>
    <w:rsid w:val="0019571B"/>
    <w:rsid w:val="00196C1B"/>
    <w:rsid w:val="001971A1"/>
    <w:rsid w:val="0019771F"/>
    <w:rsid w:val="001A6196"/>
    <w:rsid w:val="001B71AE"/>
    <w:rsid w:val="001B7AC7"/>
    <w:rsid w:val="001C422C"/>
    <w:rsid w:val="001C4568"/>
    <w:rsid w:val="001D27E9"/>
    <w:rsid w:val="001D4089"/>
    <w:rsid w:val="001D5A9F"/>
    <w:rsid w:val="001D6742"/>
    <w:rsid w:val="001D69E9"/>
    <w:rsid w:val="001D7DC4"/>
    <w:rsid w:val="001E3578"/>
    <w:rsid w:val="001E6135"/>
    <w:rsid w:val="001F4991"/>
    <w:rsid w:val="001F5273"/>
    <w:rsid w:val="001F60FE"/>
    <w:rsid w:val="001F6B23"/>
    <w:rsid w:val="001F7B6E"/>
    <w:rsid w:val="0020232B"/>
    <w:rsid w:val="00204372"/>
    <w:rsid w:val="002048E7"/>
    <w:rsid w:val="00206981"/>
    <w:rsid w:val="00207E37"/>
    <w:rsid w:val="00210686"/>
    <w:rsid w:val="002115E6"/>
    <w:rsid w:val="00211ADE"/>
    <w:rsid w:val="00215A9D"/>
    <w:rsid w:val="0021684D"/>
    <w:rsid w:val="00220E1E"/>
    <w:rsid w:val="00221114"/>
    <w:rsid w:val="0022361B"/>
    <w:rsid w:val="00224644"/>
    <w:rsid w:val="0022584E"/>
    <w:rsid w:val="002306CE"/>
    <w:rsid w:val="0023083D"/>
    <w:rsid w:val="002374AC"/>
    <w:rsid w:val="00237B7C"/>
    <w:rsid w:val="00242910"/>
    <w:rsid w:val="002440CC"/>
    <w:rsid w:val="0024555A"/>
    <w:rsid w:val="002466CE"/>
    <w:rsid w:val="002524C0"/>
    <w:rsid w:val="002526A8"/>
    <w:rsid w:val="00252EA3"/>
    <w:rsid w:val="0025439F"/>
    <w:rsid w:val="002545A4"/>
    <w:rsid w:val="002546CB"/>
    <w:rsid w:val="002548C6"/>
    <w:rsid w:val="002555DE"/>
    <w:rsid w:val="00271740"/>
    <w:rsid w:val="0027710E"/>
    <w:rsid w:val="002863EF"/>
    <w:rsid w:val="00295BEF"/>
    <w:rsid w:val="00297E74"/>
    <w:rsid w:val="002A03A5"/>
    <w:rsid w:val="002A3775"/>
    <w:rsid w:val="002A5567"/>
    <w:rsid w:val="002A5623"/>
    <w:rsid w:val="002A7D1F"/>
    <w:rsid w:val="002B1738"/>
    <w:rsid w:val="002B473A"/>
    <w:rsid w:val="002C0386"/>
    <w:rsid w:val="002C1DA7"/>
    <w:rsid w:val="002C267D"/>
    <w:rsid w:val="002D4686"/>
    <w:rsid w:val="002D6B9D"/>
    <w:rsid w:val="002D7B81"/>
    <w:rsid w:val="002E1CE1"/>
    <w:rsid w:val="00301586"/>
    <w:rsid w:val="00307F79"/>
    <w:rsid w:val="00311AB6"/>
    <w:rsid w:val="00314B99"/>
    <w:rsid w:val="00314C98"/>
    <w:rsid w:val="00314E75"/>
    <w:rsid w:val="00323FDD"/>
    <w:rsid w:val="00327C11"/>
    <w:rsid w:val="00330CA3"/>
    <w:rsid w:val="00332D45"/>
    <w:rsid w:val="00340212"/>
    <w:rsid w:val="00343BDF"/>
    <w:rsid w:val="003455BA"/>
    <w:rsid w:val="003458E7"/>
    <w:rsid w:val="00350C52"/>
    <w:rsid w:val="00350DA3"/>
    <w:rsid w:val="0035373D"/>
    <w:rsid w:val="00354185"/>
    <w:rsid w:val="00354627"/>
    <w:rsid w:val="00355A73"/>
    <w:rsid w:val="00355AD3"/>
    <w:rsid w:val="003566B4"/>
    <w:rsid w:val="003627B1"/>
    <w:rsid w:val="003649F0"/>
    <w:rsid w:val="00364D5F"/>
    <w:rsid w:val="00365875"/>
    <w:rsid w:val="003659AD"/>
    <w:rsid w:val="00371470"/>
    <w:rsid w:val="00371523"/>
    <w:rsid w:val="00371DC6"/>
    <w:rsid w:val="00371E1A"/>
    <w:rsid w:val="003765CD"/>
    <w:rsid w:val="00385103"/>
    <w:rsid w:val="00386424"/>
    <w:rsid w:val="00386D5A"/>
    <w:rsid w:val="0038749B"/>
    <w:rsid w:val="00393DD6"/>
    <w:rsid w:val="00394D70"/>
    <w:rsid w:val="0039737A"/>
    <w:rsid w:val="003A525E"/>
    <w:rsid w:val="003A7455"/>
    <w:rsid w:val="003B21D5"/>
    <w:rsid w:val="003B4A50"/>
    <w:rsid w:val="003B4C4C"/>
    <w:rsid w:val="003B680A"/>
    <w:rsid w:val="003C1073"/>
    <w:rsid w:val="003C6832"/>
    <w:rsid w:val="003D0F41"/>
    <w:rsid w:val="003D26A8"/>
    <w:rsid w:val="003D3D24"/>
    <w:rsid w:val="003D400C"/>
    <w:rsid w:val="003D5245"/>
    <w:rsid w:val="003E23F6"/>
    <w:rsid w:val="003E5274"/>
    <w:rsid w:val="003E62DE"/>
    <w:rsid w:val="003F5E2C"/>
    <w:rsid w:val="003F70DD"/>
    <w:rsid w:val="003F7195"/>
    <w:rsid w:val="003F73D3"/>
    <w:rsid w:val="003F7433"/>
    <w:rsid w:val="003F7BDE"/>
    <w:rsid w:val="00401F0A"/>
    <w:rsid w:val="004050CF"/>
    <w:rsid w:val="0041111B"/>
    <w:rsid w:val="004124F6"/>
    <w:rsid w:val="00412F76"/>
    <w:rsid w:val="004130A1"/>
    <w:rsid w:val="004144D7"/>
    <w:rsid w:val="0041454C"/>
    <w:rsid w:val="004154A9"/>
    <w:rsid w:val="0041637D"/>
    <w:rsid w:val="0041795D"/>
    <w:rsid w:val="00424DCE"/>
    <w:rsid w:val="004302A2"/>
    <w:rsid w:val="00430725"/>
    <w:rsid w:val="00431E0A"/>
    <w:rsid w:val="00432945"/>
    <w:rsid w:val="00434F1E"/>
    <w:rsid w:val="004362E6"/>
    <w:rsid w:val="004379E6"/>
    <w:rsid w:val="004407DC"/>
    <w:rsid w:val="0045415A"/>
    <w:rsid w:val="0045697A"/>
    <w:rsid w:val="00456CDA"/>
    <w:rsid w:val="004572A6"/>
    <w:rsid w:val="00461243"/>
    <w:rsid w:val="00463743"/>
    <w:rsid w:val="004646F7"/>
    <w:rsid w:val="00465AB2"/>
    <w:rsid w:val="00466FB5"/>
    <w:rsid w:val="00470036"/>
    <w:rsid w:val="004707BC"/>
    <w:rsid w:val="004726D4"/>
    <w:rsid w:val="00473F14"/>
    <w:rsid w:val="004742EA"/>
    <w:rsid w:val="004743B6"/>
    <w:rsid w:val="00474B80"/>
    <w:rsid w:val="00476314"/>
    <w:rsid w:val="00481F7B"/>
    <w:rsid w:val="00482184"/>
    <w:rsid w:val="00482C30"/>
    <w:rsid w:val="00490396"/>
    <w:rsid w:val="0049040E"/>
    <w:rsid w:val="004909A0"/>
    <w:rsid w:val="00492379"/>
    <w:rsid w:val="004941E5"/>
    <w:rsid w:val="00494D6F"/>
    <w:rsid w:val="004A5CE6"/>
    <w:rsid w:val="004A60E1"/>
    <w:rsid w:val="004B003D"/>
    <w:rsid w:val="004B39EB"/>
    <w:rsid w:val="004B4B9D"/>
    <w:rsid w:val="004C0D46"/>
    <w:rsid w:val="004C12DE"/>
    <w:rsid w:val="004C5782"/>
    <w:rsid w:val="004C5891"/>
    <w:rsid w:val="004C6027"/>
    <w:rsid w:val="004D04AA"/>
    <w:rsid w:val="004D3B44"/>
    <w:rsid w:val="004E09CA"/>
    <w:rsid w:val="004E391B"/>
    <w:rsid w:val="004E502F"/>
    <w:rsid w:val="004E5F24"/>
    <w:rsid w:val="004E69E8"/>
    <w:rsid w:val="004F103E"/>
    <w:rsid w:val="00500BE6"/>
    <w:rsid w:val="0050534D"/>
    <w:rsid w:val="0051194C"/>
    <w:rsid w:val="00513926"/>
    <w:rsid w:val="00514D53"/>
    <w:rsid w:val="00516D27"/>
    <w:rsid w:val="00517382"/>
    <w:rsid w:val="005205CA"/>
    <w:rsid w:val="00520F76"/>
    <w:rsid w:val="00522191"/>
    <w:rsid w:val="005247E5"/>
    <w:rsid w:val="00525881"/>
    <w:rsid w:val="0052614B"/>
    <w:rsid w:val="0052675D"/>
    <w:rsid w:val="00526A7A"/>
    <w:rsid w:val="00526B7A"/>
    <w:rsid w:val="00530165"/>
    <w:rsid w:val="005302CE"/>
    <w:rsid w:val="00532754"/>
    <w:rsid w:val="00532FF7"/>
    <w:rsid w:val="00536F37"/>
    <w:rsid w:val="00537837"/>
    <w:rsid w:val="005400EA"/>
    <w:rsid w:val="005419BC"/>
    <w:rsid w:val="005428F8"/>
    <w:rsid w:val="00542966"/>
    <w:rsid w:val="00545D20"/>
    <w:rsid w:val="005475C0"/>
    <w:rsid w:val="00547681"/>
    <w:rsid w:val="00551CBC"/>
    <w:rsid w:val="00555249"/>
    <w:rsid w:val="0056224B"/>
    <w:rsid w:val="005628C3"/>
    <w:rsid w:val="00566890"/>
    <w:rsid w:val="005707AB"/>
    <w:rsid w:val="00572867"/>
    <w:rsid w:val="00573A16"/>
    <w:rsid w:val="0058140E"/>
    <w:rsid w:val="00581D64"/>
    <w:rsid w:val="00582D7B"/>
    <w:rsid w:val="005855C5"/>
    <w:rsid w:val="0058646E"/>
    <w:rsid w:val="00587446"/>
    <w:rsid w:val="00596353"/>
    <w:rsid w:val="00596B7E"/>
    <w:rsid w:val="005A0101"/>
    <w:rsid w:val="005A6A98"/>
    <w:rsid w:val="005A6EAB"/>
    <w:rsid w:val="005B03D6"/>
    <w:rsid w:val="005B3B6D"/>
    <w:rsid w:val="005B419B"/>
    <w:rsid w:val="005B43D5"/>
    <w:rsid w:val="005B4B9A"/>
    <w:rsid w:val="005B5511"/>
    <w:rsid w:val="005C214E"/>
    <w:rsid w:val="005C3B4B"/>
    <w:rsid w:val="005C6040"/>
    <w:rsid w:val="005D0992"/>
    <w:rsid w:val="005D363E"/>
    <w:rsid w:val="005D4468"/>
    <w:rsid w:val="005D54FC"/>
    <w:rsid w:val="005E5A0B"/>
    <w:rsid w:val="005E722D"/>
    <w:rsid w:val="005F0CAA"/>
    <w:rsid w:val="005F1765"/>
    <w:rsid w:val="005F21D9"/>
    <w:rsid w:val="005F2627"/>
    <w:rsid w:val="006023B8"/>
    <w:rsid w:val="0060284F"/>
    <w:rsid w:val="006034B6"/>
    <w:rsid w:val="00605813"/>
    <w:rsid w:val="00605CAB"/>
    <w:rsid w:val="006102F8"/>
    <w:rsid w:val="00612FBB"/>
    <w:rsid w:val="0061625F"/>
    <w:rsid w:val="006226DC"/>
    <w:rsid w:val="00623756"/>
    <w:rsid w:val="00624CDA"/>
    <w:rsid w:val="00626B28"/>
    <w:rsid w:val="00630FFB"/>
    <w:rsid w:val="00632A1A"/>
    <w:rsid w:val="00634CF3"/>
    <w:rsid w:val="00635C62"/>
    <w:rsid w:val="00635F78"/>
    <w:rsid w:val="00645230"/>
    <w:rsid w:val="00645F0D"/>
    <w:rsid w:val="006501B7"/>
    <w:rsid w:val="00654280"/>
    <w:rsid w:val="006552F7"/>
    <w:rsid w:val="006575EA"/>
    <w:rsid w:val="0066709F"/>
    <w:rsid w:val="006831AE"/>
    <w:rsid w:val="0069461E"/>
    <w:rsid w:val="006A21A5"/>
    <w:rsid w:val="006A30C4"/>
    <w:rsid w:val="006A356D"/>
    <w:rsid w:val="006A665F"/>
    <w:rsid w:val="006B002A"/>
    <w:rsid w:val="006B0776"/>
    <w:rsid w:val="006B19DB"/>
    <w:rsid w:val="006B3D13"/>
    <w:rsid w:val="006B455C"/>
    <w:rsid w:val="006B605D"/>
    <w:rsid w:val="006B7698"/>
    <w:rsid w:val="006C05D0"/>
    <w:rsid w:val="006C1229"/>
    <w:rsid w:val="006C12B1"/>
    <w:rsid w:val="006C360A"/>
    <w:rsid w:val="006D0C05"/>
    <w:rsid w:val="006D19A1"/>
    <w:rsid w:val="006D34E1"/>
    <w:rsid w:val="006D7D4A"/>
    <w:rsid w:val="006E03DB"/>
    <w:rsid w:val="006E0735"/>
    <w:rsid w:val="006E32F6"/>
    <w:rsid w:val="006E3A88"/>
    <w:rsid w:val="006E3FC6"/>
    <w:rsid w:val="006E79AA"/>
    <w:rsid w:val="006F1AB6"/>
    <w:rsid w:val="006F3875"/>
    <w:rsid w:val="006F56AA"/>
    <w:rsid w:val="006F5C85"/>
    <w:rsid w:val="00700C9F"/>
    <w:rsid w:val="00703666"/>
    <w:rsid w:val="0070603B"/>
    <w:rsid w:val="00706F00"/>
    <w:rsid w:val="00713E0D"/>
    <w:rsid w:val="00720153"/>
    <w:rsid w:val="00724967"/>
    <w:rsid w:val="00731530"/>
    <w:rsid w:val="00736DB7"/>
    <w:rsid w:val="0074419C"/>
    <w:rsid w:val="007445E4"/>
    <w:rsid w:val="007501B1"/>
    <w:rsid w:val="0075176D"/>
    <w:rsid w:val="0075179B"/>
    <w:rsid w:val="007553B7"/>
    <w:rsid w:val="00755BFC"/>
    <w:rsid w:val="007572CE"/>
    <w:rsid w:val="00757465"/>
    <w:rsid w:val="00761932"/>
    <w:rsid w:val="00762067"/>
    <w:rsid w:val="00762918"/>
    <w:rsid w:val="00762969"/>
    <w:rsid w:val="00763A20"/>
    <w:rsid w:val="00767E45"/>
    <w:rsid w:val="007719DE"/>
    <w:rsid w:val="007735E7"/>
    <w:rsid w:val="00773B36"/>
    <w:rsid w:val="00777491"/>
    <w:rsid w:val="00780551"/>
    <w:rsid w:val="00780F8C"/>
    <w:rsid w:val="007817A1"/>
    <w:rsid w:val="007829AE"/>
    <w:rsid w:val="00784A94"/>
    <w:rsid w:val="0078541D"/>
    <w:rsid w:val="00787076"/>
    <w:rsid w:val="00791ACA"/>
    <w:rsid w:val="00797A22"/>
    <w:rsid w:val="007A07E8"/>
    <w:rsid w:val="007A442B"/>
    <w:rsid w:val="007A4587"/>
    <w:rsid w:val="007A553D"/>
    <w:rsid w:val="007B1307"/>
    <w:rsid w:val="007B51DD"/>
    <w:rsid w:val="007B7CC0"/>
    <w:rsid w:val="007C0E96"/>
    <w:rsid w:val="007C1D40"/>
    <w:rsid w:val="007C4B87"/>
    <w:rsid w:val="007C62CA"/>
    <w:rsid w:val="007C71F4"/>
    <w:rsid w:val="007D290F"/>
    <w:rsid w:val="007D34CA"/>
    <w:rsid w:val="007D40A4"/>
    <w:rsid w:val="007D4D03"/>
    <w:rsid w:val="007D7071"/>
    <w:rsid w:val="007E4470"/>
    <w:rsid w:val="007E6321"/>
    <w:rsid w:val="007E6726"/>
    <w:rsid w:val="007F0790"/>
    <w:rsid w:val="007F10F3"/>
    <w:rsid w:val="007F23CE"/>
    <w:rsid w:val="007F3D47"/>
    <w:rsid w:val="007F458D"/>
    <w:rsid w:val="007F5FDB"/>
    <w:rsid w:val="007F658A"/>
    <w:rsid w:val="007F78D8"/>
    <w:rsid w:val="008049A2"/>
    <w:rsid w:val="00807DD2"/>
    <w:rsid w:val="0081131C"/>
    <w:rsid w:val="00821BA6"/>
    <w:rsid w:val="00824BAA"/>
    <w:rsid w:val="00824DF7"/>
    <w:rsid w:val="00827A50"/>
    <w:rsid w:val="008323D0"/>
    <w:rsid w:val="00832DC1"/>
    <w:rsid w:val="0084462A"/>
    <w:rsid w:val="008525BF"/>
    <w:rsid w:val="00854345"/>
    <w:rsid w:val="00855DA8"/>
    <w:rsid w:val="008618DE"/>
    <w:rsid w:val="008642D5"/>
    <w:rsid w:val="00864645"/>
    <w:rsid w:val="00865384"/>
    <w:rsid w:val="00866773"/>
    <w:rsid w:val="00874692"/>
    <w:rsid w:val="00875635"/>
    <w:rsid w:val="00880CC9"/>
    <w:rsid w:val="0088327C"/>
    <w:rsid w:val="0088762D"/>
    <w:rsid w:val="008877ED"/>
    <w:rsid w:val="00890996"/>
    <w:rsid w:val="00890DB6"/>
    <w:rsid w:val="008933D8"/>
    <w:rsid w:val="008A0085"/>
    <w:rsid w:val="008A0833"/>
    <w:rsid w:val="008A0912"/>
    <w:rsid w:val="008A0DC2"/>
    <w:rsid w:val="008A3E60"/>
    <w:rsid w:val="008A43A5"/>
    <w:rsid w:val="008A7265"/>
    <w:rsid w:val="008B23E9"/>
    <w:rsid w:val="008B3039"/>
    <w:rsid w:val="008C0559"/>
    <w:rsid w:val="008C1207"/>
    <w:rsid w:val="008C3763"/>
    <w:rsid w:val="008D038F"/>
    <w:rsid w:val="008D0BA9"/>
    <w:rsid w:val="008D2392"/>
    <w:rsid w:val="008D5BB0"/>
    <w:rsid w:val="008D7117"/>
    <w:rsid w:val="008E1DC7"/>
    <w:rsid w:val="008E5AC0"/>
    <w:rsid w:val="008E6244"/>
    <w:rsid w:val="008F2A38"/>
    <w:rsid w:val="008F3E64"/>
    <w:rsid w:val="008F5DAC"/>
    <w:rsid w:val="008F7654"/>
    <w:rsid w:val="0090131A"/>
    <w:rsid w:val="00902884"/>
    <w:rsid w:val="00903EAE"/>
    <w:rsid w:val="009069DD"/>
    <w:rsid w:val="0091589D"/>
    <w:rsid w:val="009312EE"/>
    <w:rsid w:val="00931A46"/>
    <w:rsid w:val="009329EC"/>
    <w:rsid w:val="009342C0"/>
    <w:rsid w:val="00944373"/>
    <w:rsid w:val="00944463"/>
    <w:rsid w:val="0094548B"/>
    <w:rsid w:val="00945A49"/>
    <w:rsid w:val="00947358"/>
    <w:rsid w:val="00951504"/>
    <w:rsid w:val="00955AC5"/>
    <w:rsid w:val="00956834"/>
    <w:rsid w:val="0096299F"/>
    <w:rsid w:val="00966B8B"/>
    <w:rsid w:val="00971B1A"/>
    <w:rsid w:val="00972562"/>
    <w:rsid w:val="0097383F"/>
    <w:rsid w:val="00981A37"/>
    <w:rsid w:val="00981DD0"/>
    <w:rsid w:val="009912B8"/>
    <w:rsid w:val="00993121"/>
    <w:rsid w:val="0099370B"/>
    <w:rsid w:val="00993BA5"/>
    <w:rsid w:val="009A4C0F"/>
    <w:rsid w:val="009A5957"/>
    <w:rsid w:val="009A5B4C"/>
    <w:rsid w:val="009A75A0"/>
    <w:rsid w:val="009B08B2"/>
    <w:rsid w:val="009B13A1"/>
    <w:rsid w:val="009B1546"/>
    <w:rsid w:val="009B1644"/>
    <w:rsid w:val="009C414E"/>
    <w:rsid w:val="009D0425"/>
    <w:rsid w:val="009D1CC1"/>
    <w:rsid w:val="009D385D"/>
    <w:rsid w:val="009D5D56"/>
    <w:rsid w:val="009D5DA2"/>
    <w:rsid w:val="009E0273"/>
    <w:rsid w:val="009E1CE4"/>
    <w:rsid w:val="009E2103"/>
    <w:rsid w:val="009E21DC"/>
    <w:rsid w:val="009E7450"/>
    <w:rsid w:val="009F372D"/>
    <w:rsid w:val="009F3A74"/>
    <w:rsid w:val="009F48CB"/>
    <w:rsid w:val="009F5A99"/>
    <w:rsid w:val="009F6DAD"/>
    <w:rsid w:val="009F73C1"/>
    <w:rsid w:val="009F759A"/>
    <w:rsid w:val="00A00C96"/>
    <w:rsid w:val="00A00F49"/>
    <w:rsid w:val="00A00FF6"/>
    <w:rsid w:val="00A03DF6"/>
    <w:rsid w:val="00A047F2"/>
    <w:rsid w:val="00A06FB0"/>
    <w:rsid w:val="00A10398"/>
    <w:rsid w:val="00A10DB1"/>
    <w:rsid w:val="00A15B51"/>
    <w:rsid w:val="00A16927"/>
    <w:rsid w:val="00A2194D"/>
    <w:rsid w:val="00A23E15"/>
    <w:rsid w:val="00A255CB"/>
    <w:rsid w:val="00A27062"/>
    <w:rsid w:val="00A271E9"/>
    <w:rsid w:val="00A3089F"/>
    <w:rsid w:val="00A30A6C"/>
    <w:rsid w:val="00A36699"/>
    <w:rsid w:val="00A45774"/>
    <w:rsid w:val="00A47EC0"/>
    <w:rsid w:val="00A537CF"/>
    <w:rsid w:val="00A5494C"/>
    <w:rsid w:val="00A55ECC"/>
    <w:rsid w:val="00A57A39"/>
    <w:rsid w:val="00A60570"/>
    <w:rsid w:val="00A608B1"/>
    <w:rsid w:val="00A641DF"/>
    <w:rsid w:val="00A65BF5"/>
    <w:rsid w:val="00A7187B"/>
    <w:rsid w:val="00A728DB"/>
    <w:rsid w:val="00A73C0C"/>
    <w:rsid w:val="00A8134F"/>
    <w:rsid w:val="00A81BDC"/>
    <w:rsid w:val="00A82727"/>
    <w:rsid w:val="00A8454A"/>
    <w:rsid w:val="00A84B88"/>
    <w:rsid w:val="00A94CD2"/>
    <w:rsid w:val="00A968CE"/>
    <w:rsid w:val="00A97CCB"/>
    <w:rsid w:val="00AA04C3"/>
    <w:rsid w:val="00AA0714"/>
    <w:rsid w:val="00AA548A"/>
    <w:rsid w:val="00AA6273"/>
    <w:rsid w:val="00AA632B"/>
    <w:rsid w:val="00AA7082"/>
    <w:rsid w:val="00AB1281"/>
    <w:rsid w:val="00AB22EA"/>
    <w:rsid w:val="00AB3949"/>
    <w:rsid w:val="00AB3EA7"/>
    <w:rsid w:val="00AB4AB1"/>
    <w:rsid w:val="00AB5CE5"/>
    <w:rsid w:val="00AC0479"/>
    <w:rsid w:val="00AC5873"/>
    <w:rsid w:val="00AC6677"/>
    <w:rsid w:val="00AD2225"/>
    <w:rsid w:val="00AD5CC0"/>
    <w:rsid w:val="00AD5EAB"/>
    <w:rsid w:val="00AD5EAF"/>
    <w:rsid w:val="00AD7E52"/>
    <w:rsid w:val="00AE0B75"/>
    <w:rsid w:val="00AE2154"/>
    <w:rsid w:val="00AF2DB3"/>
    <w:rsid w:val="00AF35EB"/>
    <w:rsid w:val="00AF42F0"/>
    <w:rsid w:val="00AF5B58"/>
    <w:rsid w:val="00B0128A"/>
    <w:rsid w:val="00B01BD5"/>
    <w:rsid w:val="00B02AB8"/>
    <w:rsid w:val="00B03943"/>
    <w:rsid w:val="00B04361"/>
    <w:rsid w:val="00B11074"/>
    <w:rsid w:val="00B142D1"/>
    <w:rsid w:val="00B14E33"/>
    <w:rsid w:val="00B1670C"/>
    <w:rsid w:val="00B16B84"/>
    <w:rsid w:val="00B17B7E"/>
    <w:rsid w:val="00B21D03"/>
    <w:rsid w:val="00B23100"/>
    <w:rsid w:val="00B24316"/>
    <w:rsid w:val="00B407CC"/>
    <w:rsid w:val="00B5270D"/>
    <w:rsid w:val="00B54F76"/>
    <w:rsid w:val="00B555A0"/>
    <w:rsid w:val="00B60FD0"/>
    <w:rsid w:val="00B621B6"/>
    <w:rsid w:val="00B63555"/>
    <w:rsid w:val="00B71990"/>
    <w:rsid w:val="00B71D61"/>
    <w:rsid w:val="00B828A5"/>
    <w:rsid w:val="00B82C46"/>
    <w:rsid w:val="00B85594"/>
    <w:rsid w:val="00B921A2"/>
    <w:rsid w:val="00BA093E"/>
    <w:rsid w:val="00BA0D70"/>
    <w:rsid w:val="00BA24A6"/>
    <w:rsid w:val="00BA263D"/>
    <w:rsid w:val="00BA2971"/>
    <w:rsid w:val="00BA3777"/>
    <w:rsid w:val="00BA48FA"/>
    <w:rsid w:val="00BA4ABE"/>
    <w:rsid w:val="00BA63DE"/>
    <w:rsid w:val="00BA6FAF"/>
    <w:rsid w:val="00BB0A32"/>
    <w:rsid w:val="00BB0B06"/>
    <w:rsid w:val="00BB2188"/>
    <w:rsid w:val="00BC0077"/>
    <w:rsid w:val="00BC590E"/>
    <w:rsid w:val="00BD047B"/>
    <w:rsid w:val="00BD2B44"/>
    <w:rsid w:val="00BD2C00"/>
    <w:rsid w:val="00BD5541"/>
    <w:rsid w:val="00BE1391"/>
    <w:rsid w:val="00BE71B8"/>
    <w:rsid w:val="00BE7723"/>
    <w:rsid w:val="00BE7D5F"/>
    <w:rsid w:val="00BF25BF"/>
    <w:rsid w:val="00BF59C3"/>
    <w:rsid w:val="00BF618D"/>
    <w:rsid w:val="00BF79D3"/>
    <w:rsid w:val="00BF7C7C"/>
    <w:rsid w:val="00C02729"/>
    <w:rsid w:val="00C03D88"/>
    <w:rsid w:val="00C03F77"/>
    <w:rsid w:val="00C04FF1"/>
    <w:rsid w:val="00C1093F"/>
    <w:rsid w:val="00C12329"/>
    <w:rsid w:val="00C21CAC"/>
    <w:rsid w:val="00C2238C"/>
    <w:rsid w:val="00C23AEC"/>
    <w:rsid w:val="00C23F02"/>
    <w:rsid w:val="00C24755"/>
    <w:rsid w:val="00C2528A"/>
    <w:rsid w:val="00C254DF"/>
    <w:rsid w:val="00C26AF2"/>
    <w:rsid w:val="00C27A0A"/>
    <w:rsid w:val="00C30D67"/>
    <w:rsid w:val="00C319F4"/>
    <w:rsid w:val="00C32D2A"/>
    <w:rsid w:val="00C335F2"/>
    <w:rsid w:val="00C33F90"/>
    <w:rsid w:val="00C35B2A"/>
    <w:rsid w:val="00C368C0"/>
    <w:rsid w:val="00C37B99"/>
    <w:rsid w:val="00C37DC4"/>
    <w:rsid w:val="00C432A7"/>
    <w:rsid w:val="00C44F7F"/>
    <w:rsid w:val="00C45C9C"/>
    <w:rsid w:val="00C45FB9"/>
    <w:rsid w:val="00C47288"/>
    <w:rsid w:val="00C51229"/>
    <w:rsid w:val="00C55095"/>
    <w:rsid w:val="00C613A4"/>
    <w:rsid w:val="00C63A22"/>
    <w:rsid w:val="00C666F3"/>
    <w:rsid w:val="00C67A86"/>
    <w:rsid w:val="00C75F63"/>
    <w:rsid w:val="00C7642D"/>
    <w:rsid w:val="00C7789A"/>
    <w:rsid w:val="00C80B4A"/>
    <w:rsid w:val="00C83BA4"/>
    <w:rsid w:val="00C8698C"/>
    <w:rsid w:val="00C90E10"/>
    <w:rsid w:val="00C914DE"/>
    <w:rsid w:val="00C92230"/>
    <w:rsid w:val="00C93068"/>
    <w:rsid w:val="00C93DBA"/>
    <w:rsid w:val="00C973DA"/>
    <w:rsid w:val="00CA4134"/>
    <w:rsid w:val="00CA44FC"/>
    <w:rsid w:val="00CA7A00"/>
    <w:rsid w:val="00CB5202"/>
    <w:rsid w:val="00CB556E"/>
    <w:rsid w:val="00CB6136"/>
    <w:rsid w:val="00CB634F"/>
    <w:rsid w:val="00CB7F80"/>
    <w:rsid w:val="00CC1325"/>
    <w:rsid w:val="00CC1B04"/>
    <w:rsid w:val="00CD3BEC"/>
    <w:rsid w:val="00CD41B4"/>
    <w:rsid w:val="00CD472A"/>
    <w:rsid w:val="00CD5754"/>
    <w:rsid w:val="00CD6756"/>
    <w:rsid w:val="00CE0218"/>
    <w:rsid w:val="00CE2985"/>
    <w:rsid w:val="00CF094D"/>
    <w:rsid w:val="00CF1679"/>
    <w:rsid w:val="00CF26C4"/>
    <w:rsid w:val="00CF3458"/>
    <w:rsid w:val="00CF76E8"/>
    <w:rsid w:val="00CF7CE4"/>
    <w:rsid w:val="00D00D00"/>
    <w:rsid w:val="00D01D91"/>
    <w:rsid w:val="00D01EDD"/>
    <w:rsid w:val="00D10561"/>
    <w:rsid w:val="00D1271C"/>
    <w:rsid w:val="00D1311C"/>
    <w:rsid w:val="00D14B39"/>
    <w:rsid w:val="00D15DC7"/>
    <w:rsid w:val="00D2734D"/>
    <w:rsid w:val="00D339A3"/>
    <w:rsid w:val="00D40FB2"/>
    <w:rsid w:val="00D426E7"/>
    <w:rsid w:val="00D44B5C"/>
    <w:rsid w:val="00D4588E"/>
    <w:rsid w:val="00D4597F"/>
    <w:rsid w:val="00D46D7A"/>
    <w:rsid w:val="00D47F5D"/>
    <w:rsid w:val="00D52970"/>
    <w:rsid w:val="00D54990"/>
    <w:rsid w:val="00D54F29"/>
    <w:rsid w:val="00D61191"/>
    <w:rsid w:val="00D63C57"/>
    <w:rsid w:val="00D65C30"/>
    <w:rsid w:val="00D6670A"/>
    <w:rsid w:val="00D71F16"/>
    <w:rsid w:val="00D73CD8"/>
    <w:rsid w:val="00D81604"/>
    <w:rsid w:val="00D90F1C"/>
    <w:rsid w:val="00D91A6D"/>
    <w:rsid w:val="00D91D80"/>
    <w:rsid w:val="00D94CCC"/>
    <w:rsid w:val="00D95631"/>
    <w:rsid w:val="00D96A9E"/>
    <w:rsid w:val="00D9777E"/>
    <w:rsid w:val="00D97E0B"/>
    <w:rsid w:val="00D97F9A"/>
    <w:rsid w:val="00DA0588"/>
    <w:rsid w:val="00DA3638"/>
    <w:rsid w:val="00DA4644"/>
    <w:rsid w:val="00DA73FE"/>
    <w:rsid w:val="00DB3E79"/>
    <w:rsid w:val="00DB4FB5"/>
    <w:rsid w:val="00DB70C4"/>
    <w:rsid w:val="00DB7968"/>
    <w:rsid w:val="00DB7D4C"/>
    <w:rsid w:val="00DC332A"/>
    <w:rsid w:val="00DC3F21"/>
    <w:rsid w:val="00DC3F78"/>
    <w:rsid w:val="00DC41DE"/>
    <w:rsid w:val="00DD2AC4"/>
    <w:rsid w:val="00DD3F35"/>
    <w:rsid w:val="00DE2A7B"/>
    <w:rsid w:val="00DE64A9"/>
    <w:rsid w:val="00DF40ED"/>
    <w:rsid w:val="00E01CEC"/>
    <w:rsid w:val="00E0391A"/>
    <w:rsid w:val="00E03A9E"/>
    <w:rsid w:val="00E07172"/>
    <w:rsid w:val="00E120D0"/>
    <w:rsid w:val="00E229A3"/>
    <w:rsid w:val="00E26BA3"/>
    <w:rsid w:val="00E33ABF"/>
    <w:rsid w:val="00E50EEB"/>
    <w:rsid w:val="00E51BC9"/>
    <w:rsid w:val="00E55AAB"/>
    <w:rsid w:val="00E564E8"/>
    <w:rsid w:val="00E65FE2"/>
    <w:rsid w:val="00E71056"/>
    <w:rsid w:val="00E718BD"/>
    <w:rsid w:val="00E722AF"/>
    <w:rsid w:val="00E80CEE"/>
    <w:rsid w:val="00E82C12"/>
    <w:rsid w:val="00E84A38"/>
    <w:rsid w:val="00E95529"/>
    <w:rsid w:val="00EA01AC"/>
    <w:rsid w:val="00EA0B33"/>
    <w:rsid w:val="00EA100C"/>
    <w:rsid w:val="00EA5777"/>
    <w:rsid w:val="00EB4DF2"/>
    <w:rsid w:val="00EB5C29"/>
    <w:rsid w:val="00EC10FD"/>
    <w:rsid w:val="00EC1254"/>
    <w:rsid w:val="00EC14FC"/>
    <w:rsid w:val="00EC4686"/>
    <w:rsid w:val="00ED07DF"/>
    <w:rsid w:val="00ED0B9A"/>
    <w:rsid w:val="00ED0D88"/>
    <w:rsid w:val="00ED3D74"/>
    <w:rsid w:val="00ED7B90"/>
    <w:rsid w:val="00EE1282"/>
    <w:rsid w:val="00EE2D47"/>
    <w:rsid w:val="00EE37D3"/>
    <w:rsid w:val="00EF0350"/>
    <w:rsid w:val="00EF0F77"/>
    <w:rsid w:val="00F00E4D"/>
    <w:rsid w:val="00F07436"/>
    <w:rsid w:val="00F078AC"/>
    <w:rsid w:val="00F10AF7"/>
    <w:rsid w:val="00F12497"/>
    <w:rsid w:val="00F21E75"/>
    <w:rsid w:val="00F25EB9"/>
    <w:rsid w:val="00F266D3"/>
    <w:rsid w:val="00F26C6C"/>
    <w:rsid w:val="00F26E96"/>
    <w:rsid w:val="00F2739F"/>
    <w:rsid w:val="00F30797"/>
    <w:rsid w:val="00F35A52"/>
    <w:rsid w:val="00F41CD5"/>
    <w:rsid w:val="00F43570"/>
    <w:rsid w:val="00F45A80"/>
    <w:rsid w:val="00F4720B"/>
    <w:rsid w:val="00F53BD0"/>
    <w:rsid w:val="00F54766"/>
    <w:rsid w:val="00F65356"/>
    <w:rsid w:val="00F65883"/>
    <w:rsid w:val="00F775A7"/>
    <w:rsid w:val="00F81AB7"/>
    <w:rsid w:val="00F83718"/>
    <w:rsid w:val="00F84042"/>
    <w:rsid w:val="00F85133"/>
    <w:rsid w:val="00F9092C"/>
    <w:rsid w:val="00F93BC7"/>
    <w:rsid w:val="00F94421"/>
    <w:rsid w:val="00F946ED"/>
    <w:rsid w:val="00F965BC"/>
    <w:rsid w:val="00FA2A4F"/>
    <w:rsid w:val="00FA2CCF"/>
    <w:rsid w:val="00FA3740"/>
    <w:rsid w:val="00FA3A1B"/>
    <w:rsid w:val="00FB0857"/>
    <w:rsid w:val="00FB13A9"/>
    <w:rsid w:val="00FB265C"/>
    <w:rsid w:val="00FB556D"/>
    <w:rsid w:val="00FC033B"/>
    <w:rsid w:val="00FC0B62"/>
    <w:rsid w:val="00FC2011"/>
    <w:rsid w:val="00FC2B90"/>
    <w:rsid w:val="00FC4A2E"/>
    <w:rsid w:val="00FC6726"/>
    <w:rsid w:val="00FD4385"/>
    <w:rsid w:val="00FD5FBD"/>
    <w:rsid w:val="00FE2CB7"/>
    <w:rsid w:val="00FE4969"/>
    <w:rsid w:val="00FE5B14"/>
    <w:rsid w:val="00FF07C1"/>
    <w:rsid w:val="00FF2B51"/>
    <w:rsid w:val="00FF45F4"/>
    <w:rsid w:val="00FF5EC5"/>
    <w:rsid w:val="00FF6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6A2242"/>
  <w15:docId w15:val="{37C252B3-5C67-423D-9213-1B4C7D42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A0A"/>
    <w:rPr>
      <w:rFonts w:ascii="Arial" w:hAnsi="Arial" w:cs="Arial"/>
      <w:sz w:val="22"/>
    </w:rPr>
  </w:style>
  <w:style w:type="paragraph" w:styleId="Heading1">
    <w:name w:val="heading 1"/>
    <w:basedOn w:val="Normal"/>
    <w:next w:val="Normal"/>
    <w:link w:val="Heading1Char"/>
    <w:qFormat/>
    <w:rsid w:val="00BD2B44"/>
    <w:pPr>
      <w:tabs>
        <w:tab w:val="center" w:pos="4153"/>
      </w:tabs>
      <w:spacing w:line="240" w:lineRule="exact"/>
      <w:ind w:right="-680"/>
      <w:jc w:val="right"/>
      <w:outlineLvl w:val="0"/>
    </w:pPr>
    <w:rPr>
      <w:sz w:val="18"/>
      <w:szCs w:val="18"/>
    </w:rPr>
  </w:style>
  <w:style w:type="paragraph" w:styleId="Heading2">
    <w:name w:val="heading 2"/>
    <w:basedOn w:val="Heading1"/>
    <w:next w:val="Normal"/>
    <w:link w:val="Heading2Char"/>
    <w:qFormat/>
    <w:rsid w:val="00BD2B44"/>
    <w:pPr>
      <w:outlineLvl w:val="1"/>
    </w:pPr>
    <w:rPr>
      <w:b/>
    </w:rPr>
  </w:style>
  <w:style w:type="paragraph" w:styleId="Heading4">
    <w:name w:val="heading 4"/>
    <w:basedOn w:val="Normal"/>
    <w:next w:val="Normal"/>
    <w:qFormat/>
    <w:rsid w:val="00890996"/>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90996"/>
    <w:pPr>
      <w:spacing w:before="240" w:after="60"/>
      <w:outlineLvl w:val="4"/>
    </w:pPr>
    <w:rPr>
      <w:b/>
      <w:bCs/>
      <w:i/>
      <w:iCs/>
      <w:sz w:val="26"/>
      <w:szCs w:val="26"/>
    </w:rPr>
  </w:style>
  <w:style w:type="paragraph" w:styleId="Heading6">
    <w:name w:val="heading 6"/>
    <w:basedOn w:val="Normal"/>
    <w:next w:val="Normal"/>
    <w:qFormat/>
    <w:rsid w:val="00890996"/>
    <w:p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890996"/>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890996"/>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890996"/>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84B7C"/>
    <w:pPr>
      <w:tabs>
        <w:tab w:val="center" w:pos="4153"/>
        <w:tab w:val="right" w:pos="8306"/>
      </w:tabs>
    </w:pPr>
  </w:style>
  <w:style w:type="paragraph" w:styleId="Header">
    <w:name w:val="header"/>
    <w:basedOn w:val="Normal"/>
    <w:rsid w:val="00184B7C"/>
    <w:pPr>
      <w:tabs>
        <w:tab w:val="center" w:pos="4153"/>
        <w:tab w:val="right" w:pos="8306"/>
      </w:tabs>
    </w:pPr>
  </w:style>
  <w:style w:type="paragraph" w:styleId="BalloonText">
    <w:name w:val="Balloon Text"/>
    <w:basedOn w:val="Normal"/>
    <w:semiHidden/>
    <w:rsid w:val="00CB5202"/>
    <w:rPr>
      <w:rFonts w:ascii="Tahoma" w:hAnsi="Tahoma" w:cs="Tahoma"/>
      <w:sz w:val="16"/>
      <w:szCs w:val="16"/>
    </w:rPr>
  </w:style>
  <w:style w:type="paragraph" w:customStyle="1" w:styleId="NTTHeaderInfo">
    <w:name w:val="NTT Header Info"/>
    <w:rsid w:val="00713E0D"/>
    <w:pPr>
      <w:spacing w:line="240" w:lineRule="exact"/>
      <w:jc w:val="right"/>
    </w:pPr>
    <w:rPr>
      <w:rFonts w:ascii="Arial" w:hAnsi="Arial"/>
      <w:sz w:val="18"/>
      <w:szCs w:val="18"/>
    </w:rPr>
  </w:style>
  <w:style w:type="character" w:customStyle="1" w:styleId="Heading1Char">
    <w:name w:val="Heading 1 Char"/>
    <w:link w:val="Heading1"/>
    <w:rsid w:val="00BD2B44"/>
    <w:rPr>
      <w:rFonts w:ascii="Arial" w:hAnsi="Arial"/>
      <w:sz w:val="18"/>
      <w:szCs w:val="18"/>
      <w:lang w:val="en-AU" w:eastAsia="en-AU" w:bidi="ar-SA"/>
    </w:rPr>
  </w:style>
  <w:style w:type="character" w:customStyle="1" w:styleId="Heading2Char">
    <w:name w:val="Heading 2 Char"/>
    <w:link w:val="Heading2"/>
    <w:rsid w:val="00BD2B44"/>
    <w:rPr>
      <w:rFonts w:ascii="Arial" w:hAnsi="Arial"/>
      <w:b/>
      <w:sz w:val="18"/>
      <w:szCs w:val="18"/>
      <w:lang w:val="en-AU" w:eastAsia="en-AU" w:bidi="ar-SA"/>
    </w:rPr>
  </w:style>
  <w:style w:type="paragraph" w:customStyle="1" w:styleId="NTTBodyText">
    <w:name w:val="NTT Body Text"/>
    <w:rsid w:val="00E51BC9"/>
    <w:pPr>
      <w:spacing w:after="120" w:line="300" w:lineRule="exact"/>
    </w:pPr>
    <w:rPr>
      <w:rFonts w:ascii="Arial" w:hAnsi="Arial"/>
      <w:sz w:val="22"/>
      <w:szCs w:val="24"/>
    </w:rPr>
  </w:style>
  <w:style w:type="character" w:styleId="PageNumber">
    <w:name w:val="page number"/>
    <w:basedOn w:val="DefaultParagraphFont"/>
    <w:rsid w:val="0019571B"/>
  </w:style>
  <w:style w:type="paragraph" w:customStyle="1" w:styleId="NTTBodyTextTitle">
    <w:name w:val="NTT Body Text Title"/>
    <w:basedOn w:val="NTTBodyText"/>
    <w:rsid w:val="001D7DC4"/>
    <w:rPr>
      <w:b/>
      <w:bCs/>
    </w:rPr>
  </w:style>
  <w:style w:type="table" w:styleId="TableGrid">
    <w:name w:val="Table Grid"/>
    <w:basedOn w:val="TableNormal"/>
    <w:rsid w:val="00C27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One">
    <w:name w:val="Heading One"/>
    <w:basedOn w:val="Normal"/>
    <w:rsid w:val="00364D5F"/>
    <w:pPr>
      <w:spacing w:after="120"/>
      <w:jc w:val="center"/>
    </w:pPr>
    <w:rPr>
      <w:rFonts w:cs="Times New Roman"/>
      <w:b/>
      <w:bCs/>
      <w:sz w:val="32"/>
    </w:rPr>
  </w:style>
  <w:style w:type="paragraph" w:customStyle="1" w:styleId="HeadingTwo">
    <w:name w:val="Heading Two"/>
    <w:basedOn w:val="Normal"/>
    <w:rsid w:val="00B24316"/>
    <w:pPr>
      <w:keepNext/>
      <w:keepLines/>
      <w:pBdr>
        <w:bottom w:val="single" w:sz="4" w:space="1" w:color="auto"/>
      </w:pBdr>
      <w:spacing w:before="360" w:after="120"/>
    </w:pPr>
    <w:rPr>
      <w:rFonts w:cs="Times New Roman"/>
      <w:b/>
      <w:bCs/>
    </w:rPr>
  </w:style>
  <w:style w:type="numbering" w:customStyle="1" w:styleId="Text">
    <w:name w:val="Text"/>
    <w:rsid w:val="00545D20"/>
    <w:pPr>
      <w:numPr>
        <w:numId w:val="11"/>
      </w:numPr>
    </w:pPr>
  </w:style>
  <w:style w:type="character" w:styleId="Hyperlink">
    <w:name w:val="Hyperlink"/>
    <w:rsid w:val="00545D20"/>
    <w:rPr>
      <w:color w:val="0000FF"/>
      <w:u w:val="single"/>
    </w:rPr>
  </w:style>
  <w:style w:type="paragraph" w:styleId="BlockText">
    <w:name w:val="Block Text"/>
    <w:basedOn w:val="ListNumber"/>
    <w:rsid w:val="00206981"/>
    <w:pPr>
      <w:keepLines/>
      <w:numPr>
        <w:numId w:val="3"/>
      </w:numPr>
      <w:tabs>
        <w:tab w:val="clear" w:pos="567"/>
      </w:tabs>
      <w:spacing w:after="120"/>
      <w:jc w:val="both"/>
    </w:pPr>
  </w:style>
  <w:style w:type="paragraph" w:customStyle="1" w:styleId="HeadingThree">
    <w:name w:val="Heading Three"/>
    <w:basedOn w:val="HeadingTwo"/>
    <w:rsid w:val="00545D20"/>
    <w:pPr>
      <w:pBdr>
        <w:bottom w:val="none" w:sz="0" w:space="0" w:color="auto"/>
      </w:pBdr>
    </w:pPr>
    <w:rPr>
      <w:i/>
      <w:iCs/>
    </w:rPr>
  </w:style>
  <w:style w:type="paragraph" w:customStyle="1" w:styleId="HeadingFour">
    <w:name w:val="Heading Four"/>
    <w:basedOn w:val="HeadingThree"/>
    <w:rsid w:val="006034B6"/>
    <w:rPr>
      <w:b w:val="0"/>
      <w:bCs w:val="0"/>
      <w:u w:val="single"/>
    </w:rPr>
  </w:style>
  <w:style w:type="paragraph" w:styleId="BodyText2">
    <w:name w:val="Body Text 2"/>
    <w:basedOn w:val="Normal"/>
    <w:rsid w:val="00513926"/>
    <w:pPr>
      <w:spacing w:after="120"/>
      <w:jc w:val="both"/>
    </w:pPr>
    <w:rPr>
      <w:rFonts w:ascii="Tahoma" w:hAnsi="Tahoma" w:cs="Times New Roman"/>
      <w:b/>
    </w:rPr>
  </w:style>
  <w:style w:type="paragraph" w:styleId="ListNumber">
    <w:name w:val="List Number"/>
    <w:basedOn w:val="Normal"/>
    <w:rsid w:val="00890996"/>
    <w:pPr>
      <w:numPr>
        <w:numId w:val="8"/>
      </w:numPr>
    </w:pPr>
  </w:style>
  <w:style w:type="paragraph" w:customStyle="1" w:styleId="ExampleBox">
    <w:name w:val="Example Box"/>
    <w:rsid w:val="00F65356"/>
    <w:pPr>
      <w:pBdr>
        <w:top w:val="single" w:sz="4" w:space="1" w:color="auto"/>
        <w:left w:val="single" w:sz="4" w:space="4" w:color="auto"/>
        <w:bottom w:val="single" w:sz="4" w:space="1" w:color="auto"/>
        <w:right w:val="single" w:sz="4" w:space="4" w:color="auto"/>
      </w:pBdr>
      <w:shd w:val="clear" w:color="auto" w:fill="F3F3F3"/>
      <w:spacing w:before="120" w:after="120"/>
    </w:pPr>
    <w:rPr>
      <w:rFonts w:ascii="Arial" w:hAnsi="Arial"/>
      <w:sz w:val="22"/>
    </w:rPr>
  </w:style>
  <w:style w:type="paragraph" w:customStyle="1" w:styleId="Subheading1">
    <w:name w:val="Subheading 1"/>
    <w:basedOn w:val="Normal"/>
    <w:rsid w:val="005C6040"/>
    <w:pPr>
      <w:spacing w:before="360" w:line="300" w:lineRule="exact"/>
    </w:pPr>
    <w:rPr>
      <w:rFonts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easury.nt.gov.au/PMS/Publications/TaxesRoyaltiesGrants/GeneralAdmin/CG-GEN-001.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treasury.nt.gov.au/PMS/Publications/TaxesRoyaltiesGrants/StampDuty/CG-SD-010.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evenue.nt.gov.a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easury.nt.gov.au/PMS/Publications/TaxesRoyaltiesGrants/GeneralAdmin/CG-GEN-005.pdf" TargetMode="External"/><Relationship Id="rId5" Type="http://schemas.openxmlformats.org/officeDocument/2006/relationships/styles" Target="styles.xml"/><Relationship Id="rId15" Type="http://schemas.openxmlformats.org/officeDocument/2006/relationships/hyperlink" Target="mailto:ntrevenue@nt.gov.au" TargetMode="External"/><Relationship Id="rId23" Type="http://schemas.openxmlformats.org/officeDocument/2006/relationships/theme" Target="theme/theme1.xml"/><Relationship Id="rId10" Type="http://schemas.openxmlformats.org/officeDocument/2006/relationships/hyperlink" Target="http://www.treasury.nt.gov.au/PMS/Publications/TaxesRoyaltiesGrants/StampDuty/CG-SD-010.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_x0020_Type_x0020_Topic xmlns="378e824e-6e02-4c0d-8321-dd86fba681ee" xsi:nil="true"/>
    <Main_x0020_Category xmlns="378e824e-6e02-4c0d-8321-dd86fba681ee">6</Main_x0020_Category>
    <Tax_x0020_Type xmlns="378e824e-6e02-4c0d-8321-dd86fba681ee" xsi:nil="true"/>
    <Publication_x0020_Title xmlns="378e824e-6e02-4c0d-8321-dd86fba681ee">Improvements on land built by the conveyee</Publication_x0020_Title>
    <Details xmlns="378e824e-6e02-4c0d-8321-dd86fba681ee" xsi:nil="true"/>
    <Identifier xmlns="378e824e-6e02-4c0d-8321-dd86fba681ee">CG-SD-011</Identifier>
    <Publication_x0020_Type xmlns="378e824e-6e02-4c0d-8321-dd86fba681ee" xsi:nil="true"/>
    <Sub_x0020_Sub_x0020_Category xmlns="378e824e-6e02-4c0d-8321-dd86fba681ee" xsi:nil="true"/>
    <Release_x0020_Date xmlns="378e824e-6e02-4c0d-8321-dd86fba681ee">2016-02-25T14:30:00+00:00</Release_x0020_Date>
    <Sub_x0020_Category xmlns="378e824e-6e02-4c0d-8321-dd86fba681ee">24</Sub_x0020_Category>
    <Notify xmlns="378e824e-6e02-4c0d-8321-dd86fba681ee">false</Notif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36C0FB-A0DD-4C6B-A52B-4E5ABC6B615A}">
  <ds:schemaRefs>
    <ds:schemaRef ds:uri="http://schemas.microsoft.com/office/2006/metadata/properties"/>
    <ds:schemaRef ds:uri="http://schemas.microsoft.com/office/infopath/2007/PartnerControls"/>
    <ds:schemaRef ds:uri="378e824e-6e02-4c0d-8321-dd86fba681ee"/>
  </ds:schemaRefs>
</ds:datastoreItem>
</file>

<file path=customXml/itemProps2.xml><?xml version="1.0" encoding="utf-8"?>
<ds:datastoreItem xmlns:ds="http://schemas.openxmlformats.org/officeDocument/2006/customXml" ds:itemID="{0610BC85-5A30-45DB-8A89-6099BF8D0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AE563-874F-4BA5-97E4-EF3602F3E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1084</Words>
  <Characters>6183</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Our Ref:</vt:lpstr>
    </vt:vector>
  </TitlesOfParts>
  <Company>Northern Territory Government</Company>
  <LinksUpToDate>false</LinksUpToDate>
  <CharactersWithSpaces>7253</CharactersWithSpaces>
  <SharedDoc>false</SharedDoc>
  <HLinks>
    <vt:vector size="36" baseType="variant">
      <vt:variant>
        <vt:i4>5242895</vt:i4>
      </vt:variant>
      <vt:variant>
        <vt:i4>15</vt:i4>
      </vt:variant>
      <vt:variant>
        <vt:i4>0</vt:i4>
      </vt:variant>
      <vt:variant>
        <vt:i4>5</vt:i4>
      </vt:variant>
      <vt:variant>
        <vt:lpwstr>http://www.revenue.nt.gov.au/</vt:lpwstr>
      </vt:variant>
      <vt:variant>
        <vt:lpwstr/>
      </vt:variant>
      <vt:variant>
        <vt:i4>7798799</vt:i4>
      </vt:variant>
      <vt:variant>
        <vt:i4>12</vt:i4>
      </vt:variant>
      <vt:variant>
        <vt:i4>0</vt:i4>
      </vt:variant>
      <vt:variant>
        <vt:i4>5</vt:i4>
      </vt:variant>
      <vt:variant>
        <vt:lpwstr>mailto:ntrevenue@nt.gov.au</vt:lpwstr>
      </vt:variant>
      <vt:variant>
        <vt:lpwstr/>
      </vt:variant>
      <vt:variant>
        <vt:i4>2883638</vt:i4>
      </vt:variant>
      <vt:variant>
        <vt:i4>9</vt:i4>
      </vt:variant>
      <vt:variant>
        <vt:i4>0</vt:i4>
      </vt:variant>
      <vt:variant>
        <vt:i4>5</vt:i4>
      </vt:variant>
      <vt:variant>
        <vt:lpwstr>http://www.treasury.nt.gov.au/PMS/Publications/TaxesRoyaltiesGrants/GeneralAdmin/CG-GEN-001.pdf</vt:lpwstr>
      </vt:variant>
      <vt:variant>
        <vt:lpwstr/>
      </vt:variant>
      <vt:variant>
        <vt:i4>3604520</vt:i4>
      </vt:variant>
      <vt:variant>
        <vt:i4>6</vt:i4>
      </vt:variant>
      <vt:variant>
        <vt:i4>0</vt:i4>
      </vt:variant>
      <vt:variant>
        <vt:i4>5</vt:i4>
      </vt:variant>
      <vt:variant>
        <vt:lpwstr>http://www.treasury.nt.gov.au/PMS/Publications/TaxesRoyaltiesGrants/StampDuty/CG-SD-010.pdf</vt:lpwstr>
      </vt:variant>
      <vt:variant>
        <vt:lpwstr/>
      </vt:variant>
      <vt:variant>
        <vt:i4>2883634</vt:i4>
      </vt:variant>
      <vt:variant>
        <vt:i4>3</vt:i4>
      </vt:variant>
      <vt:variant>
        <vt:i4>0</vt:i4>
      </vt:variant>
      <vt:variant>
        <vt:i4>5</vt:i4>
      </vt:variant>
      <vt:variant>
        <vt:lpwstr>http://www.treasury.nt.gov.au/PMS/Publications/TaxesRoyaltiesGrants/GeneralAdmin/CG-GEN-005.pdf</vt:lpwstr>
      </vt:variant>
      <vt:variant>
        <vt:lpwstr/>
      </vt:variant>
      <vt:variant>
        <vt:i4>3604520</vt:i4>
      </vt:variant>
      <vt:variant>
        <vt:i4>0</vt:i4>
      </vt:variant>
      <vt:variant>
        <vt:i4>0</vt:i4>
      </vt:variant>
      <vt:variant>
        <vt:i4>5</vt:i4>
      </vt:variant>
      <vt:variant>
        <vt:lpwstr>http://www.treasury.nt.gov.au/PMS/Publications/TaxesRoyaltiesGrants/StampDuty/CG-SD-010.pdf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Improvements on land built by the conveyee</dc:title>
  <dc:creator>eclark</dc:creator>
  <cp:lastModifiedBy>Jessica Symonds</cp:lastModifiedBy>
  <cp:revision>3</cp:revision>
  <cp:lastPrinted>2011-11-09T03:57:00Z</cp:lastPrinted>
  <dcterms:created xsi:type="dcterms:W3CDTF">2016-02-25T06:08:00Z</dcterms:created>
  <dcterms:modified xsi:type="dcterms:W3CDTF">2021-09-13T01:15:00Z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