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AB5" w:rsidRPr="00C27A0A" w:rsidRDefault="00DE64A9" w:rsidP="00982AB5">
      <w:pPr>
        <w:pStyle w:val="HeadingOne"/>
      </w:pPr>
      <w:r>
        <w:t>COMMISSIONER’S GUIDELINE</w:t>
      </w:r>
      <w:r w:rsidR="00513926">
        <w:t xml:space="preserve"> </w:t>
      </w:r>
    </w:p>
    <w:p w:rsidR="00C27A0A" w:rsidRPr="00C27A0A" w:rsidRDefault="00513926" w:rsidP="00C27A0A">
      <w:pPr>
        <w:pStyle w:val="HeadingOne"/>
      </w:pPr>
      <w:r>
        <w:t>CG</w:t>
      </w:r>
      <w:r w:rsidR="00C27A0A" w:rsidRPr="00C27A0A">
        <w:t>-</w:t>
      </w:r>
      <w:r w:rsidR="00982AB5">
        <w:t>SD-006</w:t>
      </w:r>
      <w:r>
        <w:t>:</w:t>
      </w:r>
      <w:r w:rsidR="00C27A0A" w:rsidRPr="00C27A0A">
        <w:t xml:space="preserve"> </w:t>
      </w:r>
      <w:r w:rsidR="00982AB5">
        <w:t>Stamp duty on general insurance – apportionment of premiums</w:t>
      </w:r>
    </w:p>
    <w:p w:rsidR="00C27A0A" w:rsidRDefault="00C27A0A" w:rsidP="00C27A0A">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0"/>
        <w:gridCol w:w="1848"/>
        <w:gridCol w:w="1710"/>
        <w:gridCol w:w="1842"/>
      </w:tblGrid>
      <w:tr w:rsidR="00F65356" w:rsidRPr="00EC4D59" w:rsidTr="00EC4D59">
        <w:trPr>
          <w:jc w:val="center"/>
        </w:trPr>
        <w:tc>
          <w:tcPr>
            <w:tcW w:w="1030" w:type="dxa"/>
            <w:vMerge w:val="restart"/>
          </w:tcPr>
          <w:p w:rsidR="00F65356" w:rsidRPr="00EC4D59" w:rsidRDefault="00F65356" w:rsidP="00EC4D59">
            <w:pPr>
              <w:jc w:val="center"/>
              <w:rPr>
                <w:b/>
                <w:sz w:val="18"/>
                <w:szCs w:val="18"/>
              </w:rPr>
            </w:pPr>
            <w:r w:rsidRPr="00EC4D59">
              <w:rPr>
                <w:b/>
                <w:sz w:val="18"/>
                <w:szCs w:val="18"/>
              </w:rPr>
              <w:t>Version</w:t>
            </w:r>
          </w:p>
        </w:tc>
        <w:tc>
          <w:tcPr>
            <w:tcW w:w="1848" w:type="dxa"/>
            <w:vMerge w:val="restart"/>
            <w:tcBorders>
              <w:right w:val="single" w:sz="4" w:space="0" w:color="auto"/>
            </w:tcBorders>
          </w:tcPr>
          <w:p w:rsidR="00F65356" w:rsidRPr="00EC4D59" w:rsidRDefault="00F65356" w:rsidP="00EC4D59">
            <w:pPr>
              <w:jc w:val="center"/>
              <w:rPr>
                <w:b/>
                <w:sz w:val="18"/>
                <w:szCs w:val="18"/>
              </w:rPr>
            </w:pPr>
            <w:r w:rsidRPr="00EC4D59">
              <w:rPr>
                <w:b/>
                <w:sz w:val="18"/>
                <w:szCs w:val="18"/>
              </w:rPr>
              <w:t>Issued</w:t>
            </w:r>
          </w:p>
        </w:tc>
        <w:tc>
          <w:tcPr>
            <w:tcW w:w="3552" w:type="dxa"/>
            <w:gridSpan w:val="2"/>
            <w:tcBorders>
              <w:top w:val="single" w:sz="4" w:space="0" w:color="auto"/>
              <w:left w:val="single" w:sz="4" w:space="0" w:color="auto"/>
              <w:bottom w:val="nil"/>
              <w:right w:val="single" w:sz="4" w:space="0" w:color="auto"/>
            </w:tcBorders>
          </w:tcPr>
          <w:p w:rsidR="00F65356" w:rsidRPr="00EC4D59" w:rsidRDefault="00F65356" w:rsidP="00EC4D59">
            <w:pPr>
              <w:jc w:val="center"/>
              <w:rPr>
                <w:b/>
                <w:sz w:val="18"/>
                <w:szCs w:val="18"/>
              </w:rPr>
            </w:pPr>
            <w:r w:rsidRPr="00EC4D59">
              <w:rPr>
                <w:b/>
                <w:sz w:val="18"/>
                <w:szCs w:val="18"/>
              </w:rPr>
              <w:t>Dates of Effect</w:t>
            </w:r>
          </w:p>
        </w:tc>
      </w:tr>
      <w:tr w:rsidR="00F65356" w:rsidRPr="00EC4D59" w:rsidTr="00EC4D59">
        <w:trPr>
          <w:jc w:val="center"/>
        </w:trPr>
        <w:tc>
          <w:tcPr>
            <w:tcW w:w="1030" w:type="dxa"/>
            <w:vMerge/>
          </w:tcPr>
          <w:p w:rsidR="00F65356" w:rsidRPr="00EC4D59" w:rsidRDefault="00F65356" w:rsidP="00EC4D59">
            <w:pPr>
              <w:jc w:val="center"/>
              <w:rPr>
                <w:sz w:val="18"/>
                <w:szCs w:val="18"/>
              </w:rPr>
            </w:pPr>
          </w:p>
        </w:tc>
        <w:tc>
          <w:tcPr>
            <w:tcW w:w="1848" w:type="dxa"/>
            <w:vMerge/>
            <w:tcBorders>
              <w:right w:val="single" w:sz="4" w:space="0" w:color="auto"/>
            </w:tcBorders>
          </w:tcPr>
          <w:p w:rsidR="00F65356" w:rsidRPr="00EC4D59" w:rsidRDefault="00F65356" w:rsidP="00EC4D59">
            <w:pPr>
              <w:jc w:val="center"/>
              <w:rPr>
                <w:sz w:val="18"/>
                <w:szCs w:val="18"/>
              </w:rPr>
            </w:pPr>
          </w:p>
        </w:tc>
        <w:tc>
          <w:tcPr>
            <w:tcW w:w="1710" w:type="dxa"/>
            <w:tcBorders>
              <w:top w:val="nil"/>
              <w:left w:val="single" w:sz="4" w:space="0" w:color="auto"/>
              <w:bottom w:val="single" w:sz="4" w:space="0" w:color="auto"/>
              <w:right w:val="nil"/>
            </w:tcBorders>
          </w:tcPr>
          <w:p w:rsidR="00F65356" w:rsidRPr="00EC4D59" w:rsidRDefault="00F65356" w:rsidP="00AD2225">
            <w:pPr>
              <w:rPr>
                <w:b/>
                <w:sz w:val="18"/>
                <w:szCs w:val="18"/>
              </w:rPr>
            </w:pPr>
            <w:r w:rsidRPr="00EC4D59">
              <w:rPr>
                <w:b/>
                <w:sz w:val="18"/>
                <w:szCs w:val="18"/>
              </w:rPr>
              <w:t>From:</w:t>
            </w:r>
          </w:p>
        </w:tc>
        <w:tc>
          <w:tcPr>
            <w:tcW w:w="1842" w:type="dxa"/>
            <w:tcBorders>
              <w:top w:val="nil"/>
              <w:left w:val="nil"/>
              <w:bottom w:val="single" w:sz="4" w:space="0" w:color="auto"/>
              <w:right w:val="single" w:sz="4" w:space="0" w:color="auto"/>
            </w:tcBorders>
          </w:tcPr>
          <w:p w:rsidR="00F65356" w:rsidRPr="00EC4D59" w:rsidRDefault="00F65356" w:rsidP="00AD2225">
            <w:pPr>
              <w:rPr>
                <w:b/>
                <w:sz w:val="18"/>
                <w:szCs w:val="18"/>
              </w:rPr>
            </w:pPr>
            <w:r w:rsidRPr="00EC4D59">
              <w:rPr>
                <w:b/>
                <w:sz w:val="18"/>
                <w:szCs w:val="18"/>
              </w:rPr>
              <w:t xml:space="preserve">To: </w:t>
            </w:r>
          </w:p>
        </w:tc>
      </w:tr>
      <w:tr w:rsidR="00982AB5" w:rsidRPr="00EC4D59" w:rsidTr="00EC4D59">
        <w:trPr>
          <w:jc w:val="center"/>
        </w:trPr>
        <w:tc>
          <w:tcPr>
            <w:tcW w:w="1030" w:type="dxa"/>
          </w:tcPr>
          <w:p w:rsidR="00982AB5" w:rsidRPr="00EC4D59" w:rsidRDefault="00982AB5" w:rsidP="00EC4D59">
            <w:pPr>
              <w:jc w:val="center"/>
              <w:rPr>
                <w:sz w:val="18"/>
                <w:szCs w:val="18"/>
              </w:rPr>
            </w:pPr>
            <w:r w:rsidRPr="00EC4D59">
              <w:rPr>
                <w:sz w:val="18"/>
                <w:szCs w:val="18"/>
              </w:rPr>
              <w:t>1</w:t>
            </w:r>
          </w:p>
        </w:tc>
        <w:tc>
          <w:tcPr>
            <w:tcW w:w="1848" w:type="dxa"/>
          </w:tcPr>
          <w:p w:rsidR="00982AB5" w:rsidRPr="00EC4D59" w:rsidRDefault="00982AB5" w:rsidP="00982AB5">
            <w:pPr>
              <w:rPr>
                <w:sz w:val="18"/>
                <w:szCs w:val="18"/>
              </w:rPr>
            </w:pPr>
            <w:r w:rsidRPr="00EC4D59">
              <w:rPr>
                <w:sz w:val="18"/>
                <w:szCs w:val="18"/>
              </w:rPr>
              <w:t>11 May 2005</w:t>
            </w:r>
          </w:p>
        </w:tc>
        <w:tc>
          <w:tcPr>
            <w:tcW w:w="1710" w:type="dxa"/>
            <w:tcBorders>
              <w:top w:val="single" w:sz="4" w:space="0" w:color="auto"/>
              <w:bottom w:val="single" w:sz="4" w:space="0" w:color="auto"/>
            </w:tcBorders>
          </w:tcPr>
          <w:p w:rsidR="00982AB5" w:rsidRPr="00EC4D59" w:rsidRDefault="00982AB5" w:rsidP="00982AB5">
            <w:pPr>
              <w:rPr>
                <w:sz w:val="18"/>
                <w:szCs w:val="18"/>
              </w:rPr>
            </w:pPr>
            <w:r w:rsidRPr="00EC4D59">
              <w:rPr>
                <w:sz w:val="18"/>
                <w:szCs w:val="18"/>
              </w:rPr>
              <w:t>11 May 2005</w:t>
            </w:r>
          </w:p>
        </w:tc>
        <w:tc>
          <w:tcPr>
            <w:tcW w:w="1842" w:type="dxa"/>
            <w:tcBorders>
              <w:top w:val="single" w:sz="4" w:space="0" w:color="auto"/>
              <w:bottom w:val="single" w:sz="4" w:space="0" w:color="auto"/>
            </w:tcBorders>
          </w:tcPr>
          <w:p w:rsidR="00982AB5" w:rsidRPr="00EC4D59" w:rsidRDefault="00982AB5" w:rsidP="00982AB5">
            <w:pPr>
              <w:rPr>
                <w:sz w:val="18"/>
                <w:szCs w:val="18"/>
              </w:rPr>
            </w:pPr>
            <w:r w:rsidRPr="00EC4D59">
              <w:rPr>
                <w:sz w:val="18"/>
                <w:szCs w:val="18"/>
              </w:rPr>
              <w:t>31 December 2007</w:t>
            </w:r>
          </w:p>
        </w:tc>
      </w:tr>
      <w:tr w:rsidR="00982AB5" w:rsidRPr="00EC4D59" w:rsidTr="00EC4D59">
        <w:trPr>
          <w:jc w:val="center"/>
        </w:trPr>
        <w:tc>
          <w:tcPr>
            <w:tcW w:w="1030" w:type="dxa"/>
          </w:tcPr>
          <w:p w:rsidR="00982AB5" w:rsidRPr="00EC4D59" w:rsidRDefault="00982AB5" w:rsidP="00EC4D59">
            <w:pPr>
              <w:jc w:val="center"/>
              <w:rPr>
                <w:sz w:val="18"/>
                <w:szCs w:val="18"/>
              </w:rPr>
            </w:pPr>
            <w:r w:rsidRPr="00EC4D59">
              <w:rPr>
                <w:sz w:val="18"/>
                <w:szCs w:val="18"/>
              </w:rPr>
              <w:t>2</w:t>
            </w:r>
          </w:p>
        </w:tc>
        <w:tc>
          <w:tcPr>
            <w:tcW w:w="1848" w:type="dxa"/>
          </w:tcPr>
          <w:p w:rsidR="00982AB5" w:rsidRPr="00EC4D59" w:rsidRDefault="00982AB5" w:rsidP="00982AB5">
            <w:pPr>
              <w:rPr>
                <w:sz w:val="18"/>
                <w:szCs w:val="18"/>
              </w:rPr>
            </w:pPr>
            <w:r w:rsidRPr="00EC4D59">
              <w:rPr>
                <w:sz w:val="18"/>
                <w:szCs w:val="18"/>
              </w:rPr>
              <w:t>2 January 2008</w:t>
            </w:r>
          </w:p>
        </w:tc>
        <w:tc>
          <w:tcPr>
            <w:tcW w:w="1710" w:type="dxa"/>
            <w:tcBorders>
              <w:top w:val="single" w:sz="4" w:space="0" w:color="auto"/>
              <w:bottom w:val="single" w:sz="4" w:space="0" w:color="auto"/>
            </w:tcBorders>
          </w:tcPr>
          <w:p w:rsidR="00982AB5" w:rsidRPr="00EC4D59" w:rsidRDefault="00982AB5" w:rsidP="00982AB5">
            <w:pPr>
              <w:rPr>
                <w:sz w:val="18"/>
                <w:szCs w:val="18"/>
              </w:rPr>
            </w:pPr>
            <w:r w:rsidRPr="00EC4D59">
              <w:rPr>
                <w:sz w:val="18"/>
                <w:szCs w:val="18"/>
              </w:rPr>
              <w:t>1 January 2008</w:t>
            </w:r>
          </w:p>
        </w:tc>
        <w:tc>
          <w:tcPr>
            <w:tcW w:w="1842" w:type="dxa"/>
            <w:tcBorders>
              <w:top w:val="single" w:sz="4" w:space="0" w:color="auto"/>
              <w:bottom w:val="single" w:sz="4" w:space="0" w:color="auto"/>
            </w:tcBorders>
          </w:tcPr>
          <w:p w:rsidR="00982AB5" w:rsidRPr="00EC4D59" w:rsidRDefault="00982AB5" w:rsidP="00982AB5">
            <w:pPr>
              <w:rPr>
                <w:sz w:val="18"/>
                <w:szCs w:val="18"/>
              </w:rPr>
            </w:pPr>
            <w:r w:rsidRPr="00EC4D59">
              <w:rPr>
                <w:sz w:val="18"/>
                <w:szCs w:val="18"/>
              </w:rPr>
              <w:t>30 June 2008</w:t>
            </w:r>
          </w:p>
        </w:tc>
      </w:tr>
      <w:tr w:rsidR="00982AB5" w:rsidRPr="00EC4D59" w:rsidTr="00EC4D59">
        <w:trPr>
          <w:jc w:val="center"/>
        </w:trPr>
        <w:tc>
          <w:tcPr>
            <w:tcW w:w="1030" w:type="dxa"/>
          </w:tcPr>
          <w:p w:rsidR="00982AB5" w:rsidRPr="00EC4D59" w:rsidRDefault="00982AB5" w:rsidP="00EC4D59">
            <w:pPr>
              <w:jc w:val="center"/>
              <w:rPr>
                <w:sz w:val="18"/>
                <w:szCs w:val="18"/>
              </w:rPr>
            </w:pPr>
            <w:r w:rsidRPr="00EC4D59">
              <w:rPr>
                <w:sz w:val="18"/>
                <w:szCs w:val="18"/>
              </w:rPr>
              <w:t>3</w:t>
            </w:r>
          </w:p>
        </w:tc>
        <w:tc>
          <w:tcPr>
            <w:tcW w:w="1848" w:type="dxa"/>
          </w:tcPr>
          <w:p w:rsidR="00982AB5" w:rsidRPr="00EC4D59" w:rsidRDefault="00982AB5" w:rsidP="00982AB5">
            <w:pPr>
              <w:rPr>
                <w:sz w:val="18"/>
                <w:szCs w:val="18"/>
              </w:rPr>
            </w:pPr>
            <w:r w:rsidRPr="00EC4D59">
              <w:rPr>
                <w:sz w:val="18"/>
                <w:szCs w:val="18"/>
              </w:rPr>
              <w:t>25 August 2008</w:t>
            </w:r>
          </w:p>
        </w:tc>
        <w:tc>
          <w:tcPr>
            <w:tcW w:w="1710" w:type="dxa"/>
            <w:tcBorders>
              <w:top w:val="single" w:sz="4" w:space="0" w:color="auto"/>
            </w:tcBorders>
          </w:tcPr>
          <w:p w:rsidR="00982AB5" w:rsidRPr="00EC4D59" w:rsidRDefault="00982AB5" w:rsidP="00982AB5">
            <w:pPr>
              <w:rPr>
                <w:sz w:val="18"/>
                <w:szCs w:val="18"/>
              </w:rPr>
            </w:pPr>
            <w:r w:rsidRPr="00EC4D59">
              <w:rPr>
                <w:sz w:val="18"/>
                <w:szCs w:val="18"/>
              </w:rPr>
              <w:t>1 July 2008</w:t>
            </w:r>
          </w:p>
        </w:tc>
        <w:tc>
          <w:tcPr>
            <w:tcW w:w="1842" w:type="dxa"/>
            <w:tcBorders>
              <w:top w:val="single" w:sz="4" w:space="0" w:color="auto"/>
            </w:tcBorders>
          </w:tcPr>
          <w:p w:rsidR="00982AB5" w:rsidRPr="00EC4D59" w:rsidRDefault="00982AB5" w:rsidP="00982AB5">
            <w:pPr>
              <w:rPr>
                <w:sz w:val="18"/>
                <w:szCs w:val="18"/>
              </w:rPr>
            </w:pPr>
            <w:r w:rsidRPr="00EC4D59">
              <w:rPr>
                <w:sz w:val="18"/>
                <w:szCs w:val="18"/>
              </w:rPr>
              <w:t>Current</w:t>
            </w:r>
          </w:p>
        </w:tc>
      </w:tr>
    </w:tbl>
    <w:p w:rsidR="00982AB5" w:rsidRPr="00982AB5" w:rsidRDefault="00982AB5" w:rsidP="00982AB5">
      <w:pPr>
        <w:pStyle w:val="HeadingTwo"/>
      </w:pPr>
      <w:r w:rsidRPr="00C011D7">
        <w:t>Purpose</w:t>
      </w:r>
    </w:p>
    <w:p w:rsidR="00982AB5" w:rsidRPr="00982AB5" w:rsidRDefault="00982AB5" w:rsidP="00982AB5">
      <w:pPr>
        <w:pStyle w:val="BlockText"/>
      </w:pPr>
      <w:r w:rsidRPr="00C011D7">
        <w:t xml:space="preserve">This Guideline details the Schedule of Apportionment under section 49B of the </w:t>
      </w:r>
      <w:r w:rsidRPr="00C011D7">
        <w:rPr>
          <w:i/>
        </w:rPr>
        <w:t>Stamp Duty Act</w:t>
      </w:r>
      <w:r w:rsidRPr="00C011D7">
        <w:t xml:space="preserve"> (SDA) for the purpose of apportioning premiums for insurance, premiums paid for specific classes of insurance and other amounts in relation to insurance in accordance with Part 3, Division 7A of the SDA.</w:t>
      </w:r>
    </w:p>
    <w:p w:rsidR="00982AB5" w:rsidRPr="00982AB5" w:rsidRDefault="00982AB5" w:rsidP="00982AB5">
      <w:pPr>
        <w:pStyle w:val="HeadingTwo"/>
      </w:pPr>
      <w:r w:rsidRPr="00C011D7">
        <w:t>Stamp duty on insurance</w:t>
      </w:r>
    </w:p>
    <w:p w:rsidR="00982AB5" w:rsidRPr="00982AB5" w:rsidRDefault="00982AB5" w:rsidP="00982AB5">
      <w:pPr>
        <w:pStyle w:val="BlockText"/>
      </w:pPr>
      <w:r w:rsidRPr="00C011D7">
        <w:t>Stamp duty is charged on the amount of the premium paid in relation to a policy of general insurance (insurance other than life insurance), where the insurance is in respect of:</w:t>
      </w:r>
    </w:p>
    <w:p w:rsidR="00982AB5" w:rsidRPr="00C011D7" w:rsidRDefault="00982AB5" w:rsidP="00982AB5">
      <w:pPr>
        <w:pStyle w:val="BlockText"/>
        <w:numPr>
          <w:ilvl w:val="1"/>
          <w:numId w:val="3"/>
        </w:numPr>
      </w:pPr>
      <w:r w:rsidRPr="00C011D7">
        <w:t xml:space="preserve">property in the </w:t>
      </w:r>
      <w:smartTag w:uri="urn:schemas-microsoft-com:office:smarttags" w:element="State">
        <w:smartTag w:uri="urn:schemas-microsoft-com:office:smarttags" w:element="place">
          <w:r w:rsidRPr="00C011D7">
            <w:t>Northern Territory</w:t>
          </w:r>
        </w:smartTag>
      </w:smartTag>
      <w:r w:rsidRPr="00C011D7">
        <w:t xml:space="preserve">; or </w:t>
      </w:r>
    </w:p>
    <w:p w:rsidR="00982AB5" w:rsidRPr="00982AB5" w:rsidRDefault="00982AB5" w:rsidP="00982AB5">
      <w:pPr>
        <w:pStyle w:val="BlockText"/>
        <w:numPr>
          <w:ilvl w:val="1"/>
          <w:numId w:val="3"/>
        </w:numPr>
      </w:pPr>
      <w:r w:rsidRPr="00C011D7">
        <w:t>a risk, contingency or event concerning an act or omission that, in the normal course of events, may occur within or partly within the Territory.</w:t>
      </w:r>
      <w:r w:rsidRPr="00A34031">
        <w:rPr>
          <w:rStyle w:val="FootnoteReference"/>
          <w:sz w:val="24"/>
          <w:szCs w:val="24"/>
        </w:rPr>
        <w:footnoteReference w:id="1"/>
      </w:r>
    </w:p>
    <w:p w:rsidR="00982AB5" w:rsidRPr="00982AB5" w:rsidRDefault="00982AB5" w:rsidP="00982AB5">
      <w:pPr>
        <w:pStyle w:val="BlockText"/>
      </w:pPr>
      <w:r w:rsidRPr="00C011D7">
        <w:t>The SDA provides that the Commissioner of Territory Revenue</w:t>
      </w:r>
      <w:r w:rsidR="00A34031">
        <w:t xml:space="preserve"> (the Commissioner)</w:t>
      </w:r>
      <w:r w:rsidRPr="00C011D7">
        <w:t xml:space="preserve"> may adopt a Schedule of Apportionment for the purpose of apportioning premiums for insurance, or premiums paid for specific classes of and other amounts in relation to insurance in respect of:</w:t>
      </w:r>
    </w:p>
    <w:p w:rsidR="00982AB5" w:rsidRPr="00C011D7" w:rsidRDefault="00982AB5" w:rsidP="00982AB5">
      <w:pPr>
        <w:pStyle w:val="BlockText"/>
        <w:numPr>
          <w:ilvl w:val="1"/>
          <w:numId w:val="3"/>
        </w:numPr>
      </w:pPr>
      <w:r w:rsidRPr="00C011D7">
        <w:t>property in the Territory and in another place; and</w:t>
      </w:r>
    </w:p>
    <w:p w:rsidR="00982AB5" w:rsidRPr="00982AB5" w:rsidRDefault="00982AB5" w:rsidP="00982AB5">
      <w:pPr>
        <w:pStyle w:val="BlockText"/>
        <w:numPr>
          <w:ilvl w:val="1"/>
          <w:numId w:val="3"/>
        </w:numPr>
      </w:pPr>
      <w:r w:rsidRPr="00C011D7">
        <w:t>a risk, contingency or event concerning an act or omission that, in the normal course of events, may occur in the Territory and another place.</w:t>
      </w:r>
      <w:r w:rsidRPr="00A34031">
        <w:rPr>
          <w:rStyle w:val="FootnoteReference"/>
          <w:sz w:val="24"/>
          <w:szCs w:val="24"/>
        </w:rPr>
        <w:footnoteReference w:id="2"/>
      </w:r>
    </w:p>
    <w:p w:rsidR="00982AB5" w:rsidRPr="00982AB5" w:rsidRDefault="00982AB5" w:rsidP="00982AB5">
      <w:pPr>
        <w:pStyle w:val="HeadingTwo"/>
      </w:pPr>
      <w:r w:rsidRPr="00C011D7">
        <w:t xml:space="preserve">Basis of Apportionment </w:t>
      </w:r>
    </w:p>
    <w:p w:rsidR="00982AB5" w:rsidRPr="00C011D7" w:rsidRDefault="00982AB5" w:rsidP="00982AB5">
      <w:pPr>
        <w:pStyle w:val="BlockText"/>
      </w:pPr>
      <w:r w:rsidRPr="00C011D7">
        <w:t>An insurer must apportion all premiums paid in relation to a policy of insurance that effects general insurance in accordance with the attached Schedule of Apportionment.</w:t>
      </w:r>
      <w:r w:rsidRPr="00A34031">
        <w:rPr>
          <w:rStyle w:val="FootnoteReference"/>
          <w:sz w:val="24"/>
          <w:szCs w:val="24"/>
        </w:rPr>
        <w:footnoteReference w:id="3"/>
      </w:r>
      <w:r w:rsidRPr="00A34031">
        <w:t xml:space="preserve"> </w:t>
      </w:r>
      <w:r w:rsidRPr="00C011D7">
        <w:t>However, an insurer may apply in writing to the Commissioner to apportion a premium or an amount on a basis other than that provided by the Schedule of Apportionment and the Commissioner may apportion the premium or amount on the other basis.</w:t>
      </w:r>
      <w:r w:rsidRPr="00A34031">
        <w:rPr>
          <w:rStyle w:val="FootnoteReference"/>
          <w:sz w:val="24"/>
          <w:szCs w:val="24"/>
        </w:rPr>
        <w:footnoteReference w:id="4"/>
      </w:r>
    </w:p>
    <w:p w:rsidR="00982AB5" w:rsidRPr="00C011D7" w:rsidRDefault="00982AB5" w:rsidP="00982AB5">
      <w:pPr>
        <w:pStyle w:val="BlockText"/>
      </w:pPr>
      <w:r w:rsidRPr="00C011D7">
        <w:lastRenderedPageBreak/>
        <w:t>If the Commissioner is not satisfied that a premium paid or another amount in relation to a policy of insurance has been properly apportioned for each risk insured, the Commissioner may determine the apportionment, reassess the liability to duty and charge interest and penalty tax accordingly.</w:t>
      </w:r>
      <w:r w:rsidRPr="00A34031">
        <w:rPr>
          <w:rStyle w:val="FootnoteReference"/>
          <w:sz w:val="24"/>
          <w:szCs w:val="24"/>
        </w:rPr>
        <w:footnoteReference w:id="5"/>
      </w:r>
    </w:p>
    <w:p w:rsidR="00982AB5" w:rsidRPr="00C011D7" w:rsidRDefault="00982AB5" w:rsidP="00982AB5">
      <w:pPr>
        <w:pStyle w:val="BlockText"/>
      </w:pPr>
      <w:r w:rsidRPr="00C011D7">
        <w:t xml:space="preserve">Where the Schedule indicates that alternative methods of apportionment are available, the ‘policy measuring factor’ used in calculating the premium should be used. The policy measuring factor is the factor used as a basis for establishing the risk/premium under an insurance policy. For example, where a public liability policy is based on floor area units, then duty should be apportioned in the same manner. </w:t>
      </w:r>
    </w:p>
    <w:p w:rsidR="00982AB5" w:rsidRPr="00C011D7" w:rsidRDefault="00982AB5" w:rsidP="00982AB5">
      <w:pPr>
        <w:pStyle w:val="BlockText"/>
      </w:pPr>
      <w:r w:rsidRPr="00C011D7">
        <w:t>A general insurer should refer any new policies that are not covered by the Schedule to the Insurance Council of Australia prior to the issue of the policy. This will enable the apportionment method to be determined by the States and Territories in consultation with Insurance Council of Australia. The new policy will then be included in the Insurance Council of Australia Conspectus, which is published annually.</w:t>
      </w:r>
    </w:p>
    <w:p w:rsidR="006034B6" w:rsidRDefault="00513926" w:rsidP="006034B6">
      <w:pPr>
        <w:pStyle w:val="HeadingTwo"/>
      </w:pPr>
      <w:r>
        <w:t>Commissioner’s Guidelines</w:t>
      </w:r>
    </w:p>
    <w:p w:rsidR="00206981" w:rsidRPr="002D6D82" w:rsidRDefault="00513926" w:rsidP="00206981">
      <w:pPr>
        <w:pStyle w:val="BlockText"/>
      </w:pPr>
      <w:r w:rsidRPr="002D6D82">
        <w:t>Co</w:t>
      </w:r>
      <w:r>
        <w:t xml:space="preserve">mmissioner’s Guideline </w:t>
      </w:r>
      <w:hyperlink r:id="rId10" w:history="1">
        <w:r w:rsidR="00911CFC">
          <w:rPr>
            <w:rStyle w:val="Hyperlink"/>
          </w:rPr>
          <w:t>CG-GEN-001</w:t>
        </w:r>
      </w:hyperlink>
      <w:r w:rsidRPr="002D6D82">
        <w:t>, which sets out information on the revenue publication system, is incorporated into and is to be read as one with this Guideline.</w:t>
      </w:r>
      <w:r>
        <w:t xml:space="preserve"> </w:t>
      </w:r>
      <w:r w:rsidRPr="00987211">
        <w:t xml:space="preserve">All Circulars and Guidelines are available from </w:t>
      </w:r>
      <w:r w:rsidR="00196C1B">
        <w:t xml:space="preserve">the </w:t>
      </w:r>
      <w:r w:rsidR="00A34031">
        <w:t>Territory Revenue Office</w:t>
      </w:r>
      <w:r w:rsidRPr="00987211">
        <w:t xml:space="preserve"> website.</w:t>
      </w:r>
    </w:p>
    <w:p w:rsidR="00F65356" w:rsidRDefault="00F65356" w:rsidP="00F65356">
      <w:pPr>
        <w:pStyle w:val="HeadingTwo"/>
      </w:pPr>
      <w:r>
        <w:t>Date of effect</w:t>
      </w:r>
    </w:p>
    <w:p w:rsidR="00F65356" w:rsidRDefault="00F65356" w:rsidP="00A34031">
      <w:pPr>
        <w:pStyle w:val="BlockText"/>
        <w:numPr>
          <w:ilvl w:val="0"/>
          <w:numId w:val="0"/>
        </w:numPr>
      </w:pPr>
      <w:r>
        <w:t>This version of the Gui</w:t>
      </w:r>
      <w:r w:rsidR="00982AB5">
        <w:t>deline takes effect from 1 July 2008</w:t>
      </w:r>
      <w:r w:rsidR="00A34031">
        <w:t>.</w:t>
      </w:r>
    </w:p>
    <w:p w:rsidR="006034B6" w:rsidRDefault="006034B6" w:rsidP="006034B6"/>
    <w:p w:rsidR="00364D5F" w:rsidRDefault="00AA774E" w:rsidP="006034B6">
      <w:r>
        <w:rPr>
          <w:noProof/>
        </w:rPr>
        <w:drawing>
          <wp:inline distT="0" distB="0" distL="0" distR="0">
            <wp:extent cx="2390775"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495300"/>
                    </a:xfrm>
                    <a:prstGeom prst="rect">
                      <a:avLst/>
                    </a:prstGeom>
                    <a:noFill/>
                    <a:ln>
                      <a:noFill/>
                    </a:ln>
                  </pic:spPr>
                </pic:pic>
              </a:graphicData>
            </a:graphic>
          </wp:inline>
        </w:drawing>
      </w:r>
    </w:p>
    <w:p w:rsidR="006034B6" w:rsidRDefault="00982AB5" w:rsidP="006034B6">
      <w:r>
        <w:t>Craig Vukman</w:t>
      </w:r>
    </w:p>
    <w:p w:rsidR="006034B6" w:rsidRPr="005247E5" w:rsidRDefault="005247E5" w:rsidP="006034B6">
      <w:pPr>
        <w:rPr>
          <w:b/>
        </w:rPr>
      </w:pPr>
      <w:r w:rsidRPr="005247E5">
        <w:rPr>
          <w:b/>
        </w:rPr>
        <w:t>COMMISSIONER OF TERRITORY REVENUE</w:t>
      </w:r>
    </w:p>
    <w:p w:rsidR="006034B6" w:rsidRDefault="006034B6" w:rsidP="006034B6"/>
    <w:p w:rsidR="006034B6" w:rsidRDefault="006034B6" w:rsidP="006034B6">
      <w:r>
        <w:t>Date of Issue:</w:t>
      </w:r>
      <w:r w:rsidR="00982AB5">
        <w:tab/>
      </w:r>
      <w:r w:rsidR="00982AB5">
        <w:tab/>
        <w:t>25 August 2008</w:t>
      </w:r>
    </w:p>
    <w:p w:rsidR="006034B6" w:rsidRDefault="006034B6" w:rsidP="006034B6"/>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6034B6" w:rsidRPr="00EC4D59" w:rsidTr="00EC4D59">
        <w:tc>
          <w:tcPr>
            <w:tcW w:w="9854" w:type="dxa"/>
            <w:gridSpan w:val="2"/>
          </w:tcPr>
          <w:p w:rsidR="006034B6" w:rsidRPr="00EC4D59" w:rsidRDefault="006034B6" w:rsidP="006034B6">
            <w:pPr>
              <w:rPr>
                <w:sz w:val="20"/>
              </w:rPr>
            </w:pPr>
            <w:r w:rsidRPr="00EC4D59">
              <w:rPr>
                <w:sz w:val="20"/>
              </w:rPr>
              <w:t>For further information please contact the Territory Revenue Office:</w:t>
            </w:r>
          </w:p>
        </w:tc>
      </w:tr>
      <w:tr w:rsidR="006034B6" w:rsidRPr="00EC4D59" w:rsidTr="00EC4D59">
        <w:tc>
          <w:tcPr>
            <w:tcW w:w="4927" w:type="dxa"/>
          </w:tcPr>
          <w:p w:rsidR="006034B6" w:rsidRPr="00EC4D59" w:rsidRDefault="003D45AD" w:rsidP="006034B6">
            <w:pPr>
              <w:rPr>
                <w:sz w:val="20"/>
              </w:rPr>
            </w:pPr>
            <w:r>
              <w:rPr>
                <w:sz w:val="20"/>
              </w:rPr>
              <w:t>GPO Box 197</w:t>
            </w:r>
            <w:bookmarkStart w:id="0" w:name="_GoBack"/>
            <w:bookmarkEnd w:id="0"/>
            <w:r w:rsidR="006034B6" w:rsidRPr="00EC4D59">
              <w:rPr>
                <w:sz w:val="20"/>
              </w:rPr>
              <w:t>4</w:t>
            </w:r>
          </w:p>
          <w:p w:rsidR="006034B6" w:rsidRPr="00EC4D59" w:rsidRDefault="006034B6" w:rsidP="006034B6">
            <w:pPr>
              <w:rPr>
                <w:sz w:val="20"/>
              </w:rPr>
            </w:pPr>
            <w:r w:rsidRPr="00EC4D59">
              <w:rPr>
                <w:sz w:val="20"/>
              </w:rPr>
              <w:t>Darwin  NT  0801</w:t>
            </w:r>
          </w:p>
          <w:p w:rsidR="006034B6" w:rsidRPr="00EC4D59" w:rsidRDefault="006034B6" w:rsidP="00EC4D59">
            <w:pPr>
              <w:pStyle w:val="BlockText"/>
              <w:numPr>
                <w:ilvl w:val="0"/>
                <w:numId w:val="0"/>
              </w:numPr>
              <w:rPr>
                <w:sz w:val="20"/>
              </w:rPr>
            </w:pPr>
            <w:r w:rsidRPr="00EC4D59">
              <w:rPr>
                <w:sz w:val="20"/>
              </w:rPr>
              <w:t xml:space="preserve">Email: </w:t>
            </w:r>
            <w:hyperlink r:id="rId12" w:history="1">
              <w:r w:rsidR="006B715F" w:rsidRPr="00B57FAC">
                <w:rPr>
                  <w:rStyle w:val="Hyperlink"/>
                  <w:sz w:val="20"/>
                </w:rPr>
                <w:t>ntrevenue@nt.gov.au</w:t>
              </w:r>
            </w:hyperlink>
          </w:p>
        </w:tc>
        <w:tc>
          <w:tcPr>
            <w:tcW w:w="4927" w:type="dxa"/>
          </w:tcPr>
          <w:p w:rsidR="006034B6" w:rsidRPr="00EC4D59" w:rsidRDefault="006034B6" w:rsidP="006034B6">
            <w:pPr>
              <w:rPr>
                <w:sz w:val="20"/>
              </w:rPr>
            </w:pPr>
            <w:r w:rsidRPr="00EC4D59">
              <w:rPr>
                <w:sz w:val="20"/>
              </w:rPr>
              <w:t>Phone: 1300 305 353</w:t>
            </w:r>
          </w:p>
          <w:p w:rsidR="006034B6" w:rsidRPr="00EC4D59" w:rsidRDefault="006034B6" w:rsidP="006034B6">
            <w:pPr>
              <w:rPr>
                <w:sz w:val="20"/>
              </w:rPr>
            </w:pPr>
            <w:r w:rsidRPr="00EC4D59">
              <w:rPr>
                <w:sz w:val="20"/>
              </w:rPr>
              <w:t xml:space="preserve">Website: </w:t>
            </w:r>
            <w:hyperlink r:id="rId13" w:history="1">
              <w:r w:rsidRPr="00EC4D59">
                <w:rPr>
                  <w:rStyle w:val="Hyperlink"/>
                  <w:sz w:val="20"/>
                </w:rPr>
                <w:t>www.revenue.nt.gov.au</w:t>
              </w:r>
            </w:hyperlink>
          </w:p>
        </w:tc>
      </w:tr>
    </w:tbl>
    <w:p w:rsidR="00982AB5" w:rsidRDefault="00982AB5" w:rsidP="00982AB5">
      <w:pPr>
        <w:pStyle w:val="Subheading1"/>
        <w:spacing w:before="0" w:after="120" w:line="240" w:lineRule="auto"/>
      </w:pPr>
    </w:p>
    <w:p w:rsidR="00982AB5" w:rsidRDefault="00982AB5" w:rsidP="00982AB5">
      <w:pPr>
        <w:pStyle w:val="Subheading1"/>
        <w:spacing w:before="0" w:after="120" w:line="240" w:lineRule="auto"/>
      </w:pPr>
      <w:r>
        <w:br w:type="page"/>
      </w:r>
    </w:p>
    <w:p w:rsidR="00982AB5" w:rsidRPr="00C011D7" w:rsidRDefault="00982AB5" w:rsidP="001F7112">
      <w:pPr>
        <w:pStyle w:val="HeadingOne"/>
      </w:pPr>
      <w:smartTag w:uri="urn:schemas-microsoft-com:office:smarttags" w:element="place">
        <w:smartTag w:uri="urn:schemas-microsoft-com:office:smarttags" w:element="State">
          <w:r w:rsidRPr="00C011D7">
            <w:lastRenderedPageBreak/>
            <w:t>Northern Territory</w:t>
          </w:r>
        </w:smartTag>
      </w:smartTag>
      <w:r w:rsidRPr="00C011D7">
        <w:t xml:space="preserve"> Stamp Duty Act:</w:t>
      </w:r>
    </w:p>
    <w:p w:rsidR="00982AB5" w:rsidRPr="001F7112" w:rsidRDefault="00982AB5" w:rsidP="001F7112">
      <w:pPr>
        <w:pStyle w:val="HeadingOne"/>
      </w:pPr>
      <w:r w:rsidRPr="00C011D7">
        <w:t>Section 49B – Schedule of Apportionment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520"/>
      </w:tblGrid>
      <w:tr w:rsidR="00982AB5" w:rsidRPr="00EC4D59" w:rsidTr="00EC4D59">
        <w:tc>
          <w:tcPr>
            <w:tcW w:w="2802" w:type="dxa"/>
          </w:tcPr>
          <w:p w:rsidR="00982AB5" w:rsidRPr="00EC4D59" w:rsidRDefault="00982AB5" w:rsidP="00EC4D59">
            <w:pPr>
              <w:spacing w:before="120" w:after="120"/>
              <w:rPr>
                <w:b/>
                <w:szCs w:val="22"/>
              </w:rPr>
            </w:pPr>
            <w:r w:rsidRPr="00EC4D59">
              <w:rPr>
                <w:b/>
                <w:szCs w:val="22"/>
              </w:rPr>
              <w:t>Class of Insurance</w:t>
            </w:r>
          </w:p>
        </w:tc>
        <w:tc>
          <w:tcPr>
            <w:tcW w:w="6520" w:type="dxa"/>
          </w:tcPr>
          <w:p w:rsidR="00982AB5" w:rsidRPr="00EC4D59" w:rsidRDefault="00982AB5" w:rsidP="00EC4D59">
            <w:pPr>
              <w:spacing w:before="120" w:after="120"/>
              <w:jc w:val="center"/>
              <w:rPr>
                <w:b/>
                <w:szCs w:val="22"/>
              </w:rPr>
            </w:pPr>
            <w:r w:rsidRPr="00EC4D59">
              <w:rPr>
                <w:b/>
                <w:szCs w:val="22"/>
              </w:rPr>
              <w:t>Agreed basis of apportionment</w:t>
            </w:r>
          </w:p>
        </w:tc>
      </w:tr>
      <w:tr w:rsidR="00982AB5" w:rsidRPr="00EC4D59" w:rsidTr="00EC4D59">
        <w:tc>
          <w:tcPr>
            <w:tcW w:w="2802" w:type="dxa"/>
          </w:tcPr>
          <w:p w:rsidR="00982AB5" w:rsidRPr="00EC4D59" w:rsidRDefault="00982AB5" w:rsidP="00EC4D59">
            <w:pPr>
              <w:spacing w:before="120"/>
              <w:rPr>
                <w:szCs w:val="22"/>
              </w:rPr>
            </w:pPr>
            <w:r w:rsidRPr="00EC4D59">
              <w:rPr>
                <w:szCs w:val="22"/>
              </w:rPr>
              <w:t xml:space="preserve">Aviation </w:t>
            </w:r>
            <w:smartTag w:uri="urn:schemas-microsoft-com:office:smarttags" w:element="place">
              <w:smartTag w:uri="urn:schemas-microsoft-com:office:smarttags" w:element="City">
                <w:r w:rsidRPr="00EC4D59">
                  <w:rPr>
                    <w:szCs w:val="22"/>
                  </w:rPr>
                  <w:t>Hull</w:t>
                </w:r>
              </w:smartTag>
            </w:smartTag>
            <w:r w:rsidRPr="00EC4D59">
              <w:rPr>
                <w:szCs w:val="22"/>
              </w:rPr>
              <w:t>,</w:t>
            </w:r>
          </w:p>
          <w:p w:rsidR="00982AB5" w:rsidRPr="00EC4D59" w:rsidRDefault="00982AB5" w:rsidP="00F16CAC">
            <w:pPr>
              <w:rPr>
                <w:szCs w:val="22"/>
              </w:rPr>
            </w:pPr>
            <w:r w:rsidRPr="00EC4D59">
              <w:rPr>
                <w:szCs w:val="22"/>
              </w:rPr>
              <w:t xml:space="preserve">Aviation </w:t>
            </w:r>
            <w:smartTag w:uri="urn:schemas-microsoft-com:office:smarttags" w:element="place">
              <w:smartTag w:uri="urn:schemas-microsoft-com:office:smarttags" w:element="City">
                <w:r w:rsidRPr="00EC4D59">
                  <w:rPr>
                    <w:szCs w:val="22"/>
                  </w:rPr>
                  <w:t>Hull</w:t>
                </w:r>
              </w:smartTag>
            </w:smartTag>
            <w:r w:rsidRPr="00EC4D59">
              <w:rPr>
                <w:szCs w:val="22"/>
              </w:rPr>
              <w:t xml:space="preserve"> Third Party Property Liability and </w:t>
            </w:r>
          </w:p>
          <w:p w:rsidR="00982AB5" w:rsidRPr="00EC4D59" w:rsidRDefault="00982AB5" w:rsidP="00F16CAC">
            <w:pPr>
              <w:rPr>
                <w:szCs w:val="22"/>
              </w:rPr>
            </w:pPr>
            <w:r w:rsidRPr="00EC4D59">
              <w:rPr>
                <w:szCs w:val="22"/>
              </w:rPr>
              <w:t xml:space="preserve">Aviation </w:t>
            </w:r>
            <w:smartTag w:uri="urn:schemas-microsoft-com:office:smarttags" w:element="place">
              <w:smartTag w:uri="urn:schemas-microsoft-com:office:smarttags" w:element="City">
                <w:r w:rsidRPr="00EC4D59">
                  <w:rPr>
                    <w:szCs w:val="22"/>
                  </w:rPr>
                  <w:t>Hull</w:t>
                </w:r>
              </w:smartTag>
            </w:smartTag>
            <w:r w:rsidRPr="00EC4D59">
              <w:rPr>
                <w:szCs w:val="22"/>
              </w:rPr>
              <w:t xml:space="preserve"> Personal Liability </w:t>
            </w:r>
          </w:p>
        </w:tc>
        <w:tc>
          <w:tcPr>
            <w:tcW w:w="6520" w:type="dxa"/>
          </w:tcPr>
          <w:p w:rsidR="00982AB5" w:rsidRPr="00EC4D59" w:rsidRDefault="00982AB5" w:rsidP="00EC4D59">
            <w:pPr>
              <w:spacing w:before="120" w:after="120"/>
              <w:jc w:val="both"/>
              <w:rPr>
                <w:szCs w:val="22"/>
              </w:rPr>
            </w:pPr>
            <w:r w:rsidRPr="00EC4D59">
              <w:rPr>
                <w:szCs w:val="22"/>
              </w:rPr>
              <w:t>Where the aircraft, the subject of insurance, is a high capacity regular public transport aircraft, apportioned on the basis of actual take-offs and landings in the previous year in each jurisdiction of all aircraft covered by the policy.</w:t>
            </w:r>
          </w:p>
          <w:p w:rsidR="00982AB5" w:rsidRPr="00EC4D59" w:rsidRDefault="00982AB5" w:rsidP="00EC4D59">
            <w:pPr>
              <w:spacing w:before="120" w:after="120"/>
              <w:jc w:val="both"/>
              <w:rPr>
                <w:szCs w:val="22"/>
              </w:rPr>
            </w:pPr>
            <w:r w:rsidRPr="00EC4D59">
              <w:rPr>
                <w:szCs w:val="22"/>
              </w:rPr>
              <w:t xml:space="preserve">Where the aircraft, the subject of insurance, is other than a high capacity regular public transport aircraft, jurisdiction of usual hangering of the insured property or location of the insured property. </w:t>
            </w:r>
          </w:p>
          <w:p w:rsidR="00982AB5" w:rsidRPr="00EC4D59" w:rsidRDefault="00982AB5" w:rsidP="00EC4D59">
            <w:pPr>
              <w:spacing w:before="120" w:after="120"/>
              <w:jc w:val="both"/>
              <w:rPr>
                <w:b/>
                <w:szCs w:val="22"/>
              </w:rPr>
            </w:pPr>
            <w:r w:rsidRPr="00EC4D59">
              <w:rPr>
                <w:b/>
                <w:szCs w:val="22"/>
              </w:rPr>
              <w:t xml:space="preserve">Notes: </w:t>
            </w:r>
          </w:p>
          <w:p w:rsidR="00982AB5" w:rsidRPr="00EC4D59" w:rsidRDefault="00982AB5" w:rsidP="00EC4D59">
            <w:pPr>
              <w:numPr>
                <w:ilvl w:val="0"/>
                <w:numId w:val="12"/>
              </w:numPr>
              <w:spacing w:before="120" w:after="120"/>
              <w:jc w:val="both"/>
              <w:rPr>
                <w:szCs w:val="22"/>
              </w:rPr>
            </w:pPr>
            <w:r w:rsidRPr="00EC4D59">
              <w:rPr>
                <w:szCs w:val="22"/>
              </w:rPr>
              <w:t xml:space="preserve">The basis of apportionment will also apply whenever the insured company or any of its subsidiaries operate High Capacity Regular Public Transport Aircraft and Low Capacity Regular Public Transport Aircraft in </w:t>
            </w:r>
            <w:smartTag w:uri="urn:schemas-microsoft-com:office:smarttags" w:element="place">
              <w:smartTag w:uri="urn:schemas-microsoft-com:office:smarttags" w:element="country-region">
                <w:r w:rsidRPr="00EC4D59">
                  <w:rPr>
                    <w:szCs w:val="22"/>
                  </w:rPr>
                  <w:t>Australia</w:t>
                </w:r>
              </w:smartTag>
            </w:smartTag>
            <w:r w:rsidRPr="00EC4D59">
              <w:rPr>
                <w:szCs w:val="22"/>
              </w:rPr>
              <w:t xml:space="preserve">. </w:t>
            </w:r>
          </w:p>
          <w:p w:rsidR="00982AB5" w:rsidRPr="00EC4D59" w:rsidRDefault="00982AB5" w:rsidP="00EC4D59">
            <w:pPr>
              <w:numPr>
                <w:ilvl w:val="0"/>
                <w:numId w:val="12"/>
              </w:numPr>
              <w:spacing w:before="120" w:after="120"/>
              <w:jc w:val="both"/>
              <w:rPr>
                <w:szCs w:val="22"/>
              </w:rPr>
            </w:pPr>
            <w:r w:rsidRPr="00EC4D59">
              <w:rPr>
                <w:szCs w:val="22"/>
              </w:rPr>
              <w:t xml:space="preserve">For the purposes of this Schedule of Apportionment, </w:t>
            </w:r>
            <w:r w:rsidRPr="00EC4D59">
              <w:rPr>
                <w:b/>
                <w:szCs w:val="22"/>
              </w:rPr>
              <w:t xml:space="preserve">High Capacity Regular Public Transport Aircraft </w:t>
            </w:r>
            <w:r w:rsidRPr="00EC4D59">
              <w:rPr>
                <w:szCs w:val="22"/>
              </w:rPr>
              <w:t xml:space="preserve">means a regular public transport aircraft whose certificate type approval permits the aircraft: </w:t>
            </w:r>
          </w:p>
          <w:p w:rsidR="00982AB5" w:rsidRPr="00EC4D59" w:rsidRDefault="00982AB5" w:rsidP="00EC4D59">
            <w:pPr>
              <w:numPr>
                <w:ilvl w:val="1"/>
                <w:numId w:val="12"/>
              </w:numPr>
              <w:spacing w:before="120" w:after="120"/>
              <w:jc w:val="both"/>
              <w:rPr>
                <w:szCs w:val="22"/>
              </w:rPr>
            </w:pPr>
            <w:r w:rsidRPr="00EC4D59">
              <w:rPr>
                <w:szCs w:val="22"/>
              </w:rPr>
              <w:t>to have a maximum seating capacity of more than 38 seats; OR</w:t>
            </w:r>
          </w:p>
          <w:p w:rsidR="00982AB5" w:rsidRPr="00EC4D59" w:rsidRDefault="00982AB5" w:rsidP="00EC4D59">
            <w:pPr>
              <w:numPr>
                <w:ilvl w:val="1"/>
                <w:numId w:val="12"/>
              </w:numPr>
              <w:spacing w:before="120" w:after="120"/>
              <w:jc w:val="both"/>
              <w:rPr>
                <w:szCs w:val="22"/>
              </w:rPr>
            </w:pPr>
            <w:r w:rsidRPr="00EC4D59">
              <w:rPr>
                <w:szCs w:val="22"/>
              </w:rPr>
              <w:t xml:space="preserve">to carry a maximum pay load of more than 4200 kilograms. </w:t>
            </w:r>
          </w:p>
          <w:p w:rsidR="00982AB5" w:rsidRPr="00EC4D59" w:rsidRDefault="00982AB5" w:rsidP="00EC4D59">
            <w:pPr>
              <w:spacing w:before="120" w:after="120"/>
              <w:jc w:val="both"/>
              <w:rPr>
                <w:szCs w:val="22"/>
              </w:rPr>
            </w:pPr>
            <w:r w:rsidRPr="00EC4D59">
              <w:rPr>
                <w:b/>
                <w:szCs w:val="22"/>
              </w:rPr>
              <w:t>NB.</w:t>
            </w:r>
            <w:r w:rsidRPr="00EC4D59">
              <w:rPr>
                <w:szCs w:val="22"/>
              </w:rPr>
              <w:t xml:space="preserve"> This definition is contained in regulations made under the </w:t>
            </w:r>
            <w:r w:rsidRPr="00EC4D59">
              <w:rPr>
                <w:i/>
                <w:szCs w:val="22"/>
              </w:rPr>
              <w:t>Civil Aviation Act 1988</w:t>
            </w:r>
            <w:r w:rsidRPr="00EC4D59">
              <w:rPr>
                <w:szCs w:val="22"/>
              </w:rPr>
              <w:t xml:space="preserve"> (Statutory Rule 294 of 1994)</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Baggage</w:t>
            </w:r>
          </w:p>
        </w:tc>
        <w:tc>
          <w:tcPr>
            <w:tcW w:w="6520" w:type="dxa"/>
          </w:tcPr>
          <w:p w:rsidR="00982AB5" w:rsidRPr="00EC4D59" w:rsidRDefault="00982AB5" w:rsidP="00EC4D59">
            <w:pPr>
              <w:spacing w:before="120" w:after="120"/>
              <w:rPr>
                <w:szCs w:val="22"/>
              </w:rPr>
            </w:pPr>
            <w:r w:rsidRPr="00EC4D59">
              <w:rPr>
                <w:szCs w:val="22"/>
              </w:rPr>
              <w:t xml:space="preserve">See </w:t>
            </w:r>
            <w:r w:rsidRPr="00EC4D59">
              <w:rPr>
                <w:i/>
                <w:szCs w:val="22"/>
              </w:rPr>
              <w:t>Travel</w:t>
            </w:r>
            <w:r w:rsidRPr="00EC4D59">
              <w:rPr>
                <w:szCs w:val="22"/>
              </w:rPr>
              <w:t xml:space="preserve">. </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Banker’s Blanket Policy</w:t>
            </w:r>
          </w:p>
        </w:tc>
        <w:tc>
          <w:tcPr>
            <w:tcW w:w="6520" w:type="dxa"/>
          </w:tcPr>
          <w:p w:rsidR="00982AB5" w:rsidRPr="00EC4D59" w:rsidRDefault="00982AB5" w:rsidP="00EC4D59">
            <w:pPr>
              <w:spacing w:before="120" w:after="120"/>
              <w:rPr>
                <w:szCs w:val="22"/>
              </w:rPr>
            </w:pPr>
            <w:r w:rsidRPr="00EC4D59">
              <w:rPr>
                <w:szCs w:val="22"/>
              </w:rPr>
              <w:t xml:space="preserve">Apportioned according to individual policy types outlined in this schedule. </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Blood Stock</w:t>
            </w:r>
          </w:p>
        </w:tc>
        <w:tc>
          <w:tcPr>
            <w:tcW w:w="6520" w:type="dxa"/>
          </w:tcPr>
          <w:p w:rsidR="00982AB5" w:rsidRPr="00EC4D59" w:rsidRDefault="00982AB5" w:rsidP="00EC4D59">
            <w:pPr>
              <w:spacing w:before="120" w:after="120"/>
              <w:rPr>
                <w:szCs w:val="22"/>
              </w:rPr>
            </w:pPr>
            <w:r w:rsidRPr="00EC4D59">
              <w:rPr>
                <w:szCs w:val="22"/>
              </w:rPr>
              <w:t>Place of (usual) location of the asset.</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Boiler Explosion </w:t>
            </w:r>
          </w:p>
        </w:tc>
        <w:tc>
          <w:tcPr>
            <w:tcW w:w="6520" w:type="dxa"/>
          </w:tcPr>
          <w:p w:rsidR="00982AB5" w:rsidRPr="00EC4D59" w:rsidRDefault="00982AB5" w:rsidP="00EC4D59">
            <w:pPr>
              <w:spacing w:before="120" w:after="120"/>
              <w:rPr>
                <w:szCs w:val="22"/>
              </w:rPr>
            </w:pPr>
            <w:r w:rsidRPr="00EC4D59">
              <w:rPr>
                <w:szCs w:val="22"/>
              </w:rPr>
              <w:t xml:space="preserve">Asset value/sum insured or exposure level for each jurisdiction. </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Burglary </w:t>
            </w:r>
          </w:p>
        </w:tc>
        <w:tc>
          <w:tcPr>
            <w:tcW w:w="6520" w:type="dxa"/>
          </w:tcPr>
          <w:p w:rsidR="00982AB5" w:rsidRPr="00EC4D59" w:rsidRDefault="00982AB5" w:rsidP="00EC4D59">
            <w:pPr>
              <w:spacing w:before="120" w:after="120"/>
              <w:rPr>
                <w:szCs w:val="22"/>
              </w:rPr>
            </w:pPr>
            <w:r w:rsidRPr="00EC4D59">
              <w:rPr>
                <w:szCs w:val="22"/>
              </w:rPr>
              <w:t>Asset value/sum insured or exposure level for each jurisdiction.</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Business Interruption</w:t>
            </w:r>
          </w:p>
        </w:tc>
        <w:tc>
          <w:tcPr>
            <w:tcW w:w="6520" w:type="dxa"/>
          </w:tcPr>
          <w:p w:rsidR="00982AB5" w:rsidRPr="00EC4D59" w:rsidRDefault="00982AB5" w:rsidP="00EC4D59">
            <w:pPr>
              <w:spacing w:before="120" w:after="120"/>
              <w:rPr>
                <w:szCs w:val="22"/>
              </w:rPr>
            </w:pPr>
            <w:r w:rsidRPr="00EC4D59">
              <w:rPr>
                <w:szCs w:val="22"/>
              </w:rPr>
              <w:t xml:space="preserve">Reasonably estimated profit revenue, fees, rent or other business measurement factor. </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Care Custody and Control of Blood Stock </w:t>
            </w:r>
          </w:p>
        </w:tc>
        <w:tc>
          <w:tcPr>
            <w:tcW w:w="6520" w:type="dxa"/>
          </w:tcPr>
          <w:p w:rsidR="00982AB5" w:rsidRPr="00EC4D59" w:rsidRDefault="00982AB5" w:rsidP="00EC4D59">
            <w:pPr>
              <w:spacing w:before="120" w:after="120"/>
              <w:rPr>
                <w:szCs w:val="22"/>
              </w:rPr>
            </w:pPr>
            <w:r w:rsidRPr="00EC4D59">
              <w:rPr>
                <w:szCs w:val="22"/>
              </w:rPr>
              <w:t xml:space="preserve">Place of (usual) location of the asset. </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Cash in Transit</w:t>
            </w:r>
          </w:p>
        </w:tc>
        <w:tc>
          <w:tcPr>
            <w:tcW w:w="6520" w:type="dxa"/>
          </w:tcPr>
          <w:p w:rsidR="00982AB5" w:rsidRPr="00EC4D59" w:rsidRDefault="00982AB5" w:rsidP="00EC4D59">
            <w:pPr>
              <w:spacing w:before="120" w:after="120"/>
              <w:rPr>
                <w:szCs w:val="22"/>
              </w:rPr>
            </w:pPr>
            <w:r w:rsidRPr="00EC4D59">
              <w:rPr>
                <w:szCs w:val="22"/>
              </w:rPr>
              <w:t xml:space="preserve">Number of premises. </w:t>
            </w:r>
          </w:p>
          <w:p w:rsidR="00982AB5" w:rsidRPr="00EC4D59" w:rsidRDefault="00982AB5" w:rsidP="00EC4D59">
            <w:pPr>
              <w:spacing w:before="120" w:after="120"/>
              <w:rPr>
                <w:szCs w:val="22"/>
              </w:rPr>
            </w:pPr>
            <w:r w:rsidRPr="00EC4D59">
              <w:rPr>
                <w:szCs w:val="22"/>
              </w:rPr>
              <w:t xml:space="preserve">Asset value/sum insured or exposure level for each jurisdiction. </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Company Reimbursement</w:t>
            </w:r>
          </w:p>
        </w:tc>
        <w:tc>
          <w:tcPr>
            <w:tcW w:w="6520" w:type="dxa"/>
          </w:tcPr>
          <w:p w:rsidR="00982AB5" w:rsidRPr="00EC4D59" w:rsidRDefault="00982AB5" w:rsidP="00EC4D59">
            <w:pPr>
              <w:spacing w:before="120" w:after="120"/>
              <w:rPr>
                <w:szCs w:val="22"/>
              </w:rPr>
            </w:pPr>
            <w:r w:rsidRPr="00EC4D59">
              <w:rPr>
                <w:szCs w:val="22"/>
              </w:rPr>
              <w:t xml:space="preserve">Salaries and wages, number of people/employees. </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Comprehensive Crime Policy </w:t>
            </w:r>
          </w:p>
        </w:tc>
        <w:tc>
          <w:tcPr>
            <w:tcW w:w="6520" w:type="dxa"/>
          </w:tcPr>
          <w:p w:rsidR="00982AB5" w:rsidRPr="00EC4D59" w:rsidRDefault="00982AB5" w:rsidP="00EC4D59">
            <w:pPr>
              <w:spacing w:before="120" w:after="120"/>
              <w:rPr>
                <w:szCs w:val="22"/>
              </w:rPr>
            </w:pPr>
            <w:r w:rsidRPr="00EC4D59">
              <w:rPr>
                <w:szCs w:val="22"/>
              </w:rPr>
              <w:t>Salaries, wages, number of people/employees.</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lastRenderedPageBreak/>
              <w:t xml:space="preserve">Contract Works </w:t>
            </w:r>
          </w:p>
        </w:tc>
        <w:tc>
          <w:tcPr>
            <w:tcW w:w="6520" w:type="dxa"/>
          </w:tcPr>
          <w:p w:rsidR="00982AB5" w:rsidRPr="00EC4D59" w:rsidRDefault="00982AB5" w:rsidP="00EC4D59">
            <w:pPr>
              <w:spacing w:before="120" w:after="120"/>
              <w:rPr>
                <w:szCs w:val="22"/>
              </w:rPr>
            </w:pPr>
            <w:r w:rsidRPr="00EC4D59">
              <w:rPr>
                <w:szCs w:val="22"/>
              </w:rPr>
              <w:t xml:space="preserve">Asset value/sum insured or exposure level for each jurisdiction. </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Contractor Risks </w:t>
            </w:r>
          </w:p>
        </w:tc>
        <w:tc>
          <w:tcPr>
            <w:tcW w:w="6520" w:type="dxa"/>
          </w:tcPr>
          <w:p w:rsidR="00982AB5" w:rsidRPr="00EC4D59" w:rsidRDefault="00982AB5" w:rsidP="00EC4D59">
            <w:pPr>
              <w:spacing w:before="120" w:after="120"/>
              <w:rPr>
                <w:szCs w:val="22"/>
              </w:rPr>
            </w:pPr>
            <w:r w:rsidRPr="00EC4D59">
              <w:rPr>
                <w:szCs w:val="22"/>
              </w:rPr>
              <w:t>Asset value/sum insured or exposure level for each jurisdiction.</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Crop</w:t>
            </w:r>
          </w:p>
        </w:tc>
        <w:tc>
          <w:tcPr>
            <w:tcW w:w="6520" w:type="dxa"/>
          </w:tcPr>
          <w:p w:rsidR="00982AB5" w:rsidRPr="00EC4D59" w:rsidRDefault="00982AB5" w:rsidP="00EC4D59">
            <w:pPr>
              <w:spacing w:before="120" w:after="120"/>
              <w:rPr>
                <w:szCs w:val="22"/>
              </w:rPr>
            </w:pPr>
            <w:r w:rsidRPr="00EC4D59">
              <w:rPr>
                <w:szCs w:val="22"/>
              </w:rPr>
              <w:t>Asset value/sum insured or exposure level for each jurisdiction.</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Deterioration of Stock </w:t>
            </w:r>
          </w:p>
        </w:tc>
        <w:tc>
          <w:tcPr>
            <w:tcW w:w="6520" w:type="dxa"/>
          </w:tcPr>
          <w:p w:rsidR="00982AB5" w:rsidRPr="00EC4D59" w:rsidRDefault="00982AB5" w:rsidP="00EC4D59">
            <w:pPr>
              <w:spacing w:before="120" w:after="120"/>
              <w:rPr>
                <w:szCs w:val="22"/>
              </w:rPr>
            </w:pPr>
            <w:r w:rsidRPr="00EC4D59">
              <w:rPr>
                <w:szCs w:val="22"/>
              </w:rPr>
              <w:t>Asset value/sum insured or exposure level for each jurisdiction.</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Disability – Single</w:t>
            </w:r>
          </w:p>
        </w:tc>
        <w:tc>
          <w:tcPr>
            <w:tcW w:w="6520" w:type="dxa"/>
          </w:tcPr>
          <w:p w:rsidR="00982AB5" w:rsidRPr="00EC4D59" w:rsidRDefault="00982AB5" w:rsidP="00EC4D59">
            <w:pPr>
              <w:spacing w:before="120" w:after="120"/>
              <w:rPr>
                <w:szCs w:val="22"/>
              </w:rPr>
            </w:pPr>
            <w:r w:rsidRPr="00EC4D59">
              <w:rPr>
                <w:szCs w:val="22"/>
              </w:rPr>
              <w:t xml:space="preserve">Place of residence of the insured/place of registration of business. </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Disability – Group </w:t>
            </w:r>
          </w:p>
        </w:tc>
        <w:tc>
          <w:tcPr>
            <w:tcW w:w="6520" w:type="dxa"/>
          </w:tcPr>
          <w:p w:rsidR="00982AB5" w:rsidRPr="00EC4D59" w:rsidRDefault="00982AB5" w:rsidP="00EC4D59">
            <w:pPr>
              <w:spacing w:before="120" w:after="120"/>
              <w:rPr>
                <w:szCs w:val="22"/>
              </w:rPr>
            </w:pPr>
            <w:r w:rsidRPr="00EC4D59">
              <w:rPr>
                <w:szCs w:val="22"/>
              </w:rPr>
              <w:t>Place of residence of the insured/place of registration of business.</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Directors and Officers</w:t>
            </w:r>
          </w:p>
        </w:tc>
        <w:tc>
          <w:tcPr>
            <w:tcW w:w="6520" w:type="dxa"/>
          </w:tcPr>
          <w:p w:rsidR="00982AB5" w:rsidRPr="00EC4D59" w:rsidRDefault="00982AB5" w:rsidP="00EC4D59">
            <w:pPr>
              <w:spacing w:before="120" w:after="120"/>
              <w:rPr>
                <w:szCs w:val="22"/>
              </w:rPr>
            </w:pPr>
            <w:r w:rsidRPr="00EC4D59">
              <w:rPr>
                <w:szCs w:val="22"/>
              </w:rPr>
              <w:t xml:space="preserve">Turnover or sales or number of people. </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Fidelity Guarantee</w:t>
            </w:r>
          </w:p>
        </w:tc>
        <w:tc>
          <w:tcPr>
            <w:tcW w:w="6520" w:type="dxa"/>
          </w:tcPr>
          <w:p w:rsidR="00982AB5" w:rsidRPr="00EC4D59" w:rsidRDefault="00982AB5" w:rsidP="00EC4D59">
            <w:pPr>
              <w:spacing w:before="120" w:after="120"/>
              <w:rPr>
                <w:szCs w:val="22"/>
              </w:rPr>
            </w:pPr>
            <w:r w:rsidRPr="00EC4D59">
              <w:rPr>
                <w:szCs w:val="22"/>
              </w:rPr>
              <w:t xml:space="preserve">Salaries and wages or number of people. </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Fire </w:t>
            </w:r>
          </w:p>
        </w:tc>
        <w:tc>
          <w:tcPr>
            <w:tcW w:w="6520" w:type="dxa"/>
          </w:tcPr>
          <w:p w:rsidR="00982AB5" w:rsidRPr="00EC4D59" w:rsidRDefault="00982AB5" w:rsidP="00EC4D59">
            <w:pPr>
              <w:spacing w:before="120" w:after="120"/>
              <w:rPr>
                <w:szCs w:val="22"/>
              </w:rPr>
            </w:pPr>
            <w:r w:rsidRPr="00EC4D59">
              <w:rPr>
                <w:szCs w:val="22"/>
              </w:rPr>
              <w:t>Asset value/sum insured or exposure level for each jurisdiction.</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General Property </w:t>
            </w:r>
          </w:p>
        </w:tc>
        <w:tc>
          <w:tcPr>
            <w:tcW w:w="6520" w:type="dxa"/>
          </w:tcPr>
          <w:p w:rsidR="00982AB5" w:rsidRPr="00EC4D59" w:rsidRDefault="00982AB5" w:rsidP="00EC4D59">
            <w:pPr>
              <w:spacing w:before="120" w:after="120"/>
              <w:rPr>
                <w:szCs w:val="22"/>
              </w:rPr>
            </w:pPr>
            <w:r w:rsidRPr="00EC4D59">
              <w:rPr>
                <w:szCs w:val="22"/>
              </w:rPr>
              <w:t>Asset value/sum insured or exposure level for each jurisdiction.</w:t>
            </w:r>
          </w:p>
        </w:tc>
      </w:tr>
      <w:tr w:rsidR="00982AB5" w:rsidRPr="00EC4D59" w:rsidTr="00EC4D59">
        <w:tc>
          <w:tcPr>
            <w:tcW w:w="2802" w:type="dxa"/>
          </w:tcPr>
          <w:p w:rsidR="00982AB5" w:rsidRPr="00EC4D59" w:rsidRDefault="00982AB5" w:rsidP="00EC4D59">
            <w:pPr>
              <w:spacing w:before="120" w:after="120"/>
              <w:rPr>
                <w:szCs w:val="22"/>
              </w:rPr>
            </w:pPr>
            <w:smartTag w:uri="urn:schemas-microsoft-com:office:smarttags" w:element="place">
              <w:smartTag w:uri="urn:schemas-microsoft-com:office:smarttags" w:element="PlaceType">
                <w:r w:rsidRPr="00EC4D59">
                  <w:rPr>
                    <w:szCs w:val="22"/>
                  </w:rPr>
                  <w:t>Home</w:t>
                </w:r>
              </w:smartTag>
              <w:r w:rsidRPr="00EC4D59">
                <w:rPr>
                  <w:szCs w:val="22"/>
                </w:rPr>
                <w:t xml:space="preserve"> </w:t>
              </w:r>
              <w:smartTag w:uri="urn:schemas-microsoft-com:office:smarttags" w:element="PlaceType">
                <w:r w:rsidRPr="00EC4D59">
                  <w:rPr>
                    <w:szCs w:val="22"/>
                  </w:rPr>
                  <w:t>Building</w:t>
                </w:r>
              </w:smartTag>
            </w:smartTag>
            <w:r w:rsidRPr="00EC4D59">
              <w:rPr>
                <w:szCs w:val="22"/>
              </w:rPr>
              <w:t xml:space="preserve"> and Contents</w:t>
            </w:r>
          </w:p>
        </w:tc>
        <w:tc>
          <w:tcPr>
            <w:tcW w:w="6520" w:type="dxa"/>
          </w:tcPr>
          <w:p w:rsidR="00982AB5" w:rsidRPr="00EC4D59" w:rsidRDefault="00982AB5" w:rsidP="00EC4D59">
            <w:pPr>
              <w:spacing w:before="120" w:after="120"/>
              <w:rPr>
                <w:szCs w:val="22"/>
              </w:rPr>
            </w:pPr>
            <w:r w:rsidRPr="00EC4D59">
              <w:rPr>
                <w:szCs w:val="22"/>
              </w:rPr>
              <w:t>Asset value/sum insured or exposure level for each jurisdiction.</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Industrial Special Risk Section – 1 Property </w:t>
            </w:r>
          </w:p>
        </w:tc>
        <w:tc>
          <w:tcPr>
            <w:tcW w:w="6520" w:type="dxa"/>
          </w:tcPr>
          <w:p w:rsidR="00982AB5" w:rsidRPr="00EC4D59" w:rsidRDefault="00982AB5" w:rsidP="00EC4D59">
            <w:pPr>
              <w:spacing w:before="120" w:after="120"/>
              <w:rPr>
                <w:szCs w:val="22"/>
              </w:rPr>
            </w:pPr>
            <w:r w:rsidRPr="00EC4D59">
              <w:rPr>
                <w:szCs w:val="22"/>
              </w:rPr>
              <w:t>Asset value/sum insured or exposure level for each jurisdiction.</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Industrial Special Risk Section – 2 </w:t>
            </w:r>
            <w:r w:rsidRPr="00EC4D59">
              <w:rPr>
                <w:szCs w:val="22"/>
              </w:rPr>
              <w:br/>
              <w:t>Consequential Loss</w:t>
            </w:r>
          </w:p>
        </w:tc>
        <w:tc>
          <w:tcPr>
            <w:tcW w:w="6520" w:type="dxa"/>
          </w:tcPr>
          <w:p w:rsidR="00982AB5" w:rsidRPr="00EC4D59" w:rsidRDefault="00982AB5" w:rsidP="00EC4D59">
            <w:pPr>
              <w:spacing w:before="120" w:after="120"/>
              <w:rPr>
                <w:szCs w:val="22"/>
              </w:rPr>
            </w:pPr>
            <w:r w:rsidRPr="00EC4D59">
              <w:rPr>
                <w:szCs w:val="22"/>
              </w:rPr>
              <w:t xml:space="preserve">Reasonably estimated profit revenue, fees, rent or other business measurement factor. </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Legal expense insurance</w:t>
            </w:r>
          </w:p>
        </w:tc>
        <w:tc>
          <w:tcPr>
            <w:tcW w:w="6520" w:type="dxa"/>
          </w:tcPr>
          <w:p w:rsidR="00982AB5" w:rsidRPr="00EC4D59" w:rsidRDefault="00982AB5" w:rsidP="00EC4D59">
            <w:pPr>
              <w:spacing w:before="120" w:after="120"/>
              <w:rPr>
                <w:szCs w:val="22"/>
              </w:rPr>
            </w:pPr>
            <w:r w:rsidRPr="00EC4D59">
              <w:rPr>
                <w:szCs w:val="22"/>
              </w:rPr>
              <w:t xml:space="preserve">Salaries and wages or number of people. </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Livestock </w:t>
            </w:r>
          </w:p>
        </w:tc>
        <w:tc>
          <w:tcPr>
            <w:tcW w:w="6520" w:type="dxa"/>
          </w:tcPr>
          <w:p w:rsidR="00982AB5" w:rsidRPr="00EC4D59" w:rsidRDefault="00982AB5" w:rsidP="00EC4D59">
            <w:pPr>
              <w:spacing w:before="120" w:after="120"/>
              <w:rPr>
                <w:szCs w:val="22"/>
              </w:rPr>
            </w:pPr>
            <w:r w:rsidRPr="00EC4D59">
              <w:rPr>
                <w:szCs w:val="22"/>
              </w:rPr>
              <w:t>Place of (usual) location of asset.</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Loss of Profits </w:t>
            </w:r>
          </w:p>
        </w:tc>
        <w:tc>
          <w:tcPr>
            <w:tcW w:w="6520" w:type="dxa"/>
          </w:tcPr>
          <w:p w:rsidR="00982AB5" w:rsidRPr="00EC4D59" w:rsidRDefault="00982AB5" w:rsidP="00EC4D59">
            <w:pPr>
              <w:spacing w:before="120" w:after="120"/>
              <w:rPr>
                <w:szCs w:val="22"/>
              </w:rPr>
            </w:pPr>
            <w:r w:rsidRPr="00EC4D59">
              <w:rPr>
                <w:szCs w:val="22"/>
              </w:rPr>
              <w:t xml:space="preserve">Reasonably estimated profit revenue, fees, rent or other business measurement factor. </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Machinery Breakdown (including computers and engineering) </w:t>
            </w:r>
          </w:p>
        </w:tc>
        <w:tc>
          <w:tcPr>
            <w:tcW w:w="6520" w:type="dxa"/>
          </w:tcPr>
          <w:p w:rsidR="00982AB5" w:rsidRPr="00EC4D59" w:rsidRDefault="00982AB5" w:rsidP="00EC4D59">
            <w:pPr>
              <w:spacing w:before="120" w:after="120"/>
              <w:rPr>
                <w:szCs w:val="22"/>
              </w:rPr>
            </w:pPr>
            <w:r w:rsidRPr="00EC4D59">
              <w:rPr>
                <w:szCs w:val="22"/>
              </w:rPr>
              <w:t xml:space="preserve">Asset value/sum insured or limit of liability declared in each jurisdiction. </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Marine – Builder’s Risk </w:t>
            </w:r>
          </w:p>
        </w:tc>
        <w:tc>
          <w:tcPr>
            <w:tcW w:w="6520" w:type="dxa"/>
          </w:tcPr>
          <w:p w:rsidR="00982AB5" w:rsidRPr="00EC4D59" w:rsidRDefault="00982AB5" w:rsidP="00EC4D59">
            <w:pPr>
              <w:spacing w:before="120" w:after="120"/>
              <w:rPr>
                <w:szCs w:val="22"/>
              </w:rPr>
            </w:pPr>
            <w:r w:rsidRPr="00EC4D59">
              <w:rPr>
                <w:szCs w:val="22"/>
              </w:rPr>
              <w:t xml:space="preserve">Asset value/sum insured or exposure level for each jurisdiction. </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Marine – Carrier’s Legal Liability </w:t>
            </w:r>
            <w:r w:rsidRPr="00EC4D59">
              <w:rPr>
                <w:szCs w:val="22"/>
              </w:rPr>
              <w:noBreakHyphen/>
              <w:t xml:space="preserve"> Coastal and international shipping </w:t>
            </w:r>
          </w:p>
        </w:tc>
        <w:tc>
          <w:tcPr>
            <w:tcW w:w="6520" w:type="dxa"/>
          </w:tcPr>
          <w:p w:rsidR="00982AB5" w:rsidRPr="00EC4D59" w:rsidRDefault="00982AB5" w:rsidP="00EC4D59">
            <w:pPr>
              <w:spacing w:before="120" w:after="120"/>
              <w:rPr>
                <w:szCs w:val="22"/>
              </w:rPr>
            </w:pPr>
            <w:r w:rsidRPr="00EC4D59">
              <w:rPr>
                <w:szCs w:val="22"/>
              </w:rPr>
              <w:t xml:space="preserve">Predominant location. </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Marine – Charterer’s Liability </w:t>
            </w:r>
            <w:r w:rsidRPr="00EC4D59">
              <w:rPr>
                <w:szCs w:val="22"/>
              </w:rPr>
              <w:noBreakHyphen/>
              <w:t xml:space="preserve"> Coastal and international shipping </w:t>
            </w:r>
          </w:p>
        </w:tc>
        <w:tc>
          <w:tcPr>
            <w:tcW w:w="6520" w:type="dxa"/>
          </w:tcPr>
          <w:p w:rsidR="00982AB5" w:rsidRPr="00EC4D59" w:rsidRDefault="00982AB5" w:rsidP="00EC4D59">
            <w:pPr>
              <w:spacing w:before="120" w:after="120"/>
              <w:rPr>
                <w:szCs w:val="22"/>
              </w:rPr>
            </w:pPr>
            <w:r w:rsidRPr="00EC4D59">
              <w:rPr>
                <w:szCs w:val="22"/>
              </w:rPr>
              <w:t>Predominant location.</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Marine – Hull Liability </w:t>
            </w:r>
            <w:r w:rsidRPr="00EC4D59">
              <w:rPr>
                <w:szCs w:val="22"/>
              </w:rPr>
              <w:noBreakHyphen/>
              <w:t xml:space="preserve"> Coastal and international shipping</w:t>
            </w:r>
          </w:p>
        </w:tc>
        <w:tc>
          <w:tcPr>
            <w:tcW w:w="6520" w:type="dxa"/>
          </w:tcPr>
          <w:p w:rsidR="00982AB5" w:rsidRPr="00EC4D59" w:rsidRDefault="00982AB5" w:rsidP="00EC4D59">
            <w:pPr>
              <w:spacing w:before="120" w:after="120"/>
              <w:rPr>
                <w:szCs w:val="22"/>
              </w:rPr>
            </w:pPr>
            <w:r w:rsidRPr="00EC4D59">
              <w:rPr>
                <w:szCs w:val="22"/>
              </w:rPr>
              <w:t>Predominant location.</w:t>
            </w:r>
          </w:p>
        </w:tc>
      </w:tr>
      <w:tr w:rsidR="00982AB5" w:rsidRPr="00EC4D59" w:rsidTr="00EC4D59">
        <w:tc>
          <w:tcPr>
            <w:tcW w:w="2802" w:type="dxa"/>
          </w:tcPr>
          <w:p w:rsidR="00982AB5" w:rsidRPr="00EC4D59" w:rsidRDefault="00982AB5" w:rsidP="00EC4D59">
            <w:pPr>
              <w:spacing w:before="120" w:after="120"/>
              <w:rPr>
                <w:szCs w:val="22"/>
              </w:rPr>
            </w:pPr>
          </w:p>
        </w:tc>
        <w:tc>
          <w:tcPr>
            <w:tcW w:w="6520" w:type="dxa"/>
          </w:tcPr>
          <w:p w:rsidR="00982AB5" w:rsidRPr="00EC4D59" w:rsidRDefault="00982AB5" w:rsidP="00EC4D59">
            <w:pPr>
              <w:spacing w:before="120" w:after="120"/>
              <w:rPr>
                <w:b/>
                <w:szCs w:val="22"/>
              </w:rPr>
            </w:pPr>
            <w:r w:rsidRPr="00EC4D59">
              <w:rPr>
                <w:b/>
                <w:szCs w:val="22"/>
              </w:rPr>
              <w:t>Notes</w:t>
            </w:r>
          </w:p>
          <w:p w:rsidR="00982AB5" w:rsidRPr="00EC4D59" w:rsidRDefault="00982AB5" w:rsidP="00EC4D59">
            <w:pPr>
              <w:spacing w:before="120" w:after="120"/>
              <w:jc w:val="both"/>
              <w:rPr>
                <w:szCs w:val="22"/>
              </w:rPr>
            </w:pPr>
            <w:r w:rsidRPr="00EC4D59">
              <w:rPr>
                <w:szCs w:val="22"/>
              </w:rPr>
              <w:lastRenderedPageBreak/>
              <w:t>The apportionment for coastal and international shipping is determined, regardless of the GMT of the vessel, based on the ‘predominant location’ of the vessel as defined below:</w:t>
            </w:r>
          </w:p>
          <w:p w:rsidR="00982AB5" w:rsidRPr="00EC4D59" w:rsidRDefault="00982AB5" w:rsidP="00EC4D59">
            <w:pPr>
              <w:spacing w:before="120" w:after="120"/>
              <w:ind w:left="600"/>
              <w:jc w:val="both"/>
              <w:rPr>
                <w:szCs w:val="22"/>
              </w:rPr>
            </w:pPr>
            <w:r w:rsidRPr="00EC4D59">
              <w:rPr>
                <w:szCs w:val="22"/>
              </w:rPr>
              <w:t>(a) On the basis that most vessels will operate from their  port of registration, the predominant location should be taken to be that port, subject to (b);</w:t>
            </w:r>
          </w:p>
          <w:p w:rsidR="00982AB5" w:rsidRPr="00EC4D59" w:rsidRDefault="00982AB5" w:rsidP="00EC4D59">
            <w:pPr>
              <w:spacing w:before="120" w:after="120"/>
              <w:ind w:left="600"/>
              <w:jc w:val="both"/>
              <w:rPr>
                <w:szCs w:val="22"/>
              </w:rPr>
            </w:pPr>
            <w:r w:rsidRPr="00EC4D59">
              <w:rPr>
                <w:szCs w:val="22"/>
              </w:rPr>
              <w:t>(b) If it is disclosed to the insurer at the time the policy is commenced, effected or renewed that the vessel will operate out of another port for the majority of the insurance year, then that other port will be taken to be its predominant location for that insurance year. If a vessel is intended to operate out of a number of ports in an insurance year and none of those periods is for the majority of the year, the port of registration will be taken to be the predominant location for that insurance year.</w:t>
            </w:r>
          </w:p>
          <w:p w:rsidR="00982AB5" w:rsidRPr="00EC4D59" w:rsidRDefault="00982AB5" w:rsidP="00EC4D59">
            <w:pPr>
              <w:spacing w:before="120" w:after="120"/>
              <w:ind w:left="600"/>
              <w:jc w:val="both"/>
              <w:rPr>
                <w:szCs w:val="22"/>
              </w:rPr>
            </w:pPr>
            <w:r w:rsidRPr="00EC4D59">
              <w:rPr>
                <w:b/>
                <w:szCs w:val="22"/>
              </w:rPr>
              <w:t>NB</w:t>
            </w:r>
            <w:r w:rsidRPr="00EC4D59">
              <w:rPr>
                <w:szCs w:val="22"/>
              </w:rPr>
              <w:t xml:space="preserve"> section 24 of the</w:t>
            </w:r>
            <w:r w:rsidRPr="00EC4D59">
              <w:rPr>
                <w:i/>
                <w:szCs w:val="22"/>
              </w:rPr>
              <w:t xml:space="preserve"> Marine Insurance Act 1909 </w:t>
            </w:r>
            <w:r w:rsidRPr="00EC4D59">
              <w:rPr>
                <w:szCs w:val="22"/>
              </w:rPr>
              <w:t>(Cth) requires the insured to inform the insurer of every material circumstances known by the insured at the time insurance is obtained.</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lastRenderedPageBreak/>
              <w:t xml:space="preserve">Marine Private Pleasure </w:t>
            </w:r>
          </w:p>
        </w:tc>
        <w:tc>
          <w:tcPr>
            <w:tcW w:w="6520" w:type="dxa"/>
          </w:tcPr>
          <w:p w:rsidR="00982AB5" w:rsidRPr="00EC4D59" w:rsidRDefault="00982AB5" w:rsidP="00EC4D59">
            <w:pPr>
              <w:spacing w:before="120" w:after="120"/>
              <w:rPr>
                <w:szCs w:val="22"/>
              </w:rPr>
            </w:pPr>
            <w:r w:rsidRPr="00EC4D59">
              <w:rPr>
                <w:szCs w:val="22"/>
              </w:rPr>
              <w:t>Place of registration or place of residence of the insured.</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Money </w:t>
            </w:r>
          </w:p>
        </w:tc>
        <w:tc>
          <w:tcPr>
            <w:tcW w:w="6520" w:type="dxa"/>
          </w:tcPr>
          <w:p w:rsidR="00982AB5" w:rsidRPr="00EC4D59" w:rsidRDefault="00982AB5" w:rsidP="00EC4D59">
            <w:pPr>
              <w:spacing w:before="120" w:after="120"/>
              <w:rPr>
                <w:szCs w:val="22"/>
              </w:rPr>
            </w:pPr>
            <w:r w:rsidRPr="00EC4D59">
              <w:rPr>
                <w:szCs w:val="22"/>
              </w:rPr>
              <w:t>Number of premises.</w:t>
            </w:r>
          </w:p>
          <w:p w:rsidR="00982AB5" w:rsidRPr="00EC4D59" w:rsidRDefault="00982AB5" w:rsidP="00EC4D59">
            <w:pPr>
              <w:spacing w:before="120" w:after="120"/>
              <w:rPr>
                <w:szCs w:val="22"/>
              </w:rPr>
            </w:pPr>
            <w:r w:rsidRPr="00EC4D59">
              <w:rPr>
                <w:szCs w:val="22"/>
              </w:rPr>
              <w:t>Asset value/sum insured or exposure level for each jurisdiction.</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Mortgage Insurance </w:t>
            </w:r>
          </w:p>
        </w:tc>
        <w:tc>
          <w:tcPr>
            <w:tcW w:w="6520" w:type="dxa"/>
          </w:tcPr>
          <w:p w:rsidR="00982AB5" w:rsidRPr="00EC4D59" w:rsidRDefault="00982AB5" w:rsidP="00EC4D59">
            <w:pPr>
              <w:spacing w:before="120" w:after="120"/>
              <w:jc w:val="both"/>
              <w:rPr>
                <w:szCs w:val="22"/>
              </w:rPr>
            </w:pPr>
            <w:r w:rsidRPr="00EC4D59">
              <w:rPr>
                <w:szCs w:val="22"/>
              </w:rPr>
              <w:t>Apportionment is based on the location of the property secured. If the security consists of two or more properties that are located in different jurisdictions, the apportionment will be based on a value basis.</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Motor Vehicle (private use) and Extended Warranty for Private Use Vehicles </w:t>
            </w:r>
          </w:p>
        </w:tc>
        <w:tc>
          <w:tcPr>
            <w:tcW w:w="6520" w:type="dxa"/>
          </w:tcPr>
          <w:p w:rsidR="00982AB5" w:rsidRPr="00EC4D59" w:rsidRDefault="00982AB5" w:rsidP="00EC4D59">
            <w:pPr>
              <w:spacing w:before="120" w:after="120"/>
              <w:rPr>
                <w:szCs w:val="22"/>
              </w:rPr>
            </w:pPr>
            <w:r w:rsidRPr="00EC4D59">
              <w:rPr>
                <w:szCs w:val="22"/>
              </w:rPr>
              <w:t>Apportionment based on normal place of garaging of the vehicle.</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Motor Vehicle or Extended Warranty – Commercial </w:t>
            </w:r>
          </w:p>
        </w:tc>
        <w:tc>
          <w:tcPr>
            <w:tcW w:w="6520" w:type="dxa"/>
          </w:tcPr>
          <w:p w:rsidR="00982AB5" w:rsidRPr="00EC4D59" w:rsidRDefault="00982AB5" w:rsidP="00EC4D59">
            <w:pPr>
              <w:spacing w:before="120" w:after="120"/>
              <w:rPr>
                <w:szCs w:val="22"/>
              </w:rPr>
            </w:pPr>
            <w:r w:rsidRPr="00EC4D59">
              <w:rPr>
                <w:szCs w:val="22"/>
              </w:rPr>
              <w:t>Place of registration or deemed registration.</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Motor Vehicle or Extended Warranty –Federal Interstate </w:t>
            </w:r>
          </w:p>
        </w:tc>
        <w:tc>
          <w:tcPr>
            <w:tcW w:w="6520" w:type="dxa"/>
          </w:tcPr>
          <w:p w:rsidR="00982AB5" w:rsidRPr="00EC4D59" w:rsidRDefault="00982AB5" w:rsidP="00EC4D59">
            <w:pPr>
              <w:spacing w:before="120" w:after="120"/>
              <w:rPr>
                <w:szCs w:val="22"/>
              </w:rPr>
            </w:pPr>
            <w:r w:rsidRPr="00EC4D59">
              <w:rPr>
                <w:szCs w:val="22"/>
              </w:rPr>
              <w:t>Place of registration or deemed registration.</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Motor Vehicle or Extended Warranty –Unregistered </w:t>
            </w:r>
          </w:p>
        </w:tc>
        <w:tc>
          <w:tcPr>
            <w:tcW w:w="6520" w:type="dxa"/>
          </w:tcPr>
          <w:p w:rsidR="00982AB5" w:rsidRPr="00EC4D59" w:rsidRDefault="00982AB5" w:rsidP="00EC4D59">
            <w:pPr>
              <w:spacing w:before="120" w:after="120"/>
              <w:rPr>
                <w:szCs w:val="22"/>
              </w:rPr>
            </w:pPr>
            <w:r w:rsidRPr="00EC4D59">
              <w:rPr>
                <w:szCs w:val="22"/>
              </w:rPr>
              <w:t>Place of (usual) location of asset – garaging.</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Occupational  (Professional Indemnity)</w:t>
            </w:r>
          </w:p>
        </w:tc>
        <w:tc>
          <w:tcPr>
            <w:tcW w:w="6520" w:type="dxa"/>
          </w:tcPr>
          <w:p w:rsidR="00982AB5" w:rsidRPr="00EC4D59" w:rsidRDefault="00982AB5" w:rsidP="00EC4D59">
            <w:pPr>
              <w:spacing w:before="120" w:after="120"/>
              <w:rPr>
                <w:szCs w:val="22"/>
              </w:rPr>
            </w:pPr>
            <w:r w:rsidRPr="00EC4D59">
              <w:rPr>
                <w:szCs w:val="22"/>
              </w:rPr>
              <w:t>Salaries, wages, number of people/employees.</w:t>
            </w:r>
          </w:p>
          <w:p w:rsidR="00982AB5" w:rsidRPr="00EC4D59" w:rsidRDefault="00982AB5" w:rsidP="00EC4D59">
            <w:pPr>
              <w:spacing w:before="120" w:after="120"/>
              <w:rPr>
                <w:szCs w:val="22"/>
              </w:rPr>
            </w:pPr>
            <w:r w:rsidRPr="00EC4D59">
              <w:rPr>
                <w:szCs w:val="22"/>
              </w:rPr>
              <w:t>Estimated profit, fees, rent, revenue etc.</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Personal Accident and Illness – Group </w:t>
            </w:r>
          </w:p>
        </w:tc>
        <w:tc>
          <w:tcPr>
            <w:tcW w:w="6520" w:type="dxa"/>
          </w:tcPr>
          <w:p w:rsidR="00982AB5" w:rsidRPr="00EC4D59" w:rsidRDefault="00982AB5" w:rsidP="00EC4D59">
            <w:pPr>
              <w:spacing w:before="120" w:after="120"/>
              <w:rPr>
                <w:szCs w:val="22"/>
              </w:rPr>
            </w:pPr>
            <w:r w:rsidRPr="00EC4D59">
              <w:rPr>
                <w:szCs w:val="22"/>
              </w:rPr>
              <w:t>Place of residence of the insured/place of registration of business.</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Personal Accident and Illness – Single</w:t>
            </w:r>
          </w:p>
        </w:tc>
        <w:tc>
          <w:tcPr>
            <w:tcW w:w="6520" w:type="dxa"/>
          </w:tcPr>
          <w:p w:rsidR="00982AB5" w:rsidRPr="00EC4D59" w:rsidRDefault="00982AB5" w:rsidP="00EC4D59">
            <w:pPr>
              <w:spacing w:before="120" w:after="120"/>
              <w:rPr>
                <w:szCs w:val="22"/>
              </w:rPr>
            </w:pPr>
            <w:r w:rsidRPr="00EC4D59">
              <w:rPr>
                <w:szCs w:val="22"/>
              </w:rPr>
              <w:t>Place of residence of the insured/place of registration of business.</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lastRenderedPageBreak/>
              <w:t xml:space="preserve">Personal Liability </w:t>
            </w:r>
          </w:p>
        </w:tc>
        <w:tc>
          <w:tcPr>
            <w:tcW w:w="6520" w:type="dxa"/>
          </w:tcPr>
          <w:p w:rsidR="00982AB5" w:rsidRPr="00EC4D59" w:rsidRDefault="00982AB5" w:rsidP="00EC4D59">
            <w:pPr>
              <w:spacing w:before="120" w:after="120"/>
              <w:rPr>
                <w:szCs w:val="22"/>
              </w:rPr>
            </w:pPr>
            <w:r w:rsidRPr="00EC4D59">
              <w:rPr>
                <w:szCs w:val="22"/>
              </w:rPr>
              <w:t xml:space="preserve">State of registration of business or place of residence of the person insured. </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Personal Property </w:t>
            </w:r>
          </w:p>
        </w:tc>
        <w:tc>
          <w:tcPr>
            <w:tcW w:w="6520" w:type="dxa"/>
          </w:tcPr>
          <w:p w:rsidR="00982AB5" w:rsidRPr="00EC4D59" w:rsidRDefault="00982AB5" w:rsidP="00EC4D59">
            <w:pPr>
              <w:spacing w:before="120" w:after="120"/>
              <w:rPr>
                <w:szCs w:val="22"/>
              </w:rPr>
            </w:pPr>
            <w:r w:rsidRPr="00EC4D59">
              <w:rPr>
                <w:szCs w:val="22"/>
              </w:rPr>
              <w:t>Asset value/sum insured or exposure level for each jurisdiction.</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Pluvius</w:t>
            </w:r>
          </w:p>
        </w:tc>
        <w:tc>
          <w:tcPr>
            <w:tcW w:w="6520" w:type="dxa"/>
          </w:tcPr>
          <w:p w:rsidR="00982AB5" w:rsidRPr="00EC4D59" w:rsidRDefault="00982AB5" w:rsidP="00EC4D59">
            <w:pPr>
              <w:spacing w:before="120" w:after="120"/>
              <w:rPr>
                <w:szCs w:val="22"/>
              </w:rPr>
            </w:pPr>
            <w:r w:rsidRPr="00EC4D59">
              <w:rPr>
                <w:szCs w:val="22"/>
              </w:rPr>
              <w:t>Asset value/sum insured or exposure level for each jurisdiction.</w:t>
            </w:r>
          </w:p>
        </w:tc>
      </w:tr>
      <w:tr w:rsidR="00982AB5" w:rsidRPr="00EC4D59" w:rsidTr="00EC4D59">
        <w:tc>
          <w:tcPr>
            <w:tcW w:w="2802" w:type="dxa"/>
          </w:tcPr>
          <w:p w:rsidR="00982AB5" w:rsidRPr="00EC4D59" w:rsidRDefault="00982AB5" w:rsidP="00EC4D59">
            <w:pPr>
              <w:spacing w:before="120"/>
              <w:rPr>
                <w:szCs w:val="22"/>
              </w:rPr>
            </w:pPr>
            <w:r w:rsidRPr="00EC4D59">
              <w:rPr>
                <w:szCs w:val="22"/>
              </w:rPr>
              <w:t>Public Liability or</w:t>
            </w:r>
          </w:p>
          <w:p w:rsidR="00982AB5" w:rsidRPr="00EC4D59" w:rsidRDefault="00982AB5" w:rsidP="00F16CAC">
            <w:pPr>
              <w:rPr>
                <w:szCs w:val="22"/>
              </w:rPr>
            </w:pPr>
            <w:r w:rsidRPr="00EC4D59">
              <w:rPr>
                <w:szCs w:val="22"/>
              </w:rPr>
              <w:t xml:space="preserve">Product Liability or </w:t>
            </w:r>
          </w:p>
          <w:p w:rsidR="00982AB5" w:rsidRPr="00EC4D59" w:rsidRDefault="00982AB5" w:rsidP="00F16CAC">
            <w:pPr>
              <w:rPr>
                <w:szCs w:val="22"/>
              </w:rPr>
            </w:pPr>
            <w:r w:rsidRPr="00EC4D59">
              <w:rPr>
                <w:szCs w:val="22"/>
              </w:rPr>
              <w:t>Broadform</w:t>
            </w:r>
          </w:p>
        </w:tc>
        <w:tc>
          <w:tcPr>
            <w:tcW w:w="6520" w:type="dxa"/>
          </w:tcPr>
          <w:p w:rsidR="00982AB5" w:rsidRPr="00EC4D59" w:rsidRDefault="00982AB5" w:rsidP="00EC4D59">
            <w:pPr>
              <w:spacing w:before="120" w:after="120"/>
              <w:rPr>
                <w:szCs w:val="22"/>
              </w:rPr>
            </w:pPr>
            <w:r w:rsidRPr="00EC4D59">
              <w:rPr>
                <w:szCs w:val="22"/>
              </w:rPr>
              <w:t>Salaries, wages, number of people/employees.</w:t>
            </w:r>
          </w:p>
          <w:p w:rsidR="00982AB5" w:rsidRPr="00EC4D59" w:rsidRDefault="00982AB5" w:rsidP="00EC4D59">
            <w:pPr>
              <w:spacing w:before="120" w:after="120"/>
              <w:rPr>
                <w:szCs w:val="22"/>
              </w:rPr>
            </w:pPr>
            <w:r w:rsidRPr="00EC4D59">
              <w:rPr>
                <w:szCs w:val="22"/>
              </w:rPr>
              <w:t>Turnover or sales.</w:t>
            </w:r>
          </w:p>
          <w:p w:rsidR="00982AB5" w:rsidRPr="00EC4D59" w:rsidRDefault="00982AB5" w:rsidP="00EC4D59">
            <w:pPr>
              <w:spacing w:before="120" w:after="120"/>
              <w:rPr>
                <w:szCs w:val="22"/>
              </w:rPr>
            </w:pPr>
            <w:r w:rsidRPr="00EC4D59">
              <w:rPr>
                <w:szCs w:val="22"/>
              </w:rPr>
              <w:t>Number of premises.</w:t>
            </w:r>
          </w:p>
          <w:p w:rsidR="00982AB5" w:rsidRPr="00EC4D59" w:rsidRDefault="00982AB5" w:rsidP="00EC4D59">
            <w:pPr>
              <w:spacing w:before="120" w:after="120"/>
              <w:rPr>
                <w:szCs w:val="22"/>
              </w:rPr>
            </w:pPr>
            <w:r w:rsidRPr="00EC4D59">
              <w:rPr>
                <w:szCs w:val="22"/>
              </w:rPr>
              <w:t>Floor area units or rent by State of risk.</w:t>
            </w:r>
          </w:p>
          <w:p w:rsidR="00982AB5" w:rsidRPr="00EC4D59" w:rsidRDefault="00982AB5" w:rsidP="00EC4D59">
            <w:pPr>
              <w:spacing w:before="120" w:after="120"/>
              <w:rPr>
                <w:szCs w:val="22"/>
              </w:rPr>
            </w:pPr>
            <w:r w:rsidRPr="00EC4D59">
              <w:rPr>
                <w:szCs w:val="22"/>
              </w:rPr>
              <w:t>Number of members of the organisation in each jurisdiction.</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Railway </w:t>
            </w:r>
            <w:r w:rsidRPr="00EC4D59">
              <w:rPr>
                <w:szCs w:val="22"/>
              </w:rPr>
              <w:noBreakHyphen/>
              <w:t xml:space="preserve"> property </w:t>
            </w:r>
          </w:p>
        </w:tc>
        <w:tc>
          <w:tcPr>
            <w:tcW w:w="6520" w:type="dxa"/>
          </w:tcPr>
          <w:p w:rsidR="00982AB5" w:rsidRPr="00EC4D59" w:rsidRDefault="00982AB5" w:rsidP="00EC4D59">
            <w:pPr>
              <w:spacing w:before="120" w:after="120"/>
              <w:rPr>
                <w:szCs w:val="22"/>
              </w:rPr>
            </w:pPr>
            <w:r w:rsidRPr="00EC4D59">
              <w:rPr>
                <w:szCs w:val="22"/>
              </w:rPr>
              <w:t>Proportion of kilometres travelled by the rolling stock in each jurisdiction in the previous year.</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Railway </w:t>
            </w:r>
            <w:r w:rsidRPr="00EC4D59">
              <w:rPr>
                <w:szCs w:val="22"/>
              </w:rPr>
              <w:noBreakHyphen/>
              <w:t xml:space="preserve"> public liability</w:t>
            </w:r>
          </w:p>
        </w:tc>
        <w:tc>
          <w:tcPr>
            <w:tcW w:w="6520" w:type="dxa"/>
          </w:tcPr>
          <w:p w:rsidR="00982AB5" w:rsidRPr="00EC4D59" w:rsidRDefault="00982AB5" w:rsidP="00EC4D59">
            <w:pPr>
              <w:spacing w:before="120" w:after="120"/>
              <w:rPr>
                <w:szCs w:val="22"/>
              </w:rPr>
            </w:pPr>
            <w:r w:rsidRPr="00EC4D59">
              <w:rPr>
                <w:szCs w:val="22"/>
              </w:rPr>
              <w:t>Proportion of kilometres travelled by the rolling stock in each jurisdiction in the previous year.</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Sprinkler Leakage</w:t>
            </w:r>
          </w:p>
        </w:tc>
        <w:tc>
          <w:tcPr>
            <w:tcW w:w="6520" w:type="dxa"/>
          </w:tcPr>
          <w:p w:rsidR="00982AB5" w:rsidRPr="00EC4D59" w:rsidRDefault="00982AB5" w:rsidP="00EC4D59">
            <w:pPr>
              <w:spacing w:before="120" w:after="120"/>
              <w:rPr>
                <w:szCs w:val="22"/>
              </w:rPr>
            </w:pPr>
            <w:r w:rsidRPr="00EC4D59">
              <w:rPr>
                <w:szCs w:val="22"/>
              </w:rPr>
              <w:t>Asset value/sum insured or exposure level for each jurisdiction.</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Strata Unit </w:t>
            </w:r>
          </w:p>
        </w:tc>
        <w:tc>
          <w:tcPr>
            <w:tcW w:w="6520" w:type="dxa"/>
          </w:tcPr>
          <w:p w:rsidR="00982AB5" w:rsidRPr="00EC4D59" w:rsidRDefault="00982AB5" w:rsidP="00EC4D59">
            <w:pPr>
              <w:spacing w:before="120" w:after="120"/>
              <w:rPr>
                <w:szCs w:val="22"/>
              </w:rPr>
            </w:pPr>
            <w:r w:rsidRPr="00EC4D59">
              <w:rPr>
                <w:szCs w:val="22"/>
              </w:rPr>
              <w:t>Asset value/sum insured or exposure level for each jurisdiction.</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Title Insurance </w:t>
            </w:r>
          </w:p>
        </w:tc>
        <w:tc>
          <w:tcPr>
            <w:tcW w:w="6520" w:type="dxa"/>
          </w:tcPr>
          <w:p w:rsidR="00982AB5" w:rsidRPr="00EC4D59" w:rsidRDefault="00982AB5" w:rsidP="00EC4D59">
            <w:pPr>
              <w:spacing w:before="120" w:after="120"/>
              <w:rPr>
                <w:szCs w:val="22"/>
              </w:rPr>
            </w:pPr>
            <w:r w:rsidRPr="00EC4D59">
              <w:rPr>
                <w:szCs w:val="22"/>
              </w:rPr>
              <w:t xml:space="preserve">Location of the property. </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Trade Credit </w:t>
            </w:r>
          </w:p>
        </w:tc>
        <w:tc>
          <w:tcPr>
            <w:tcW w:w="6520" w:type="dxa"/>
          </w:tcPr>
          <w:p w:rsidR="00982AB5" w:rsidRPr="00EC4D59" w:rsidRDefault="00982AB5" w:rsidP="00EC4D59">
            <w:pPr>
              <w:spacing w:before="120" w:after="120"/>
              <w:rPr>
                <w:szCs w:val="22"/>
              </w:rPr>
            </w:pPr>
            <w:r w:rsidRPr="00EC4D59">
              <w:rPr>
                <w:szCs w:val="22"/>
              </w:rPr>
              <w:t xml:space="preserve">Turnover or sales. </w:t>
            </w:r>
          </w:p>
        </w:tc>
      </w:tr>
      <w:tr w:rsidR="00982AB5" w:rsidRPr="00EC4D59" w:rsidTr="00EC4D59">
        <w:tc>
          <w:tcPr>
            <w:tcW w:w="2802" w:type="dxa"/>
          </w:tcPr>
          <w:p w:rsidR="00982AB5" w:rsidRPr="00EC4D59" w:rsidRDefault="00982AB5" w:rsidP="00EC4D59">
            <w:pPr>
              <w:spacing w:before="120" w:after="120"/>
              <w:rPr>
                <w:szCs w:val="22"/>
              </w:rPr>
            </w:pPr>
            <w:r w:rsidRPr="00C011D7">
              <w:br w:type="page"/>
            </w:r>
            <w:r w:rsidRPr="00EC4D59">
              <w:rPr>
                <w:szCs w:val="22"/>
              </w:rPr>
              <w:t xml:space="preserve">Travel (outbound from </w:t>
            </w:r>
            <w:smartTag w:uri="urn:schemas-microsoft-com:office:smarttags" w:element="country-region">
              <w:smartTag w:uri="urn:schemas-microsoft-com:office:smarttags" w:element="place">
                <w:r w:rsidRPr="00EC4D59">
                  <w:rPr>
                    <w:szCs w:val="22"/>
                  </w:rPr>
                  <w:t>Australia</w:t>
                </w:r>
              </w:smartTag>
            </w:smartTag>
            <w:r w:rsidRPr="00EC4D59">
              <w:rPr>
                <w:szCs w:val="22"/>
              </w:rPr>
              <w:t>) – includes baggage</w:t>
            </w:r>
          </w:p>
        </w:tc>
        <w:tc>
          <w:tcPr>
            <w:tcW w:w="6520" w:type="dxa"/>
          </w:tcPr>
          <w:p w:rsidR="00982AB5" w:rsidRPr="00EC4D59" w:rsidRDefault="00982AB5" w:rsidP="00EC4D59">
            <w:pPr>
              <w:spacing w:before="120" w:after="120"/>
              <w:jc w:val="both"/>
              <w:rPr>
                <w:szCs w:val="22"/>
              </w:rPr>
            </w:pPr>
            <w:r w:rsidRPr="00EC4D59">
              <w:rPr>
                <w:szCs w:val="22"/>
              </w:rPr>
              <w:t xml:space="preserve">Duty payable on 10% of premium received. State of </w:t>
            </w:r>
            <w:smartTag w:uri="urn:schemas-microsoft-com:office:smarttags" w:element="place">
              <w:smartTag w:uri="urn:schemas-microsoft-com:office:smarttags" w:element="State">
                <w:r w:rsidRPr="00EC4D59">
                  <w:rPr>
                    <w:szCs w:val="22"/>
                  </w:rPr>
                  <w:t>Registration</w:t>
                </w:r>
              </w:smartTag>
            </w:smartTag>
            <w:r w:rsidRPr="00EC4D59">
              <w:rPr>
                <w:szCs w:val="22"/>
              </w:rPr>
              <w:t xml:space="preserve"> of Business (where the insured is not a natural person) or place of residence of the person insured.</w:t>
            </w:r>
          </w:p>
          <w:p w:rsidR="00982AB5" w:rsidRPr="00EC4D59" w:rsidRDefault="00982AB5" w:rsidP="00EC4D59">
            <w:pPr>
              <w:spacing w:before="120" w:after="120"/>
              <w:jc w:val="both"/>
              <w:rPr>
                <w:szCs w:val="22"/>
              </w:rPr>
            </w:pPr>
            <w:r w:rsidRPr="00EC4D59">
              <w:rPr>
                <w:b/>
                <w:szCs w:val="22"/>
              </w:rPr>
              <w:t>Note:</w:t>
            </w:r>
            <w:r w:rsidRPr="00EC4D59">
              <w:rPr>
                <w:szCs w:val="22"/>
              </w:rPr>
              <w:t xml:space="preserve"> Should an insurance company disagree with this basis of apportionment they may apply to the Commissioner for apportionment on another basis. Where an insurance company elects to apportion duty on some other basis that method of apportionment must be applied consistently across all jurisdictions.</w:t>
            </w:r>
          </w:p>
        </w:tc>
      </w:tr>
      <w:tr w:rsidR="00982AB5" w:rsidRPr="00EC4D59" w:rsidTr="00EC4D59">
        <w:tc>
          <w:tcPr>
            <w:tcW w:w="2802" w:type="dxa"/>
          </w:tcPr>
          <w:p w:rsidR="00982AB5" w:rsidRPr="00EC4D59" w:rsidRDefault="00982AB5" w:rsidP="00EC4D59">
            <w:pPr>
              <w:spacing w:before="120" w:after="120"/>
              <w:rPr>
                <w:szCs w:val="22"/>
              </w:rPr>
            </w:pPr>
            <w:r w:rsidRPr="00EC4D59">
              <w:rPr>
                <w:szCs w:val="22"/>
              </w:rPr>
              <w:t xml:space="preserve">Travel (within </w:t>
            </w:r>
            <w:smartTag w:uri="urn:schemas-microsoft-com:office:smarttags" w:element="place">
              <w:smartTag w:uri="urn:schemas-microsoft-com:office:smarttags" w:element="country-region">
                <w:r w:rsidRPr="00EC4D59">
                  <w:rPr>
                    <w:szCs w:val="22"/>
                  </w:rPr>
                  <w:t>Australia</w:t>
                </w:r>
              </w:smartTag>
            </w:smartTag>
            <w:r w:rsidRPr="00EC4D59">
              <w:rPr>
                <w:szCs w:val="22"/>
              </w:rPr>
              <w:t>) – includes baggage</w:t>
            </w:r>
          </w:p>
        </w:tc>
        <w:tc>
          <w:tcPr>
            <w:tcW w:w="6520" w:type="dxa"/>
          </w:tcPr>
          <w:p w:rsidR="00982AB5" w:rsidRPr="00EC4D59" w:rsidRDefault="00982AB5" w:rsidP="00EC4D59">
            <w:pPr>
              <w:spacing w:before="120" w:after="120"/>
              <w:jc w:val="both"/>
              <w:rPr>
                <w:szCs w:val="22"/>
              </w:rPr>
            </w:pPr>
            <w:r w:rsidRPr="00EC4D59">
              <w:rPr>
                <w:szCs w:val="22"/>
              </w:rPr>
              <w:t>Place of residence of the person insured or state of registration of the business (where the insured is not a natural person).</w:t>
            </w:r>
          </w:p>
        </w:tc>
      </w:tr>
    </w:tbl>
    <w:p w:rsidR="00982AB5" w:rsidRPr="009F64ED" w:rsidRDefault="00982AB5" w:rsidP="001F7112"/>
    <w:sectPr w:rsidR="00982AB5" w:rsidRPr="009F64ED" w:rsidSect="00F65356">
      <w:headerReference w:type="even" r:id="rId14"/>
      <w:headerReference w:type="default" r:id="rId15"/>
      <w:footerReference w:type="default" r:id="rId16"/>
      <w:headerReference w:type="first" r:id="rId17"/>
      <w:footerReference w:type="first" r:id="rId18"/>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CE6" w:rsidRDefault="00ED4CE6">
      <w:r>
        <w:separator/>
      </w:r>
    </w:p>
  </w:endnote>
  <w:endnote w:type="continuationSeparator" w:id="0">
    <w:p w:rsidR="00ED4CE6" w:rsidRDefault="00ED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364D5F">
    <w:pPr>
      <w:pStyle w:val="Footer"/>
      <w:tabs>
        <w:tab w:val="clear" w:pos="4153"/>
        <w:tab w:val="clear" w:pos="8306"/>
        <w:tab w:val="right" w:pos="9720"/>
      </w:tabs>
      <w:rPr>
        <w:sz w:val="16"/>
        <w:szCs w:val="16"/>
      </w:rPr>
    </w:pPr>
  </w:p>
  <w:p w:rsidR="00945A49" w:rsidRPr="00364D5F"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3D45AD">
      <w:rPr>
        <w:noProof/>
        <w:sz w:val="16"/>
        <w:szCs w:val="16"/>
      </w:rPr>
      <w:t>2</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3D45AD">
      <w:rPr>
        <w:noProof/>
        <w:sz w:val="16"/>
        <w:szCs w:val="16"/>
      </w:rPr>
      <w:t>6</w:t>
    </w:r>
    <w:r w:rsidRPr="006034B6">
      <w:rPr>
        <w:sz w:val="16"/>
        <w:szCs w:val="16"/>
      </w:rPr>
      <w:fldChar w:fldCharType="end"/>
    </w:r>
    <w:r>
      <w:rPr>
        <w:sz w:val="16"/>
        <w:szCs w:val="16"/>
      </w:rPr>
      <w:tab/>
      <w:t>CG-</w:t>
    </w:r>
    <w:r w:rsidR="00982AB5">
      <w:rPr>
        <w:sz w:val="16"/>
        <w:szCs w:val="16"/>
      </w:rPr>
      <w:t>SD-006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364D5F">
    <w:pPr>
      <w:pStyle w:val="Footer"/>
      <w:tabs>
        <w:tab w:val="clear" w:pos="4153"/>
        <w:tab w:val="clear" w:pos="8306"/>
        <w:tab w:val="right" w:pos="9720"/>
      </w:tabs>
      <w:rPr>
        <w:sz w:val="16"/>
        <w:szCs w:val="16"/>
      </w:rPr>
    </w:pPr>
  </w:p>
  <w:p w:rsidR="00945A49" w:rsidRPr="006034B6"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3D45AD">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3D45AD">
      <w:rPr>
        <w:noProof/>
        <w:sz w:val="16"/>
        <w:szCs w:val="16"/>
      </w:rPr>
      <w:t>6</w:t>
    </w:r>
    <w:r w:rsidRPr="006034B6">
      <w:rPr>
        <w:sz w:val="16"/>
        <w:szCs w:val="16"/>
      </w:rPr>
      <w:fldChar w:fldCharType="end"/>
    </w:r>
    <w:r>
      <w:rPr>
        <w:sz w:val="16"/>
        <w:szCs w:val="16"/>
      </w:rPr>
      <w:tab/>
      <w:t>CG-</w:t>
    </w:r>
    <w:r w:rsidR="00982AB5">
      <w:rPr>
        <w:sz w:val="16"/>
        <w:szCs w:val="16"/>
      </w:rPr>
      <w:t>SD-006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CE6" w:rsidRDefault="00ED4CE6">
      <w:r>
        <w:separator/>
      </w:r>
    </w:p>
  </w:footnote>
  <w:footnote w:type="continuationSeparator" w:id="0">
    <w:p w:rsidR="00ED4CE6" w:rsidRDefault="00ED4CE6">
      <w:r>
        <w:continuationSeparator/>
      </w:r>
    </w:p>
  </w:footnote>
  <w:footnote w:id="1">
    <w:p w:rsidR="00982AB5" w:rsidRPr="002F6D87" w:rsidRDefault="00982AB5" w:rsidP="00982AB5">
      <w:pPr>
        <w:pStyle w:val="FootnoteText"/>
        <w:rPr>
          <w:rFonts w:ascii="Arial" w:hAnsi="Arial" w:cs="Arial"/>
          <w:sz w:val="18"/>
          <w:szCs w:val="18"/>
        </w:rPr>
      </w:pPr>
      <w:r w:rsidRPr="002F6D87">
        <w:rPr>
          <w:rStyle w:val="FootnoteReference"/>
          <w:rFonts w:ascii="Arial" w:hAnsi="Arial" w:cs="Arial"/>
          <w:sz w:val="18"/>
          <w:szCs w:val="18"/>
        </w:rPr>
        <w:footnoteRef/>
      </w:r>
      <w:r w:rsidRPr="002F6D87">
        <w:rPr>
          <w:rFonts w:ascii="Arial" w:hAnsi="Arial" w:cs="Arial"/>
          <w:sz w:val="18"/>
          <w:szCs w:val="18"/>
        </w:rPr>
        <w:t xml:space="preserve"> Section 38 </w:t>
      </w:r>
      <w:r>
        <w:rPr>
          <w:rFonts w:ascii="Arial" w:hAnsi="Arial" w:cs="Arial"/>
          <w:sz w:val="18"/>
          <w:szCs w:val="18"/>
        </w:rPr>
        <w:t xml:space="preserve">the SDA </w:t>
      </w:r>
      <w:r w:rsidRPr="002F6D87">
        <w:rPr>
          <w:rFonts w:ascii="Arial" w:hAnsi="Arial" w:cs="Arial"/>
          <w:sz w:val="18"/>
          <w:szCs w:val="18"/>
        </w:rPr>
        <w:t xml:space="preserve">and </w:t>
      </w:r>
      <w:r>
        <w:rPr>
          <w:rFonts w:ascii="Arial" w:hAnsi="Arial" w:cs="Arial"/>
          <w:sz w:val="18"/>
          <w:szCs w:val="18"/>
        </w:rPr>
        <w:t>i</w:t>
      </w:r>
      <w:r w:rsidRPr="002F6D87">
        <w:rPr>
          <w:rFonts w:ascii="Arial" w:hAnsi="Arial" w:cs="Arial"/>
          <w:sz w:val="18"/>
          <w:szCs w:val="18"/>
        </w:rPr>
        <w:t xml:space="preserve">tem </w:t>
      </w:r>
      <w:r>
        <w:rPr>
          <w:rFonts w:ascii="Arial" w:hAnsi="Arial" w:cs="Arial"/>
          <w:sz w:val="18"/>
          <w:szCs w:val="18"/>
        </w:rPr>
        <w:t>6</w:t>
      </w:r>
      <w:r w:rsidRPr="002F6D87">
        <w:rPr>
          <w:rFonts w:ascii="Arial" w:hAnsi="Arial" w:cs="Arial"/>
          <w:sz w:val="18"/>
          <w:szCs w:val="18"/>
        </w:rPr>
        <w:t xml:space="preserve"> of Schedule 1 to the</w:t>
      </w:r>
      <w:r>
        <w:rPr>
          <w:rFonts w:ascii="Arial" w:hAnsi="Arial" w:cs="Arial"/>
          <w:sz w:val="18"/>
          <w:szCs w:val="18"/>
        </w:rPr>
        <w:t xml:space="preserve"> SDA</w:t>
      </w:r>
      <w:r w:rsidRPr="002F6D87">
        <w:rPr>
          <w:rFonts w:ascii="Arial" w:hAnsi="Arial" w:cs="Arial"/>
          <w:sz w:val="18"/>
          <w:szCs w:val="18"/>
        </w:rPr>
        <w:t>.</w:t>
      </w:r>
    </w:p>
  </w:footnote>
  <w:footnote w:id="2">
    <w:p w:rsidR="00982AB5" w:rsidRDefault="00982AB5" w:rsidP="00982AB5">
      <w:pPr>
        <w:pStyle w:val="FootnoteText"/>
        <w:rPr>
          <w:rFonts w:ascii="Tahoma" w:hAnsi="Tahoma"/>
          <w:sz w:val="18"/>
        </w:rPr>
      </w:pPr>
      <w:r w:rsidRPr="002F6D87">
        <w:rPr>
          <w:rStyle w:val="FootnoteReference"/>
          <w:rFonts w:ascii="Arial" w:hAnsi="Arial" w:cs="Arial"/>
          <w:sz w:val="18"/>
          <w:szCs w:val="18"/>
        </w:rPr>
        <w:footnoteRef/>
      </w:r>
      <w:r w:rsidRPr="002F6D87">
        <w:rPr>
          <w:rFonts w:ascii="Arial" w:hAnsi="Arial" w:cs="Arial"/>
          <w:sz w:val="18"/>
          <w:szCs w:val="18"/>
        </w:rPr>
        <w:t xml:space="preserve"> Sections 4</w:t>
      </w:r>
      <w:r>
        <w:rPr>
          <w:rFonts w:ascii="Arial" w:hAnsi="Arial" w:cs="Arial"/>
          <w:sz w:val="18"/>
          <w:szCs w:val="18"/>
        </w:rPr>
        <w:t>9</w:t>
      </w:r>
      <w:r w:rsidRPr="002F6D87">
        <w:rPr>
          <w:rFonts w:ascii="Arial" w:hAnsi="Arial" w:cs="Arial"/>
          <w:sz w:val="18"/>
          <w:szCs w:val="18"/>
        </w:rPr>
        <w:t>A and 4</w:t>
      </w:r>
      <w:r>
        <w:rPr>
          <w:rFonts w:ascii="Arial" w:hAnsi="Arial" w:cs="Arial"/>
          <w:sz w:val="18"/>
          <w:szCs w:val="18"/>
        </w:rPr>
        <w:t>9</w:t>
      </w:r>
      <w:r w:rsidRPr="002F6D87">
        <w:rPr>
          <w:rFonts w:ascii="Arial" w:hAnsi="Arial" w:cs="Arial"/>
          <w:sz w:val="18"/>
          <w:szCs w:val="18"/>
        </w:rPr>
        <w:t xml:space="preserve">B of </w:t>
      </w:r>
      <w:r>
        <w:rPr>
          <w:rFonts w:ascii="Arial" w:hAnsi="Arial" w:cs="Arial"/>
          <w:sz w:val="18"/>
          <w:szCs w:val="18"/>
        </w:rPr>
        <w:t>the SDA</w:t>
      </w:r>
      <w:r w:rsidRPr="002F6D87">
        <w:rPr>
          <w:rFonts w:ascii="Arial" w:hAnsi="Arial" w:cs="Arial"/>
          <w:sz w:val="18"/>
          <w:szCs w:val="18"/>
        </w:rPr>
        <w:t>.</w:t>
      </w:r>
    </w:p>
  </w:footnote>
  <w:footnote w:id="3">
    <w:p w:rsidR="00982AB5" w:rsidRPr="002F6D87" w:rsidRDefault="00982AB5" w:rsidP="00982AB5">
      <w:pPr>
        <w:pStyle w:val="FootnoteText"/>
        <w:rPr>
          <w:rFonts w:ascii="Arial" w:hAnsi="Arial" w:cs="Arial"/>
          <w:sz w:val="18"/>
          <w:szCs w:val="18"/>
        </w:rPr>
      </w:pPr>
      <w:r w:rsidRPr="002F6D87">
        <w:rPr>
          <w:rStyle w:val="FootnoteReference"/>
          <w:rFonts w:ascii="Arial" w:hAnsi="Arial" w:cs="Arial"/>
          <w:sz w:val="18"/>
          <w:szCs w:val="18"/>
        </w:rPr>
        <w:footnoteRef/>
      </w:r>
      <w:r w:rsidRPr="002F6D87">
        <w:rPr>
          <w:rFonts w:ascii="Arial" w:hAnsi="Arial" w:cs="Arial"/>
          <w:sz w:val="18"/>
          <w:szCs w:val="18"/>
        </w:rPr>
        <w:t xml:space="preserve"> Section 49C(1) of </w:t>
      </w:r>
      <w:r>
        <w:rPr>
          <w:rFonts w:ascii="Arial" w:hAnsi="Arial" w:cs="Arial"/>
          <w:sz w:val="18"/>
          <w:szCs w:val="18"/>
        </w:rPr>
        <w:t>the SDA</w:t>
      </w:r>
      <w:r w:rsidRPr="002F6D87">
        <w:rPr>
          <w:rFonts w:ascii="Arial" w:hAnsi="Arial" w:cs="Arial"/>
          <w:sz w:val="18"/>
          <w:szCs w:val="18"/>
        </w:rPr>
        <w:t>.</w:t>
      </w:r>
    </w:p>
  </w:footnote>
  <w:footnote w:id="4">
    <w:p w:rsidR="00982AB5" w:rsidRPr="002F6D87" w:rsidRDefault="00982AB5" w:rsidP="00982AB5">
      <w:pPr>
        <w:pStyle w:val="FootnoteText"/>
        <w:rPr>
          <w:rFonts w:ascii="Arial" w:hAnsi="Arial" w:cs="Arial"/>
          <w:sz w:val="18"/>
          <w:szCs w:val="18"/>
        </w:rPr>
      </w:pPr>
      <w:r w:rsidRPr="002F6D87">
        <w:rPr>
          <w:rStyle w:val="FootnoteReference"/>
          <w:rFonts w:ascii="Arial" w:hAnsi="Arial" w:cs="Arial"/>
          <w:sz w:val="18"/>
          <w:szCs w:val="18"/>
        </w:rPr>
        <w:footnoteRef/>
      </w:r>
      <w:r w:rsidRPr="002F6D87">
        <w:rPr>
          <w:rFonts w:ascii="Arial" w:hAnsi="Arial" w:cs="Arial"/>
          <w:sz w:val="18"/>
          <w:szCs w:val="18"/>
        </w:rPr>
        <w:t xml:space="preserve"> Section 49C(2) of </w:t>
      </w:r>
      <w:r>
        <w:rPr>
          <w:rFonts w:ascii="Arial" w:hAnsi="Arial" w:cs="Arial"/>
          <w:sz w:val="18"/>
          <w:szCs w:val="18"/>
        </w:rPr>
        <w:t>the SDA</w:t>
      </w:r>
      <w:r w:rsidRPr="002F6D87">
        <w:rPr>
          <w:rFonts w:ascii="Arial" w:hAnsi="Arial" w:cs="Arial"/>
          <w:sz w:val="18"/>
          <w:szCs w:val="18"/>
        </w:rPr>
        <w:t>.</w:t>
      </w:r>
    </w:p>
  </w:footnote>
  <w:footnote w:id="5">
    <w:p w:rsidR="00982AB5" w:rsidRDefault="00982AB5" w:rsidP="00982AB5">
      <w:pPr>
        <w:pStyle w:val="FootnoteText"/>
        <w:rPr>
          <w:rFonts w:ascii="Tahoma" w:hAnsi="Tahoma"/>
          <w:sz w:val="18"/>
        </w:rPr>
      </w:pPr>
      <w:r w:rsidRPr="002F6D87">
        <w:rPr>
          <w:rStyle w:val="FootnoteReference"/>
          <w:rFonts w:ascii="Arial" w:hAnsi="Arial" w:cs="Arial"/>
          <w:sz w:val="18"/>
          <w:szCs w:val="18"/>
        </w:rPr>
        <w:footnoteRef/>
      </w:r>
      <w:r w:rsidRPr="002F6D87">
        <w:rPr>
          <w:rFonts w:ascii="Arial" w:hAnsi="Arial" w:cs="Arial"/>
          <w:sz w:val="18"/>
          <w:szCs w:val="18"/>
        </w:rPr>
        <w:t xml:space="preserve"> Section 49C(3) of </w:t>
      </w:r>
      <w:r>
        <w:rPr>
          <w:rFonts w:ascii="Arial" w:hAnsi="Arial" w:cs="Arial"/>
          <w:sz w:val="18"/>
          <w:szCs w:val="18"/>
        </w:rPr>
        <w:t xml:space="preserve">the SDA and Part 5 of the </w:t>
      </w:r>
      <w:r>
        <w:rPr>
          <w:rFonts w:ascii="Arial" w:hAnsi="Arial" w:cs="Arial"/>
          <w:i/>
          <w:sz w:val="18"/>
          <w:szCs w:val="18"/>
        </w:rPr>
        <w:t>Taxation Administration Act</w:t>
      </w:r>
      <w:r w:rsidRPr="002F6D87">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5A49" w:rsidRDefault="00945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Pr="003765CD" w:rsidRDefault="00945A49"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AA774E" w:rsidP="0019571B">
    <w:pPr>
      <w:pStyle w:val="NTTHeaderInfo"/>
      <w:rPr>
        <w:b/>
        <w:noProof/>
      </w:rPr>
    </w:pPr>
    <w:r>
      <w:rPr>
        <w:noProof/>
      </w:rPr>
      <w:drawing>
        <wp:anchor distT="0" distB="0" distL="114300" distR="114300" simplePos="0" relativeHeight="251657728" behindDoc="1" locked="0" layoutInCell="1" allowOverlap="1">
          <wp:simplePos x="0" y="0"/>
          <wp:positionH relativeFrom="column">
            <wp:posOffset>-529590</wp:posOffset>
          </wp:positionH>
          <wp:positionV relativeFrom="paragraph">
            <wp:posOffset>-179070</wp:posOffset>
          </wp:positionV>
          <wp:extent cx="7191375" cy="904875"/>
          <wp:effectExtent l="0" t="0" r="0" b="0"/>
          <wp:wrapThrough wrapText="bothSides">
            <wp:wrapPolygon edited="0">
              <wp:start x="0" y="0"/>
              <wp:lineTo x="0" y="21373"/>
              <wp:lineTo x="21571" y="21373"/>
              <wp:lineTo x="21571" y="0"/>
              <wp:lineTo x="0" y="0"/>
            </wp:wrapPolygon>
          </wp:wrapThrough>
          <wp:docPr id="5" name="Picture 5" descr="D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A49" w:rsidRDefault="00945A49" w:rsidP="0019571B">
    <w:pPr>
      <w:pStyle w:val="NTTHeaderInfo"/>
      <w:rPr>
        <w:b/>
        <w:noProof/>
      </w:rPr>
    </w:pPr>
  </w:p>
  <w:p w:rsidR="00945A49" w:rsidRDefault="00945A49" w:rsidP="0019571B">
    <w:pPr>
      <w:pStyle w:val="NTTHeaderInfo"/>
      <w:rPr>
        <w:b/>
        <w:noProof/>
      </w:rPr>
    </w:pPr>
  </w:p>
  <w:p w:rsidR="00945A49" w:rsidRDefault="00945A49">
    <w:pPr>
      <w:pStyle w:val="Header"/>
    </w:pPr>
  </w:p>
  <w:p w:rsidR="00945A49" w:rsidRDefault="00945A49">
    <w:pPr>
      <w:pStyle w:val="Header"/>
    </w:pPr>
  </w:p>
  <w:p w:rsidR="00945A49" w:rsidRDefault="00945A49">
    <w:pPr>
      <w:pStyle w:val="Header"/>
    </w:pPr>
  </w:p>
  <w:p w:rsidR="00F65356" w:rsidRDefault="00F65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pStyle w:val="ListNumber"/>
      <w:lvlText w:val="%1."/>
      <w:lvlJc w:val="left"/>
      <w:pPr>
        <w:tabs>
          <w:tab w:val="num" w:pos="360"/>
        </w:tabs>
        <w:ind w:left="360" w:hanging="360"/>
      </w:p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593059"/>
    <w:multiLevelType w:val="multilevel"/>
    <w:tmpl w:val="88F6EEB2"/>
    <w:numStyleLink w:val="Text"/>
  </w:abstractNum>
  <w:abstractNum w:abstractNumId="3" w15:restartNumberingAfterBreak="0">
    <w:nsid w:val="0FC94AA2"/>
    <w:multiLevelType w:val="singleLevel"/>
    <w:tmpl w:val="25184BCA"/>
    <w:lvl w:ilvl="0">
      <w:start w:val="1"/>
      <w:numFmt w:val="decimal"/>
      <w:lvlText w:val="(%1)"/>
      <w:lvlJc w:val="left"/>
      <w:pPr>
        <w:tabs>
          <w:tab w:val="num" w:pos="375"/>
        </w:tabs>
        <w:ind w:left="375" w:hanging="375"/>
      </w:pPr>
      <w:rPr>
        <w:rFonts w:hint="default"/>
      </w:rPr>
    </w:lvl>
  </w:abstractNum>
  <w:abstractNum w:abstractNumId="4" w15:restartNumberingAfterBreak="0">
    <w:nsid w:val="1E903CE7"/>
    <w:multiLevelType w:val="multilevel"/>
    <w:tmpl w:val="88F6EEB2"/>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26D97B54"/>
    <w:multiLevelType w:val="hybridMultilevel"/>
    <w:tmpl w:val="693EF3F8"/>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8"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4131F36"/>
    <w:multiLevelType w:val="hybridMultilevel"/>
    <w:tmpl w:val="135E5DF0"/>
    <w:lvl w:ilvl="0" w:tplc="0C09000F">
      <w:start w:val="1"/>
      <w:numFmt w:val="decimal"/>
      <w:lvlText w:val="%1."/>
      <w:lvlJc w:val="left"/>
      <w:pPr>
        <w:tabs>
          <w:tab w:val="num" w:pos="720"/>
        </w:tabs>
        <w:ind w:left="720" w:hanging="360"/>
      </w:pPr>
    </w:lvl>
    <w:lvl w:ilvl="1" w:tplc="1B8661A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599741FE"/>
    <w:multiLevelType w:val="hybridMultilevel"/>
    <w:tmpl w:val="F29CF7D4"/>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7294591F"/>
    <w:multiLevelType w:val="multilevel"/>
    <w:tmpl w:val="88F6EEB2"/>
    <w:numStyleLink w:val="Text"/>
  </w:abstractNum>
  <w:num w:numId="1">
    <w:abstractNumId w:val="11"/>
  </w:num>
  <w:num w:numId="2">
    <w:abstractNumId w:val="6"/>
  </w:num>
  <w:num w:numId="3">
    <w:abstractNumId w:val="4"/>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1"/>
  </w:num>
  <w:num w:numId="5">
    <w:abstractNumId w:val="2"/>
  </w:num>
  <w:num w:numId="6">
    <w:abstractNumId w:val="7"/>
  </w:num>
  <w:num w:numId="7">
    <w:abstractNumId w:val="8"/>
  </w:num>
  <w:num w:numId="8">
    <w:abstractNumId w:val="0"/>
  </w:num>
  <w:num w:numId="9">
    <w:abstractNumId w:val="3"/>
  </w:num>
  <w:num w:numId="10">
    <w:abstractNumId w:val="5"/>
  </w:num>
  <w:num w:numId="11">
    <w:abstractNumId w:val="1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G6QRkdWdWnc79Albud9bQp3kXuivW5FLC6gz7mQdHUTK81d3evCLvryMVsr+2L9ZOSpRhvYhAEhJBqJ0DfEv6w==" w:salt="SCzsKbqbjNRGdkT7kLCsq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AB5"/>
    <w:rsid w:val="000060BF"/>
    <w:rsid w:val="000064CB"/>
    <w:rsid w:val="000104AB"/>
    <w:rsid w:val="00010EEA"/>
    <w:rsid w:val="0002150C"/>
    <w:rsid w:val="00022413"/>
    <w:rsid w:val="00023645"/>
    <w:rsid w:val="00025614"/>
    <w:rsid w:val="000302C0"/>
    <w:rsid w:val="000333C6"/>
    <w:rsid w:val="000376B2"/>
    <w:rsid w:val="000424F1"/>
    <w:rsid w:val="00042BC9"/>
    <w:rsid w:val="00045CCE"/>
    <w:rsid w:val="00046838"/>
    <w:rsid w:val="0005160E"/>
    <w:rsid w:val="00054E58"/>
    <w:rsid w:val="00055A15"/>
    <w:rsid w:val="00055F6E"/>
    <w:rsid w:val="000567BE"/>
    <w:rsid w:val="0005747B"/>
    <w:rsid w:val="00063A93"/>
    <w:rsid w:val="00063EAC"/>
    <w:rsid w:val="00067AE5"/>
    <w:rsid w:val="00070001"/>
    <w:rsid w:val="000755D7"/>
    <w:rsid w:val="00081963"/>
    <w:rsid w:val="00081984"/>
    <w:rsid w:val="000917B2"/>
    <w:rsid w:val="00094D2B"/>
    <w:rsid w:val="000968BE"/>
    <w:rsid w:val="000A058E"/>
    <w:rsid w:val="000A1789"/>
    <w:rsid w:val="000A57FE"/>
    <w:rsid w:val="000A5BAB"/>
    <w:rsid w:val="000A5FAF"/>
    <w:rsid w:val="000A7ABD"/>
    <w:rsid w:val="000B1FE4"/>
    <w:rsid w:val="000C0DD5"/>
    <w:rsid w:val="000C2C04"/>
    <w:rsid w:val="000C3AD0"/>
    <w:rsid w:val="000C5DAB"/>
    <w:rsid w:val="000D21B9"/>
    <w:rsid w:val="000D4683"/>
    <w:rsid w:val="000D760C"/>
    <w:rsid w:val="000E26E6"/>
    <w:rsid w:val="000E4D8E"/>
    <w:rsid w:val="000F7515"/>
    <w:rsid w:val="00112237"/>
    <w:rsid w:val="001171EA"/>
    <w:rsid w:val="00117E21"/>
    <w:rsid w:val="00117F5D"/>
    <w:rsid w:val="00120400"/>
    <w:rsid w:val="0012101B"/>
    <w:rsid w:val="0012610A"/>
    <w:rsid w:val="001271FF"/>
    <w:rsid w:val="0013250A"/>
    <w:rsid w:val="00133F7E"/>
    <w:rsid w:val="00134634"/>
    <w:rsid w:val="00135C96"/>
    <w:rsid w:val="001364CD"/>
    <w:rsid w:val="001407E2"/>
    <w:rsid w:val="001422DD"/>
    <w:rsid w:val="001521B6"/>
    <w:rsid w:val="00153959"/>
    <w:rsid w:val="00153AFD"/>
    <w:rsid w:val="001545F9"/>
    <w:rsid w:val="001579C2"/>
    <w:rsid w:val="00160881"/>
    <w:rsid w:val="0016262C"/>
    <w:rsid w:val="00164258"/>
    <w:rsid w:val="00164A3A"/>
    <w:rsid w:val="00166509"/>
    <w:rsid w:val="00176573"/>
    <w:rsid w:val="0018229E"/>
    <w:rsid w:val="00184056"/>
    <w:rsid w:val="00184984"/>
    <w:rsid w:val="00184B7C"/>
    <w:rsid w:val="00187674"/>
    <w:rsid w:val="00192F6F"/>
    <w:rsid w:val="0019571B"/>
    <w:rsid w:val="00196C1B"/>
    <w:rsid w:val="001971A1"/>
    <w:rsid w:val="0019771F"/>
    <w:rsid w:val="001A6196"/>
    <w:rsid w:val="001B71AE"/>
    <w:rsid w:val="001B7AC7"/>
    <w:rsid w:val="001C422C"/>
    <w:rsid w:val="001C4568"/>
    <w:rsid w:val="001D27E9"/>
    <w:rsid w:val="001D4089"/>
    <w:rsid w:val="001D5A9F"/>
    <w:rsid w:val="001D6742"/>
    <w:rsid w:val="001D69E9"/>
    <w:rsid w:val="001D7DC4"/>
    <w:rsid w:val="001E3578"/>
    <w:rsid w:val="001E6135"/>
    <w:rsid w:val="001F4991"/>
    <w:rsid w:val="001F5273"/>
    <w:rsid w:val="001F60FE"/>
    <w:rsid w:val="001F6B23"/>
    <w:rsid w:val="001F7112"/>
    <w:rsid w:val="001F7B6E"/>
    <w:rsid w:val="0020232B"/>
    <w:rsid w:val="00204372"/>
    <w:rsid w:val="002048E7"/>
    <w:rsid w:val="00206981"/>
    <w:rsid w:val="00207E37"/>
    <w:rsid w:val="00210686"/>
    <w:rsid w:val="002115E6"/>
    <w:rsid w:val="00211ADE"/>
    <w:rsid w:val="00215A9D"/>
    <w:rsid w:val="0021684D"/>
    <w:rsid w:val="00220E1E"/>
    <w:rsid w:val="00221114"/>
    <w:rsid w:val="0022361B"/>
    <w:rsid w:val="00224644"/>
    <w:rsid w:val="0022584E"/>
    <w:rsid w:val="002306CE"/>
    <w:rsid w:val="0023083D"/>
    <w:rsid w:val="002374AC"/>
    <w:rsid w:val="00237B7C"/>
    <w:rsid w:val="00242910"/>
    <w:rsid w:val="002440CC"/>
    <w:rsid w:val="0024555A"/>
    <w:rsid w:val="002466CE"/>
    <w:rsid w:val="002524C0"/>
    <w:rsid w:val="002526A8"/>
    <w:rsid w:val="00252EA3"/>
    <w:rsid w:val="0025439F"/>
    <w:rsid w:val="002545A4"/>
    <w:rsid w:val="002546CB"/>
    <w:rsid w:val="002548C6"/>
    <w:rsid w:val="002555DE"/>
    <w:rsid w:val="00271740"/>
    <w:rsid w:val="0027710E"/>
    <w:rsid w:val="002863EF"/>
    <w:rsid w:val="00295BEF"/>
    <w:rsid w:val="00297E74"/>
    <w:rsid w:val="002A03A5"/>
    <w:rsid w:val="002A3775"/>
    <w:rsid w:val="002A5567"/>
    <w:rsid w:val="002A5623"/>
    <w:rsid w:val="002A7D1F"/>
    <w:rsid w:val="002B1738"/>
    <w:rsid w:val="002C0386"/>
    <w:rsid w:val="002C1DA7"/>
    <w:rsid w:val="002C267D"/>
    <w:rsid w:val="002D4686"/>
    <w:rsid w:val="002D6B9D"/>
    <w:rsid w:val="002D7B81"/>
    <w:rsid w:val="002E1CE1"/>
    <w:rsid w:val="00301586"/>
    <w:rsid w:val="00306272"/>
    <w:rsid w:val="00307F79"/>
    <w:rsid w:val="00311AB6"/>
    <w:rsid w:val="00314B99"/>
    <w:rsid w:val="00314C98"/>
    <w:rsid w:val="00314E75"/>
    <w:rsid w:val="00323FDD"/>
    <w:rsid w:val="00327C11"/>
    <w:rsid w:val="00330CA3"/>
    <w:rsid w:val="00332D45"/>
    <w:rsid w:val="00340212"/>
    <w:rsid w:val="00343BDF"/>
    <w:rsid w:val="003455BA"/>
    <w:rsid w:val="003458E7"/>
    <w:rsid w:val="00350C52"/>
    <w:rsid w:val="00350DA3"/>
    <w:rsid w:val="0035373D"/>
    <w:rsid w:val="00354185"/>
    <w:rsid w:val="00354627"/>
    <w:rsid w:val="00355A73"/>
    <w:rsid w:val="00355AD3"/>
    <w:rsid w:val="003566B4"/>
    <w:rsid w:val="003627B1"/>
    <w:rsid w:val="003649F0"/>
    <w:rsid w:val="00364D5F"/>
    <w:rsid w:val="00365875"/>
    <w:rsid w:val="003659AD"/>
    <w:rsid w:val="00371470"/>
    <w:rsid w:val="00371523"/>
    <w:rsid w:val="00371DC6"/>
    <w:rsid w:val="00371E1A"/>
    <w:rsid w:val="003765CD"/>
    <w:rsid w:val="00385103"/>
    <w:rsid w:val="00386424"/>
    <w:rsid w:val="00386D5A"/>
    <w:rsid w:val="0038749B"/>
    <w:rsid w:val="00393DD6"/>
    <w:rsid w:val="00394D70"/>
    <w:rsid w:val="0039737A"/>
    <w:rsid w:val="003A525E"/>
    <w:rsid w:val="003A7455"/>
    <w:rsid w:val="003B21D5"/>
    <w:rsid w:val="003B4A50"/>
    <w:rsid w:val="003B4C4C"/>
    <w:rsid w:val="003B680A"/>
    <w:rsid w:val="003C1073"/>
    <w:rsid w:val="003C6832"/>
    <w:rsid w:val="003D0F41"/>
    <w:rsid w:val="003D26A8"/>
    <w:rsid w:val="003D3D24"/>
    <w:rsid w:val="003D400C"/>
    <w:rsid w:val="003D45AD"/>
    <w:rsid w:val="003D5245"/>
    <w:rsid w:val="003E23F6"/>
    <w:rsid w:val="003E5274"/>
    <w:rsid w:val="003E62DE"/>
    <w:rsid w:val="003F5E2C"/>
    <w:rsid w:val="003F70DD"/>
    <w:rsid w:val="003F7195"/>
    <w:rsid w:val="003F73D3"/>
    <w:rsid w:val="003F7433"/>
    <w:rsid w:val="003F7BDE"/>
    <w:rsid w:val="00401F0A"/>
    <w:rsid w:val="004050CF"/>
    <w:rsid w:val="0041111B"/>
    <w:rsid w:val="004124F6"/>
    <w:rsid w:val="00412F76"/>
    <w:rsid w:val="004130A1"/>
    <w:rsid w:val="0041454C"/>
    <w:rsid w:val="004154A9"/>
    <w:rsid w:val="0041637D"/>
    <w:rsid w:val="0041795D"/>
    <w:rsid w:val="00424DCE"/>
    <w:rsid w:val="004302A2"/>
    <w:rsid w:val="00430725"/>
    <w:rsid w:val="00431E0A"/>
    <w:rsid w:val="00432945"/>
    <w:rsid w:val="00434F1E"/>
    <w:rsid w:val="004362E6"/>
    <w:rsid w:val="004379E6"/>
    <w:rsid w:val="004407DC"/>
    <w:rsid w:val="0045415A"/>
    <w:rsid w:val="0045697A"/>
    <w:rsid w:val="00456CDA"/>
    <w:rsid w:val="004572A6"/>
    <w:rsid w:val="00461243"/>
    <w:rsid w:val="00463743"/>
    <w:rsid w:val="004646F7"/>
    <w:rsid w:val="00465AB2"/>
    <w:rsid w:val="00466FB5"/>
    <w:rsid w:val="00470036"/>
    <w:rsid w:val="004707BC"/>
    <w:rsid w:val="004726D4"/>
    <w:rsid w:val="00473F14"/>
    <w:rsid w:val="004742EA"/>
    <w:rsid w:val="004743B6"/>
    <w:rsid w:val="00474B80"/>
    <w:rsid w:val="00476314"/>
    <w:rsid w:val="00481F7B"/>
    <w:rsid w:val="00482184"/>
    <w:rsid w:val="00482C30"/>
    <w:rsid w:val="00490396"/>
    <w:rsid w:val="0049040E"/>
    <w:rsid w:val="004909A0"/>
    <w:rsid w:val="00492379"/>
    <w:rsid w:val="004941E5"/>
    <w:rsid w:val="00494D6F"/>
    <w:rsid w:val="004A5CE6"/>
    <w:rsid w:val="004A60E1"/>
    <w:rsid w:val="004B003D"/>
    <w:rsid w:val="004B39EB"/>
    <w:rsid w:val="004B4B9D"/>
    <w:rsid w:val="004C0D46"/>
    <w:rsid w:val="004C12DE"/>
    <w:rsid w:val="004C3DD8"/>
    <w:rsid w:val="004C5782"/>
    <w:rsid w:val="004C5891"/>
    <w:rsid w:val="004C6027"/>
    <w:rsid w:val="004D04AA"/>
    <w:rsid w:val="004D3B44"/>
    <w:rsid w:val="004E09CA"/>
    <w:rsid w:val="004E391B"/>
    <w:rsid w:val="004E502F"/>
    <w:rsid w:val="004E5F24"/>
    <w:rsid w:val="004E69E8"/>
    <w:rsid w:val="004F103E"/>
    <w:rsid w:val="00500BE6"/>
    <w:rsid w:val="00504F1A"/>
    <w:rsid w:val="0050534D"/>
    <w:rsid w:val="0051194C"/>
    <w:rsid w:val="00513926"/>
    <w:rsid w:val="00516D27"/>
    <w:rsid w:val="00517382"/>
    <w:rsid w:val="005205CA"/>
    <w:rsid w:val="00520F76"/>
    <w:rsid w:val="00522191"/>
    <w:rsid w:val="005247E5"/>
    <w:rsid w:val="00525881"/>
    <w:rsid w:val="0052614B"/>
    <w:rsid w:val="0052675D"/>
    <w:rsid w:val="00526B7A"/>
    <w:rsid w:val="00530165"/>
    <w:rsid w:val="005302CE"/>
    <w:rsid w:val="00532754"/>
    <w:rsid w:val="00536F37"/>
    <w:rsid w:val="00537837"/>
    <w:rsid w:val="005400EA"/>
    <w:rsid w:val="005419BC"/>
    <w:rsid w:val="005428F8"/>
    <w:rsid w:val="00542966"/>
    <w:rsid w:val="00545D20"/>
    <w:rsid w:val="005475C0"/>
    <w:rsid w:val="00547681"/>
    <w:rsid w:val="00551CBC"/>
    <w:rsid w:val="00555249"/>
    <w:rsid w:val="0056224B"/>
    <w:rsid w:val="005628C3"/>
    <w:rsid w:val="00566890"/>
    <w:rsid w:val="005707AB"/>
    <w:rsid w:val="00572867"/>
    <w:rsid w:val="00573A16"/>
    <w:rsid w:val="0058140E"/>
    <w:rsid w:val="00581D64"/>
    <w:rsid w:val="00582D7B"/>
    <w:rsid w:val="005855C5"/>
    <w:rsid w:val="0058646E"/>
    <w:rsid w:val="00587446"/>
    <w:rsid w:val="00596353"/>
    <w:rsid w:val="00596B7E"/>
    <w:rsid w:val="005A0101"/>
    <w:rsid w:val="005A6A98"/>
    <w:rsid w:val="005A6EAB"/>
    <w:rsid w:val="005B03D6"/>
    <w:rsid w:val="005B3B6D"/>
    <w:rsid w:val="005B419B"/>
    <w:rsid w:val="005B43D5"/>
    <w:rsid w:val="005B4B9A"/>
    <w:rsid w:val="005B5511"/>
    <w:rsid w:val="005D0992"/>
    <w:rsid w:val="005D4468"/>
    <w:rsid w:val="005D54FC"/>
    <w:rsid w:val="005E5A0B"/>
    <w:rsid w:val="005E722D"/>
    <w:rsid w:val="005F0CAA"/>
    <w:rsid w:val="005F1765"/>
    <w:rsid w:val="005F21D9"/>
    <w:rsid w:val="005F2627"/>
    <w:rsid w:val="006023B8"/>
    <w:rsid w:val="0060284F"/>
    <w:rsid w:val="006034B6"/>
    <w:rsid w:val="00605813"/>
    <w:rsid w:val="00605CAB"/>
    <w:rsid w:val="006102F8"/>
    <w:rsid w:val="00612FBB"/>
    <w:rsid w:val="0061625F"/>
    <w:rsid w:val="006226DC"/>
    <w:rsid w:val="00623756"/>
    <w:rsid w:val="00624CDA"/>
    <w:rsid w:val="00626B28"/>
    <w:rsid w:val="00630FFB"/>
    <w:rsid w:val="00632A1A"/>
    <w:rsid w:val="00634CF3"/>
    <w:rsid w:val="00635C62"/>
    <w:rsid w:val="00635F78"/>
    <w:rsid w:val="00645230"/>
    <w:rsid w:val="00645F0D"/>
    <w:rsid w:val="006501B7"/>
    <w:rsid w:val="00654280"/>
    <w:rsid w:val="006552F7"/>
    <w:rsid w:val="006575EA"/>
    <w:rsid w:val="0066709F"/>
    <w:rsid w:val="006831AE"/>
    <w:rsid w:val="0069461E"/>
    <w:rsid w:val="006A21A5"/>
    <w:rsid w:val="006A30C4"/>
    <w:rsid w:val="006A356D"/>
    <w:rsid w:val="006B002A"/>
    <w:rsid w:val="006B0776"/>
    <w:rsid w:val="006B19DB"/>
    <w:rsid w:val="006B3D13"/>
    <w:rsid w:val="006B455C"/>
    <w:rsid w:val="006B605D"/>
    <w:rsid w:val="006B715F"/>
    <w:rsid w:val="006B7698"/>
    <w:rsid w:val="006C05D0"/>
    <w:rsid w:val="006C1229"/>
    <w:rsid w:val="006C12B1"/>
    <w:rsid w:val="006C360A"/>
    <w:rsid w:val="006D0C05"/>
    <w:rsid w:val="006D19A1"/>
    <w:rsid w:val="006D34E1"/>
    <w:rsid w:val="006D7D4A"/>
    <w:rsid w:val="006E03DB"/>
    <w:rsid w:val="006E0735"/>
    <w:rsid w:val="006E32F6"/>
    <w:rsid w:val="006E3A88"/>
    <w:rsid w:val="006E3FC6"/>
    <w:rsid w:val="006E79AA"/>
    <w:rsid w:val="006F1AB6"/>
    <w:rsid w:val="006F56AA"/>
    <w:rsid w:val="006F5C85"/>
    <w:rsid w:val="00700C9F"/>
    <w:rsid w:val="00703666"/>
    <w:rsid w:val="0070603B"/>
    <w:rsid w:val="00706F00"/>
    <w:rsid w:val="00713E0D"/>
    <w:rsid w:val="00720153"/>
    <w:rsid w:val="00724967"/>
    <w:rsid w:val="00731530"/>
    <w:rsid w:val="00736DB7"/>
    <w:rsid w:val="0074419C"/>
    <w:rsid w:val="007445E4"/>
    <w:rsid w:val="007501B1"/>
    <w:rsid w:val="0075176D"/>
    <w:rsid w:val="0075179B"/>
    <w:rsid w:val="007553B7"/>
    <w:rsid w:val="00755BFC"/>
    <w:rsid w:val="007572CE"/>
    <w:rsid w:val="00757465"/>
    <w:rsid w:val="00761932"/>
    <w:rsid w:val="00762067"/>
    <w:rsid w:val="00762918"/>
    <w:rsid w:val="00762969"/>
    <w:rsid w:val="00763A20"/>
    <w:rsid w:val="00767E45"/>
    <w:rsid w:val="007719DE"/>
    <w:rsid w:val="007735E7"/>
    <w:rsid w:val="00773B36"/>
    <w:rsid w:val="00777491"/>
    <w:rsid w:val="00780551"/>
    <w:rsid w:val="00780F8C"/>
    <w:rsid w:val="007817A1"/>
    <w:rsid w:val="007829AE"/>
    <w:rsid w:val="00784A94"/>
    <w:rsid w:val="00787076"/>
    <w:rsid w:val="00791ACA"/>
    <w:rsid w:val="00797A22"/>
    <w:rsid w:val="007A07E8"/>
    <w:rsid w:val="007A442B"/>
    <w:rsid w:val="007A4587"/>
    <w:rsid w:val="007A553D"/>
    <w:rsid w:val="007B1307"/>
    <w:rsid w:val="007B51DD"/>
    <w:rsid w:val="007B7CC0"/>
    <w:rsid w:val="007C0E96"/>
    <w:rsid w:val="007C1D40"/>
    <w:rsid w:val="007C4B87"/>
    <w:rsid w:val="007C62CA"/>
    <w:rsid w:val="007C71F4"/>
    <w:rsid w:val="007D290F"/>
    <w:rsid w:val="007D34CA"/>
    <w:rsid w:val="007D40A4"/>
    <w:rsid w:val="007D4D03"/>
    <w:rsid w:val="007D7071"/>
    <w:rsid w:val="007E4470"/>
    <w:rsid w:val="007E6321"/>
    <w:rsid w:val="007E6726"/>
    <w:rsid w:val="007F0790"/>
    <w:rsid w:val="007F10F3"/>
    <w:rsid w:val="007F23CE"/>
    <w:rsid w:val="007F3D47"/>
    <w:rsid w:val="007F458D"/>
    <w:rsid w:val="007F5FDB"/>
    <w:rsid w:val="007F658A"/>
    <w:rsid w:val="007F78D8"/>
    <w:rsid w:val="008049A2"/>
    <w:rsid w:val="00807DD2"/>
    <w:rsid w:val="0081131C"/>
    <w:rsid w:val="00821BA6"/>
    <w:rsid w:val="00824BAA"/>
    <w:rsid w:val="00824DF7"/>
    <w:rsid w:val="00827A50"/>
    <w:rsid w:val="008323D0"/>
    <w:rsid w:val="00832DC1"/>
    <w:rsid w:val="008346BB"/>
    <w:rsid w:val="0084462A"/>
    <w:rsid w:val="008525BF"/>
    <w:rsid w:val="00854345"/>
    <w:rsid w:val="00855DA8"/>
    <w:rsid w:val="008618DE"/>
    <w:rsid w:val="008642D5"/>
    <w:rsid w:val="00864645"/>
    <w:rsid w:val="00865384"/>
    <w:rsid w:val="00866773"/>
    <w:rsid w:val="00874692"/>
    <w:rsid w:val="00875635"/>
    <w:rsid w:val="00880CC9"/>
    <w:rsid w:val="0088327C"/>
    <w:rsid w:val="0088762D"/>
    <w:rsid w:val="008877ED"/>
    <w:rsid w:val="00890996"/>
    <w:rsid w:val="00890DB6"/>
    <w:rsid w:val="008933D8"/>
    <w:rsid w:val="008A0085"/>
    <w:rsid w:val="008A0833"/>
    <w:rsid w:val="008A0912"/>
    <w:rsid w:val="008A0DC2"/>
    <w:rsid w:val="008A3E60"/>
    <w:rsid w:val="008A43A5"/>
    <w:rsid w:val="008A5DB3"/>
    <w:rsid w:val="008A7265"/>
    <w:rsid w:val="008B23E9"/>
    <w:rsid w:val="008B3039"/>
    <w:rsid w:val="008C0559"/>
    <w:rsid w:val="008C1207"/>
    <w:rsid w:val="008C3763"/>
    <w:rsid w:val="008D038F"/>
    <w:rsid w:val="008D0BA9"/>
    <w:rsid w:val="008D2392"/>
    <w:rsid w:val="008D5BB0"/>
    <w:rsid w:val="008D7117"/>
    <w:rsid w:val="008E1DC7"/>
    <w:rsid w:val="008E5AC0"/>
    <w:rsid w:val="008E6244"/>
    <w:rsid w:val="008F2A38"/>
    <w:rsid w:val="008F3E64"/>
    <w:rsid w:val="008F5DAC"/>
    <w:rsid w:val="008F7654"/>
    <w:rsid w:val="0090131A"/>
    <w:rsid w:val="00902884"/>
    <w:rsid w:val="00903EAE"/>
    <w:rsid w:val="009069DD"/>
    <w:rsid w:val="00911CFC"/>
    <w:rsid w:val="0091589D"/>
    <w:rsid w:val="009312EE"/>
    <w:rsid w:val="00931A46"/>
    <w:rsid w:val="009329EC"/>
    <w:rsid w:val="009342C0"/>
    <w:rsid w:val="00944373"/>
    <w:rsid w:val="00944463"/>
    <w:rsid w:val="0094548B"/>
    <w:rsid w:val="00945A49"/>
    <w:rsid w:val="00947358"/>
    <w:rsid w:val="00951504"/>
    <w:rsid w:val="00955AC5"/>
    <w:rsid w:val="00956834"/>
    <w:rsid w:val="0096299F"/>
    <w:rsid w:val="00966B8B"/>
    <w:rsid w:val="00971B1A"/>
    <w:rsid w:val="00972562"/>
    <w:rsid w:val="0097383F"/>
    <w:rsid w:val="00981A37"/>
    <w:rsid w:val="00981DD0"/>
    <w:rsid w:val="00982AB5"/>
    <w:rsid w:val="009912B8"/>
    <w:rsid w:val="00993121"/>
    <w:rsid w:val="0099370B"/>
    <w:rsid w:val="00993BA5"/>
    <w:rsid w:val="009A4C0F"/>
    <w:rsid w:val="009A5957"/>
    <w:rsid w:val="009A5B4C"/>
    <w:rsid w:val="009A75A0"/>
    <w:rsid w:val="009B08B2"/>
    <w:rsid w:val="009B13A1"/>
    <w:rsid w:val="009B1546"/>
    <w:rsid w:val="009B1644"/>
    <w:rsid w:val="009C414E"/>
    <w:rsid w:val="009D0425"/>
    <w:rsid w:val="009D1CC1"/>
    <w:rsid w:val="009D385D"/>
    <w:rsid w:val="009D5D56"/>
    <w:rsid w:val="009D5DA2"/>
    <w:rsid w:val="009E0273"/>
    <w:rsid w:val="009E1CE4"/>
    <w:rsid w:val="009E2103"/>
    <w:rsid w:val="009E21DC"/>
    <w:rsid w:val="009E7450"/>
    <w:rsid w:val="009F372D"/>
    <w:rsid w:val="009F3A74"/>
    <w:rsid w:val="009F48CB"/>
    <w:rsid w:val="009F5A99"/>
    <w:rsid w:val="009F6DAD"/>
    <w:rsid w:val="009F73C1"/>
    <w:rsid w:val="009F759A"/>
    <w:rsid w:val="00A00C96"/>
    <w:rsid w:val="00A00F49"/>
    <w:rsid w:val="00A00FF6"/>
    <w:rsid w:val="00A03DF6"/>
    <w:rsid w:val="00A047F2"/>
    <w:rsid w:val="00A06FB0"/>
    <w:rsid w:val="00A10398"/>
    <w:rsid w:val="00A10DB1"/>
    <w:rsid w:val="00A15B51"/>
    <w:rsid w:val="00A16927"/>
    <w:rsid w:val="00A2194D"/>
    <w:rsid w:val="00A23E15"/>
    <w:rsid w:val="00A255CB"/>
    <w:rsid w:val="00A27062"/>
    <w:rsid w:val="00A271E9"/>
    <w:rsid w:val="00A3089F"/>
    <w:rsid w:val="00A30A6C"/>
    <w:rsid w:val="00A34031"/>
    <w:rsid w:val="00A36699"/>
    <w:rsid w:val="00A45774"/>
    <w:rsid w:val="00A47EC0"/>
    <w:rsid w:val="00A537CF"/>
    <w:rsid w:val="00A5494C"/>
    <w:rsid w:val="00A55ECC"/>
    <w:rsid w:val="00A57A39"/>
    <w:rsid w:val="00A60570"/>
    <w:rsid w:val="00A608B1"/>
    <w:rsid w:val="00A641DF"/>
    <w:rsid w:val="00A65BF5"/>
    <w:rsid w:val="00A7187B"/>
    <w:rsid w:val="00A728DB"/>
    <w:rsid w:val="00A73C0C"/>
    <w:rsid w:val="00A8134F"/>
    <w:rsid w:val="00A81BDC"/>
    <w:rsid w:val="00A82727"/>
    <w:rsid w:val="00A8454A"/>
    <w:rsid w:val="00A84B88"/>
    <w:rsid w:val="00A943A5"/>
    <w:rsid w:val="00A94CD2"/>
    <w:rsid w:val="00A968CE"/>
    <w:rsid w:val="00A97CCB"/>
    <w:rsid w:val="00AA04C3"/>
    <w:rsid w:val="00AA0714"/>
    <w:rsid w:val="00AA548A"/>
    <w:rsid w:val="00AA6273"/>
    <w:rsid w:val="00AA632B"/>
    <w:rsid w:val="00AA7082"/>
    <w:rsid w:val="00AA774E"/>
    <w:rsid w:val="00AB1281"/>
    <w:rsid w:val="00AB22EA"/>
    <w:rsid w:val="00AB3949"/>
    <w:rsid w:val="00AB3EA7"/>
    <w:rsid w:val="00AB4AB1"/>
    <w:rsid w:val="00AB5CE5"/>
    <w:rsid w:val="00AC0479"/>
    <w:rsid w:val="00AC5873"/>
    <w:rsid w:val="00AC6677"/>
    <w:rsid w:val="00AD2225"/>
    <w:rsid w:val="00AD5CC0"/>
    <w:rsid w:val="00AD5EAB"/>
    <w:rsid w:val="00AD5EAF"/>
    <w:rsid w:val="00AE0B75"/>
    <w:rsid w:val="00AE2154"/>
    <w:rsid w:val="00AF2DB3"/>
    <w:rsid w:val="00AF35EB"/>
    <w:rsid w:val="00AF42F0"/>
    <w:rsid w:val="00AF5B58"/>
    <w:rsid w:val="00B0128A"/>
    <w:rsid w:val="00B01BD5"/>
    <w:rsid w:val="00B02AB8"/>
    <w:rsid w:val="00B03943"/>
    <w:rsid w:val="00B11074"/>
    <w:rsid w:val="00B142D1"/>
    <w:rsid w:val="00B14E33"/>
    <w:rsid w:val="00B1670C"/>
    <w:rsid w:val="00B16B84"/>
    <w:rsid w:val="00B17B7E"/>
    <w:rsid w:val="00B21D03"/>
    <w:rsid w:val="00B23100"/>
    <w:rsid w:val="00B24316"/>
    <w:rsid w:val="00B407CC"/>
    <w:rsid w:val="00B5270D"/>
    <w:rsid w:val="00B54F76"/>
    <w:rsid w:val="00B555A0"/>
    <w:rsid w:val="00B57FAC"/>
    <w:rsid w:val="00B60FD0"/>
    <w:rsid w:val="00B621B6"/>
    <w:rsid w:val="00B63555"/>
    <w:rsid w:val="00B71990"/>
    <w:rsid w:val="00B71D61"/>
    <w:rsid w:val="00B828A5"/>
    <w:rsid w:val="00B82C46"/>
    <w:rsid w:val="00B85594"/>
    <w:rsid w:val="00B921A2"/>
    <w:rsid w:val="00BA093E"/>
    <w:rsid w:val="00BA0D70"/>
    <w:rsid w:val="00BA24A6"/>
    <w:rsid w:val="00BA263D"/>
    <w:rsid w:val="00BA2971"/>
    <w:rsid w:val="00BA3777"/>
    <w:rsid w:val="00BA48FA"/>
    <w:rsid w:val="00BA4ABE"/>
    <w:rsid w:val="00BA63DE"/>
    <w:rsid w:val="00BA6FAF"/>
    <w:rsid w:val="00BB0A32"/>
    <w:rsid w:val="00BB0A52"/>
    <w:rsid w:val="00BB0B06"/>
    <w:rsid w:val="00BB2188"/>
    <w:rsid w:val="00BC0077"/>
    <w:rsid w:val="00BC590E"/>
    <w:rsid w:val="00BD047B"/>
    <w:rsid w:val="00BD2B44"/>
    <w:rsid w:val="00BD2C00"/>
    <w:rsid w:val="00BE1391"/>
    <w:rsid w:val="00BE71B8"/>
    <w:rsid w:val="00BE7723"/>
    <w:rsid w:val="00BE7D5F"/>
    <w:rsid w:val="00BF25BF"/>
    <w:rsid w:val="00BF59C3"/>
    <w:rsid w:val="00BF618D"/>
    <w:rsid w:val="00BF79D3"/>
    <w:rsid w:val="00BF7C7C"/>
    <w:rsid w:val="00C02729"/>
    <w:rsid w:val="00C03D88"/>
    <w:rsid w:val="00C03F77"/>
    <w:rsid w:val="00C04FF1"/>
    <w:rsid w:val="00C1093F"/>
    <w:rsid w:val="00C12329"/>
    <w:rsid w:val="00C21CAC"/>
    <w:rsid w:val="00C2238C"/>
    <w:rsid w:val="00C23AEC"/>
    <w:rsid w:val="00C23F02"/>
    <w:rsid w:val="00C24755"/>
    <w:rsid w:val="00C2528A"/>
    <w:rsid w:val="00C254DF"/>
    <w:rsid w:val="00C26AF2"/>
    <w:rsid w:val="00C27A0A"/>
    <w:rsid w:val="00C30D67"/>
    <w:rsid w:val="00C319F4"/>
    <w:rsid w:val="00C32D2A"/>
    <w:rsid w:val="00C335F2"/>
    <w:rsid w:val="00C33F90"/>
    <w:rsid w:val="00C35B2A"/>
    <w:rsid w:val="00C368C0"/>
    <w:rsid w:val="00C37B99"/>
    <w:rsid w:val="00C37DC4"/>
    <w:rsid w:val="00C432A7"/>
    <w:rsid w:val="00C44F7F"/>
    <w:rsid w:val="00C45C9C"/>
    <w:rsid w:val="00C45FB9"/>
    <w:rsid w:val="00C47288"/>
    <w:rsid w:val="00C51229"/>
    <w:rsid w:val="00C55095"/>
    <w:rsid w:val="00C613A4"/>
    <w:rsid w:val="00C63A22"/>
    <w:rsid w:val="00C666F3"/>
    <w:rsid w:val="00C67A86"/>
    <w:rsid w:val="00C75F63"/>
    <w:rsid w:val="00C7642D"/>
    <w:rsid w:val="00C80B4A"/>
    <w:rsid w:val="00C83BA4"/>
    <w:rsid w:val="00C8698C"/>
    <w:rsid w:val="00C90E10"/>
    <w:rsid w:val="00C914DE"/>
    <w:rsid w:val="00C92230"/>
    <w:rsid w:val="00C93068"/>
    <w:rsid w:val="00C93DBA"/>
    <w:rsid w:val="00C973DA"/>
    <w:rsid w:val="00C97C1D"/>
    <w:rsid w:val="00CA4134"/>
    <w:rsid w:val="00CA44FC"/>
    <w:rsid w:val="00CA7A00"/>
    <w:rsid w:val="00CB5202"/>
    <w:rsid w:val="00CB556E"/>
    <w:rsid w:val="00CB6136"/>
    <w:rsid w:val="00CB634F"/>
    <w:rsid w:val="00CB7F80"/>
    <w:rsid w:val="00CC1325"/>
    <w:rsid w:val="00CC1B04"/>
    <w:rsid w:val="00CD3BEC"/>
    <w:rsid w:val="00CD41B4"/>
    <w:rsid w:val="00CD472A"/>
    <w:rsid w:val="00CD5754"/>
    <w:rsid w:val="00CD6756"/>
    <w:rsid w:val="00CE0218"/>
    <w:rsid w:val="00CE2985"/>
    <w:rsid w:val="00CF094D"/>
    <w:rsid w:val="00CF1679"/>
    <w:rsid w:val="00CF26C4"/>
    <w:rsid w:val="00CF3458"/>
    <w:rsid w:val="00CF76E8"/>
    <w:rsid w:val="00CF7CE4"/>
    <w:rsid w:val="00D00D00"/>
    <w:rsid w:val="00D01D91"/>
    <w:rsid w:val="00D01EDD"/>
    <w:rsid w:val="00D10561"/>
    <w:rsid w:val="00D1271C"/>
    <w:rsid w:val="00D1311C"/>
    <w:rsid w:val="00D14B39"/>
    <w:rsid w:val="00D15DC7"/>
    <w:rsid w:val="00D2734D"/>
    <w:rsid w:val="00D339A3"/>
    <w:rsid w:val="00D40FB2"/>
    <w:rsid w:val="00D426E7"/>
    <w:rsid w:val="00D44B5C"/>
    <w:rsid w:val="00D4588E"/>
    <w:rsid w:val="00D4597F"/>
    <w:rsid w:val="00D46D7A"/>
    <w:rsid w:val="00D47F5D"/>
    <w:rsid w:val="00D52970"/>
    <w:rsid w:val="00D54990"/>
    <w:rsid w:val="00D54F29"/>
    <w:rsid w:val="00D61191"/>
    <w:rsid w:val="00D63C57"/>
    <w:rsid w:val="00D65C30"/>
    <w:rsid w:val="00D6670A"/>
    <w:rsid w:val="00D71F16"/>
    <w:rsid w:val="00D73CD8"/>
    <w:rsid w:val="00D81604"/>
    <w:rsid w:val="00D90F1C"/>
    <w:rsid w:val="00D91A6D"/>
    <w:rsid w:val="00D91D80"/>
    <w:rsid w:val="00D94CCC"/>
    <w:rsid w:val="00D95631"/>
    <w:rsid w:val="00D9777E"/>
    <w:rsid w:val="00D97E0B"/>
    <w:rsid w:val="00D97F9A"/>
    <w:rsid w:val="00DA0588"/>
    <w:rsid w:val="00DA3638"/>
    <w:rsid w:val="00DA4644"/>
    <w:rsid w:val="00DA73FE"/>
    <w:rsid w:val="00DB3E79"/>
    <w:rsid w:val="00DB70C4"/>
    <w:rsid w:val="00DB7968"/>
    <w:rsid w:val="00DB7D4C"/>
    <w:rsid w:val="00DC332A"/>
    <w:rsid w:val="00DC3F21"/>
    <w:rsid w:val="00DC3F78"/>
    <w:rsid w:val="00DC41DE"/>
    <w:rsid w:val="00DD2AC4"/>
    <w:rsid w:val="00DD3F35"/>
    <w:rsid w:val="00DE2A7B"/>
    <w:rsid w:val="00DE64A9"/>
    <w:rsid w:val="00DF40ED"/>
    <w:rsid w:val="00E01CEC"/>
    <w:rsid w:val="00E0391A"/>
    <w:rsid w:val="00E03A9E"/>
    <w:rsid w:val="00E07172"/>
    <w:rsid w:val="00E120D0"/>
    <w:rsid w:val="00E229A3"/>
    <w:rsid w:val="00E26BA3"/>
    <w:rsid w:val="00E33ABF"/>
    <w:rsid w:val="00E41291"/>
    <w:rsid w:val="00E50EEB"/>
    <w:rsid w:val="00E51BC9"/>
    <w:rsid w:val="00E55AAB"/>
    <w:rsid w:val="00E564E8"/>
    <w:rsid w:val="00E65FE2"/>
    <w:rsid w:val="00E71056"/>
    <w:rsid w:val="00E718BD"/>
    <w:rsid w:val="00E722AF"/>
    <w:rsid w:val="00E80CEE"/>
    <w:rsid w:val="00E82C12"/>
    <w:rsid w:val="00E84A38"/>
    <w:rsid w:val="00E95529"/>
    <w:rsid w:val="00EA01AC"/>
    <w:rsid w:val="00EA0B33"/>
    <w:rsid w:val="00EA100C"/>
    <w:rsid w:val="00EA5777"/>
    <w:rsid w:val="00EB4DF2"/>
    <w:rsid w:val="00EB5C29"/>
    <w:rsid w:val="00EC10FD"/>
    <w:rsid w:val="00EC1254"/>
    <w:rsid w:val="00EC14FC"/>
    <w:rsid w:val="00EC4686"/>
    <w:rsid w:val="00EC4D59"/>
    <w:rsid w:val="00ED07DF"/>
    <w:rsid w:val="00ED0B9A"/>
    <w:rsid w:val="00ED0D88"/>
    <w:rsid w:val="00ED3D74"/>
    <w:rsid w:val="00ED4CE6"/>
    <w:rsid w:val="00ED7B90"/>
    <w:rsid w:val="00EE1282"/>
    <w:rsid w:val="00EE2D47"/>
    <w:rsid w:val="00EE37D3"/>
    <w:rsid w:val="00EF0350"/>
    <w:rsid w:val="00EF0F77"/>
    <w:rsid w:val="00F00E4D"/>
    <w:rsid w:val="00F07436"/>
    <w:rsid w:val="00F078AC"/>
    <w:rsid w:val="00F10AF7"/>
    <w:rsid w:val="00F12497"/>
    <w:rsid w:val="00F16CAC"/>
    <w:rsid w:val="00F21E75"/>
    <w:rsid w:val="00F266D3"/>
    <w:rsid w:val="00F26C6C"/>
    <w:rsid w:val="00F26E96"/>
    <w:rsid w:val="00F2739F"/>
    <w:rsid w:val="00F30797"/>
    <w:rsid w:val="00F35A52"/>
    <w:rsid w:val="00F41CD5"/>
    <w:rsid w:val="00F43570"/>
    <w:rsid w:val="00F45A80"/>
    <w:rsid w:val="00F4720B"/>
    <w:rsid w:val="00F53BD0"/>
    <w:rsid w:val="00F54766"/>
    <w:rsid w:val="00F65356"/>
    <w:rsid w:val="00F65883"/>
    <w:rsid w:val="00F775A7"/>
    <w:rsid w:val="00F81AB7"/>
    <w:rsid w:val="00F83718"/>
    <w:rsid w:val="00F84042"/>
    <w:rsid w:val="00F85133"/>
    <w:rsid w:val="00F9092C"/>
    <w:rsid w:val="00F93BC7"/>
    <w:rsid w:val="00F94421"/>
    <w:rsid w:val="00F946ED"/>
    <w:rsid w:val="00F965BC"/>
    <w:rsid w:val="00FA2A4F"/>
    <w:rsid w:val="00FA2CCF"/>
    <w:rsid w:val="00FA3740"/>
    <w:rsid w:val="00FA3A1B"/>
    <w:rsid w:val="00FB0857"/>
    <w:rsid w:val="00FB13A9"/>
    <w:rsid w:val="00FB265C"/>
    <w:rsid w:val="00FB556D"/>
    <w:rsid w:val="00FC033B"/>
    <w:rsid w:val="00FC0B62"/>
    <w:rsid w:val="00FC2011"/>
    <w:rsid w:val="00FC2B90"/>
    <w:rsid w:val="00FC4A2E"/>
    <w:rsid w:val="00FC6726"/>
    <w:rsid w:val="00FD4385"/>
    <w:rsid w:val="00FD5FBD"/>
    <w:rsid w:val="00FE2CB7"/>
    <w:rsid w:val="00FE4969"/>
    <w:rsid w:val="00FE5B14"/>
    <w:rsid w:val="00FF07C1"/>
    <w:rsid w:val="00FF2B51"/>
    <w:rsid w:val="00FF45F4"/>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05816AE0"/>
  <w15:docId w15:val="{F8CBA9FC-3438-4FCE-A6A2-EAF57A6B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BD2B44"/>
    <w:pPr>
      <w:tabs>
        <w:tab w:val="center" w:pos="4153"/>
      </w:tabs>
      <w:spacing w:line="240" w:lineRule="exact"/>
      <w:ind w:right="-680"/>
      <w:jc w:val="right"/>
      <w:outlineLvl w:val="0"/>
    </w:pPr>
    <w:rPr>
      <w:sz w:val="18"/>
      <w:szCs w:val="18"/>
    </w:rPr>
  </w:style>
  <w:style w:type="paragraph" w:styleId="Heading2">
    <w:name w:val="heading 2"/>
    <w:basedOn w:val="Heading1"/>
    <w:next w:val="Normal"/>
    <w:link w:val="Heading2Char"/>
    <w:qFormat/>
    <w:rsid w:val="00BD2B44"/>
    <w:pPr>
      <w:outlineLvl w:val="1"/>
    </w:pPr>
    <w:rPr>
      <w:b/>
    </w:rPr>
  </w:style>
  <w:style w:type="paragraph" w:styleId="Heading4">
    <w:name w:val="heading 4"/>
    <w:basedOn w:val="Normal"/>
    <w:next w:val="Normal"/>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90996"/>
    <w:pPr>
      <w:spacing w:before="240" w:after="60"/>
      <w:outlineLvl w:val="4"/>
    </w:pPr>
    <w:rPr>
      <w:b/>
      <w:bCs/>
      <w:i/>
      <w:iCs/>
      <w:sz w:val="26"/>
      <w:szCs w:val="26"/>
    </w:rPr>
  </w:style>
  <w:style w:type="paragraph" w:styleId="Heading6">
    <w:name w:val="heading 6"/>
    <w:basedOn w:val="Normal"/>
    <w:next w:val="Normal"/>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link w:val="Heading1"/>
    <w:rsid w:val="00BD2B44"/>
    <w:rPr>
      <w:rFonts w:ascii="Arial" w:hAnsi="Arial"/>
      <w:sz w:val="18"/>
      <w:szCs w:val="18"/>
      <w:lang w:val="en-AU" w:eastAsia="en-AU" w:bidi="ar-SA"/>
    </w:rPr>
  </w:style>
  <w:style w:type="character" w:customStyle="1" w:styleId="Heading2Char">
    <w:name w:val="Heading 2 Char"/>
    <w:link w:val="Heading2"/>
    <w:rsid w:val="00BD2B44"/>
    <w:rPr>
      <w:rFonts w:ascii="Arial" w:hAnsi="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rsid w:val="00B24316"/>
    <w:pPr>
      <w:keepNext/>
      <w:keepLines/>
      <w:pBdr>
        <w:bottom w:val="single" w:sz="4" w:space="1" w:color="auto"/>
      </w:pBdr>
      <w:spacing w:before="360" w:after="120"/>
    </w:pPr>
    <w:rPr>
      <w:rFonts w:cs="Times New Roman"/>
      <w:b/>
      <w:bCs/>
    </w:rPr>
  </w:style>
  <w:style w:type="numbering" w:customStyle="1" w:styleId="Text">
    <w:name w:val="Text"/>
    <w:rsid w:val="00545D20"/>
    <w:pPr>
      <w:numPr>
        <w:numId w:val="13"/>
      </w:numPr>
    </w:pPr>
  </w:style>
  <w:style w:type="character" w:styleId="Hyperlink">
    <w:name w:val="Hyperlink"/>
    <w:rsid w:val="00545D20"/>
    <w:rPr>
      <w:color w:val="0000FF"/>
      <w:u w:val="single"/>
    </w:rPr>
  </w:style>
  <w:style w:type="paragraph" w:styleId="BlockText">
    <w:name w:val="Block Text"/>
    <w:basedOn w:val="ListNumber"/>
    <w:rsid w:val="00206981"/>
    <w:pPr>
      <w:keepLines/>
      <w:numPr>
        <w:numId w:val="3"/>
      </w:numPr>
      <w:tabs>
        <w:tab w:val="clear" w:pos="567"/>
      </w:tabs>
      <w:spacing w:after="120"/>
      <w:jc w:val="both"/>
    </w:pPr>
  </w:style>
  <w:style w:type="paragraph" w:customStyle="1" w:styleId="HeadingThree">
    <w:name w:val="Heading Three"/>
    <w:basedOn w:val="HeadingTwo"/>
    <w:rsid w:val="00545D20"/>
    <w:pPr>
      <w:pBdr>
        <w:bottom w:val="none" w:sz="0" w:space="0" w:color="auto"/>
      </w:pBdr>
    </w:pPr>
    <w:rPr>
      <w:i/>
      <w:iCs/>
    </w:rPr>
  </w:style>
  <w:style w:type="paragraph" w:customStyle="1" w:styleId="HeadingFour">
    <w:name w:val="Heading Four"/>
    <w:basedOn w:val="HeadingThree"/>
    <w:rsid w:val="006034B6"/>
    <w:rPr>
      <w:b w:val="0"/>
      <w:bCs w:val="0"/>
      <w:u w:val="single"/>
    </w:rPr>
  </w:style>
  <w:style w:type="paragraph" w:styleId="BodyText2">
    <w:name w:val="Body Text 2"/>
    <w:basedOn w:val="Normal"/>
    <w:rsid w:val="00513926"/>
    <w:pPr>
      <w:spacing w:after="120"/>
      <w:jc w:val="both"/>
    </w:pPr>
    <w:rPr>
      <w:rFonts w:ascii="Tahoma" w:hAnsi="Tahoma" w:cs="Times New Roman"/>
      <w:b/>
    </w:rPr>
  </w:style>
  <w:style w:type="paragraph" w:styleId="ListNumber">
    <w:name w:val="List Number"/>
    <w:basedOn w:val="Normal"/>
    <w:rsid w:val="00890996"/>
    <w:pPr>
      <w:numPr>
        <w:numId w:val="8"/>
      </w:numPr>
    </w:pPr>
  </w:style>
  <w:style w:type="paragraph" w:customStyle="1" w:styleId="ExampleBox">
    <w:name w:val="Example Box"/>
    <w:rsid w:val="00F65356"/>
    <w:pPr>
      <w:pBdr>
        <w:top w:val="single" w:sz="4" w:space="1" w:color="auto"/>
        <w:left w:val="single" w:sz="4" w:space="4" w:color="auto"/>
        <w:bottom w:val="single" w:sz="4" w:space="1" w:color="auto"/>
        <w:right w:val="single" w:sz="4" w:space="4" w:color="auto"/>
      </w:pBdr>
      <w:shd w:val="clear" w:color="auto" w:fill="F3F3F3"/>
      <w:spacing w:before="120" w:after="120"/>
    </w:pPr>
    <w:rPr>
      <w:rFonts w:ascii="Arial" w:hAnsi="Arial"/>
      <w:sz w:val="22"/>
    </w:rPr>
  </w:style>
  <w:style w:type="paragraph" w:customStyle="1" w:styleId="Subheading1">
    <w:name w:val="Subheading 1"/>
    <w:basedOn w:val="Normal"/>
    <w:rsid w:val="00982AB5"/>
    <w:pPr>
      <w:spacing w:before="360" w:line="300" w:lineRule="exact"/>
    </w:pPr>
    <w:rPr>
      <w:rFonts w:cs="Times New Roman"/>
      <w:sz w:val="28"/>
      <w:szCs w:val="28"/>
    </w:rPr>
  </w:style>
  <w:style w:type="paragraph" w:styleId="FootnoteText">
    <w:name w:val="footnote text"/>
    <w:basedOn w:val="Normal"/>
    <w:semiHidden/>
    <w:rsid w:val="00982AB5"/>
    <w:rPr>
      <w:rFonts w:ascii="Times New Roman" w:hAnsi="Times New Roman" w:cs="Times New Roman"/>
      <w:sz w:val="20"/>
    </w:rPr>
  </w:style>
  <w:style w:type="character" w:styleId="FootnoteReference">
    <w:name w:val="footnote reference"/>
    <w:semiHidden/>
    <w:rsid w:val="00982A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evenue.nt.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trevenue@nt.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easury.nt.gov.au/PMS/Publications/TaxesRoyaltiesGrants/GeneralAdmin/CG-GEN-001.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_x0020_Type_x0020_Topic xmlns="378e824e-6e02-4c0d-8321-dd86fba681ee" xsi:nil="true"/>
    <Main_x0020_Category xmlns="378e824e-6e02-4c0d-8321-dd86fba681ee">6</Main_x0020_Category>
    <Tax_x0020_Type xmlns="378e824e-6e02-4c0d-8321-dd86fba681ee" xsi:nil="true"/>
    <Publication_x0020_Title xmlns="378e824e-6e02-4c0d-8321-dd86fba681ee">Stamp duty on general insurance – apportionment of premiums</Publication_x0020_Title>
    <Details xmlns="378e824e-6e02-4c0d-8321-dd86fba681ee" xsi:nil="true"/>
    <Identifier xmlns="378e824e-6e02-4c0d-8321-dd86fba681ee">CG-SD-006</Identifier>
    <Publication_x0020_Type xmlns="378e824e-6e02-4c0d-8321-dd86fba681ee" xsi:nil="true"/>
    <Sub_x0020_Sub_x0020_Category xmlns="378e824e-6e02-4c0d-8321-dd86fba681ee" xsi:nil="true"/>
    <Release_x0020_Date xmlns="378e824e-6e02-4c0d-8321-dd86fba681ee">2016-02-25T14:30:00+00:00</Release_x0020_Date>
    <Sub_x0020_Category xmlns="378e824e-6e02-4c0d-8321-dd86fba681ee">24</Sub_x0020_Category>
    <Notify xmlns="378e824e-6e02-4c0d-8321-dd86fba681ee">false</Notif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51681-0C86-493F-90FF-1948B947B464}">
  <ds:schemaRefs>
    <ds:schemaRef ds:uri="http://schemas.microsoft.com/sharepoint/v3/contenttype/forms"/>
  </ds:schemaRefs>
</ds:datastoreItem>
</file>

<file path=customXml/itemProps2.xml><?xml version="1.0" encoding="utf-8"?>
<ds:datastoreItem xmlns:ds="http://schemas.openxmlformats.org/officeDocument/2006/customXml" ds:itemID="{168672E4-162A-4AF9-9BCC-550416C399EE}">
  <ds:schemaRefs>
    <ds:schemaRef ds:uri="http://schemas.microsoft.com/office/2006/metadata/properties"/>
    <ds:schemaRef ds:uri="http://schemas.microsoft.com/office/infopath/2007/PartnerControls"/>
    <ds:schemaRef ds:uri="378e824e-6e02-4c0d-8321-dd86fba681ee"/>
  </ds:schemaRefs>
</ds:datastoreItem>
</file>

<file path=customXml/itemProps3.xml><?xml version="1.0" encoding="utf-8"?>
<ds:datastoreItem xmlns:ds="http://schemas.openxmlformats.org/officeDocument/2006/customXml" ds:itemID="{73DEAB4C-364F-4F94-96C2-0685C98B2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1746</Words>
  <Characters>9955</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Our Ref:</vt:lpstr>
    </vt:vector>
  </TitlesOfParts>
  <Company>Northern Territory Government</Company>
  <LinksUpToDate>false</LinksUpToDate>
  <CharactersWithSpaces>11678</CharactersWithSpaces>
  <SharedDoc>false</SharedDoc>
  <HLinks>
    <vt:vector size="18" baseType="variant">
      <vt:variant>
        <vt:i4>5242895</vt:i4>
      </vt:variant>
      <vt:variant>
        <vt:i4>6</vt:i4>
      </vt:variant>
      <vt:variant>
        <vt:i4>0</vt:i4>
      </vt:variant>
      <vt:variant>
        <vt:i4>5</vt:i4>
      </vt:variant>
      <vt:variant>
        <vt:lpwstr>http://www.revenue.nt.gov.au/</vt:lpwstr>
      </vt:variant>
      <vt:variant>
        <vt:lpwstr/>
      </vt:variant>
      <vt:variant>
        <vt:i4>7798799</vt:i4>
      </vt:variant>
      <vt:variant>
        <vt:i4>3</vt:i4>
      </vt:variant>
      <vt:variant>
        <vt:i4>0</vt:i4>
      </vt:variant>
      <vt:variant>
        <vt:i4>5</vt:i4>
      </vt:variant>
      <vt:variant>
        <vt:lpwstr>mailto:ntrevenue@nt.gov.au</vt:lpwstr>
      </vt:variant>
      <vt:variant>
        <vt:lpwstr/>
      </vt:variant>
      <vt:variant>
        <vt:i4>2883638</vt:i4>
      </vt:variant>
      <vt:variant>
        <vt:i4>0</vt:i4>
      </vt:variant>
      <vt:variant>
        <vt:i4>0</vt:i4>
      </vt:variant>
      <vt:variant>
        <vt:i4>5</vt:i4>
      </vt:variant>
      <vt:variant>
        <vt:lpwstr>http://www.treasury.nt.gov.au/PMS/Publications/TaxesRoyaltiesGrants/GeneralAdmin/CG-GEN-001.pdf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Stamp duty on general insurance – apportionment of premiums</dc:title>
  <dc:creator>eclark</dc:creator>
  <cp:lastModifiedBy>Jessica Symonds</cp:lastModifiedBy>
  <cp:revision>3</cp:revision>
  <cp:lastPrinted>2011-11-09T03:49:00Z</cp:lastPrinted>
  <dcterms:created xsi:type="dcterms:W3CDTF">2016-02-25T06:18:00Z</dcterms:created>
  <dcterms:modified xsi:type="dcterms:W3CDTF">2021-09-13T01:03:00Z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