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CB" w:rsidRPr="00C27A0A" w:rsidRDefault="00DE64A9" w:rsidP="00C27A0A">
      <w:pPr>
        <w:pStyle w:val="HeadingOne"/>
      </w:pPr>
      <w:r>
        <w:t>COMMISSIONER’S GUIDELINE</w:t>
      </w:r>
    </w:p>
    <w:p w:rsidR="00C27A0A" w:rsidRPr="00C27A0A" w:rsidRDefault="00513926" w:rsidP="00C27A0A">
      <w:pPr>
        <w:pStyle w:val="HeadingOne"/>
      </w:pPr>
      <w:r>
        <w:t>CG</w:t>
      </w:r>
      <w:r w:rsidR="00C27A0A" w:rsidRPr="00C27A0A">
        <w:t>-</w:t>
      </w:r>
      <w:r w:rsidR="00BD1ACB">
        <w:t>SD-005</w:t>
      </w:r>
      <w:r w:rsidR="00EE7AD2">
        <w:t xml:space="preserve">: Put and </w:t>
      </w:r>
      <w:r w:rsidR="00934DA1">
        <w:t>c</w:t>
      </w:r>
      <w:r w:rsidR="00EE7AD2">
        <w:t xml:space="preserve">all </w:t>
      </w:r>
      <w:r w:rsidR="00934DA1">
        <w:t>o</w:t>
      </w:r>
      <w:r w:rsidR="00EE7AD2">
        <w:t>ptions</w:t>
      </w:r>
    </w:p>
    <w:p w:rsidR="00C27A0A" w:rsidRDefault="00C27A0A" w:rsidP="00C27A0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0"/>
        <w:gridCol w:w="1848"/>
        <w:gridCol w:w="1776"/>
        <w:gridCol w:w="1776"/>
      </w:tblGrid>
      <w:tr w:rsidR="00F65356" w:rsidRPr="00383986" w:rsidTr="00383986">
        <w:trPr>
          <w:jc w:val="center"/>
        </w:trPr>
        <w:tc>
          <w:tcPr>
            <w:tcW w:w="1030" w:type="dxa"/>
            <w:vMerge w:val="restart"/>
          </w:tcPr>
          <w:p w:rsidR="00F65356" w:rsidRPr="00383986" w:rsidRDefault="00F65356" w:rsidP="00383986">
            <w:pPr>
              <w:jc w:val="center"/>
              <w:rPr>
                <w:b/>
                <w:sz w:val="18"/>
                <w:szCs w:val="18"/>
              </w:rPr>
            </w:pPr>
            <w:r w:rsidRPr="00383986">
              <w:rPr>
                <w:b/>
                <w:sz w:val="18"/>
                <w:szCs w:val="18"/>
              </w:rPr>
              <w:t>Version</w:t>
            </w:r>
          </w:p>
        </w:tc>
        <w:tc>
          <w:tcPr>
            <w:tcW w:w="1848" w:type="dxa"/>
            <w:vMerge w:val="restart"/>
            <w:tcBorders>
              <w:right w:val="single" w:sz="4" w:space="0" w:color="auto"/>
            </w:tcBorders>
          </w:tcPr>
          <w:p w:rsidR="00F65356" w:rsidRPr="00383986" w:rsidRDefault="00F65356" w:rsidP="00383986">
            <w:pPr>
              <w:jc w:val="center"/>
              <w:rPr>
                <w:b/>
                <w:sz w:val="18"/>
                <w:szCs w:val="18"/>
              </w:rPr>
            </w:pPr>
            <w:r w:rsidRPr="00383986">
              <w:rPr>
                <w:b/>
                <w:sz w:val="18"/>
                <w:szCs w:val="18"/>
              </w:rPr>
              <w:t>Issued</w:t>
            </w:r>
          </w:p>
        </w:tc>
        <w:tc>
          <w:tcPr>
            <w:tcW w:w="3552" w:type="dxa"/>
            <w:gridSpan w:val="2"/>
            <w:tcBorders>
              <w:top w:val="single" w:sz="4" w:space="0" w:color="auto"/>
              <w:left w:val="single" w:sz="4" w:space="0" w:color="auto"/>
              <w:bottom w:val="nil"/>
              <w:right w:val="single" w:sz="4" w:space="0" w:color="auto"/>
            </w:tcBorders>
          </w:tcPr>
          <w:p w:rsidR="00F65356" w:rsidRPr="00383986" w:rsidRDefault="00F65356" w:rsidP="00383986">
            <w:pPr>
              <w:jc w:val="center"/>
              <w:rPr>
                <w:b/>
                <w:sz w:val="18"/>
                <w:szCs w:val="18"/>
              </w:rPr>
            </w:pPr>
            <w:r w:rsidRPr="00383986">
              <w:rPr>
                <w:b/>
                <w:sz w:val="18"/>
                <w:szCs w:val="18"/>
              </w:rPr>
              <w:t>Dates of Effect</w:t>
            </w:r>
          </w:p>
        </w:tc>
      </w:tr>
      <w:tr w:rsidR="00F65356" w:rsidRPr="00383986" w:rsidTr="00383986">
        <w:trPr>
          <w:jc w:val="center"/>
        </w:trPr>
        <w:tc>
          <w:tcPr>
            <w:tcW w:w="1030" w:type="dxa"/>
            <w:vMerge/>
          </w:tcPr>
          <w:p w:rsidR="00F65356" w:rsidRPr="00383986" w:rsidRDefault="00F65356" w:rsidP="00383986">
            <w:pPr>
              <w:jc w:val="center"/>
              <w:rPr>
                <w:sz w:val="18"/>
                <w:szCs w:val="18"/>
              </w:rPr>
            </w:pPr>
          </w:p>
        </w:tc>
        <w:tc>
          <w:tcPr>
            <w:tcW w:w="1848" w:type="dxa"/>
            <w:vMerge/>
            <w:tcBorders>
              <w:right w:val="single" w:sz="4" w:space="0" w:color="auto"/>
            </w:tcBorders>
          </w:tcPr>
          <w:p w:rsidR="00F65356" w:rsidRPr="00383986" w:rsidRDefault="00F65356" w:rsidP="00383986">
            <w:pPr>
              <w:jc w:val="center"/>
              <w:rPr>
                <w:sz w:val="18"/>
                <w:szCs w:val="18"/>
              </w:rPr>
            </w:pPr>
          </w:p>
        </w:tc>
        <w:tc>
          <w:tcPr>
            <w:tcW w:w="1776" w:type="dxa"/>
            <w:tcBorders>
              <w:top w:val="nil"/>
              <w:left w:val="single" w:sz="4" w:space="0" w:color="auto"/>
              <w:bottom w:val="single" w:sz="4" w:space="0" w:color="auto"/>
              <w:right w:val="nil"/>
            </w:tcBorders>
          </w:tcPr>
          <w:p w:rsidR="00F65356" w:rsidRPr="00383986" w:rsidRDefault="00F65356" w:rsidP="00AD2225">
            <w:pPr>
              <w:rPr>
                <w:b/>
                <w:sz w:val="18"/>
                <w:szCs w:val="18"/>
              </w:rPr>
            </w:pPr>
            <w:r w:rsidRPr="00383986">
              <w:rPr>
                <w:b/>
                <w:sz w:val="18"/>
                <w:szCs w:val="18"/>
              </w:rPr>
              <w:t>From:</w:t>
            </w:r>
          </w:p>
        </w:tc>
        <w:tc>
          <w:tcPr>
            <w:tcW w:w="1776" w:type="dxa"/>
            <w:tcBorders>
              <w:top w:val="nil"/>
              <w:left w:val="nil"/>
              <w:bottom w:val="single" w:sz="4" w:space="0" w:color="auto"/>
              <w:right w:val="single" w:sz="4" w:space="0" w:color="auto"/>
            </w:tcBorders>
          </w:tcPr>
          <w:p w:rsidR="00F65356" w:rsidRPr="00383986" w:rsidRDefault="00F65356" w:rsidP="00AD2225">
            <w:pPr>
              <w:rPr>
                <w:b/>
                <w:sz w:val="18"/>
                <w:szCs w:val="18"/>
              </w:rPr>
            </w:pPr>
            <w:r w:rsidRPr="00383986">
              <w:rPr>
                <w:b/>
                <w:sz w:val="18"/>
                <w:szCs w:val="18"/>
              </w:rPr>
              <w:t>To:</w:t>
            </w:r>
          </w:p>
        </w:tc>
      </w:tr>
      <w:tr w:rsidR="00BD1ACB" w:rsidRPr="00383986" w:rsidTr="00383986">
        <w:trPr>
          <w:jc w:val="center"/>
        </w:trPr>
        <w:tc>
          <w:tcPr>
            <w:tcW w:w="1030" w:type="dxa"/>
          </w:tcPr>
          <w:p w:rsidR="00BD1ACB" w:rsidRPr="00383986" w:rsidRDefault="00BD1ACB" w:rsidP="00383986">
            <w:pPr>
              <w:jc w:val="center"/>
              <w:rPr>
                <w:sz w:val="18"/>
                <w:szCs w:val="18"/>
              </w:rPr>
            </w:pPr>
            <w:r w:rsidRPr="00383986">
              <w:rPr>
                <w:sz w:val="18"/>
                <w:szCs w:val="18"/>
              </w:rPr>
              <w:t>1</w:t>
            </w:r>
          </w:p>
        </w:tc>
        <w:tc>
          <w:tcPr>
            <w:tcW w:w="1848" w:type="dxa"/>
          </w:tcPr>
          <w:p w:rsidR="00BD1ACB" w:rsidRPr="00383986" w:rsidRDefault="00BD1ACB" w:rsidP="00BD1ACB">
            <w:pPr>
              <w:rPr>
                <w:sz w:val="18"/>
                <w:szCs w:val="18"/>
              </w:rPr>
            </w:pPr>
            <w:r w:rsidRPr="00383986">
              <w:rPr>
                <w:sz w:val="18"/>
                <w:szCs w:val="18"/>
              </w:rPr>
              <w:t>01 November 2005</w:t>
            </w:r>
          </w:p>
        </w:tc>
        <w:tc>
          <w:tcPr>
            <w:tcW w:w="1776" w:type="dxa"/>
            <w:tcBorders>
              <w:top w:val="single" w:sz="4" w:space="0" w:color="auto"/>
              <w:bottom w:val="single" w:sz="4" w:space="0" w:color="auto"/>
            </w:tcBorders>
          </w:tcPr>
          <w:p w:rsidR="00BD1ACB" w:rsidRPr="00383986" w:rsidRDefault="00BD1ACB" w:rsidP="00BD1ACB">
            <w:pPr>
              <w:rPr>
                <w:sz w:val="18"/>
                <w:szCs w:val="18"/>
              </w:rPr>
            </w:pPr>
            <w:r w:rsidRPr="00383986">
              <w:rPr>
                <w:sz w:val="18"/>
                <w:szCs w:val="18"/>
              </w:rPr>
              <w:t>01 November 2005</w:t>
            </w:r>
          </w:p>
        </w:tc>
        <w:tc>
          <w:tcPr>
            <w:tcW w:w="1776" w:type="dxa"/>
            <w:tcBorders>
              <w:top w:val="single" w:sz="4" w:space="0" w:color="auto"/>
              <w:bottom w:val="single" w:sz="4" w:space="0" w:color="auto"/>
            </w:tcBorders>
          </w:tcPr>
          <w:p w:rsidR="00BD1ACB" w:rsidRPr="00383986" w:rsidRDefault="00BD1ACB" w:rsidP="00BD1ACB">
            <w:pPr>
              <w:rPr>
                <w:sz w:val="18"/>
                <w:szCs w:val="18"/>
              </w:rPr>
            </w:pPr>
            <w:r w:rsidRPr="00383986">
              <w:rPr>
                <w:sz w:val="18"/>
                <w:szCs w:val="18"/>
              </w:rPr>
              <w:t>31 December 2007</w:t>
            </w:r>
          </w:p>
        </w:tc>
      </w:tr>
      <w:tr w:rsidR="00BD1ACB" w:rsidRPr="00383986" w:rsidTr="00383986">
        <w:trPr>
          <w:jc w:val="center"/>
        </w:trPr>
        <w:tc>
          <w:tcPr>
            <w:tcW w:w="1030" w:type="dxa"/>
          </w:tcPr>
          <w:p w:rsidR="00BD1ACB" w:rsidRPr="00383986" w:rsidRDefault="00BD1ACB" w:rsidP="00383986">
            <w:pPr>
              <w:jc w:val="center"/>
              <w:rPr>
                <w:sz w:val="18"/>
                <w:szCs w:val="18"/>
              </w:rPr>
            </w:pPr>
            <w:r w:rsidRPr="00383986">
              <w:rPr>
                <w:sz w:val="18"/>
                <w:szCs w:val="18"/>
              </w:rPr>
              <w:t>2</w:t>
            </w:r>
          </w:p>
        </w:tc>
        <w:tc>
          <w:tcPr>
            <w:tcW w:w="1848" w:type="dxa"/>
          </w:tcPr>
          <w:p w:rsidR="00BD1ACB" w:rsidRPr="00383986" w:rsidRDefault="00BD1ACB" w:rsidP="00BD1ACB">
            <w:pPr>
              <w:rPr>
                <w:sz w:val="18"/>
                <w:szCs w:val="18"/>
              </w:rPr>
            </w:pPr>
            <w:r w:rsidRPr="00383986">
              <w:rPr>
                <w:sz w:val="18"/>
                <w:szCs w:val="18"/>
              </w:rPr>
              <w:t>2 January 2008</w:t>
            </w:r>
          </w:p>
        </w:tc>
        <w:tc>
          <w:tcPr>
            <w:tcW w:w="1776" w:type="dxa"/>
            <w:tcBorders>
              <w:top w:val="single" w:sz="4" w:space="0" w:color="auto"/>
              <w:bottom w:val="single" w:sz="4" w:space="0" w:color="auto"/>
            </w:tcBorders>
          </w:tcPr>
          <w:p w:rsidR="00BD1ACB" w:rsidRPr="00383986" w:rsidRDefault="00BD1ACB" w:rsidP="00BD1ACB">
            <w:pPr>
              <w:rPr>
                <w:sz w:val="18"/>
                <w:szCs w:val="18"/>
              </w:rPr>
            </w:pPr>
            <w:r w:rsidRPr="00383986">
              <w:rPr>
                <w:sz w:val="18"/>
                <w:szCs w:val="18"/>
              </w:rPr>
              <w:t>1 January 2008</w:t>
            </w:r>
          </w:p>
        </w:tc>
        <w:tc>
          <w:tcPr>
            <w:tcW w:w="1776" w:type="dxa"/>
            <w:tcBorders>
              <w:top w:val="single" w:sz="4" w:space="0" w:color="auto"/>
              <w:bottom w:val="single" w:sz="4" w:space="0" w:color="auto"/>
            </w:tcBorders>
          </w:tcPr>
          <w:p w:rsidR="00BD1ACB" w:rsidRPr="00383986" w:rsidRDefault="00BD1ACB" w:rsidP="00BD1ACB">
            <w:pPr>
              <w:rPr>
                <w:sz w:val="18"/>
                <w:szCs w:val="18"/>
              </w:rPr>
            </w:pPr>
            <w:r w:rsidRPr="00383986">
              <w:rPr>
                <w:sz w:val="18"/>
                <w:szCs w:val="18"/>
              </w:rPr>
              <w:t>Current</w:t>
            </w:r>
          </w:p>
        </w:tc>
      </w:tr>
    </w:tbl>
    <w:p w:rsidR="00C27A0A" w:rsidRDefault="00C27A0A" w:rsidP="00C27A0A">
      <w:pPr>
        <w:rPr>
          <w:szCs w:val="22"/>
        </w:rPr>
      </w:pPr>
    </w:p>
    <w:p w:rsidR="00C27A0A" w:rsidRPr="00C27A0A" w:rsidRDefault="00DE64A9" w:rsidP="00545D20">
      <w:pPr>
        <w:pStyle w:val="HeadingTwo"/>
      </w:pPr>
      <w:r>
        <w:t>Purpose</w:t>
      </w:r>
    </w:p>
    <w:p w:rsidR="00BD1ACB" w:rsidRDefault="00BD1ACB" w:rsidP="00BD1ACB">
      <w:pPr>
        <w:pStyle w:val="BlockText"/>
      </w:pPr>
      <w:r w:rsidRPr="00C95415">
        <w:t>This Guideline explains how put and call options are liable to duty as if they were a conveyance of dutiable property where the options are over the same property.</w:t>
      </w:r>
    </w:p>
    <w:p w:rsidR="00BD1ACB" w:rsidRPr="00C95415" w:rsidRDefault="00BD1ACB" w:rsidP="00BD1ACB">
      <w:pPr>
        <w:pStyle w:val="HeadingTwo"/>
      </w:pPr>
      <w:r w:rsidRPr="00C95415">
        <w:t>Summary</w:t>
      </w:r>
    </w:p>
    <w:p w:rsidR="00BD1ACB" w:rsidRPr="00BD1ACB" w:rsidRDefault="00BD1ACB" w:rsidP="00BD1ACB">
      <w:pPr>
        <w:pStyle w:val="BlockText"/>
      </w:pPr>
      <w:r w:rsidRPr="00BD1ACB">
        <w:t xml:space="preserve">Part 3, Division 8AB of the </w:t>
      </w:r>
      <w:r w:rsidRPr="00C95415">
        <w:rPr>
          <w:i/>
        </w:rPr>
        <w:t>Stamp Duty Act</w:t>
      </w:r>
      <w:r>
        <w:rPr>
          <w:i/>
        </w:rPr>
        <w:t xml:space="preserve"> </w:t>
      </w:r>
      <w:r w:rsidRPr="00BD1ACB">
        <w:t>(SDA) provides a counter to schemes where a seller and a purchaser of dutiable property enter into put and call options to avoid or delay the payment of stamp duty.</w:t>
      </w:r>
    </w:p>
    <w:p w:rsidR="00BD1ACB" w:rsidRDefault="00BD1ACB" w:rsidP="00BD1ACB">
      <w:pPr>
        <w:pStyle w:val="BlockText"/>
      </w:pPr>
      <w:r w:rsidRPr="00C95415">
        <w:t xml:space="preserve">Such an arrangement is subject to stamp duty as if the dutiable property that is common to the call option and the put option (‘the option property’) was conveyed between the parties. However, where the options expire without being exercised, the parties may apply for a reassessment of the duty. </w:t>
      </w:r>
    </w:p>
    <w:p w:rsidR="00BD1ACB" w:rsidRPr="00C95415" w:rsidRDefault="00BD1ACB" w:rsidP="00BD1ACB">
      <w:pPr>
        <w:pStyle w:val="HeadingThree"/>
      </w:pPr>
      <w:r w:rsidRPr="00C95415">
        <w:t>Application of Part 3, Division 8AB</w:t>
      </w:r>
    </w:p>
    <w:p w:rsidR="00BD1ACB" w:rsidRDefault="00BD1ACB" w:rsidP="00BD1ACB">
      <w:pPr>
        <w:pStyle w:val="BlockText"/>
      </w:pPr>
      <w:r w:rsidRPr="00C95415">
        <w:t>The conveyance of a call option is taken to be a conveyance of the option property when:</w:t>
      </w:r>
    </w:p>
    <w:p w:rsidR="00BD1ACB" w:rsidRPr="00C95415" w:rsidRDefault="00BD1ACB" w:rsidP="00BD1ACB">
      <w:pPr>
        <w:pStyle w:val="BlockText"/>
        <w:numPr>
          <w:ilvl w:val="1"/>
          <w:numId w:val="3"/>
        </w:numPr>
      </w:pPr>
      <w:r w:rsidRPr="00BD1ACB">
        <w:t xml:space="preserve">there is a conveyance (including the initial grant) to a person of a </w:t>
      </w:r>
      <w:r w:rsidRPr="00C95415">
        <w:rPr>
          <w:b/>
        </w:rPr>
        <w:t>call option</w:t>
      </w:r>
      <w:r w:rsidRPr="00C95415">
        <w:t xml:space="preserve"> (see </w:t>
      </w:r>
      <w:r w:rsidR="00610BDD">
        <w:t>page 2</w:t>
      </w:r>
      <w:r w:rsidR="00610BDD" w:rsidRPr="00C95415">
        <w:t xml:space="preserve"> </w:t>
      </w:r>
      <w:r w:rsidRPr="00C95415">
        <w:t xml:space="preserve">for definition); and </w:t>
      </w:r>
    </w:p>
    <w:p w:rsidR="00BD1ACB" w:rsidRPr="00BD1ACB" w:rsidRDefault="00BD1ACB" w:rsidP="00BD1ACB">
      <w:pPr>
        <w:pStyle w:val="BlockText"/>
        <w:numPr>
          <w:ilvl w:val="1"/>
          <w:numId w:val="3"/>
        </w:numPr>
      </w:pPr>
      <w:r w:rsidRPr="00C95415">
        <w:t xml:space="preserve">the person over whom the call option is exercisable, has a </w:t>
      </w:r>
      <w:r w:rsidRPr="00C95415">
        <w:rPr>
          <w:b/>
        </w:rPr>
        <w:t>put option</w:t>
      </w:r>
      <w:r w:rsidRPr="00BD1ACB">
        <w:t xml:space="preserve"> (see </w:t>
      </w:r>
      <w:r w:rsidR="00610BDD">
        <w:t>page 2</w:t>
      </w:r>
      <w:r w:rsidRPr="00BD1ACB">
        <w:t xml:space="preserve"> for definition) over all or some of the option property under the call option.</w:t>
      </w:r>
      <w:r>
        <w:rPr>
          <w:rStyle w:val="FootnoteReference"/>
          <w:sz w:val="24"/>
          <w:szCs w:val="24"/>
        </w:rPr>
        <w:footnoteReference w:id="1"/>
      </w:r>
      <w:r w:rsidRPr="00BD1ACB">
        <w:t xml:space="preserve"> </w:t>
      </w:r>
    </w:p>
    <w:p w:rsidR="00BD1ACB" w:rsidRPr="00C95415" w:rsidRDefault="00BD1ACB" w:rsidP="00BD1ACB">
      <w:pPr>
        <w:pStyle w:val="BlockText"/>
      </w:pPr>
      <w:r w:rsidRPr="00C95415">
        <w:t>The conveyance of the option property is taken to have occurred when the conveyance of the call option occurs or the put option comes into existence, which ever is the later.</w:t>
      </w:r>
      <w:r>
        <w:rPr>
          <w:rStyle w:val="FootnoteReference"/>
          <w:sz w:val="24"/>
          <w:szCs w:val="24"/>
        </w:rPr>
        <w:footnoteReference w:id="2"/>
      </w:r>
      <w:r w:rsidRPr="00C95415">
        <w:t xml:space="preserve">  Moreover, this is taken to be a conveyance from the holder of the put option to the holder of the call option.</w:t>
      </w:r>
      <w:r>
        <w:rPr>
          <w:rStyle w:val="FootnoteReference"/>
          <w:sz w:val="24"/>
          <w:szCs w:val="24"/>
        </w:rPr>
        <w:footnoteReference w:id="3"/>
      </w:r>
      <w:r w:rsidRPr="00C95415">
        <w:t xml:space="preserve">   </w:t>
      </w:r>
    </w:p>
    <w:p w:rsidR="00BD1ACB" w:rsidRDefault="00BD1ACB" w:rsidP="00BD1ACB">
      <w:pPr>
        <w:pStyle w:val="BlockText"/>
      </w:pPr>
      <w:r w:rsidRPr="00C95415">
        <w:t>The holder of the call option is liable to duty on the deemed conveyance, regardless of whether the periods when the put option and the call option may be exercised overlap or not and even if the call option or the put option is exercisable over other dutiable property in addition to the option property.</w:t>
      </w:r>
      <w:r>
        <w:rPr>
          <w:rStyle w:val="FootnoteReference"/>
          <w:sz w:val="24"/>
          <w:szCs w:val="24"/>
        </w:rPr>
        <w:footnoteReference w:id="4"/>
      </w:r>
      <w:r w:rsidRPr="00C95415">
        <w:t xml:space="preserve"> </w:t>
      </w:r>
    </w:p>
    <w:p w:rsidR="00BD1ACB" w:rsidRPr="00C95415" w:rsidRDefault="00BD1ACB" w:rsidP="00BD1ACB">
      <w:pPr>
        <w:pStyle w:val="HeadingFour"/>
      </w:pPr>
      <w:r w:rsidRPr="00C95415">
        <w:lastRenderedPageBreak/>
        <w:t>Meaning of call option</w:t>
      </w:r>
    </w:p>
    <w:p w:rsidR="00BD1ACB" w:rsidRDefault="00BD1ACB" w:rsidP="00BD1ACB">
      <w:pPr>
        <w:pStyle w:val="BlockText"/>
      </w:pPr>
      <w:r w:rsidRPr="00C95415">
        <w:t>A call option is an agreement under which the holder of the call option can require the option property to be conveyed to the holder of the call option, or to a person with whom the holder of the call option has an agreement</w:t>
      </w:r>
      <w:r>
        <w:t>, arrangement or understanding.</w:t>
      </w:r>
    </w:p>
    <w:p w:rsidR="00BD1ACB" w:rsidRPr="00C95415" w:rsidRDefault="00BD1ACB" w:rsidP="00BD1ACB">
      <w:pPr>
        <w:pStyle w:val="HeadingFour"/>
      </w:pPr>
      <w:r w:rsidRPr="00C95415">
        <w:t xml:space="preserve">Meaning of put option  </w:t>
      </w:r>
    </w:p>
    <w:p w:rsidR="00BD1ACB" w:rsidRPr="00C95415" w:rsidRDefault="00BD1ACB" w:rsidP="00BD1ACB">
      <w:pPr>
        <w:pStyle w:val="BlockText"/>
      </w:pPr>
      <w:r w:rsidRPr="00C95415">
        <w:t>A put option is an agreement under which the holder of the put option can require the option property to be conveyed to the holder of the call option or the person with whom the holder of the call option has an agreement, arrangement or understanding.</w:t>
      </w:r>
    </w:p>
    <w:p w:rsidR="00BD1ACB" w:rsidRPr="00C95415" w:rsidRDefault="00BD1ACB" w:rsidP="00BD1ACB">
      <w:pPr>
        <w:pStyle w:val="HeadingThree"/>
      </w:pPr>
      <w:r w:rsidRPr="00C95415">
        <w:t>Conveyance of call option</w:t>
      </w:r>
    </w:p>
    <w:p w:rsidR="00BD1ACB" w:rsidRDefault="00BD1ACB" w:rsidP="00BD1ACB">
      <w:pPr>
        <w:pStyle w:val="BlockText"/>
      </w:pPr>
      <w:r w:rsidRPr="00C95415">
        <w:t>Where the call option is conveyed from the original holder of the call option to a new person or further conveyed to another person, each conveyance of the call option is taken to be a conveyance of the option property. This conveyance of the call option does not relieve previous option holders from the requirement to pay duty. This recognises that the conveyance of the call option is effectively another sale of the option property that would normally be subject to conveyance stamp duty.</w:t>
      </w:r>
    </w:p>
    <w:p w:rsidR="00BD1ACB" w:rsidRPr="00C95415" w:rsidRDefault="00BD1ACB" w:rsidP="00BD1ACB">
      <w:pPr>
        <w:pStyle w:val="HeadingThree"/>
      </w:pPr>
      <w:r w:rsidRPr="00C95415">
        <w:t>Assessment of duty</w:t>
      </w:r>
    </w:p>
    <w:p w:rsidR="00BD1ACB" w:rsidRDefault="00BD1ACB" w:rsidP="00BD1ACB">
      <w:pPr>
        <w:pStyle w:val="BlockText"/>
      </w:pPr>
      <w:r w:rsidRPr="00C95415">
        <w:t>Duty is assessed on the greater of:</w:t>
      </w:r>
    </w:p>
    <w:p w:rsidR="00BD1ACB" w:rsidRPr="00C95415" w:rsidRDefault="00BD1ACB" w:rsidP="00BD1ACB">
      <w:pPr>
        <w:pStyle w:val="BlockText"/>
        <w:numPr>
          <w:ilvl w:val="1"/>
          <w:numId w:val="3"/>
        </w:numPr>
      </w:pPr>
      <w:r w:rsidRPr="00C95415">
        <w:t>the amount paid for the initial grant or a subsequent conveyance of the call option plus the amount payable in the event of that option being exercised; or</w:t>
      </w:r>
    </w:p>
    <w:p w:rsidR="00BD1ACB" w:rsidRDefault="00BD1ACB" w:rsidP="00BD1ACB">
      <w:pPr>
        <w:pStyle w:val="BlockText"/>
        <w:numPr>
          <w:ilvl w:val="1"/>
          <w:numId w:val="3"/>
        </w:numPr>
      </w:pPr>
      <w:r w:rsidRPr="00C95415">
        <w:t>the unencumbered value of the option property.</w:t>
      </w:r>
      <w:r>
        <w:rPr>
          <w:rStyle w:val="FootnoteReference"/>
          <w:sz w:val="24"/>
          <w:szCs w:val="24"/>
        </w:rPr>
        <w:footnoteReference w:id="5"/>
      </w:r>
      <w:r w:rsidRPr="00C95415">
        <w:t xml:space="preserve"> </w:t>
      </w:r>
    </w:p>
    <w:p w:rsidR="00BD1ACB" w:rsidRDefault="00BD1ACB" w:rsidP="00BD1ACB">
      <w:pPr>
        <w:pStyle w:val="HeadingThree"/>
      </w:pPr>
      <w:r w:rsidRPr="00C95415">
        <w:t>Subsequent conveyances of option property</w:t>
      </w:r>
    </w:p>
    <w:p w:rsidR="00BD1ACB" w:rsidRPr="00C95415" w:rsidRDefault="00BD1ACB" w:rsidP="00BD1ACB">
      <w:pPr>
        <w:pStyle w:val="BlockText"/>
      </w:pPr>
      <w:r w:rsidRPr="00C95415">
        <w:t>Where the option property is conveyed to the holder of the call option from the holder of the put option, the duty payable on that conveyance is reduced by the amount of duty paid or payable by the holder of the call option on the conveyance of the call option as a deemed conveyance of the option property.</w:t>
      </w:r>
      <w:r>
        <w:rPr>
          <w:rStyle w:val="FootnoteReference"/>
          <w:sz w:val="24"/>
          <w:szCs w:val="24"/>
        </w:rPr>
        <w:footnoteReference w:id="6"/>
      </w:r>
      <w:r w:rsidRPr="00C95415">
        <w:t xml:space="preserve"> </w:t>
      </w:r>
    </w:p>
    <w:p w:rsidR="00BD1ACB" w:rsidRDefault="00BD1ACB" w:rsidP="00BD1ACB">
      <w:pPr>
        <w:pStyle w:val="BlockText"/>
      </w:pPr>
      <w:r w:rsidRPr="00C95415">
        <w:t>However, if the option property is conveyed to a third person, even if it is the person with whom the holder of the call option has an agreement, arrangement or understanding, there is no reduction in the duty payable, even if the holder of the call option has paid duty on the call option as a deemed conveyance of the option property, unless the Commissioner is satisfied that:</w:t>
      </w:r>
    </w:p>
    <w:p w:rsidR="00BD1ACB" w:rsidRPr="00C95415" w:rsidRDefault="00BD1ACB" w:rsidP="00BD1ACB">
      <w:pPr>
        <w:pStyle w:val="BlockText"/>
        <w:numPr>
          <w:ilvl w:val="1"/>
          <w:numId w:val="3"/>
        </w:numPr>
      </w:pPr>
      <w:r w:rsidRPr="00C95415">
        <w:t>either:</w:t>
      </w:r>
    </w:p>
    <w:p w:rsidR="00BD1ACB" w:rsidRPr="00C95415" w:rsidRDefault="00BD1ACB" w:rsidP="00BD1ACB">
      <w:pPr>
        <w:pStyle w:val="BlockText"/>
        <w:numPr>
          <w:ilvl w:val="2"/>
          <w:numId w:val="3"/>
        </w:numPr>
      </w:pPr>
      <w:r w:rsidRPr="00C95415">
        <w:t>the holder of the call option was, at the time of the transfer of the call option, acting as agent of the third person; or</w:t>
      </w:r>
    </w:p>
    <w:p w:rsidR="00BD1ACB" w:rsidRPr="00C95415" w:rsidRDefault="00BD1ACB" w:rsidP="00BD1ACB">
      <w:pPr>
        <w:pStyle w:val="BlockText"/>
        <w:numPr>
          <w:ilvl w:val="2"/>
          <w:numId w:val="3"/>
        </w:numPr>
      </w:pPr>
      <w:r w:rsidRPr="00C95415">
        <w:t>the third person is a corporation or the trustee of a trust the holder of the call option was, at the time of the transfer of the call option, in the process of incorporating, establishing or acquiring; and</w:t>
      </w:r>
    </w:p>
    <w:p w:rsidR="00BD1ACB" w:rsidRPr="00C95415" w:rsidRDefault="00BD1ACB" w:rsidP="00BD1ACB">
      <w:pPr>
        <w:pStyle w:val="BlockText"/>
        <w:numPr>
          <w:ilvl w:val="1"/>
          <w:numId w:val="3"/>
        </w:numPr>
      </w:pPr>
      <w:r w:rsidRPr="00C95415">
        <w:t>there has been no sub-sale or other dutiable dealing with the option property between the time of the transfer of the call option and the conveyance to the third person.</w:t>
      </w:r>
      <w:r>
        <w:rPr>
          <w:rStyle w:val="FootnoteReference"/>
          <w:sz w:val="24"/>
          <w:szCs w:val="24"/>
        </w:rPr>
        <w:footnoteReference w:id="7"/>
      </w:r>
      <w:r w:rsidRPr="00C95415">
        <w:t xml:space="preserve"> </w:t>
      </w:r>
    </w:p>
    <w:p w:rsidR="00BD1ACB" w:rsidRPr="00C95415" w:rsidRDefault="00BD1ACB" w:rsidP="00BD1ACB">
      <w:pPr>
        <w:pStyle w:val="HeadingThree"/>
      </w:pPr>
      <w:r w:rsidRPr="00C95415">
        <w:t>Reassessment where the options are not exercised</w:t>
      </w:r>
    </w:p>
    <w:p w:rsidR="00BD1ACB" w:rsidRDefault="00BD1ACB" w:rsidP="00BD1ACB">
      <w:pPr>
        <w:pStyle w:val="BlockText"/>
      </w:pPr>
      <w:r w:rsidRPr="00C95415">
        <w:t xml:space="preserve">Where both the put and the call options expire without being exercised, the last holder of the call option will be reassessed on the basis that the call option is an option to purchase the </w:t>
      </w:r>
      <w:r w:rsidRPr="00C95415">
        <w:lastRenderedPageBreak/>
        <w:t>option property and not a conveyance of that property, and will be entitled to a remission or refund of duty equal to the difference between the amount payable on a conveyance of the option property and the amount payable on the call option, but only where:</w:t>
      </w:r>
    </w:p>
    <w:p w:rsidR="00BD1ACB" w:rsidRPr="00C95415" w:rsidRDefault="00BD1ACB" w:rsidP="00BD1ACB">
      <w:pPr>
        <w:pStyle w:val="BlockText"/>
        <w:numPr>
          <w:ilvl w:val="1"/>
          <w:numId w:val="3"/>
        </w:numPr>
      </w:pPr>
      <w:r w:rsidRPr="00C95415">
        <w:t>the failure to exercise the options is not a tax avoidance scheme or part of a tax avoidance scheme;</w:t>
      </w:r>
      <w:r>
        <w:rPr>
          <w:rStyle w:val="FootnoteReference"/>
          <w:sz w:val="24"/>
          <w:szCs w:val="24"/>
        </w:rPr>
        <w:footnoteReference w:id="8"/>
      </w:r>
      <w:r w:rsidRPr="00C95415">
        <w:t xml:space="preserve">  and</w:t>
      </w:r>
    </w:p>
    <w:p w:rsidR="00BD1ACB" w:rsidRPr="00C95415" w:rsidRDefault="00BD1ACB" w:rsidP="00BD1ACB">
      <w:pPr>
        <w:pStyle w:val="BlockText"/>
        <w:numPr>
          <w:ilvl w:val="1"/>
          <w:numId w:val="3"/>
        </w:numPr>
      </w:pPr>
      <w:r w:rsidRPr="00C95415">
        <w:t>the option property has not been conveyed to a person with whom the holder of the call option has an agreement, arrangement or understanding.</w:t>
      </w:r>
      <w:r>
        <w:rPr>
          <w:rStyle w:val="FootnoteReference"/>
          <w:sz w:val="24"/>
          <w:szCs w:val="24"/>
        </w:rPr>
        <w:footnoteReference w:id="9"/>
      </w:r>
      <w:r w:rsidRPr="00C95415">
        <w:t xml:space="preserve"> </w:t>
      </w:r>
    </w:p>
    <w:p w:rsidR="00BD1ACB" w:rsidRDefault="00BD1ACB" w:rsidP="00BD1ACB">
      <w:pPr>
        <w:pStyle w:val="BlockText"/>
      </w:pPr>
      <w:r w:rsidRPr="00C95415">
        <w:t>This recognises that the put and call options have not been used to effect the conveyance of the option property.</w:t>
      </w:r>
    </w:p>
    <w:p w:rsidR="00BD1ACB" w:rsidRPr="00610BDD" w:rsidRDefault="00BD1ACB" w:rsidP="00BD1ACB">
      <w:pPr>
        <w:pStyle w:val="BlockText"/>
        <w:rPr>
          <w:szCs w:val="22"/>
        </w:rPr>
      </w:pPr>
      <w:r w:rsidRPr="00610BDD">
        <w:rPr>
          <w:szCs w:val="22"/>
        </w:rPr>
        <w:t xml:space="preserve">Application for the reassessment of duty made under the </w:t>
      </w:r>
      <w:r w:rsidRPr="00610BDD">
        <w:rPr>
          <w:i/>
          <w:szCs w:val="22"/>
        </w:rPr>
        <w:t>Taxation Administration Act</w:t>
      </w:r>
      <w:r w:rsidRPr="00610BDD">
        <w:rPr>
          <w:szCs w:val="22"/>
        </w:rPr>
        <w:t xml:space="preserve"> must be within 90 days after expiry of the put option or the call option, whichever occurs last.</w:t>
      </w:r>
      <w:r w:rsidRPr="00610BDD">
        <w:rPr>
          <w:rStyle w:val="FootnoteReference"/>
          <w:szCs w:val="22"/>
        </w:rPr>
        <w:footnoteReference w:id="10"/>
      </w:r>
      <w:r w:rsidRPr="00610BDD">
        <w:rPr>
          <w:szCs w:val="22"/>
        </w:rPr>
        <w:t xml:space="preserve">   </w:t>
      </w:r>
    </w:p>
    <w:p w:rsidR="00BD1ACB" w:rsidRPr="00C95415" w:rsidRDefault="00BD1ACB" w:rsidP="00BD1ACB">
      <w:pPr>
        <w:pStyle w:val="HeadingThree"/>
      </w:pPr>
      <w:r w:rsidRPr="00C95415">
        <w:t>Exemption</w:t>
      </w:r>
    </w:p>
    <w:p w:rsidR="00BD1ACB" w:rsidRDefault="00BD1ACB" w:rsidP="00BD1ACB">
      <w:pPr>
        <w:pStyle w:val="BlockText"/>
      </w:pPr>
      <w:r w:rsidRPr="00C95415">
        <w:t>The put and call options will not be subject to duty as a conveyance of the option property where the put and call options:</w:t>
      </w:r>
    </w:p>
    <w:p w:rsidR="00BD1ACB" w:rsidRPr="00C95415" w:rsidRDefault="00BD1ACB" w:rsidP="00BD1ACB">
      <w:pPr>
        <w:pStyle w:val="BlockText"/>
        <w:numPr>
          <w:ilvl w:val="1"/>
          <w:numId w:val="3"/>
        </w:numPr>
      </w:pPr>
      <w:r w:rsidRPr="00C95415">
        <w:t xml:space="preserve">are not a tax avoidance scheme or part of a tax avoidance scheme; and </w:t>
      </w:r>
    </w:p>
    <w:p w:rsidR="00BD1ACB" w:rsidRPr="00C95415" w:rsidRDefault="00BD1ACB" w:rsidP="00BD1ACB">
      <w:pPr>
        <w:pStyle w:val="BlockText"/>
        <w:numPr>
          <w:ilvl w:val="1"/>
          <w:numId w:val="3"/>
        </w:numPr>
      </w:pPr>
      <w:r w:rsidRPr="00C95415">
        <w:t>are between the proprietors of a business for the sole purpose of providing continuity of that business on the death, total and permanent disablement, retirement or bankruptcy of a proprietor and the options are only exercisable on the occurrence of those events.</w:t>
      </w:r>
      <w:r>
        <w:rPr>
          <w:rStyle w:val="FootnoteReference"/>
          <w:sz w:val="24"/>
          <w:szCs w:val="24"/>
        </w:rPr>
        <w:footnoteReference w:id="11"/>
      </w:r>
      <w:r w:rsidRPr="00C95415">
        <w:t xml:space="preserve"> </w:t>
      </w:r>
      <w:r w:rsidR="00145FB8">
        <w:t xml:space="preserve"> </w:t>
      </w:r>
    </w:p>
    <w:p w:rsidR="00BD1ACB" w:rsidRPr="00C95415" w:rsidRDefault="00BD1ACB" w:rsidP="00BD1ACB">
      <w:pPr>
        <w:pStyle w:val="HeadingThree"/>
      </w:pPr>
      <w:r w:rsidRPr="00C95415">
        <w:t>Extensions of time to pay stamp duty for 'off-the-plan' conditional agreements</w:t>
      </w:r>
    </w:p>
    <w:p w:rsidR="00BD1ACB" w:rsidRPr="00BD1ACB" w:rsidRDefault="00BD1ACB" w:rsidP="00BD1ACB">
      <w:pPr>
        <w:pStyle w:val="BlockText"/>
        <w:rPr>
          <w:szCs w:val="22"/>
        </w:rPr>
      </w:pPr>
      <w:r w:rsidRPr="00BD1ACB">
        <w:rPr>
          <w:szCs w:val="22"/>
        </w:rPr>
        <w:t xml:space="preserve">Where conveyance stamp duty is assessed on option arrangements in respect of 'off-the-plan' purchases, the purchaser may be able to defer the payment of that stamp duty in accordance with Commissioner’s Guideline </w:t>
      </w:r>
      <w:hyperlink r:id="rId10" w:history="1">
        <w:r w:rsidRPr="00EE7AD2">
          <w:rPr>
            <w:rStyle w:val="Hyperlink"/>
            <w:szCs w:val="22"/>
          </w:rPr>
          <w:t>CG-SD-002:</w:t>
        </w:r>
      </w:hyperlink>
      <w:r w:rsidRPr="00BD1ACB">
        <w:rPr>
          <w:szCs w:val="22"/>
        </w:rPr>
        <w:t xml:space="preserve"> </w:t>
      </w:r>
      <w:r w:rsidRPr="00BD1ACB">
        <w:rPr>
          <w:i/>
          <w:szCs w:val="22"/>
        </w:rPr>
        <w:t>Eligible conditional agreements – extension of time to lodge instrument and pay duty</w:t>
      </w:r>
      <w:r w:rsidRPr="00BD1ACB">
        <w:rPr>
          <w:szCs w:val="22"/>
        </w:rPr>
        <w:t>.</w:t>
      </w:r>
    </w:p>
    <w:p w:rsidR="00145FB8" w:rsidRDefault="00145FB8" w:rsidP="00145FB8">
      <w:pPr>
        <w:pStyle w:val="HeadingTwo"/>
      </w:pPr>
      <w:r>
        <w:t>Commissioner’s Guidelines</w:t>
      </w:r>
    </w:p>
    <w:p w:rsidR="00145FB8" w:rsidRPr="002D6D82" w:rsidRDefault="00145FB8" w:rsidP="00145FB8">
      <w:pPr>
        <w:pStyle w:val="BlockText"/>
        <w:keepLines/>
      </w:pPr>
      <w:r w:rsidRPr="002D6D82">
        <w:t>Co</w:t>
      </w:r>
      <w:r>
        <w:t xml:space="preserve">mmissioner’s Guideline </w:t>
      </w:r>
      <w:hyperlink r:id="rId11" w:history="1">
        <w:r w:rsidR="008F0F4E">
          <w:rPr>
            <w:rStyle w:val="Hyperlink"/>
          </w:rPr>
          <w:t>CG-GEN-001</w:t>
        </w:r>
      </w:hyperlink>
      <w:r w:rsidRPr="002D6D82">
        <w:t>, which sets out information on the revenue publication system, is incorporated into and is to be read as one with this Guideline.</w:t>
      </w:r>
      <w:r>
        <w:t xml:space="preserve"> </w:t>
      </w:r>
      <w:r w:rsidRPr="00987211">
        <w:t xml:space="preserve">All Circulars and Guidelines are available from </w:t>
      </w:r>
      <w:r>
        <w:t xml:space="preserve">the </w:t>
      </w:r>
      <w:r w:rsidRPr="00987211">
        <w:t>TRO website.</w:t>
      </w:r>
    </w:p>
    <w:p w:rsidR="00F65356" w:rsidRDefault="00F65356" w:rsidP="00F65356">
      <w:pPr>
        <w:pStyle w:val="HeadingTwo"/>
      </w:pPr>
      <w:r>
        <w:t>Date of effect</w:t>
      </w:r>
    </w:p>
    <w:p w:rsidR="00F65356" w:rsidRDefault="00F65356" w:rsidP="006034B6">
      <w:r>
        <w:t>This version of the</w:t>
      </w:r>
      <w:r w:rsidR="00BD1ACB">
        <w:t xml:space="preserve"> Guideline takes effect from 1 January 2008.</w:t>
      </w:r>
    </w:p>
    <w:p w:rsidR="006034B6" w:rsidRDefault="004C79E7" w:rsidP="006034B6">
      <w:r>
        <w:rPr>
          <w:noProof/>
        </w:rPr>
        <w:drawing>
          <wp:anchor distT="0" distB="0" distL="114300" distR="114300" simplePos="0" relativeHeight="251657728" behindDoc="1" locked="0" layoutInCell="1" allowOverlap="1">
            <wp:simplePos x="0" y="0"/>
            <wp:positionH relativeFrom="column">
              <wp:posOffset>-228600</wp:posOffset>
            </wp:positionH>
            <wp:positionV relativeFrom="paragraph">
              <wp:posOffset>66675</wp:posOffset>
            </wp:positionV>
            <wp:extent cx="1600200" cy="5467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546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1ACB" w:rsidRDefault="00BD1ACB" w:rsidP="006034B6"/>
    <w:p w:rsidR="00364D5F" w:rsidRDefault="00364D5F" w:rsidP="006034B6"/>
    <w:p w:rsidR="006034B6" w:rsidRDefault="00BD1ACB" w:rsidP="006034B6">
      <w:r>
        <w:t>Craig Vukman</w:t>
      </w:r>
    </w:p>
    <w:p w:rsidR="006034B6" w:rsidRPr="002B1AFD" w:rsidRDefault="002B1AFD" w:rsidP="006034B6">
      <w:pPr>
        <w:rPr>
          <w:b/>
        </w:rPr>
      </w:pPr>
      <w:r w:rsidRPr="002B1AFD">
        <w:rPr>
          <w:b/>
        </w:rPr>
        <w:t>COMMISSIONER OF TERRITORY REVENUE</w:t>
      </w:r>
    </w:p>
    <w:p w:rsidR="006034B6" w:rsidRDefault="006034B6" w:rsidP="006034B6"/>
    <w:p w:rsidR="006034B6" w:rsidRDefault="006034B6" w:rsidP="006034B6">
      <w:r>
        <w:t>Date of Issue:</w:t>
      </w:r>
      <w:r w:rsidR="00BD1ACB">
        <w:t xml:space="preserve"> 1 January 2008</w:t>
      </w:r>
    </w:p>
    <w:p w:rsidR="006034B6" w:rsidRDefault="006034B6" w:rsidP="006034B6"/>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6034B6" w:rsidRPr="00383986" w:rsidTr="00383986">
        <w:tc>
          <w:tcPr>
            <w:tcW w:w="9854" w:type="dxa"/>
            <w:gridSpan w:val="2"/>
          </w:tcPr>
          <w:p w:rsidR="006034B6" w:rsidRPr="00383986" w:rsidRDefault="006034B6" w:rsidP="006034B6">
            <w:pPr>
              <w:rPr>
                <w:sz w:val="20"/>
              </w:rPr>
            </w:pPr>
            <w:r w:rsidRPr="00383986">
              <w:rPr>
                <w:sz w:val="20"/>
              </w:rPr>
              <w:t>For further information please contact the Territory Revenue Office:</w:t>
            </w:r>
          </w:p>
        </w:tc>
      </w:tr>
      <w:tr w:rsidR="006034B6" w:rsidRPr="00383986" w:rsidTr="00383986">
        <w:tc>
          <w:tcPr>
            <w:tcW w:w="4927" w:type="dxa"/>
          </w:tcPr>
          <w:p w:rsidR="006034B6" w:rsidRPr="00383986" w:rsidRDefault="006034B6" w:rsidP="006034B6">
            <w:pPr>
              <w:rPr>
                <w:sz w:val="20"/>
              </w:rPr>
            </w:pPr>
            <w:r w:rsidRPr="00383986">
              <w:rPr>
                <w:sz w:val="20"/>
              </w:rPr>
              <w:t>GPO Box 1</w:t>
            </w:r>
            <w:r w:rsidR="00681441">
              <w:rPr>
                <w:sz w:val="20"/>
              </w:rPr>
              <w:t>97</w:t>
            </w:r>
            <w:bookmarkStart w:id="0" w:name="_GoBack"/>
            <w:bookmarkEnd w:id="0"/>
            <w:r w:rsidRPr="00383986">
              <w:rPr>
                <w:sz w:val="20"/>
              </w:rPr>
              <w:t>4</w:t>
            </w:r>
          </w:p>
          <w:p w:rsidR="006034B6" w:rsidRPr="00383986" w:rsidRDefault="006034B6" w:rsidP="006034B6">
            <w:pPr>
              <w:rPr>
                <w:sz w:val="20"/>
              </w:rPr>
            </w:pPr>
            <w:r w:rsidRPr="00383986">
              <w:rPr>
                <w:sz w:val="20"/>
              </w:rPr>
              <w:t>Darwin  NT  0801</w:t>
            </w:r>
          </w:p>
          <w:p w:rsidR="006034B6" w:rsidRPr="00F65356" w:rsidRDefault="006034B6" w:rsidP="00383986">
            <w:pPr>
              <w:pStyle w:val="BlockText"/>
              <w:numPr>
                <w:ilvl w:val="0"/>
                <w:numId w:val="0"/>
              </w:numPr>
            </w:pPr>
            <w:r w:rsidRPr="00F65356">
              <w:t xml:space="preserve">Email: </w:t>
            </w:r>
            <w:hyperlink r:id="rId13" w:history="1">
              <w:r w:rsidR="002E751D" w:rsidRPr="00AB7E2E">
                <w:rPr>
                  <w:rStyle w:val="Hyperlink"/>
                  <w:sz w:val="20"/>
                </w:rPr>
                <w:t>ntrevenue@nt.gov.au</w:t>
              </w:r>
            </w:hyperlink>
          </w:p>
        </w:tc>
        <w:tc>
          <w:tcPr>
            <w:tcW w:w="4927" w:type="dxa"/>
          </w:tcPr>
          <w:p w:rsidR="006034B6" w:rsidRPr="00383986" w:rsidRDefault="006034B6" w:rsidP="006034B6">
            <w:pPr>
              <w:rPr>
                <w:sz w:val="20"/>
              </w:rPr>
            </w:pPr>
            <w:r w:rsidRPr="00383986">
              <w:rPr>
                <w:sz w:val="20"/>
              </w:rPr>
              <w:t>Phone: 1300 305 353</w:t>
            </w:r>
          </w:p>
          <w:p w:rsidR="006034B6" w:rsidRPr="00383986" w:rsidRDefault="006034B6" w:rsidP="006034B6">
            <w:pPr>
              <w:rPr>
                <w:sz w:val="20"/>
              </w:rPr>
            </w:pPr>
            <w:r w:rsidRPr="00383986">
              <w:rPr>
                <w:sz w:val="20"/>
              </w:rPr>
              <w:t xml:space="preserve">Website: </w:t>
            </w:r>
            <w:hyperlink r:id="rId14" w:history="1">
              <w:r w:rsidRPr="00383986">
                <w:rPr>
                  <w:rStyle w:val="Hyperlink"/>
                  <w:sz w:val="20"/>
                </w:rPr>
                <w:t>www.revenue.nt.gov.au</w:t>
              </w:r>
            </w:hyperlink>
          </w:p>
        </w:tc>
      </w:tr>
    </w:tbl>
    <w:p w:rsidR="006034B6" w:rsidRPr="00AB7E2E" w:rsidRDefault="006034B6" w:rsidP="00364D5F">
      <w:pPr>
        <w:tabs>
          <w:tab w:val="left" w:pos="3090"/>
        </w:tabs>
        <w:rPr>
          <w:sz w:val="2"/>
          <w:szCs w:val="2"/>
        </w:rPr>
      </w:pPr>
    </w:p>
    <w:sectPr w:rsidR="006034B6" w:rsidRPr="00AB7E2E" w:rsidSect="00F65356">
      <w:headerReference w:type="even" r:id="rId15"/>
      <w:headerReference w:type="default" r:id="rId16"/>
      <w:footerReference w:type="default" r:id="rId17"/>
      <w:headerReference w:type="first" r:id="rId18"/>
      <w:footerReference w:type="first" r:id="rId19"/>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8AA" w:rsidRDefault="00B638AA">
      <w:r>
        <w:separator/>
      </w:r>
    </w:p>
  </w:endnote>
  <w:endnote w:type="continuationSeparator" w:id="0">
    <w:p w:rsidR="00B638AA" w:rsidRDefault="00B6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BDD" w:rsidRDefault="00610BDD" w:rsidP="00364D5F">
    <w:pPr>
      <w:pStyle w:val="Footer"/>
      <w:tabs>
        <w:tab w:val="clear" w:pos="4153"/>
        <w:tab w:val="clear" w:pos="8306"/>
        <w:tab w:val="right" w:pos="9720"/>
      </w:tabs>
      <w:rPr>
        <w:sz w:val="16"/>
        <w:szCs w:val="16"/>
      </w:rPr>
    </w:pPr>
  </w:p>
  <w:p w:rsidR="00610BDD" w:rsidRPr="00364D5F" w:rsidRDefault="00610BDD"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681441">
      <w:rPr>
        <w:noProof/>
        <w:sz w:val="16"/>
        <w:szCs w:val="16"/>
      </w:rPr>
      <w:t>2</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681441">
      <w:rPr>
        <w:noProof/>
        <w:sz w:val="16"/>
        <w:szCs w:val="16"/>
      </w:rPr>
      <w:t>3</w:t>
    </w:r>
    <w:r w:rsidRPr="006034B6">
      <w:rPr>
        <w:sz w:val="16"/>
        <w:szCs w:val="16"/>
      </w:rPr>
      <w:fldChar w:fldCharType="end"/>
    </w:r>
    <w:r>
      <w:rPr>
        <w:sz w:val="16"/>
        <w:szCs w:val="16"/>
      </w:rPr>
      <w:tab/>
      <w:t>CG-SD-005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BDD" w:rsidRDefault="00610BDD" w:rsidP="00364D5F">
    <w:pPr>
      <w:pStyle w:val="Footer"/>
      <w:tabs>
        <w:tab w:val="clear" w:pos="4153"/>
        <w:tab w:val="clear" w:pos="8306"/>
        <w:tab w:val="right" w:pos="9720"/>
      </w:tabs>
      <w:rPr>
        <w:sz w:val="16"/>
        <w:szCs w:val="16"/>
      </w:rPr>
    </w:pPr>
  </w:p>
  <w:p w:rsidR="00610BDD" w:rsidRPr="006034B6" w:rsidRDefault="00610BDD"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681441">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681441">
      <w:rPr>
        <w:noProof/>
        <w:sz w:val="16"/>
        <w:szCs w:val="16"/>
      </w:rPr>
      <w:t>3</w:t>
    </w:r>
    <w:r w:rsidRPr="006034B6">
      <w:rPr>
        <w:sz w:val="16"/>
        <w:szCs w:val="16"/>
      </w:rPr>
      <w:fldChar w:fldCharType="end"/>
    </w:r>
    <w:r>
      <w:rPr>
        <w:sz w:val="16"/>
        <w:szCs w:val="16"/>
      </w:rPr>
      <w:tab/>
      <w:t>CG-SD-005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8AA" w:rsidRDefault="00B638AA">
      <w:r>
        <w:separator/>
      </w:r>
    </w:p>
  </w:footnote>
  <w:footnote w:type="continuationSeparator" w:id="0">
    <w:p w:rsidR="00B638AA" w:rsidRDefault="00B638AA">
      <w:r>
        <w:continuationSeparator/>
      </w:r>
    </w:p>
  </w:footnote>
  <w:footnote w:id="1">
    <w:p w:rsidR="00610BDD" w:rsidRPr="00465BD8" w:rsidRDefault="00610BDD" w:rsidP="00BD1ACB">
      <w:pPr>
        <w:pStyle w:val="FootnoteText"/>
        <w:rPr>
          <w:rFonts w:ascii="Arial" w:hAnsi="Arial" w:cs="Arial"/>
          <w:sz w:val="18"/>
          <w:szCs w:val="18"/>
        </w:rPr>
      </w:pPr>
      <w:r w:rsidRPr="00465BD8">
        <w:rPr>
          <w:rStyle w:val="FootnoteReference"/>
          <w:sz w:val="18"/>
          <w:szCs w:val="18"/>
        </w:rPr>
        <w:footnoteRef/>
      </w:r>
      <w:r>
        <w:rPr>
          <w:rFonts w:ascii="Arial" w:hAnsi="Arial" w:cs="Arial"/>
          <w:sz w:val="18"/>
          <w:szCs w:val="18"/>
        </w:rPr>
        <w:t xml:space="preserve"> Section 56BC(1) of the SDA.</w:t>
      </w:r>
    </w:p>
  </w:footnote>
  <w:footnote w:id="2">
    <w:p w:rsidR="00610BDD" w:rsidRPr="00465BD8" w:rsidRDefault="00610BDD" w:rsidP="00BD1ACB">
      <w:pPr>
        <w:pStyle w:val="FootnoteText"/>
        <w:rPr>
          <w:rFonts w:ascii="Arial" w:hAnsi="Arial" w:cs="Arial"/>
          <w:sz w:val="18"/>
          <w:szCs w:val="18"/>
        </w:rPr>
      </w:pPr>
      <w:r w:rsidRPr="00465BD8">
        <w:rPr>
          <w:rStyle w:val="FootnoteReference"/>
          <w:sz w:val="18"/>
          <w:szCs w:val="18"/>
        </w:rPr>
        <w:footnoteRef/>
      </w:r>
      <w:r>
        <w:rPr>
          <w:rFonts w:ascii="Arial" w:hAnsi="Arial" w:cs="Arial"/>
          <w:sz w:val="18"/>
          <w:szCs w:val="18"/>
        </w:rPr>
        <w:t xml:space="preserve"> Section 56BC(3) of the SDA.</w:t>
      </w:r>
    </w:p>
  </w:footnote>
  <w:footnote w:id="3">
    <w:p w:rsidR="00610BDD" w:rsidRDefault="00610BDD" w:rsidP="00BD1ACB">
      <w:pPr>
        <w:pStyle w:val="FootnoteText"/>
      </w:pPr>
      <w:r w:rsidRPr="00465BD8">
        <w:rPr>
          <w:rStyle w:val="FootnoteReference"/>
          <w:sz w:val="18"/>
          <w:szCs w:val="18"/>
        </w:rPr>
        <w:footnoteRef/>
      </w:r>
      <w:r>
        <w:rPr>
          <w:rFonts w:ascii="Arial" w:hAnsi="Arial" w:cs="Arial"/>
          <w:sz w:val="18"/>
          <w:szCs w:val="18"/>
        </w:rPr>
        <w:t xml:space="preserve"> Section 56BC(2) of the SDA.</w:t>
      </w:r>
    </w:p>
  </w:footnote>
  <w:footnote w:id="4">
    <w:p w:rsidR="00610BDD" w:rsidRPr="00465BD8" w:rsidRDefault="00610BDD" w:rsidP="00BD1ACB">
      <w:pPr>
        <w:pStyle w:val="FootnoteText"/>
        <w:rPr>
          <w:rFonts w:ascii="Arial" w:hAnsi="Arial" w:cs="Arial"/>
          <w:sz w:val="18"/>
          <w:szCs w:val="18"/>
        </w:rPr>
      </w:pPr>
      <w:r w:rsidRPr="00465BD8">
        <w:rPr>
          <w:rStyle w:val="FootnoteReference"/>
          <w:sz w:val="18"/>
          <w:szCs w:val="18"/>
        </w:rPr>
        <w:footnoteRef/>
      </w:r>
      <w:r w:rsidRPr="00465BD8">
        <w:rPr>
          <w:rFonts w:ascii="Arial" w:hAnsi="Arial" w:cs="Arial"/>
          <w:sz w:val="18"/>
          <w:szCs w:val="18"/>
        </w:rPr>
        <w:t xml:space="preserve"> Section 56BC(4) o</w:t>
      </w:r>
      <w:r>
        <w:rPr>
          <w:rFonts w:ascii="Arial" w:hAnsi="Arial" w:cs="Arial"/>
          <w:sz w:val="18"/>
          <w:szCs w:val="18"/>
        </w:rPr>
        <w:t>f the SDA</w:t>
      </w:r>
      <w:r w:rsidRPr="00465BD8">
        <w:rPr>
          <w:rFonts w:ascii="Arial" w:hAnsi="Arial" w:cs="Arial"/>
          <w:sz w:val="18"/>
          <w:szCs w:val="18"/>
        </w:rPr>
        <w:t>.</w:t>
      </w:r>
    </w:p>
  </w:footnote>
  <w:footnote w:id="5">
    <w:p w:rsidR="00610BDD" w:rsidRPr="00465BD8" w:rsidRDefault="00610BDD" w:rsidP="00BD1ACB">
      <w:pPr>
        <w:pStyle w:val="FootnoteText"/>
        <w:rPr>
          <w:rFonts w:ascii="Arial" w:hAnsi="Arial" w:cs="Arial"/>
          <w:sz w:val="18"/>
          <w:szCs w:val="18"/>
        </w:rPr>
      </w:pPr>
      <w:r w:rsidRPr="00465BD8">
        <w:rPr>
          <w:rStyle w:val="FootnoteReference"/>
          <w:sz w:val="18"/>
          <w:szCs w:val="18"/>
        </w:rPr>
        <w:footnoteRef/>
      </w:r>
      <w:r>
        <w:rPr>
          <w:rFonts w:ascii="Arial" w:hAnsi="Arial" w:cs="Arial"/>
          <w:sz w:val="18"/>
          <w:szCs w:val="18"/>
        </w:rPr>
        <w:t xml:space="preserve"> Section 56BC(5) of the SDA.</w:t>
      </w:r>
    </w:p>
  </w:footnote>
  <w:footnote w:id="6">
    <w:p w:rsidR="00610BDD" w:rsidRDefault="00610BDD" w:rsidP="00BD1ACB">
      <w:pPr>
        <w:pStyle w:val="FootnoteText"/>
      </w:pPr>
      <w:r w:rsidRPr="00465BD8">
        <w:rPr>
          <w:rStyle w:val="FootnoteReference"/>
          <w:sz w:val="18"/>
          <w:szCs w:val="18"/>
        </w:rPr>
        <w:footnoteRef/>
      </w:r>
      <w:r>
        <w:rPr>
          <w:rFonts w:ascii="Arial" w:hAnsi="Arial" w:cs="Arial"/>
          <w:sz w:val="18"/>
          <w:szCs w:val="18"/>
        </w:rPr>
        <w:t xml:space="preserve"> Section 56BC(6) of the SDA.</w:t>
      </w:r>
    </w:p>
  </w:footnote>
  <w:footnote w:id="7">
    <w:p w:rsidR="00610BDD" w:rsidRPr="00465BD8" w:rsidRDefault="00610BDD" w:rsidP="00BD1ACB">
      <w:pPr>
        <w:pStyle w:val="FootnoteText"/>
        <w:rPr>
          <w:rFonts w:ascii="Arial" w:hAnsi="Arial" w:cs="Arial"/>
          <w:sz w:val="18"/>
          <w:szCs w:val="18"/>
        </w:rPr>
      </w:pPr>
      <w:r w:rsidRPr="00465BD8">
        <w:rPr>
          <w:rStyle w:val="FootnoteReference"/>
          <w:sz w:val="18"/>
          <w:szCs w:val="18"/>
        </w:rPr>
        <w:footnoteRef/>
      </w:r>
      <w:r>
        <w:rPr>
          <w:rFonts w:ascii="Arial" w:hAnsi="Arial" w:cs="Arial"/>
          <w:sz w:val="18"/>
          <w:szCs w:val="18"/>
        </w:rPr>
        <w:t xml:space="preserve"> Section 56BC(7) of the SDA.</w:t>
      </w:r>
    </w:p>
  </w:footnote>
  <w:footnote w:id="8">
    <w:p w:rsidR="00610BDD" w:rsidRPr="00465BD8" w:rsidRDefault="00610BDD" w:rsidP="00BD1ACB">
      <w:pPr>
        <w:pStyle w:val="FootnoteText"/>
        <w:rPr>
          <w:rFonts w:ascii="Arial" w:hAnsi="Arial" w:cs="Arial"/>
          <w:sz w:val="18"/>
          <w:szCs w:val="18"/>
        </w:rPr>
      </w:pPr>
      <w:r w:rsidRPr="00465BD8">
        <w:rPr>
          <w:rStyle w:val="FootnoteReference"/>
          <w:sz w:val="18"/>
          <w:szCs w:val="18"/>
        </w:rPr>
        <w:footnoteRef/>
      </w:r>
      <w:r>
        <w:rPr>
          <w:rFonts w:ascii="Arial" w:hAnsi="Arial" w:cs="Arial"/>
          <w:sz w:val="18"/>
          <w:szCs w:val="18"/>
        </w:rPr>
        <w:t xml:space="preserve"> Section 4B of the SDA.</w:t>
      </w:r>
    </w:p>
  </w:footnote>
  <w:footnote w:id="9">
    <w:p w:rsidR="00610BDD" w:rsidRPr="00465BD8" w:rsidRDefault="00610BDD" w:rsidP="00BD1ACB">
      <w:pPr>
        <w:pStyle w:val="FootnoteText"/>
        <w:rPr>
          <w:rFonts w:ascii="Arial" w:hAnsi="Arial" w:cs="Arial"/>
          <w:sz w:val="18"/>
          <w:szCs w:val="18"/>
        </w:rPr>
      </w:pPr>
      <w:r w:rsidRPr="00465BD8">
        <w:rPr>
          <w:rStyle w:val="FootnoteReference"/>
          <w:sz w:val="18"/>
          <w:szCs w:val="18"/>
        </w:rPr>
        <w:footnoteRef/>
      </w:r>
      <w:r w:rsidRPr="00465BD8">
        <w:rPr>
          <w:rFonts w:ascii="Arial" w:hAnsi="Arial" w:cs="Arial"/>
          <w:sz w:val="18"/>
          <w:szCs w:val="18"/>
        </w:rPr>
        <w:t xml:space="preserve"> S</w:t>
      </w:r>
      <w:r>
        <w:rPr>
          <w:rFonts w:ascii="Arial" w:hAnsi="Arial" w:cs="Arial"/>
          <w:sz w:val="18"/>
          <w:szCs w:val="18"/>
        </w:rPr>
        <w:t>ections 56BD(1) - (4) of the SDA</w:t>
      </w:r>
      <w:r w:rsidRPr="00465BD8">
        <w:rPr>
          <w:rFonts w:ascii="Arial" w:hAnsi="Arial" w:cs="Arial"/>
          <w:sz w:val="18"/>
          <w:szCs w:val="18"/>
        </w:rPr>
        <w:t>.</w:t>
      </w:r>
    </w:p>
  </w:footnote>
  <w:footnote w:id="10">
    <w:p w:rsidR="00610BDD" w:rsidRDefault="00610BDD" w:rsidP="00BD1ACB">
      <w:pPr>
        <w:pStyle w:val="FootnoteText"/>
      </w:pPr>
      <w:r w:rsidRPr="00465BD8">
        <w:rPr>
          <w:rStyle w:val="FootnoteReference"/>
          <w:sz w:val="18"/>
          <w:szCs w:val="18"/>
        </w:rPr>
        <w:footnoteRef/>
      </w:r>
      <w:r>
        <w:rPr>
          <w:rFonts w:ascii="Arial" w:hAnsi="Arial" w:cs="Arial"/>
          <w:sz w:val="18"/>
          <w:szCs w:val="18"/>
        </w:rPr>
        <w:t xml:space="preserve"> Section 56BD(5) of the SDA.</w:t>
      </w:r>
    </w:p>
  </w:footnote>
  <w:footnote w:id="11">
    <w:p w:rsidR="00610BDD" w:rsidRPr="00465BD8" w:rsidRDefault="00610BDD" w:rsidP="00BD1ACB">
      <w:pPr>
        <w:pStyle w:val="FootnoteText"/>
        <w:rPr>
          <w:rFonts w:ascii="Arial" w:hAnsi="Arial" w:cs="Arial"/>
          <w:sz w:val="18"/>
          <w:szCs w:val="18"/>
        </w:rPr>
      </w:pPr>
      <w:r w:rsidRPr="00465BD8">
        <w:rPr>
          <w:rStyle w:val="FootnoteReference"/>
          <w:sz w:val="18"/>
          <w:szCs w:val="18"/>
        </w:rPr>
        <w:footnoteRef/>
      </w:r>
      <w:r>
        <w:rPr>
          <w:rFonts w:ascii="Arial" w:hAnsi="Arial" w:cs="Arial"/>
          <w:sz w:val="18"/>
          <w:szCs w:val="18"/>
        </w:rPr>
        <w:t xml:space="preserve"> Section 56BE(2) of the SDA.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BDD" w:rsidRDefault="00610BDD"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0BDD" w:rsidRDefault="00610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BDD" w:rsidRPr="003765CD" w:rsidRDefault="00610BDD"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BDD" w:rsidRDefault="004C79E7" w:rsidP="0019571B">
    <w:pPr>
      <w:pStyle w:val="NTTHeaderInfo"/>
      <w:rPr>
        <w:b/>
        <w:noProof/>
      </w:rPr>
    </w:pPr>
    <w:r>
      <w:rPr>
        <w:noProof/>
      </w:rPr>
      <w:drawing>
        <wp:anchor distT="0" distB="0" distL="114300" distR="114300" simplePos="0" relativeHeight="251657728" behindDoc="1" locked="0" layoutInCell="1" allowOverlap="1">
          <wp:simplePos x="0" y="0"/>
          <wp:positionH relativeFrom="column">
            <wp:posOffset>-453390</wp:posOffset>
          </wp:positionH>
          <wp:positionV relativeFrom="paragraph">
            <wp:posOffset>-121920</wp:posOffset>
          </wp:positionV>
          <wp:extent cx="7032625" cy="876300"/>
          <wp:effectExtent l="0" t="0" r="0" b="0"/>
          <wp:wrapThrough wrapText="bothSides">
            <wp:wrapPolygon edited="0">
              <wp:start x="0" y="0"/>
              <wp:lineTo x="0" y="21130"/>
              <wp:lineTo x="21532" y="21130"/>
              <wp:lineTo x="21532" y="0"/>
              <wp:lineTo x="0" y="0"/>
            </wp:wrapPolygon>
          </wp:wrapThrough>
          <wp:docPr id="5" name="Picture 5" descr="D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262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0BDD" w:rsidRDefault="00610BDD" w:rsidP="0019571B">
    <w:pPr>
      <w:pStyle w:val="NTTHeaderInfo"/>
      <w:rPr>
        <w:b/>
        <w:noProof/>
      </w:rPr>
    </w:pPr>
  </w:p>
  <w:p w:rsidR="00610BDD" w:rsidRDefault="00610BDD" w:rsidP="0019571B">
    <w:pPr>
      <w:pStyle w:val="NTTHeaderInfo"/>
      <w:rPr>
        <w:b/>
        <w:noProof/>
      </w:rPr>
    </w:pPr>
  </w:p>
  <w:p w:rsidR="00610BDD" w:rsidRDefault="00610BDD">
    <w:pPr>
      <w:pStyle w:val="Header"/>
    </w:pPr>
  </w:p>
  <w:p w:rsidR="00610BDD" w:rsidRDefault="00610BDD">
    <w:pPr>
      <w:pStyle w:val="Header"/>
    </w:pPr>
  </w:p>
  <w:p w:rsidR="00610BDD" w:rsidRDefault="00610BDD">
    <w:pPr>
      <w:pStyle w:val="Header"/>
    </w:pPr>
  </w:p>
  <w:p w:rsidR="00610BDD" w:rsidRDefault="00610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14B36B9"/>
    <w:multiLevelType w:val="hybridMultilevel"/>
    <w:tmpl w:val="4498DE70"/>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593059"/>
    <w:multiLevelType w:val="multilevel"/>
    <w:tmpl w:val="88F6EEB2"/>
    <w:numStyleLink w:val="Text"/>
  </w:abstractNum>
  <w:abstractNum w:abstractNumId="4" w15:restartNumberingAfterBreak="0">
    <w:nsid w:val="0FC94AA2"/>
    <w:multiLevelType w:val="singleLevel"/>
    <w:tmpl w:val="25184BCA"/>
    <w:lvl w:ilvl="0">
      <w:start w:val="1"/>
      <w:numFmt w:val="decimal"/>
      <w:lvlText w:val="(%1)"/>
      <w:lvlJc w:val="left"/>
      <w:pPr>
        <w:tabs>
          <w:tab w:val="num" w:pos="375"/>
        </w:tabs>
        <w:ind w:left="375" w:hanging="375"/>
      </w:pPr>
      <w:rPr>
        <w:rFonts w:hint="default"/>
      </w:rPr>
    </w:lvl>
  </w:abstractNum>
  <w:abstractNum w:abstractNumId="5" w15:restartNumberingAfterBreak="0">
    <w:nsid w:val="19452937"/>
    <w:multiLevelType w:val="hybridMultilevel"/>
    <w:tmpl w:val="951A7320"/>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9977614"/>
    <w:multiLevelType w:val="hybridMultilevel"/>
    <w:tmpl w:val="3ABA7DF2"/>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E903CE7"/>
    <w:multiLevelType w:val="multilevel"/>
    <w:tmpl w:val="88F6EEB2"/>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0"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1C7635"/>
    <w:multiLevelType w:val="hybridMultilevel"/>
    <w:tmpl w:val="BA665D2E"/>
    <w:lvl w:ilvl="0" w:tplc="C4966800">
      <w:start w:val="1"/>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9806C66C">
      <w:start w:val="1"/>
      <w:numFmt w:val="lowerRoman"/>
      <w:lvlText w:val="(%3)"/>
      <w:lvlJc w:val="left"/>
      <w:pPr>
        <w:tabs>
          <w:tab w:val="num" w:pos="2774"/>
        </w:tabs>
        <w:ind w:left="2774" w:hanging="794"/>
      </w:pPr>
      <w:rPr>
        <w:rFonts w:hint="default"/>
        <w:b w:val="0"/>
        <w:i w:val="0"/>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6F416BA8"/>
    <w:multiLevelType w:val="hybridMultilevel"/>
    <w:tmpl w:val="9C3C2ACC"/>
    <w:lvl w:ilvl="0" w:tplc="C4966800">
      <w:start w:val="1"/>
      <w:numFmt w:val="decimal"/>
      <w:lvlText w:val="%1)"/>
      <w:lvlJc w:val="left"/>
      <w:pPr>
        <w:tabs>
          <w:tab w:val="num" w:pos="4482"/>
        </w:tabs>
        <w:ind w:left="4482" w:hanging="720"/>
      </w:pPr>
      <w:rPr>
        <w:rFonts w:hint="default"/>
      </w:rPr>
    </w:lvl>
    <w:lvl w:ilvl="1" w:tplc="0C090019" w:tentative="1">
      <w:start w:val="1"/>
      <w:numFmt w:val="lowerLetter"/>
      <w:lvlText w:val="%2."/>
      <w:lvlJc w:val="left"/>
      <w:pPr>
        <w:tabs>
          <w:tab w:val="num" w:pos="4842"/>
        </w:tabs>
        <w:ind w:left="4842" w:hanging="360"/>
      </w:pPr>
    </w:lvl>
    <w:lvl w:ilvl="2" w:tplc="0C09001B" w:tentative="1">
      <w:start w:val="1"/>
      <w:numFmt w:val="lowerRoman"/>
      <w:lvlText w:val="%3."/>
      <w:lvlJc w:val="right"/>
      <w:pPr>
        <w:tabs>
          <w:tab w:val="num" w:pos="5562"/>
        </w:tabs>
        <w:ind w:left="5562" w:hanging="180"/>
      </w:pPr>
    </w:lvl>
    <w:lvl w:ilvl="3" w:tplc="0C09000F" w:tentative="1">
      <w:start w:val="1"/>
      <w:numFmt w:val="decimal"/>
      <w:lvlText w:val="%4."/>
      <w:lvlJc w:val="left"/>
      <w:pPr>
        <w:tabs>
          <w:tab w:val="num" w:pos="6282"/>
        </w:tabs>
        <w:ind w:left="6282" w:hanging="360"/>
      </w:pPr>
    </w:lvl>
    <w:lvl w:ilvl="4" w:tplc="0C090019" w:tentative="1">
      <w:start w:val="1"/>
      <w:numFmt w:val="lowerLetter"/>
      <w:lvlText w:val="%5."/>
      <w:lvlJc w:val="left"/>
      <w:pPr>
        <w:tabs>
          <w:tab w:val="num" w:pos="7002"/>
        </w:tabs>
        <w:ind w:left="7002" w:hanging="360"/>
      </w:pPr>
    </w:lvl>
    <w:lvl w:ilvl="5" w:tplc="0C09001B" w:tentative="1">
      <w:start w:val="1"/>
      <w:numFmt w:val="lowerRoman"/>
      <w:lvlText w:val="%6."/>
      <w:lvlJc w:val="right"/>
      <w:pPr>
        <w:tabs>
          <w:tab w:val="num" w:pos="7722"/>
        </w:tabs>
        <w:ind w:left="7722" w:hanging="180"/>
      </w:pPr>
    </w:lvl>
    <w:lvl w:ilvl="6" w:tplc="0C09000F" w:tentative="1">
      <w:start w:val="1"/>
      <w:numFmt w:val="decimal"/>
      <w:lvlText w:val="%7."/>
      <w:lvlJc w:val="left"/>
      <w:pPr>
        <w:tabs>
          <w:tab w:val="num" w:pos="8442"/>
        </w:tabs>
        <w:ind w:left="8442" w:hanging="360"/>
      </w:pPr>
    </w:lvl>
    <w:lvl w:ilvl="7" w:tplc="0C090019" w:tentative="1">
      <w:start w:val="1"/>
      <w:numFmt w:val="lowerLetter"/>
      <w:lvlText w:val="%8."/>
      <w:lvlJc w:val="left"/>
      <w:pPr>
        <w:tabs>
          <w:tab w:val="num" w:pos="9162"/>
        </w:tabs>
        <w:ind w:left="9162" w:hanging="360"/>
      </w:pPr>
    </w:lvl>
    <w:lvl w:ilvl="8" w:tplc="0C09001B" w:tentative="1">
      <w:start w:val="1"/>
      <w:numFmt w:val="lowerRoman"/>
      <w:lvlText w:val="%9."/>
      <w:lvlJc w:val="right"/>
      <w:pPr>
        <w:tabs>
          <w:tab w:val="num" w:pos="9882"/>
        </w:tabs>
        <w:ind w:left="9882" w:hanging="180"/>
      </w:pPr>
    </w:lvl>
  </w:abstractNum>
  <w:abstractNum w:abstractNumId="13" w15:restartNumberingAfterBreak="0">
    <w:nsid w:val="7294591F"/>
    <w:multiLevelType w:val="multilevel"/>
    <w:tmpl w:val="88F6EEB2"/>
    <w:numStyleLink w:val="Text"/>
  </w:abstractNum>
  <w:num w:numId="1">
    <w:abstractNumId w:val="13"/>
  </w:num>
  <w:num w:numId="2">
    <w:abstractNumId w:val="8"/>
  </w:num>
  <w:num w:numId="3">
    <w:abstractNumId w:val="7"/>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2"/>
  </w:num>
  <w:num w:numId="5">
    <w:abstractNumId w:val="3"/>
  </w:num>
  <w:num w:numId="6">
    <w:abstractNumId w:val="9"/>
  </w:num>
  <w:num w:numId="7">
    <w:abstractNumId w:val="10"/>
  </w:num>
  <w:num w:numId="8">
    <w:abstractNumId w:val="0"/>
  </w:num>
  <w:num w:numId="9">
    <w:abstractNumId w:val="4"/>
  </w:num>
  <w:num w:numId="10">
    <w:abstractNumId w:val="11"/>
  </w:num>
  <w:num w:numId="11">
    <w:abstractNumId w:val="12"/>
  </w:num>
  <w:num w:numId="12">
    <w:abstractNumId w:val="1"/>
  </w:num>
  <w:num w:numId="13">
    <w:abstractNumId w:val="5"/>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0G36gZhvOcgpnL9Y7550DuKHRQT4NrA2q3fjqm4GJGBrjjLE1F6FzsmwXb8iC0aiKwliUDQv89YXLm9k+iRAJQ==" w:salt="BZvC64rsWqYPtchMsxxyr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FD"/>
    <w:rsid w:val="000060BF"/>
    <w:rsid w:val="000064CB"/>
    <w:rsid w:val="000104AB"/>
    <w:rsid w:val="00010EEA"/>
    <w:rsid w:val="0002150C"/>
    <w:rsid w:val="00022413"/>
    <w:rsid w:val="00023645"/>
    <w:rsid w:val="00025614"/>
    <w:rsid w:val="000302C0"/>
    <w:rsid w:val="000333C6"/>
    <w:rsid w:val="000376B2"/>
    <w:rsid w:val="000424F1"/>
    <w:rsid w:val="00042BC9"/>
    <w:rsid w:val="00045CCE"/>
    <w:rsid w:val="00046838"/>
    <w:rsid w:val="0005160E"/>
    <w:rsid w:val="00054E58"/>
    <w:rsid w:val="00055A15"/>
    <w:rsid w:val="00055F6E"/>
    <w:rsid w:val="000567BE"/>
    <w:rsid w:val="0005747B"/>
    <w:rsid w:val="00063A93"/>
    <w:rsid w:val="00063EAC"/>
    <w:rsid w:val="00067AE5"/>
    <w:rsid w:val="00070001"/>
    <w:rsid w:val="000755D7"/>
    <w:rsid w:val="00081963"/>
    <w:rsid w:val="00081984"/>
    <w:rsid w:val="000917B2"/>
    <w:rsid w:val="00094D2B"/>
    <w:rsid w:val="000968BE"/>
    <w:rsid w:val="000A058E"/>
    <w:rsid w:val="000A1789"/>
    <w:rsid w:val="000A57FE"/>
    <w:rsid w:val="000A5BAB"/>
    <w:rsid w:val="000A5FAF"/>
    <w:rsid w:val="000A7ABD"/>
    <w:rsid w:val="000B1FE4"/>
    <w:rsid w:val="000B5401"/>
    <w:rsid w:val="000C0DD5"/>
    <w:rsid w:val="000C2C04"/>
    <w:rsid w:val="000C3AD0"/>
    <w:rsid w:val="000C5DAB"/>
    <w:rsid w:val="000D21B9"/>
    <w:rsid w:val="000D4683"/>
    <w:rsid w:val="000D760C"/>
    <w:rsid w:val="000E26E6"/>
    <w:rsid w:val="000E4D8E"/>
    <w:rsid w:val="000F7515"/>
    <w:rsid w:val="00112237"/>
    <w:rsid w:val="001128A3"/>
    <w:rsid w:val="001171EA"/>
    <w:rsid w:val="00117E21"/>
    <w:rsid w:val="00117F5D"/>
    <w:rsid w:val="00120400"/>
    <w:rsid w:val="0012101B"/>
    <w:rsid w:val="0012610A"/>
    <w:rsid w:val="001271FF"/>
    <w:rsid w:val="0013250A"/>
    <w:rsid w:val="00134634"/>
    <w:rsid w:val="00135C96"/>
    <w:rsid w:val="001364CD"/>
    <w:rsid w:val="001407E2"/>
    <w:rsid w:val="001422DD"/>
    <w:rsid w:val="00145FB8"/>
    <w:rsid w:val="001521B6"/>
    <w:rsid w:val="00153959"/>
    <w:rsid w:val="00153AFD"/>
    <w:rsid w:val="001545F9"/>
    <w:rsid w:val="001579C2"/>
    <w:rsid w:val="00160881"/>
    <w:rsid w:val="0016262C"/>
    <w:rsid w:val="00164258"/>
    <w:rsid w:val="00164A3A"/>
    <w:rsid w:val="00166509"/>
    <w:rsid w:val="00176573"/>
    <w:rsid w:val="0018229E"/>
    <w:rsid w:val="00184056"/>
    <w:rsid w:val="00184984"/>
    <w:rsid w:val="00184B7C"/>
    <w:rsid w:val="00187674"/>
    <w:rsid w:val="00192F6F"/>
    <w:rsid w:val="0019571B"/>
    <w:rsid w:val="00196C1B"/>
    <w:rsid w:val="001971A1"/>
    <w:rsid w:val="0019771F"/>
    <w:rsid w:val="001A6196"/>
    <w:rsid w:val="001B71AE"/>
    <w:rsid w:val="001B7AC7"/>
    <w:rsid w:val="001C422C"/>
    <w:rsid w:val="001C4568"/>
    <w:rsid w:val="001D27E9"/>
    <w:rsid w:val="001D4089"/>
    <w:rsid w:val="001D5A9F"/>
    <w:rsid w:val="001D6742"/>
    <w:rsid w:val="001D69E9"/>
    <w:rsid w:val="001D7DC4"/>
    <w:rsid w:val="001E3578"/>
    <w:rsid w:val="001E6135"/>
    <w:rsid w:val="001F4991"/>
    <w:rsid w:val="001F5273"/>
    <w:rsid w:val="001F60FE"/>
    <w:rsid w:val="001F6B23"/>
    <w:rsid w:val="001F7B6E"/>
    <w:rsid w:val="0020232B"/>
    <w:rsid w:val="00204372"/>
    <w:rsid w:val="002048E7"/>
    <w:rsid w:val="00207E37"/>
    <w:rsid w:val="00210686"/>
    <w:rsid w:val="002115E6"/>
    <w:rsid w:val="00211ADE"/>
    <w:rsid w:val="00215A9D"/>
    <w:rsid w:val="0021684D"/>
    <w:rsid w:val="00220E1E"/>
    <w:rsid w:val="00221114"/>
    <w:rsid w:val="0022361B"/>
    <w:rsid w:val="00224644"/>
    <w:rsid w:val="0022584E"/>
    <w:rsid w:val="002306CE"/>
    <w:rsid w:val="0023083D"/>
    <w:rsid w:val="002374AC"/>
    <w:rsid w:val="00237B7C"/>
    <w:rsid w:val="00242910"/>
    <w:rsid w:val="002440CC"/>
    <w:rsid w:val="0024555A"/>
    <w:rsid w:val="002466CE"/>
    <w:rsid w:val="002524C0"/>
    <w:rsid w:val="002526A8"/>
    <w:rsid w:val="00252EA3"/>
    <w:rsid w:val="0025439F"/>
    <w:rsid w:val="002545A4"/>
    <w:rsid w:val="002546CB"/>
    <w:rsid w:val="002548C6"/>
    <w:rsid w:val="002555DE"/>
    <w:rsid w:val="00271740"/>
    <w:rsid w:val="0027710E"/>
    <w:rsid w:val="002863EF"/>
    <w:rsid w:val="00295BEF"/>
    <w:rsid w:val="00297E74"/>
    <w:rsid w:val="002A03A5"/>
    <w:rsid w:val="002A3775"/>
    <w:rsid w:val="002A5567"/>
    <w:rsid w:val="002A5623"/>
    <w:rsid w:val="002A7D1F"/>
    <w:rsid w:val="002B1738"/>
    <w:rsid w:val="002B1AFD"/>
    <w:rsid w:val="002C0386"/>
    <w:rsid w:val="002C1DA7"/>
    <w:rsid w:val="002C267D"/>
    <w:rsid w:val="002D4686"/>
    <w:rsid w:val="002D6B9D"/>
    <w:rsid w:val="002D7B81"/>
    <w:rsid w:val="002E1CE1"/>
    <w:rsid w:val="002E751D"/>
    <w:rsid w:val="00301586"/>
    <w:rsid w:val="00307F79"/>
    <w:rsid w:val="00311AB6"/>
    <w:rsid w:val="00314B99"/>
    <w:rsid w:val="00314C98"/>
    <w:rsid w:val="00314E75"/>
    <w:rsid w:val="00323FDD"/>
    <w:rsid w:val="00327C11"/>
    <w:rsid w:val="00330CA3"/>
    <w:rsid w:val="0033192D"/>
    <w:rsid w:val="00332D45"/>
    <w:rsid w:val="00340212"/>
    <w:rsid w:val="00343BDF"/>
    <w:rsid w:val="003455BA"/>
    <w:rsid w:val="003458E7"/>
    <w:rsid w:val="00350C52"/>
    <w:rsid w:val="00350DA3"/>
    <w:rsid w:val="0035373D"/>
    <w:rsid w:val="00354185"/>
    <w:rsid w:val="00354627"/>
    <w:rsid w:val="00355A73"/>
    <w:rsid w:val="00355AD3"/>
    <w:rsid w:val="003566B4"/>
    <w:rsid w:val="003627B1"/>
    <w:rsid w:val="0036360A"/>
    <w:rsid w:val="003649F0"/>
    <w:rsid w:val="00364D5F"/>
    <w:rsid w:val="00365875"/>
    <w:rsid w:val="003659AD"/>
    <w:rsid w:val="00371470"/>
    <w:rsid w:val="00371523"/>
    <w:rsid w:val="00371DC6"/>
    <w:rsid w:val="00371E1A"/>
    <w:rsid w:val="003765CD"/>
    <w:rsid w:val="00383986"/>
    <w:rsid w:val="00385103"/>
    <w:rsid w:val="00386424"/>
    <w:rsid w:val="00386D5A"/>
    <w:rsid w:val="0038749B"/>
    <w:rsid w:val="00393DD6"/>
    <w:rsid w:val="00394D70"/>
    <w:rsid w:val="0039737A"/>
    <w:rsid w:val="003A525E"/>
    <w:rsid w:val="003A7455"/>
    <w:rsid w:val="003B21D5"/>
    <w:rsid w:val="003B4A50"/>
    <w:rsid w:val="003B4C4C"/>
    <w:rsid w:val="003B680A"/>
    <w:rsid w:val="003C1073"/>
    <w:rsid w:val="003C6832"/>
    <w:rsid w:val="003D0F41"/>
    <w:rsid w:val="003D26A8"/>
    <w:rsid w:val="003D3D24"/>
    <w:rsid w:val="003D400C"/>
    <w:rsid w:val="003D5245"/>
    <w:rsid w:val="003E23F6"/>
    <w:rsid w:val="003E5274"/>
    <w:rsid w:val="003E62DE"/>
    <w:rsid w:val="003F5E2C"/>
    <w:rsid w:val="003F70DD"/>
    <w:rsid w:val="003F7195"/>
    <w:rsid w:val="003F73D3"/>
    <w:rsid w:val="003F7433"/>
    <w:rsid w:val="003F7BDE"/>
    <w:rsid w:val="00401F0A"/>
    <w:rsid w:val="004050CF"/>
    <w:rsid w:val="0041111B"/>
    <w:rsid w:val="004124F6"/>
    <w:rsid w:val="00412F76"/>
    <w:rsid w:val="004130A1"/>
    <w:rsid w:val="0041454C"/>
    <w:rsid w:val="004154A9"/>
    <w:rsid w:val="0041637D"/>
    <w:rsid w:val="0041795D"/>
    <w:rsid w:val="00424DCE"/>
    <w:rsid w:val="004302A2"/>
    <w:rsid w:val="00430725"/>
    <w:rsid w:val="00431E0A"/>
    <w:rsid w:val="00432945"/>
    <w:rsid w:val="00434F1E"/>
    <w:rsid w:val="004362E6"/>
    <w:rsid w:val="004379E6"/>
    <w:rsid w:val="004407DC"/>
    <w:rsid w:val="0045415A"/>
    <w:rsid w:val="0045697A"/>
    <w:rsid w:val="00456CDA"/>
    <w:rsid w:val="004572A6"/>
    <w:rsid w:val="00461243"/>
    <w:rsid w:val="00463743"/>
    <w:rsid w:val="004646F7"/>
    <w:rsid w:val="00465AB2"/>
    <w:rsid w:val="00466FB5"/>
    <w:rsid w:val="00470036"/>
    <w:rsid w:val="004707BC"/>
    <w:rsid w:val="004726D4"/>
    <w:rsid w:val="00473F14"/>
    <w:rsid w:val="004742EA"/>
    <w:rsid w:val="004743B6"/>
    <w:rsid w:val="00474B80"/>
    <w:rsid w:val="00476314"/>
    <w:rsid w:val="00481F7B"/>
    <w:rsid w:val="00482184"/>
    <w:rsid w:val="00482C30"/>
    <w:rsid w:val="00490396"/>
    <w:rsid w:val="0049040E"/>
    <w:rsid w:val="004909A0"/>
    <w:rsid w:val="00492379"/>
    <w:rsid w:val="004941E5"/>
    <w:rsid w:val="00494D6F"/>
    <w:rsid w:val="004A5CE6"/>
    <w:rsid w:val="004A60E1"/>
    <w:rsid w:val="004B003D"/>
    <w:rsid w:val="004B39EB"/>
    <w:rsid w:val="004B4B9D"/>
    <w:rsid w:val="004C0D46"/>
    <w:rsid w:val="004C12DE"/>
    <w:rsid w:val="004C5782"/>
    <w:rsid w:val="004C5891"/>
    <w:rsid w:val="004C6027"/>
    <w:rsid w:val="004C79E7"/>
    <w:rsid w:val="004D04AA"/>
    <w:rsid w:val="004D3B44"/>
    <w:rsid w:val="004E09CA"/>
    <w:rsid w:val="004E391B"/>
    <w:rsid w:val="004E502F"/>
    <w:rsid w:val="004E5F24"/>
    <w:rsid w:val="004E69E8"/>
    <w:rsid w:val="004F103E"/>
    <w:rsid w:val="00500BE6"/>
    <w:rsid w:val="0050534D"/>
    <w:rsid w:val="0051194C"/>
    <w:rsid w:val="00513926"/>
    <w:rsid w:val="00516D27"/>
    <w:rsid w:val="00517382"/>
    <w:rsid w:val="005205CA"/>
    <w:rsid w:val="00520F76"/>
    <w:rsid w:val="00522191"/>
    <w:rsid w:val="00525881"/>
    <w:rsid w:val="0052614B"/>
    <w:rsid w:val="0052675D"/>
    <w:rsid w:val="00526B7A"/>
    <w:rsid w:val="00530165"/>
    <w:rsid w:val="005302CE"/>
    <w:rsid w:val="00532754"/>
    <w:rsid w:val="00536F37"/>
    <w:rsid w:val="00537837"/>
    <w:rsid w:val="005400EA"/>
    <w:rsid w:val="005419BC"/>
    <w:rsid w:val="005428F8"/>
    <w:rsid w:val="00542966"/>
    <w:rsid w:val="00545D20"/>
    <w:rsid w:val="005475C0"/>
    <w:rsid w:val="00547681"/>
    <w:rsid w:val="00551CBC"/>
    <w:rsid w:val="00555249"/>
    <w:rsid w:val="0056224B"/>
    <w:rsid w:val="005628C3"/>
    <w:rsid w:val="00566890"/>
    <w:rsid w:val="005707AB"/>
    <w:rsid w:val="00572867"/>
    <w:rsid w:val="00573A16"/>
    <w:rsid w:val="0058140E"/>
    <w:rsid w:val="00581D64"/>
    <w:rsid w:val="00582D7B"/>
    <w:rsid w:val="005855C5"/>
    <w:rsid w:val="0058646E"/>
    <w:rsid w:val="00587446"/>
    <w:rsid w:val="00596353"/>
    <w:rsid w:val="00596B7E"/>
    <w:rsid w:val="005A0101"/>
    <w:rsid w:val="005A6A98"/>
    <w:rsid w:val="005A6EAB"/>
    <w:rsid w:val="005B03D6"/>
    <w:rsid w:val="005B3B6D"/>
    <w:rsid w:val="005B419B"/>
    <w:rsid w:val="005B43D5"/>
    <w:rsid w:val="005B4B9A"/>
    <w:rsid w:val="005B5511"/>
    <w:rsid w:val="005D0992"/>
    <w:rsid w:val="005D4468"/>
    <w:rsid w:val="005D54FC"/>
    <w:rsid w:val="005E5A0B"/>
    <w:rsid w:val="005E722D"/>
    <w:rsid w:val="005F0CAA"/>
    <w:rsid w:val="005F1765"/>
    <w:rsid w:val="005F21D9"/>
    <w:rsid w:val="006023B8"/>
    <w:rsid w:val="0060284F"/>
    <w:rsid w:val="006034B6"/>
    <w:rsid w:val="00605813"/>
    <w:rsid w:val="00605CAB"/>
    <w:rsid w:val="006102F8"/>
    <w:rsid w:val="00610BDD"/>
    <w:rsid w:val="00612FBB"/>
    <w:rsid w:val="0061625F"/>
    <w:rsid w:val="0062169B"/>
    <w:rsid w:val="006226DC"/>
    <w:rsid w:val="00623756"/>
    <w:rsid w:val="00624CDA"/>
    <w:rsid w:val="00626B28"/>
    <w:rsid w:val="00630FFB"/>
    <w:rsid w:val="00632A1A"/>
    <w:rsid w:val="00634CF3"/>
    <w:rsid w:val="00635C62"/>
    <w:rsid w:val="00635F78"/>
    <w:rsid w:val="00645230"/>
    <w:rsid w:val="00645F0D"/>
    <w:rsid w:val="006501B7"/>
    <w:rsid w:val="00654280"/>
    <w:rsid w:val="006552F7"/>
    <w:rsid w:val="006575EA"/>
    <w:rsid w:val="0066709F"/>
    <w:rsid w:val="00681441"/>
    <w:rsid w:val="006831AE"/>
    <w:rsid w:val="0069461E"/>
    <w:rsid w:val="006A21A5"/>
    <w:rsid w:val="006A23B6"/>
    <w:rsid w:val="006A30C4"/>
    <w:rsid w:val="006A356D"/>
    <w:rsid w:val="006B002A"/>
    <w:rsid w:val="006B0776"/>
    <w:rsid w:val="006B19DB"/>
    <w:rsid w:val="006B3D13"/>
    <w:rsid w:val="006B455C"/>
    <w:rsid w:val="006B605D"/>
    <w:rsid w:val="006B7698"/>
    <w:rsid w:val="006C05D0"/>
    <w:rsid w:val="006C1229"/>
    <w:rsid w:val="006C12B1"/>
    <w:rsid w:val="006C360A"/>
    <w:rsid w:val="006D0C05"/>
    <w:rsid w:val="006D19A1"/>
    <w:rsid w:val="006D34E1"/>
    <w:rsid w:val="006D7D4A"/>
    <w:rsid w:val="006E03DB"/>
    <w:rsid w:val="006E0735"/>
    <w:rsid w:val="006E32F6"/>
    <w:rsid w:val="006E3A88"/>
    <w:rsid w:val="006E3FC6"/>
    <w:rsid w:val="006E79AA"/>
    <w:rsid w:val="006F1AB6"/>
    <w:rsid w:val="006F56AA"/>
    <w:rsid w:val="006F5C85"/>
    <w:rsid w:val="00700C9F"/>
    <w:rsid w:val="00703666"/>
    <w:rsid w:val="0070603B"/>
    <w:rsid w:val="00706F00"/>
    <w:rsid w:val="00713E0D"/>
    <w:rsid w:val="00720153"/>
    <w:rsid w:val="00724967"/>
    <w:rsid w:val="00731530"/>
    <w:rsid w:val="00736DB7"/>
    <w:rsid w:val="0074419C"/>
    <w:rsid w:val="007445E4"/>
    <w:rsid w:val="007501B1"/>
    <w:rsid w:val="0075176D"/>
    <w:rsid w:val="0075179B"/>
    <w:rsid w:val="007553B7"/>
    <w:rsid w:val="00755BFC"/>
    <w:rsid w:val="007572CE"/>
    <w:rsid w:val="00757465"/>
    <w:rsid w:val="00761932"/>
    <w:rsid w:val="00762067"/>
    <w:rsid w:val="00762918"/>
    <w:rsid w:val="00762969"/>
    <w:rsid w:val="00763A20"/>
    <w:rsid w:val="00767E45"/>
    <w:rsid w:val="007719DE"/>
    <w:rsid w:val="007735E7"/>
    <w:rsid w:val="00773B36"/>
    <w:rsid w:val="00777491"/>
    <w:rsid w:val="00780551"/>
    <w:rsid w:val="00780F8C"/>
    <w:rsid w:val="007817A1"/>
    <w:rsid w:val="007829AE"/>
    <w:rsid w:val="00784A94"/>
    <w:rsid w:val="00787076"/>
    <w:rsid w:val="00791ACA"/>
    <w:rsid w:val="00797A22"/>
    <w:rsid w:val="007A07E8"/>
    <w:rsid w:val="007A442B"/>
    <w:rsid w:val="007A553D"/>
    <w:rsid w:val="007B1307"/>
    <w:rsid w:val="007B51DD"/>
    <w:rsid w:val="007B7CC0"/>
    <w:rsid w:val="007C0E96"/>
    <w:rsid w:val="007C1D40"/>
    <w:rsid w:val="007C4B87"/>
    <w:rsid w:val="007C62CA"/>
    <w:rsid w:val="007C71F4"/>
    <w:rsid w:val="007D290F"/>
    <w:rsid w:val="007D34CA"/>
    <w:rsid w:val="007D40A4"/>
    <w:rsid w:val="007D4D03"/>
    <w:rsid w:val="007D7071"/>
    <w:rsid w:val="007E4470"/>
    <w:rsid w:val="007E6321"/>
    <w:rsid w:val="007E6726"/>
    <w:rsid w:val="007F0790"/>
    <w:rsid w:val="007F10F3"/>
    <w:rsid w:val="007F237E"/>
    <w:rsid w:val="007F23CE"/>
    <w:rsid w:val="007F3D47"/>
    <w:rsid w:val="007F458D"/>
    <w:rsid w:val="007F5FDB"/>
    <w:rsid w:val="007F658A"/>
    <w:rsid w:val="007F78D8"/>
    <w:rsid w:val="008049A2"/>
    <w:rsid w:val="00807DD2"/>
    <w:rsid w:val="0081131C"/>
    <w:rsid w:val="00821BA6"/>
    <w:rsid w:val="00824BAA"/>
    <w:rsid w:val="00824DF7"/>
    <w:rsid w:val="00827A50"/>
    <w:rsid w:val="008323D0"/>
    <w:rsid w:val="00832DC1"/>
    <w:rsid w:val="008379B4"/>
    <w:rsid w:val="0084462A"/>
    <w:rsid w:val="00846D8C"/>
    <w:rsid w:val="00850308"/>
    <w:rsid w:val="008525BF"/>
    <w:rsid w:val="00854345"/>
    <w:rsid w:val="00855DA8"/>
    <w:rsid w:val="008618DE"/>
    <w:rsid w:val="008642D5"/>
    <w:rsid w:val="00864645"/>
    <w:rsid w:val="00865384"/>
    <w:rsid w:val="00866773"/>
    <w:rsid w:val="00874692"/>
    <w:rsid w:val="00875635"/>
    <w:rsid w:val="00880CC9"/>
    <w:rsid w:val="0088327C"/>
    <w:rsid w:val="0088762D"/>
    <w:rsid w:val="008877ED"/>
    <w:rsid w:val="00890996"/>
    <w:rsid w:val="00890DB6"/>
    <w:rsid w:val="008933D8"/>
    <w:rsid w:val="008A0085"/>
    <w:rsid w:val="008A0833"/>
    <w:rsid w:val="008A0912"/>
    <w:rsid w:val="008A0DC2"/>
    <w:rsid w:val="008A3E60"/>
    <w:rsid w:val="008A43A5"/>
    <w:rsid w:val="008A7265"/>
    <w:rsid w:val="008B23E9"/>
    <w:rsid w:val="008B3039"/>
    <w:rsid w:val="008C0559"/>
    <w:rsid w:val="008C1207"/>
    <w:rsid w:val="008C3763"/>
    <w:rsid w:val="008D038F"/>
    <w:rsid w:val="008D0BA9"/>
    <w:rsid w:val="008D2392"/>
    <w:rsid w:val="008D5BB0"/>
    <w:rsid w:val="008D7117"/>
    <w:rsid w:val="008E1DC7"/>
    <w:rsid w:val="008E5AC0"/>
    <w:rsid w:val="008E6244"/>
    <w:rsid w:val="008F0683"/>
    <w:rsid w:val="008F0F4E"/>
    <w:rsid w:val="008F2A38"/>
    <w:rsid w:val="008F3E64"/>
    <w:rsid w:val="008F5DAC"/>
    <w:rsid w:val="008F7654"/>
    <w:rsid w:val="0090131A"/>
    <w:rsid w:val="00902884"/>
    <w:rsid w:val="00903EAE"/>
    <w:rsid w:val="009069DD"/>
    <w:rsid w:val="0091589D"/>
    <w:rsid w:val="009312EE"/>
    <w:rsid w:val="00931A46"/>
    <w:rsid w:val="009329EC"/>
    <w:rsid w:val="009342C0"/>
    <w:rsid w:val="00934DA1"/>
    <w:rsid w:val="0094234D"/>
    <w:rsid w:val="00944373"/>
    <w:rsid w:val="00944463"/>
    <w:rsid w:val="0094548B"/>
    <w:rsid w:val="00945A49"/>
    <w:rsid w:val="00947358"/>
    <w:rsid w:val="009500CF"/>
    <w:rsid w:val="00951504"/>
    <w:rsid w:val="00955AC5"/>
    <w:rsid w:val="00956834"/>
    <w:rsid w:val="0096299F"/>
    <w:rsid w:val="00966B8B"/>
    <w:rsid w:val="00971B1A"/>
    <w:rsid w:val="00972562"/>
    <w:rsid w:val="0097383F"/>
    <w:rsid w:val="00981A37"/>
    <w:rsid w:val="00981DD0"/>
    <w:rsid w:val="009912B8"/>
    <w:rsid w:val="00993121"/>
    <w:rsid w:val="0099370B"/>
    <w:rsid w:val="00993BA5"/>
    <w:rsid w:val="009A4C0F"/>
    <w:rsid w:val="009A5957"/>
    <w:rsid w:val="009A5B4C"/>
    <w:rsid w:val="009A75A0"/>
    <w:rsid w:val="009B08B2"/>
    <w:rsid w:val="009B13A1"/>
    <w:rsid w:val="009B1546"/>
    <w:rsid w:val="009B1644"/>
    <w:rsid w:val="009C414E"/>
    <w:rsid w:val="009D0425"/>
    <w:rsid w:val="009D1CC1"/>
    <w:rsid w:val="009D385D"/>
    <w:rsid w:val="009D5D56"/>
    <w:rsid w:val="009D5DA2"/>
    <w:rsid w:val="009E0273"/>
    <w:rsid w:val="009E1CE4"/>
    <w:rsid w:val="009E2103"/>
    <w:rsid w:val="009E21DC"/>
    <w:rsid w:val="009E7450"/>
    <w:rsid w:val="009F372D"/>
    <w:rsid w:val="009F3A74"/>
    <w:rsid w:val="009F48CB"/>
    <w:rsid w:val="009F5A99"/>
    <w:rsid w:val="009F6DAD"/>
    <w:rsid w:val="009F73C1"/>
    <w:rsid w:val="009F759A"/>
    <w:rsid w:val="00A00C96"/>
    <w:rsid w:val="00A00F49"/>
    <w:rsid w:val="00A00FF6"/>
    <w:rsid w:val="00A03DF6"/>
    <w:rsid w:val="00A047F2"/>
    <w:rsid w:val="00A06FB0"/>
    <w:rsid w:val="00A10398"/>
    <w:rsid w:val="00A10DB1"/>
    <w:rsid w:val="00A15B51"/>
    <w:rsid w:val="00A16927"/>
    <w:rsid w:val="00A2194D"/>
    <w:rsid w:val="00A23E15"/>
    <w:rsid w:val="00A255CB"/>
    <w:rsid w:val="00A27062"/>
    <w:rsid w:val="00A271E9"/>
    <w:rsid w:val="00A3089F"/>
    <w:rsid w:val="00A30A6C"/>
    <w:rsid w:val="00A36699"/>
    <w:rsid w:val="00A45774"/>
    <w:rsid w:val="00A47EC0"/>
    <w:rsid w:val="00A5351A"/>
    <w:rsid w:val="00A537CF"/>
    <w:rsid w:val="00A5494C"/>
    <w:rsid w:val="00A55ECC"/>
    <w:rsid w:val="00A57A39"/>
    <w:rsid w:val="00A60570"/>
    <w:rsid w:val="00A608B1"/>
    <w:rsid w:val="00A641DF"/>
    <w:rsid w:val="00A65BF5"/>
    <w:rsid w:val="00A7187B"/>
    <w:rsid w:val="00A728DB"/>
    <w:rsid w:val="00A73C0C"/>
    <w:rsid w:val="00A8134F"/>
    <w:rsid w:val="00A81BDC"/>
    <w:rsid w:val="00A82727"/>
    <w:rsid w:val="00A8454A"/>
    <w:rsid w:val="00A84B88"/>
    <w:rsid w:val="00A94CD2"/>
    <w:rsid w:val="00A968CE"/>
    <w:rsid w:val="00A97CCB"/>
    <w:rsid w:val="00AA04C3"/>
    <w:rsid w:val="00AA0714"/>
    <w:rsid w:val="00AA548A"/>
    <w:rsid w:val="00AA6273"/>
    <w:rsid w:val="00AA632B"/>
    <w:rsid w:val="00AA7082"/>
    <w:rsid w:val="00AB1281"/>
    <w:rsid w:val="00AB22EA"/>
    <w:rsid w:val="00AB3949"/>
    <w:rsid w:val="00AB3EA7"/>
    <w:rsid w:val="00AB4AB1"/>
    <w:rsid w:val="00AB5CE5"/>
    <w:rsid w:val="00AB7E2E"/>
    <w:rsid w:val="00AC0479"/>
    <w:rsid w:val="00AC5873"/>
    <w:rsid w:val="00AC6677"/>
    <w:rsid w:val="00AD2225"/>
    <w:rsid w:val="00AD5CC0"/>
    <w:rsid w:val="00AD5EAB"/>
    <w:rsid w:val="00AD5EAF"/>
    <w:rsid w:val="00AE0B75"/>
    <w:rsid w:val="00AE2154"/>
    <w:rsid w:val="00AF2DB3"/>
    <w:rsid w:val="00AF35EB"/>
    <w:rsid w:val="00AF42F0"/>
    <w:rsid w:val="00AF5B58"/>
    <w:rsid w:val="00B0128A"/>
    <w:rsid w:val="00B01BD5"/>
    <w:rsid w:val="00B02AB8"/>
    <w:rsid w:val="00B03943"/>
    <w:rsid w:val="00B11074"/>
    <w:rsid w:val="00B142D1"/>
    <w:rsid w:val="00B14E33"/>
    <w:rsid w:val="00B1670C"/>
    <w:rsid w:val="00B16B84"/>
    <w:rsid w:val="00B17B7E"/>
    <w:rsid w:val="00B21D03"/>
    <w:rsid w:val="00B23100"/>
    <w:rsid w:val="00B407CC"/>
    <w:rsid w:val="00B5270D"/>
    <w:rsid w:val="00B54F76"/>
    <w:rsid w:val="00B555A0"/>
    <w:rsid w:val="00B60FD0"/>
    <w:rsid w:val="00B621B6"/>
    <w:rsid w:val="00B63555"/>
    <w:rsid w:val="00B638AA"/>
    <w:rsid w:val="00B71990"/>
    <w:rsid w:val="00B71D61"/>
    <w:rsid w:val="00B828A5"/>
    <w:rsid w:val="00B82C46"/>
    <w:rsid w:val="00B85594"/>
    <w:rsid w:val="00B921A2"/>
    <w:rsid w:val="00BA093E"/>
    <w:rsid w:val="00BA0D70"/>
    <w:rsid w:val="00BA24A6"/>
    <w:rsid w:val="00BA263D"/>
    <w:rsid w:val="00BA2971"/>
    <w:rsid w:val="00BA3777"/>
    <w:rsid w:val="00BA48FA"/>
    <w:rsid w:val="00BA4ABE"/>
    <w:rsid w:val="00BA63DE"/>
    <w:rsid w:val="00BA6FAF"/>
    <w:rsid w:val="00BB0A32"/>
    <w:rsid w:val="00BB0B06"/>
    <w:rsid w:val="00BB2188"/>
    <w:rsid w:val="00BC0077"/>
    <w:rsid w:val="00BC590E"/>
    <w:rsid w:val="00BD047B"/>
    <w:rsid w:val="00BD1ACB"/>
    <w:rsid w:val="00BD2B44"/>
    <w:rsid w:val="00BD2C00"/>
    <w:rsid w:val="00BE1391"/>
    <w:rsid w:val="00BE71B8"/>
    <w:rsid w:val="00BE7723"/>
    <w:rsid w:val="00BE7D5F"/>
    <w:rsid w:val="00BF25BF"/>
    <w:rsid w:val="00BF59C3"/>
    <w:rsid w:val="00BF618D"/>
    <w:rsid w:val="00BF79D3"/>
    <w:rsid w:val="00BF7C7C"/>
    <w:rsid w:val="00C02729"/>
    <w:rsid w:val="00C03D88"/>
    <w:rsid w:val="00C03F77"/>
    <w:rsid w:val="00C04FF1"/>
    <w:rsid w:val="00C1093F"/>
    <w:rsid w:val="00C12329"/>
    <w:rsid w:val="00C21CAC"/>
    <w:rsid w:val="00C2238C"/>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4F7F"/>
    <w:rsid w:val="00C45C9C"/>
    <w:rsid w:val="00C45FB9"/>
    <w:rsid w:val="00C47288"/>
    <w:rsid w:val="00C51229"/>
    <w:rsid w:val="00C55095"/>
    <w:rsid w:val="00C613A4"/>
    <w:rsid w:val="00C63A22"/>
    <w:rsid w:val="00C666F3"/>
    <w:rsid w:val="00C67A86"/>
    <w:rsid w:val="00C75F63"/>
    <w:rsid w:val="00C7642D"/>
    <w:rsid w:val="00C80B4A"/>
    <w:rsid w:val="00C83BA4"/>
    <w:rsid w:val="00C8698C"/>
    <w:rsid w:val="00C90E10"/>
    <w:rsid w:val="00C914DE"/>
    <w:rsid w:val="00C916E6"/>
    <w:rsid w:val="00C92230"/>
    <w:rsid w:val="00C93068"/>
    <w:rsid w:val="00C93DBA"/>
    <w:rsid w:val="00C973DA"/>
    <w:rsid w:val="00CA13F8"/>
    <w:rsid w:val="00CA4134"/>
    <w:rsid w:val="00CA44FC"/>
    <w:rsid w:val="00CA7A00"/>
    <w:rsid w:val="00CB5202"/>
    <w:rsid w:val="00CB556E"/>
    <w:rsid w:val="00CB6136"/>
    <w:rsid w:val="00CB634F"/>
    <w:rsid w:val="00CB7F80"/>
    <w:rsid w:val="00CC1325"/>
    <w:rsid w:val="00CC1B04"/>
    <w:rsid w:val="00CD3BEC"/>
    <w:rsid w:val="00CD41B4"/>
    <w:rsid w:val="00CD472A"/>
    <w:rsid w:val="00CD5754"/>
    <w:rsid w:val="00CD6756"/>
    <w:rsid w:val="00CE0218"/>
    <w:rsid w:val="00CE2985"/>
    <w:rsid w:val="00CF094D"/>
    <w:rsid w:val="00CF1679"/>
    <w:rsid w:val="00CF26C4"/>
    <w:rsid w:val="00CF3458"/>
    <w:rsid w:val="00CF76E8"/>
    <w:rsid w:val="00CF7CE4"/>
    <w:rsid w:val="00D00D00"/>
    <w:rsid w:val="00D01D91"/>
    <w:rsid w:val="00D01EDD"/>
    <w:rsid w:val="00D07488"/>
    <w:rsid w:val="00D10561"/>
    <w:rsid w:val="00D1271C"/>
    <w:rsid w:val="00D1311C"/>
    <w:rsid w:val="00D14B39"/>
    <w:rsid w:val="00D15DC7"/>
    <w:rsid w:val="00D2734D"/>
    <w:rsid w:val="00D40FB2"/>
    <w:rsid w:val="00D426E7"/>
    <w:rsid w:val="00D44B5C"/>
    <w:rsid w:val="00D4588E"/>
    <w:rsid w:val="00D4597F"/>
    <w:rsid w:val="00D46D7A"/>
    <w:rsid w:val="00D47F5D"/>
    <w:rsid w:val="00D52970"/>
    <w:rsid w:val="00D54990"/>
    <w:rsid w:val="00D54F29"/>
    <w:rsid w:val="00D61191"/>
    <w:rsid w:val="00D63C57"/>
    <w:rsid w:val="00D65C30"/>
    <w:rsid w:val="00D6670A"/>
    <w:rsid w:val="00D71F16"/>
    <w:rsid w:val="00D73CD8"/>
    <w:rsid w:val="00D81604"/>
    <w:rsid w:val="00D90F1C"/>
    <w:rsid w:val="00D91A6D"/>
    <w:rsid w:val="00D91D80"/>
    <w:rsid w:val="00D94CCC"/>
    <w:rsid w:val="00D95631"/>
    <w:rsid w:val="00D9777E"/>
    <w:rsid w:val="00D97E0B"/>
    <w:rsid w:val="00D97F9A"/>
    <w:rsid w:val="00DA0588"/>
    <w:rsid w:val="00DA3638"/>
    <w:rsid w:val="00DA4644"/>
    <w:rsid w:val="00DA73FE"/>
    <w:rsid w:val="00DB3E79"/>
    <w:rsid w:val="00DB70C4"/>
    <w:rsid w:val="00DB7968"/>
    <w:rsid w:val="00DB7D4C"/>
    <w:rsid w:val="00DC332A"/>
    <w:rsid w:val="00DC3F21"/>
    <w:rsid w:val="00DC3F78"/>
    <w:rsid w:val="00DC41DE"/>
    <w:rsid w:val="00DD2AC4"/>
    <w:rsid w:val="00DD3F35"/>
    <w:rsid w:val="00DE2A7B"/>
    <w:rsid w:val="00DE64A9"/>
    <w:rsid w:val="00DF40ED"/>
    <w:rsid w:val="00DF69E2"/>
    <w:rsid w:val="00E01CEC"/>
    <w:rsid w:val="00E0391A"/>
    <w:rsid w:val="00E03A9E"/>
    <w:rsid w:val="00E07172"/>
    <w:rsid w:val="00E120D0"/>
    <w:rsid w:val="00E229A3"/>
    <w:rsid w:val="00E26BA3"/>
    <w:rsid w:val="00E33ABF"/>
    <w:rsid w:val="00E50EEB"/>
    <w:rsid w:val="00E51BC9"/>
    <w:rsid w:val="00E55AAB"/>
    <w:rsid w:val="00E564E8"/>
    <w:rsid w:val="00E65FE2"/>
    <w:rsid w:val="00E71056"/>
    <w:rsid w:val="00E718BD"/>
    <w:rsid w:val="00E722AF"/>
    <w:rsid w:val="00E80CEE"/>
    <w:rsid w:val="00E82C12"/>
    <w:rsid w:val="00E84A38"/>
    <w:rsid w:val="00E95529"/>
    <w:rsid w:val="00EA01AC"/>
    <w:rsid w:val="00EA0B33"/>
    <w:rsid w:val="00EA100C"/>
    <w:rsid w:val="00EA5777"/>
    <w:rsid w:val="00EB4DF2"/>
    <w:rsid w:val="00EB5C29"/>
    <w:rsid w:val="00EC10FD"/>
    <w:rsid w:val="00EC1254"/>
    <w:rsid w:val="00EC14FC"/>
    <w:rsid w:val="00EC4686"/>
    <w:rsid w:val="00ED07DF"/>
    <w:rsid w:val="00ED0B9A"/>
    <w:rsid w:val="00ED0D88"/>
    <w:rsid w:val="00ED3D74"/>
    <w:rsid w:val="00ED7B90"/>
    <w:rsid w:val="00EE1282"/>
    <w:rsid w:val="00EE2D47"/>
    <w:rsid w:val="00EE37D3"/>
    <w:rsid w:val="00EE7AD2"/>
    <w:rsid w:val="00EF0350"/>
    <w:rsid w:val="00EF0F77"/>
    <w:rsid w:val="00F00E4D"/>
    <w:rsid w:val="00F07436"/>
    <w:rsid w:val="00F078AC"/>
    <w:rsid w:val="00F10AF7"/>
    <w:rsid w:val="00F12497"/>
    <w:rsid w:val="00F21E75"/>
    <w:rsid w:val="00F266D3"/>
    <w:rsid w:val="00F26C6C"/>
    <w:rsid w:val="00F26E96"/>
    <w:rsid w:val="00F2739F"/>
    <w:rsid w:val="00F30797"/>
    <w:rsid w:val="00F35A52"/>
    <w:rsid w:val="00F41CD5"/>
    <w:rsid w:val="00F43570"/>
    <w:rsid w:val="00F45A80"/>
    <w:rsid w:val="00F4720B"/>
    <w:rsid w:val="00F53BD0"/>
    <w:rsid w:val="00F54766"/>
    <w:rsid w:val="00F65356"/>
    <w:rsid w:val="00F65883"/>
    <w:rsid w:val="00F775A7"/>
    <w:rsid w:val="00F81AB7"/>
    <w:rsid w:val="00F83718"/>
    <w:rsid w:val="00F84042"/>
    <w:rsid w:val="00F85133"/>
    <w:rsid w:val="00F9092C"/>
    <w:rsid w:val="00F93BC7"/>
    <w:rsid w:val="00F94421"/>
    <w:rsid w:val="00F946ED"/>
    <w:rsid w:val="00F965BC"/>
    <w:rsid w:val="00FA2A4F"/>
    <w:rsid w:val="00FA2CCF"/>
    <w:rsid w:val="00FA3740"/>
    <w:rsid w:val="00FA3A1B"/>
    <w:rsid w:val="00FB0857"/>
    <w:rsid w:val="00FB13A9"/>
    <w:rsid w:val="00FB265C"/>
    <w:rsid w:val="00FB556D"/>
    <w:rsid w:val="00FC033B"/>
    <w:rsid w:val="00FC0B62"/>
    <w:rsid w:val="00FC2011"/>
    <w:rsid w:val="00FC2B90"/>
    <w:rsid w:val="00FC4A2E"/>
    <w:rsid w:val="00FC6726"/>
    <w:rsid w:val="00FD4385"/>
    <w:rsid w:val="00FD5FBD"/>
    <w:rsid w:val="00FE2CB7"/>
    <w:rsid w:val="00FE4969"/>
    <w:rsid w:val="00FE5B14"/>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C77A93"/>
  <w15:docId w15:val="{D78DE1F2-E15B-4ACE-9483-CC999A34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qFormat/>
    <w:rsid w:val="00BD2B44"/>
    <w:pPr>
      <w:outlineLvl w:val="1"/>
    </w:pPr>
    <w:rPr>
      <w:b/>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link w:val="Heading1"/>
    <w:rsid w:val="00BD2B44"/>
    <w:rPr>
      <w:rFonts w:ascii="Arial" w:hAnsi="Arial"/>
      <w:sz w:val="18"/>
      <w:szCs w:val="18"/>
      <w:lang w:val="en-AU" w:eastAsia="en-AU" w:bidi="ar-SA"/>
    </w:rPr>
  </w:style>
  <w:style w:type="character" w:customStyle="1" w:styleId="Heading2Char">
    <w:name w:val="Heading 2 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rsid w:val="00364D5F"/>
    <w:pPr>
      <w:pBdr>
        <w:bottom w:val="single" w:sz="4" w:space="1" w:color="auto"/>
      </w:pBdr>
      <w:spacing w:before="360" w:after="120"/>
    </w:pPr>
    <w:rPr>
      <w:rFonts w:cs="Times New Roman"/>
      <w:b/>
      <w:bCs/>
    </w:rPr>
  </w:style>
  <w:style w:type="numbering" w:customStyle="1" w:styleId="Text">
    <w:name w:val="Text"/>
    <w:rsid w:val="00545D20"/>
    <w:pPr>
      <w:numPr>
        <w:numId w:val="15"/>
      </w:numPr>
    </w:pPr>
  </w:style>
  <w:style w:type="character" w:styleId="Hyperlink">
    <w:name w:val="Hyperlink"/>
    <w:rsid w:val="00545D20"/>
    <w:rPr>
      <w:color w:val="0000FF"/>
      <w:u w:val="single"/>
    </w:rPr>
  </w:style>
  <w:style w:type="paragraph" w:styleId="BlockText">
    <w:name w:val="Block Text"/>
    <w:basedOn w:val="ListNumber"/>
    <w:link w:val="BlockTextChar"/>
    <w:rsid w:val="00F65356"/>
    <w:pPr>
      <w:numPr>
        <w:numId w:val="3"/>
      </w:numPr>
      <w:tabs>
        <w:tab w:val="clear" w:pos="567"/>
      </w:tabs>
      <w:spacing w:after="120"/>
      <w:jc w:val="both"/>
    </w:pPr>
  </w:style>
  <w:style w:type="paragraph" w:customStyle="1" w:styleId="HeadingThree">
    <w:name w:val="Heading Three"/>
    <w:basedOn w:val="HeadingTwo"/>
    <w:rsid w:val="00BD1ACB"/>
    <w:pPr>
      <w:keepNext/>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styleId="BodyText2">
    <w:name w:val="Body Text 2"/>
    <w:basedOn w:val="Normal"/>
    <w:rsid w:val="00513926"/>
    <w:pPr>
      <w:spacing w:after="120"/>
      <w:jc w:val="both"/>
    </w:pPr>
    <w:rPr>
      <w:rFonts w:ascii="Tahoma" w:hAnsi="Tahoma" w:cs="Times New Roman"/>
      <w:b/>
    </w:rPr>
  </w:style>
  <w:style w:type="paragraph" w:styleId="ListNumber">
    <w:name w:val="List Number"/>
    <w:basedOn w:val="Normal"/>
    <w:link w:val="ListNumberChar"/>
    <w:rsid w:val="00890996"/>
    <w:pPr>
      <w:numPr>
        <w:numId w:val="8"/>
      </w:numPr>
    </w:pPr>
  </w:style>
  <w:style w:type="paragraph" w:customStyle="1" w:styleId="ExampleBox">
    <w:name w:val="Example Box"/>
    <w:rsid w:val="00F65356"/>
    <w:pPr>
      <w:pBdr>
        <w:top w:val="single" w:sz="4" w:space="1" w:color="auto"/>
        <w:left w:val="single" w:sz="4" w:space="4" w:color="auto"/>
        <w:bottom w:val="single" w:sz="4" w:space="1" w:color="auto"/>
        <w:right w:val="single" w:sz="4" w:space="4" w:color="auto"/>
      </w:pBdr>
      <w:shd w:val="clear" w:color="auto" w:fill="F3F3F3"/>
      <w:spacing w:before="120" w:after="120"/>
    </w:pPr>
    <w:rPr>
      <w:rFonts w:ascii="Arial" w:hAnsi="Arial"/>
      <w:sz w:val="22"/>
    </w:rPr>
  </w:style>
  <w:style w:type="paragraph" w:customStyle="1" w:styleId="Subheading1">
    <w:name w:val="Subheading 1"/>
    <w:basedOn w:val="Normal"/>
    <w:rsid w:val="00BD1ACB"/>
    <w:pPr>
      <w:spacing w:before="360" w:line="300" w:lineRule="exact"/>
    </w:pPr>
    <w:rPr>
      <w:rFonts w:cs="Times New Roman"/>
      <w:sz w:val="28"/>
      <w:szCs w:val="28"/>
    </w:rPr>
  </w:style>
  <w:style w:type="paragraph" w:styleId="FootnoteText">
    <w:name w:val="footnote text"/>
    <w:basedOn w:val="Normal"/>
    <w:semiHidden/>
    <w:rsid w:val="00BD1ACB"/>
    <w:rPr>
      <w:rFonts w:ascii="Times New Roman" w:hAnsi="Times New Roman" w:cs="Times New Roman"/>
      <w:sz w:val="20"/>
    </w:rPr>
  </w:style>
  <w:style w:type="character" w:styleId="FootnoteReference">
    <w:name w:val="footnote reference"/>
    <w:semiHidden/>
    <w:rsid w:val="00BD1ACB"/>
    <w:rPr>
      <w:vertAlign w:val="superscript"/>
    </w:rPr>
  </w:style>
  <w:style w:type="character" w:customStyle="1" w:styleId="ListNumberChar">
    <w:name w:val="List Number Char"/>
    <w:link w:val="ListNumber"/>
    <w:rsid w:val="00BD1ACB"/>
    <w:rPr>
      <w:rFonts w:ascii="Arial" w:hAnsi="Arial" w:cs="Arial"/>
      <w:sz w:val="22"/>
      <w:lang w:val="en-AU" w:eastAsia="en-AU" w:bidi="ar-SA"/>
    </w:rPr>
  </w:style>
  <w:style w:type="character" w:customStyle="1" w:styleId="BlockTextChar">
    <w:name w:val="Block Text Char"/>
    <w:basedOn w:val="ListNumberChar"/>
    <w:link w:val="BlockText"/>
    <w:rsid w:val="00BD1ACB"/>
    <w:rPr>
      <w:rFonts w:ascii="Arial" w:hAnsi="Arial" w:cs="Arial"/>
      <w:sz w:val="22"/>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trevenue@nt.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easury.nt.gov.au/PMS/Publications/TaxesRoyaltiesGrants/GeneralAdmin/CG-GEN-001.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treasury.nt.gov.au/PMS/Publications/TaxesRoyaltiesGrants/StampDuty/CG-SD-002.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venue.nt.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6</Main_x0020_Category>
    <Tax_x0020_Type xmlns="378e824e-6e02-4c0d-8321-dd86fba681ee" xsi:nil="true"/>
    <Publication_x0020_Title xmlns="378e824e-6e02-4c0d-8321-dd86fba681ee">Put and call options</Publication_x0020_Title>
    <Details xmlns="378e824e-6e02-4c0d-8321-dd86fba681ee" xsi:nil="true"/>
    <Identifier xmlns="378e824e-6e02-4c0d-8321-dd86fba681ee">CG-SD-005</Identifier>
    <Publication_x0020_Type xmlns="378e824e-6e02-4c0d-8321-dd86fba681ee" xsi:nil="true"/>
    <Sub_x0020_Sub_x0020_Category xmlns="378e824e-6e02-4c0d-8321-dd86fba681ee" xsi:nil="true"/>
    <Release_x0020_Date xmlns="378e824e-6e02-4c0d-8321-dd86fba681ee">2016-02-25T14:30:00+00:00</Release_x0020_Date>
    <Sub_x0020_Category xmlns="378e824e-6e02-4c0d-8321-dd86fba681ee">24</Sub_x0020_Category>
    <Notify xmlns="378e824e-6e02-4c0d-8321-dd86fba681ee">false</Notif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A4C43-3562-4BD6-B4F6-65BD53C421C6}">
  <ds:schemaRefs>
    <ds:schemaRef ds:uri="http://schemas.microsoft.com/office/2006/metadata/properties"/>
    <ds:schemaRef ds:uri="http://schemas.microsoft.com/office/infopath/2007/PartnerControls"/>
    <ds:schemaRef ds:uri="378e824e-6e02-4c0d-8321-dd86fba681ee"/>
  </ds:schemaRefs>
</ds:datastoreItem>
</file>

<file path=customXml/itemProps2.xml><?xml version="1.0" encoding="utf-8"?>
<ds:datastoreItem xmlns:ds="http://schemas.openxmlformats.org/officeDocument/2006/customXml" ds:itemID="{7C6C4359-987D-4F38-98BB-5C68E3F33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4D54B-3D97-4CC5-B962-F4D9D636B9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1086</Words>
  <Characters>6192</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7264</CharactersWithSpaces>
  <SharedDoc>false</SharedDoc>
  <HLinks>
    <vt:vector size="24" baseType="variant">
      <vt:variant>
        <vt:i4>5242895</vt:i4>
      </vt:variant>
      <vt:variant>
        <vt:i4>9</vt:i4>
      </vt:variant>
      <vt:variant>
        <vt:i4>0</vt:i4>
      </vt:variant>
      <vt:variant>
        <vt:i4>5</vt:i4>
      </vt:variant>
      <vt:variant>
        <vt:lpwstr>http://www.revenue.nt.gov.au/</vt:lpwstr>
      </vt:variant>
      <vt:variant>
        <vt:lpwstr/>
      </vt:variant>
      <vt:variant>
        <vt:i4>7798799</vt:i4>
      </vt:variant>
      <vt:variant>
        <vt:i4>6</vt:i4>
      </vt:variant>
      <vt:variant>
        <vt:i4>0</vt:i4>
      </vt:variant>
      <vt:variant>
        <vt:i4>5</vt:i4>
      </vt:variant>
      <vt:variant>
        <vt:lpwstr>mailto:ntrevenue@nt.gov.au</vt:lpwstr>
      </vt:variant>
      <vt:variant>
        <vt:lpwstr/>
      </vt:variant>
      <vt:variant>
        <vt:i4>2883638</vt:i4>
      </vt:variant>
      <vt:variant>
        <vt:i4>3</vt:i4>
      </vt:variant>
      <vt:variant>
        <vt:i4>0</vt:i4>
      </vt:variant>
      <vt:variant>
        <vt:i4>5</vt:i4>
      </vt:variant>
      <vt:variant>
        <vt:lpwstr>http://www.treasury.nt.gov.au/PMS/Publications/TaxesRoyaltiesGrants/GeneralAdmin/CG-GEN-001.pdf</vt:lpwstr>
      </vt:variant>
      <vt:variant>
        <vt:lpwstr/>
      </vt:variant>
      <vt:variant>
        <vt:i4>3538986</vt:i4>
      </vt:variant>
      <vt:variant>
        <vt:i4>0</vt:i4>
      </vt:variant>
      <vt:variant>
        <vt:i4>0</vt:i4>
      </vt:variant>
      <vt:variant>
        <vt:i4>5</vt:i4>
      </vt:variant>
      <vt:variant>
        <vt:lpwstr>http://www.treasury.nt.gov.au/PMS/Publications/TaxesRoyaltiesGrants/StampDuty/CG-SD-002.pdf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and call options</dc:title>
  <dc:creator>sschu</dc:creator>
  <cp:lastModifiedBy>Jessica Symonds</cp:lastModifiedBy>
  <cp:revision>3</cp:revision>
  <cp:lastPrinted>2011-11-09T03:35:00Z</cp:lastPrinted>
  <dcterms:created xsi:type="dcterms:W3CDTF">2016-02-25T06:18:00Z</dcterms:created>
  <dcterms:modified xsi:type="dcterms:W3CDTF">2021-09-12T23:57:00Z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