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6B05AD" w14:textId="77777777" w:rsidR="00E16AB3" w:rsidRDefault="003A5960" w:rsidP="003A5960">
      <w:pPr>
        <w:pStyle w:val="HeadingOne"/>
        <w:tabs>
          <w:tab w:val="left" w:pos="6255"/>
        </w:tabs>
        <w:jc w:val="left"/>
      </w:pPr>
      <w:r>
        <w:tab/>
      </w:r>
    </w:p>
    <w:p w14:paraId="6FC5A8EB" w14:textId="77777777" w:rsidR="00E16AB3" w:rsidRDefault="00E16AB3" w:rsidP="00C716B1">
      <w:pPr>
        <w:pStyle w:val="HeadingOne"/>
        <w:tabs>
          <w:tab w:val="center" w:pos="4819"/>
          <w:tab w:val="right" w:pos="9638"/>
        </w:tabs>
        <w:jc w:val="left"/>
      </w:pPr>
    </w:p>
    <w:p w14:paraId="0CEE2EDE" w14:textId="77777777" w:rsidR="00E16AB3" w:rsidRDefault="00BB5C5E" w:rsidP="00C716B1">
      <w:pPr>
        <w:pStyle w:val="HeadingOne"/>
        <w:tabs>
          <w:tab w:val="center" w:pos="4819"/>
          <w:tab w:val="right" w:pos="9638"/>
        </w:tabs>
        <w:jc w:val="left"/>
      </w:pPr>
      <w:r>
        <w:tab/>
        <w:t xml:space="preserve">COMMISSIONER’S GUIDELINE </w:t>
      </w:r>
      <w:r>
        <w:tab/>
      </w:r>
    </w:p>
    <w:p w14:paraId="2888B8EA" w14:textId="77777777" w:rsidR="00BB5C5E" w:rsidRPr="00E3245B" w:rsidRDefault="00BB5C5E" w:rsidP="00E3245B">
      <w:pPr>
        <w:pStyle w:val="HeadingOne"/>
      </w:pPr>
      <w:r w:rsidRPr="00E3245B">
        <w:t>CG-SD-004: Stamp duty on motor vehicle certificates of registration</w:t>
      </w:r>
    </w:p>
    <w:p w14:paraId="202AC0AD" w14:textId="77777777" w:rsidR="00BB5C5E" w:rsidRDefault="00BB5C5E" w:rsidP="00C27A0A">
      <w:pPr>
        <w:rPr>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030"/>
        <w:gridCol w:w="1848"/>
        <w:gridCol w:w="1752"/>
        <w:gridCol w:w="1800"/>
      </w:tblGrid>
      <w:tr w:rsidR="00BB5C5E" w:rsidRPr="00F24953" w14:paraId="770A4B27" w14:textId="77777777" w:rsidTr="00F24953">
        <w:trPr>
          <w:jc w:val="center"/>
        </w:trPr>
        <w:tc>
          <w:tcPr>
            <w:tcW w:w="1030" w:type="dxa"/>
            <w:vMerge w:val="restart"/>
          </w:tcPr>
          <w:p w14:paraId="232E7442" w14:textId="77777777" w:rsidR="00BB5C5E" w:rsidRPr="00F24953" w:rsidRDefault="00BB5C5E" w:rsidP="00F24953">
            <w:pPr>
              <w:jc w:val="center"/>
              <w:rPr>
                <w:b/>
                <w:sz w:val="18"/>
                <w:szCs w:val="18"/>
              </w:rPr>
            </w:pPr>
            <w:r w:rsidRPr="00F24953">
              <w:rPr>
                <w:b/>
                <w:sz w:val="18"/>
                <w:szCs w:val="18"/>
              </w:rPr>
              <w:t>Version</w:t>
            </w:r>
          </w:p>
        </w:tc>
        <w:tc>
          <w:tcPr>
            <w:tcW w:w="1848" w:type="dxa"/>
            <w:vMerge w:val="restart"/>
          </w:tcPr>
          <w:p w14:paraId="482EBF6C" w14:textId="77777777" w:rsidR="00BB5C5E" w:rsidRPr="00F24953" w:rsidRDefault="00BB5C5E" w:rsidP="00F24953">
            <w:pPr>
              <w:jc w:val="center"/>
              <w:rPr>
                <w:b/>
                <w:sz w:val="18"/>
                <w:szCs w:val="18"/>
              </w:rPr>
            </w:pPr>
            <w:r w:rsidRPr="00F24953">
              <w:rPr>
                <w:b/>
                <w:sz w:val="18"/>
                <w:szCs w:val="18"/>
              </w:rPr>
              <w:t>Issued</w:t>
            </w:r>
          </w:p>
        </w:tc>
        <w:tc>
          <w:tcPr>
            <w:tcW w:w="3552" w:type="dxa"/>
            <w:gridSpan w:val="2"/>
            <w:tcBorders>
              <w:bottom w:val="nil"/>
            </w:tcBorders>
          </w:tcPr>
          <w:p w14:paraId="44727BF5" w14:textId="77777777" w:rsidR="00BB5C5E" w:rsidRPr="00F24953" w:rsidRDefault="00BB5C5E" w:rsidP="00F24953">
            <w:pPr>
              <w:jc w:val="center"/>
              <w:rPr>
                <w:b/>
                <w:sz w:val="18"/>
                <w:szCs w:val="18"/>
              </w:rPr>
            </w:pPr>
            <w:r w:rsidRPr="00F24953">
              <w:rPr>
                <w:b/>
                <w:sz w:val="18"/>
                <w:szCs w:val="18"/>
              </w:rPr>
              <w:t>Dates of Effect</w:t>
            </w:r>
          </w:p>
        </w:tc>
      </w:tr>
      <w:tr w:rsidR="00BB5C5E" w:rsidRPr="00F24953" w14:paraId="0D29770D" w14:textId="77777777" w:rsidTr="00F24953">
        <w:trPr>
          <w:jc w:val="center"/>
        </w:trPr>
        <w:tc>
          <w:tcPr>
            <w:tcW w:w="1030" w:type="dxa"/>
            <w:vMerge/>
          </w:tcPr>
          <w:p w14:paraId="60F21F9C" w14:textId="77777777" w:rsidR="00BB5C5E" w:rsidRPr="00F24953" w:rsidRDefault="00BB5C5E" w:rsidP="00F24953">
            <w:pPr>
              <w:jc w:val="center"/>
              <w:rPr>
                <w:sz w:val="18"/>
                <w:szCs w:val="18"/>
              </w:rPr>
            </w:pPr>
          </w:p>
        </w:tc>
        <w:tc>
          <w:tcPr>
            <w:tcW w:w="1848" w:type="dxa"/>
            <w:vMerge/>
          </w:tcPr>
          <w:p w14:paraId="43B39B08" w14:textId="77777777" w:rsidR="00BB5C5E" w:rsidRPr="00F24953" w:rsidRDefault="00BB5C5E" w:rsidP="00F24953">
            <w:pPr>
              <w:jc w:val="center"/>
              <w:rPr>
                <w:sz w:val="18"/>
                <w:szCs w:val="18"/>
              </w:rPr>
            </w:pPr>
          </w:p>
        </w:tc>
        <w:tc>
          <w:tcPr>
            <w:tcW w:w="1752" w:type="dxa"/>
            <w:tcBorders>
              <w:top w:val="nil"/>
              <w:right w:val="nil"/>
            </w:tcBorders>
          </w:tcPr>
          <w:p w14:paraId="5C4F694E" w14:textId="77777777" w:rsidR="00BB5C5E" w:rsidRPr="00F24953" w:rsidRDefault="00BB5C5E" w:rsidP="00AD2225">
            <w:pPr>
              <w:rPr>
                <w:b/>
                <w:sz w:val="18"/>
                <w:szCs w:val="18"/>
              </w:rPr>
            </w:pPr>
            <w:r w:rsidRPr="00F24953">
              <w:rPr>
                <w:b/>
                <w:sz w:val="18"/>
                <w:szCs w:val="18"/>
              </w:rPr>
              <w:t>From:</w:t>
            </w:r>
          </w:p>
        </w:tc>
        <w:tc>
          <w:tcPr>
            <w:tcW w:w="1800" w:type="dxa"/>
            <w:tcBorders>
              <w:top w:val="nil"/>
              <w:left w:val="nil"/>
            </w:tcBorders>
          </w:tcPr>
          <w:p w14:paraId="6D87C8A6" w14:textId="77777777" w:rsidR="00BB5C5E" w:rsidRPr="00F24953" w:rsidRDefault="00BB5C5E" w:rsidP="00AD2225">
            <w:pPr>
              <w:rPr>
                <w:b/>
                <w:sz w:val="18"/>
                <w:szCs w:val="18"/>
              </w:rPr>
            </w:pPr>
            <w:r w:rsidRPr="00F24953">
              <w:rPr>
                <w:b/>
                <w:sz w:val="18"/>
                <w:szCs w:val="18"/>
              </w:rPr>
              <w:t>To: Current</w:t>
            </w:r>
          </w:p>
        </w:tc>
      </w:tr>
      <w:tr w:rsidR="00BB5C5E" w:rsidRPr="00F24953" w14:paraId="7257E827" w14:textId="77777777" w:rsidTr="00F24953">
        <w:trPr>
          <w:jc w:val="center"/>
        </w:trPr>
        <w:tc>
          <w:tcPr>
            <w:tcW w:w="1030" w:type="dxa"/>
          </w:tcPr>
          <w:p w14:paraId="0AC8F309" w14:textId="77777777" w:rsidR="00BB5C5E" w:rsidRPr="00F24953" w:rsidRDefault="00BB5C5E" w:rsidP="00F24953">
            <w:pPr>
              <w:jc w:val="center"/>
              <w:rPr>
                <w:sz w:val="18"/>
                <w:szCs w:val="18"/>
              </w:rPr>
            </w:pPr>
            <w:r w:rsidRPr="00F24953">
              <w:rPr>
                <w:sz w:val="18"/>
                <w:szCs w:val="18"/>
              </w:rPr>
              <w:t>1</w:t>
            </w:r>
          </w:p>
        </w:tc>
        <w:tc>
          <w:tcPr>
            <w:tcW w:w="1848" w:type="dxa"/>
          </w:tcPr>
          <w:p w14:paraId="5A20546B" w14:textId="77777777" w:rsidR="00BB5C5E" w:rsidRPr="00F24953" w:rsidRDefault="00BB5C5E" w:rsidP="0042047C">
            <w:pPr>
              <w:rPr>
                <w:sz w:val="18"/>
                <w:szCs w:val="18"/>
              </w:rPr>
            </w:pPr>
            <w:r w:rsidRPr="00F24953">
              <w:rPr>
                <w:sz w:val="18"/>
                <w:szCs w:val="18"/>
              </w:rPr>
              <w:t>01 November 2005</w:t>
            </w:r>
          </w:p>
        </w:tc>
        <w:tc>
          <w:tcPr>
            <w:tcW w:w="1752" w:type="dxa"/>
          </w:tcPr>
          <w:p w14:paraId="255376E6" w14:textId="77777777" w:rsidR="00BB5C5E" w:rsidRPr="00F24953" w:rsidRDefault="00BB5C5E" w:rsidP="0042047C">
            <w:pPr>
              <w:rPr>
                <w:sz w:val="18"/>
                <w:szCs w:val="18"/>
              </w:rPr>
            </w:pPr>
            <w:r w:rsidRPr="00F24953">
              <w:rPr>
                <w:sz w:val="18"/>
                <w:szCs w:val="18"/>
              </w:rPr>
              <w:t>01 November 2005</w:t>
            </w:r>
          </w:p>
        </w:tc>
        <w:tc>
          <w:tcPr>
            <w:tcW w:w="1800" w:type="dxa"/>
          </w:tcPr>
          <w:p w14:paraId="0E0509DC" w14:textId="77777777" w:rsidR="00BB5C5E" w:rsidRPr="00F24953" w:rsidRDefault="00BB5C5E" w:rsidP="0042047C">
            <w:pPr>
              <w:rPr>
                <w:sz w:val="18"/>
                <w:szCs w:val="18"/>
              </w:rPr>
            </w:pPr>
            <w:r w:rsidRPr="00F24953">
              <w:rPr>
                <w:sz w:val="18"/>
                <w:szCs w:val="18"/>
              </w:rPr>
              <w:t>31 December 2007</w:t>
            </w:r>
          </w:p>
        </w:tc>
      </w:tr>
      <w:tr w:rsidR="00497BA6" w:rsidRPr="00F24953" w14:paraId="7CB3B730" w14:textId="77777777" w:rsidTr="00F24953">
        <w:trPr>
          <w:jc w:val="center"/>
        </w:trPr>
        <w:tc>
          <w:tcPr>
            <w:tcW w:w="1030" w:type="dxa"/>
          </w:tcPr>
          <w:p w14:paraId="317218F4" w14:textId="77777777" w:rsidR="00497BA6" w:rsidRDefault="00497BA6" w:rsidP="00F24953">
            <w:pPr>
              <w:jc w:val="center"/>
              <w:rPr>
                <w:sz w:val="18"/>
                <w:szCs w:val="18"/>
              </w:rPr>
            </w:pPr>
            <w:r>
              <w:rPr>
                <w:sz w:val="18"/>
                <w:szCs w:val="18"/>
              </w:rPr>
              <w:t>2</w:t>
            </w:r>
          </w:p>
        </w:tc>
        <w:tc>
          <w:tcPr>
            <w:tcW w:w="1848" w:type="dxa"/>
          </w:tcPr>
          <w:p w14:paraId="01341AFE" w14:textId="77777777" w:rsidR="00497BA6" w:rsidRPr="00F24953" w:rsidRDefault="00497BA6" w:rsidP="0042047C">
            <w:pPr>
              <w:rPr>
                <w:sz w:val="18"/>
                <w:szCs w:val="18"/>
              </w:rPr>
            </w:pPr>
            <w:r w:rsidRPr="00F24953">
              <w:rPr>
                <w:sz w:val="18"/>
                <w:szCs w:val="18"/>
              </w:rPr>
              <w:t>2 January 2008</w:t>
            </w:r>
          </w:p>
        </w:tc>
        <w:tc>
          <w:tcPr>
            <w:tcW w:w="1752" w:type="dxa"/>
          </w:tcPr>
          <w:p w14:paraId="46FC274A" w14:textId="77777777" w:rsidR="00497BA6" w:rsidRPr="00F24953" w:rsidRDefault="00497BA6" w:rsidP="0042047C">
            <w:pPr>
              <w:rPr>
                <w:sz w:val="18"/>
                <w:szCs w:val="18"/>
              </w:rPr>
            </w:pPr>
            <w:r w:rsidRPr="00F24953">
              <w:rPr>
                <w:sz w:val="18"/>
                <w:szCs w:val="18"/>
              </w:rPr>
              <w:t>1 January 2008</w:t>
            </w:r>
          </w:p>
        </w:tc>
        <w:tc>
          <w:tcPr>
            <w:tcW w:w="1800" w:type="dxa"/>
          </w:tcPr>
          <w:p w14:paraId="527C1162" w14:textId="77777777" w:rsidR="00497BA6" w:rsidRDefault="005D22E7" w:rsidP="005D22E7">
            <w:pPr>
              <w:rPr>
                <w:sz w:val="18"/>
                <w:szCs w:val="18"/>
              </w:rPr>
            </w:pPr>
            <w:r>
              <w:rPr>
                <w:sz w:val="18"/>
                <w:szCs w:val="18"/>
              </w:rPr>
              <w:t xml:space="preserve">27 </w:t>
            </w:r>
            <w:r w:rsidR="0066328B">
              <w:rPr>
                <w:sz w:val="18"/>
                <w:szCs w:val="18"/>
              </w:rPr>
              <w:t>October 2013</w:t>
            </w:r>
          </w:p>
        </w:tc>
      </w:tr>
      <w:tr w:rsidR="00497BA6" w:rsidRPr="00F24953" w14:paraId="4F8374C2" w14:textId="77777777" w:rsidTr="00F24953">
        <w:trPr>
          <w:jc w:val="center"/>
        </w:trPr>
        <w:tc>
          <w:tcPr>
            <w:tcW w:w="1030" w:type="dxa"/>
          </w:tcPr>
          <w:p w14:paraId="15879D6F" w14:textId="77777777" w:rsidR="00497BA6" w:rsidRPr="00F24953" w:rsidRDefault="00497BA6" w:rsidP="00F24953">
            <w:pPr>
              <w:jc w:val="center"/>
              <w:rPr>
                <w:sz w:val="18"/>
                <w:szCs w:val="18"/>
              </w:rPr>
            </w:pPr>
            <w:r>
              <w:rPr>
                <w:sz w:val="18"/>
                <w:szCs w:val="18"/>
              </w:rPr>
              <w:t>3</w:t>
            </w:r>
          </w:p>
        </w:tc>
        <w:tc>
          <w:tcPr>
            <w:tcW w:w="1848" w:type="dxa"/>
          </w:tcPr>
          <w:p w14:paraId="0EAF5B82" w14:textId="77777777" w:rsidR="00497BA6" w:rsidRPr="00F24953" w:rsidRDefault="000905F1" w:rsidP="000905F1">
            <w:pPr>
              <w:rPr>
                <w:sz w:val="18"/>
                <w:szCs w:val="18"/>
              </w:rPr>
            </w:pPr>
            <w:r>
              <w:rPr>
                <w:sz w:val="18"/>
                <w:szCs w:val="18"/>
              </w:rPr>
              <w:t xml:space="preserve">28 </w:t>
            </w:r>
            <w:r w:rsidR="00C716B1">
              <w:rPr>
                <w:sz w:val="18"/>
                <w:szCs w:val="18"/>
              </w:rPr>
              <w:t>October 2013</w:t>
            </w:r>
          </w:p>
        </w:tc>
        <w:tc>
          <w:tcPr>
            <w:tcW w:w="1752" w:type="dxa"/>
          </w:tcPr>
          <w:p w14:paraId="785635D5" w14:textId="77777777" w:rsidR="00497BA6" w:rsidRPr="00F24953" w:rsidRDefault="000905F1">
            <w:pPr>
              <w:rPr>
                <w:sz w:val="18"/>
                <w:szCs w:val="18"/>
              </w:rPr>
            </w:pPr>
            <w:r>
              <w:rPr>
                <w:sz w:val="18"/>
                <w:szCs w:val="18"/>
              </w:rPr>
              <w:t xml:space="preserve">28 </w:t>
            </w:r>
            <w:r w:rsidR="0066328B">
              <w:rPr>
                <w:sz w:val="18"/>
                <w:szCs w:val="18"/>
              </w:rPr>
              <w:t>October 2013</w:t>
            </w:r>
          </w:p>
        </w:tc>
        <w:tc>
          <w:tcPr>
            <w:tcW w:w="1800" w:type="dxa"/>
          </w:tcPr>
          <w:p w14:paraId="1E5C21A5" w14:textId="77777777" w:rsidR="00497BA6" w:rsidRPr="00F24953" w:rsidRDefault="00497BA6" w:rsidP="0042047C">
            <w:pPr>
              <w:rPr>
                <w:sz w:val="18"/>
                <w:szCs w:val="18"/>
              </w:rPr>
            </w:pPr>
            <w:r>
              <w:rPr>
                <w:sz w:val="18"/>
                <w:szCs w:val="18"/>
              </w:rPr>
              <w:t>Current</w:t>
            </w:r>
          </w:p>
        </w:tc>
      </w:tr>
    </w:tbl>
    <w:p w14:paraId="01230AB3" w14:textId="77777777" w:rsidR="00BB5C5E" w:rsidRPr="00C80CE3" w:rsidRDefault="00BB5C5E" w:rsidP="00C80CE3">
      <w:pPr>
        <w:pStyle w:val="HeadingTwo"/>
      </w:pPr>
      <w:r w:rsidRPr="00733450">
        <w:t>Purpose</w:t>
      </w:r>
    </w:p>
    <w:p w14:paraId="385E2ECC" w14:textId="77777777" w:rsidR="00BB5C5E" w:rsidRPr="00C80CE3" w:rsidRDefault="00BB5C5E" w:rsidP="00C80CE3">
      <w:pPr>
        <w:pStyle w:val="BlockText"/>
        <w:numPr>
          <w:ilvl w:val="0"/>
          <w:numId w:val="5"/>
        </w:numPr>
        <w:tabs>
          <w:tab w:val="clear" w:pos="567"/>
        </w:tabs>
      </w:pPr>
      <w:r w:rsidRPr="00105668">
        <w:t xml:space="preserve">This Guideline explains how to determine the </w:t>
      </w:r>
      <w:r w:rsidRPr="00105668">
        <w:rPr>
          <w:b/>
        </w:rPr>
        <w:t xml:space="preserve">dutiable value </w:t>
      </w:r>
      <w:r w:rsidRPr="00105668">
        <w:t>(see below for definition) of motor vehicles for the purposes of assessing stamp duty on motor vehicle certificates of registration; clarifies the dutiable value of motor vehicles in certain common sale transactions such as where the vehicle is sold on a ‘drive away – no more to pay’ basis; and provides information on the administration of stamp duty on motor vehicle certificates of registration.</w:t>
      </w:r>
    </w:p>
    <w:p w14:paraId="103623AD" w14:textId="77777777" w:rsidR="00BB5C5E" w:rsidRPr="00C80CE3" w:rsidRDefault="00BB5C5E" w:rsidP="00C80CE3">
      <w:pPr>
        <w:pStyle w:val="HeadingTwo"/>
      </w:pPr>
      <w:r w:rsidRPr="00105668">
        <w:t>Stamp duty on motor vehicle certificates of registration</w:t>
      </w:r>
    </w:p>
    <w:p w14:paraId="08036171" w14:textId="77777777" w:rsidR="00BB5C5E" w:rsidRPr="00E3245B" w:rsidRDefault="00BB5C5E" w:rsidP="000E5B94">
      <w:pPr>
        <w:pStyle w:val="BlockText"/>
        <w:numPr>
          <w:ilvl w:val="0"/>
          <w:numId w:val="5"/>
        </w:numPr>
        <w:tabs>
          <w:tab w:val="clear" w:pos="567"/>
        </w:tabs>
        <w:rPr>
          <w:szCs w:val="22"/>
        </w:rPr>
      </w:pPr>
      <w:r w:rsidRPr="00E3245B">
        <w:rPr>
          <w:szCs w:val="22"/>
        </w:rPr>
        <w:t xml:space="preserve">The </w:t>
      </w:r>
      <w:r w:rsidRPr="00E3245B">
        <w:rPr>
          <w:i/>
          <w:szCs w:val="22"/>
        </w:rPr>
        <w:t>Stamp Duty Act</w:t>
      </w:r>
      <w:r w:rsidRPr="00E3245B">
        <w:rPr>
          <w:szCs w:val="22"/>
        </w:rPr>
        <w:t xml:space="preserve"> (‘the Act’) imposes stamp duty on a motor vehicle certificate of registration issued on the registration or the transfer of the registration of a motor vehicle and is payable by the applicant seeking registration of the vehicle.</w:t>
      </w:r>
      <w:r w:rsidRPr="00E3245B">
        <w:rPr>
          <w:rStyle w:val="FootnoteReference"/>
          <w:rFonts w:cs="Arial"/>
          <w:szCs w:val="22"/>
        </w:rPr>
        <w:footnoteReference w:id="1"/>
      </w:r>
      <w:r w:rsidRPr="00E3245B">
        <w:rPr>
          <w:szCs w:val="22"/>
        </w:rPr>
        <w:t xml:space="preserve"> That is, the duty is payable by the new owner of the motor vehicle. Stamp duty is imposed at the rate of $3 per $100 or part thereof of the dutiable value of the motor vehicle.</w:t>
      </w:r>
      <w:r w:rsidRPr="00E3245B">
        <w:rPr>
          <w:rStyle w:val="FootnoteReference"/>
          <w:rFonts w:cs="Arial"/>
          <w:szCs w:val="22"/>
        </w:rPr>
        <w:footnoteReference w:id="2"/>
      </w:r>
      <w:r w:rsidRPr="00E3245B">
        <w:rPr>
          <w:szCs w:val="22"/>
        </w:rPr>
        <w:t xml:space="preserve"> </w:t>
      </w:r>
    </w:p>
    <w:p w14:paraId="04BDEB5E" w14:textId="77777777" w:rsidR="00BB5C5E" w:rsidRPr="00C80CE3" w:rsidRDefault="00BB5C5E" w:rsidP="00C80CE3">
      <w:pPr>
        <w:pStyle w:val="BlockText"/>
        <w:numPr>
          <w:ilvl w:val="0"/>
          <w:numId w:val="5"/>
        </w:numPr>
        <w:tabs>
          <w:tab w:val="clear" w:pos="567"/>
        </w:tabs>
        <w:rPr>
          <w:sz w:val="24"/>
          <w:szCs w:val="24"/>
        </w:rPr>
      </w:pPr>
      <w:r w:rsidRPr="00105668">
        <w:t>Duty is payable to the Motor Vehicle Registry at the time application for registration or transfer is made.</w:t>
      </w:r>
      <w:r>
        <w:rPr>
          <w:rStyle w:val="FootnoteReference"/>
          <w:rFonts w:cs="Arial"/>
          <w:sz w:val="24"/>
          <w:szCs w:val="24"/>
        </w:rPr>
        <w:footnoteReference w:id="3"/>
      </w:r>
      <w:r w:rsidRPr="00105668">
        <w:t xml:space="preserve"> Under the </w:t>
      </w:r>
      <w:r w:rsidRPr="00105668">
        <w:rPr>
          <w:i/>
        </w:rPr>
        <w:t>Motor Vehicles Act</w:t>
      </w:r>
      <w:r w:rsidRPr="00105668">
        <w:t>, an application for transfer must be made within 14 days of the person becoming the owner of the vehicle.</w:t>
      </w:r>
      <w:r>
        <w:rPr>
          <w:rStyle w:val="FootnoteReference"/>
          <w:rFonts w:cs="Arial"/>
          <w:sz w:val="24"/>
          <w:szCs w:val="24"/>
        </w:rPr>
        <w:footnoteReference w:id="4"/>
      </w:r>
    </w:p>
    <w:p w14:paraId="04FB3B49" w14:textId="77777777" w:rsidR="00BB5C5E" w:rsidRPr="00C80CE3" w:rsidRDefault="00BB5C5E" w:rsidP="00BF6AC1">
      <w:pPr>
        <w:pStyle w:val="HeadingThree"/>
      </w:pPr>
      <w:r w:rsidRPr="00105668">
        <w:t>Dutiable value</w:t>
      </w:r>
    </w:p>
    <w:p w14:paraId="351E1398" w14:textId="77777777" w:rsidR="00BB5C5E" w:rsidRPr="00C80CE3" w:rsidRDefault="00BB5C5E" w:rsidP="000E5B94">
      <w:pPr>
        <w:pStyle w:val="HeadingFour"/>
        <w:spacing w:before="240"/>
      </w:pPr>
      <w:r w:rsidRPr="00105668">
        <w:t>Sale and purchase at arm’s length</w:t>
      </w:r>
    </w:p>
    <w:p w14:paraId="5DE29146" w14:textId="77777777" w:rsidR="00BB5C5E" w:rsidRPr="00C80CE3" w:rsidRDefault="00BB5C5E" w:rsidP="00C80CE3">
      <w:pPr>
        <w:pStyle w:val="BlockText"/>
        <w:numPr>
          <w:ilvl w:val="0"/>
          <w:numId w:val="5"/>
        </w:numPr>
        <w:tabs>
          <w:tab w:val="clear" w:pos="567"/>
        </w:tabs>
      </w:pPr>
      <w:r w:rsidRPr="00105668">
        <w:t xml:space="preserve">Where the transfer of a motor vehicle is by a sale and purchase at </w:t>
      </w:r>
      <w:r w:rsidRPr="00105668">
        <w:rPr>
          <w:b/>
        </w:rPr>
        <w:t>arm's length</w:t>
      </w:r>
      <w:r w:rsidRPr="00105668">
        <w:t xml:space="preserve"> (see </w:t>
      </w:r>
      <w:r>
        <w:t xml:space="preserve">paragraph 22 </w:t>
      </w:r>
      <w:r w:rsidRPr="00105668">
        <w:t>for definition), the dutiable value of the motor vehicle is the sum of the following:</w:t>
      </w:r>
    </w:p>
    <w:p w14:paraId="57EC0936" w14:textId="77777777" w:rsidR="00BB5C5E" w:rsidRPr="00105668" w:rsidRDefault="00BB5C5E" w:rsidP="00C80CE3">
      <w:pPr>
        <w:pStyle w:val="BlockText"/>
        <w:numPr>
          <w:ilvl w:val="1"/>
          <w:numId w:val="5"/>
        </w:numPr>
      </w:pPr>
      <w:r w:rsidRPr="00105668">
        <w:t xml:space="preserve">the sale price of the motor vehicle and any </w:t>
      </w:r>
      <w:r w:rsidRPr="00105668">
        <w:rPr>
          <w:b/>
        </w:rPr>
        <w:t>additional equipment</w:t>
      </w:r>
      <w:r w:rsidRPr="00105668">
        <w:t xml:space="preserve"> (see </w:t>
      </w:r>
      <w:r>
        <w:t>paragraph 2</w:t>
      </w:r>
      <w:r w:rsidR="00CE2BCA">
        <w:t>0</w:t>
      </w:r>
      <w:r>
        <w:t xml:space="preserve"> </w:t>
      </w:r>
      <w:r w:rsidRPr="00105668">
        <w:t>for definition)</w:t>
      </w:r>
      <w:r w:rsidRPr="00930DF7">
        <w:t xml:space="preserve"> fitted</w:t>
      </w:r>
      <w:r w:rsidRPr="00105668">
        <w:t xml:space="preserve"> in or added to the motor vehicle </w:t>
      </w:r>
      <w:r w:rsidRPr="00930DF7">
        <w:t>prior to registration</w:t>
      </w:r>
      <w:r w:rsidRPr="00105668">
        <w:t>, including any deposit paid, trade-in allowance</w:t>
      </w:r>
      <w:r>
        <w:t>, luxury car tax</w:t>
      </w:r>
      <w:r w:rsidRPr="00105668">
        <w:t xml:space="preserve"> and GST; and </w:t>
      </w:r>
    </w:p>
    <w:p w14:paraId="152A5435" w14:textId="77777777" w:rsidR="00BB5C5E" w:rsidRPr="00C80CE3" w:rsidRDefault="00BB5C5E" w:rsidP="00C80CE3">
      <w:pPr>
        <w:pStyle w:val="BlockText"/>
        <w:numPr>
          <w:ilvl w:val="1"/>
          <w:numId w:val="5"/>
        </w:numPr>
      </w:pPr>
      <w:r w:rsidRPr="00105668">
        <w:t>the amount paid for dealer delivery charges.</w:t>
      </w:r>
      <w:r>
        <w:rPr>
          <w:rStyle w:val="FootnoteReference"/>
          <w:rFonts w:cs="Arial"/>
          <w:sz w:val="24"/>
          <w:szCs w:val="24"/>
        </w:rPr>
        <w:footnoteReference w:id="5"/>
      </w:r>
    </w:p>
    <w:p w14:paraId="13ED24D6" w14:textId="77777777" w:rsidR="00BB5C5E" w:rsidRPr="00C80CE3" w:rsidRDefault="00BB5C5E" w:rsidP="00C80CE3">
      <w:pPr>
        <w:pStyle w:val="HeadingFour"/>
      </w:pPr>
      <w:r w:rsidRPr="00105668">
        <w:lastRenderedPageBreak/>
        <w:t>Other transactions</w:t>
      </w:r>
    </w:p>
    <w:p w14:paraId="0BAAE655" w14:textId="77777777" w:rsidR="00BB5C5E" w:rsidRPr="00C80CE3" w:rsidRDefault="00BB5C5E" w:rsidP="00C80CE3">
      <w:pPr>
        <w:pStyle w:val="BlockText"/>
        <w:numPr>
          <w:ilvl w:val="0"/>
          <w:numId w:val="5"/>
        </w:numPr>
        <w:tabs>
          <w:tab w:val="clear" w:pos="567"/>
        </w:tabs>
      </w:pPr>
      <w:r w:rsidRPr="00105668">
        <w:t xml:space="preserve">In all other cases, the dutiable value of a motor vehicle is the greater of the </w:t>
      </w:r>
      <w:r w:rsidRPr="00105668">
        <w:rPr>
          <w:b/>
        </w:rPr>
        <w:t>market value</w:t>
      </w:r>
      <w:r w:rsidRPr="00105668">
        <w:t xml:space="preserve"> (see </w:t>
      </w:r>
      <w:r>
        <w:t>paragraph 24</w:t>
      </w:r>
      <w:r w:rsidRPr="00105668">
        <w:t xml:space="preserve"> for definition) of the motor vehicle and the additional equipment in or added to the motor vehicle as at either:</w:t>
      </w:r>
    </w:p>
    <w:p w14:paraId="36531462" w14:textId="77777777" w:rsidR="00BB5C5E" w:rsidRPr="00105668" w:rsidRDefault="00BB5C5E" w:rsidP="00C80CE3">
      <w:pPr>
        <w:pStyle w:val="BlockText"/>
        <w:numPr>
          <w:ilvl w:val="1"/>
          <w:numId w:val="5"/>
        </w:numPr>
      </w:pPr>
      <w:r w:rsidRPr="00105668">
        <w:t xml:space="preserve">the date the transaction that gives rise to the application for registration of the motor vehicle is entered into, such as the transfer of the motor vehicle; or </w:t>
      </w:r>
    </w:p>
    <w:p w14:paraId="2C41D4B6" w14:textId="77777777" w:rsidR="00BB5C5E" w:rsidRPr="00C80CE3" w:rsidRDefault="00BB5C5E" w:rsidP="00C80CE3">
      <w:pPr>
        <w:pStyle w:val="BlockText"/>
        <w:numPr>
          <w:ilvl w:val="1"/>
          <w:numId w:val="5"/>
        </w:numPr>
      </w:pPr>
      <w:r w:rsidRPr="00105668">
        <w:t>the date the application for registration is made.</w:t>
      </w:r>
      <w:r>
        <w:rPr>
          <w:rStyle w:val="FootnoteReference"/>
          <w:rFonts w:cs="Arial"/>
          <w:sz w:val="24"/>
          <w:szCs w:val="24"/>
        </w:rPr>
        <w:footnoteReference w:id="6"/>
      </w:r>
    </w:p>
    <w:p w14:paraId="748A0D2D" w14:textId="77777777" w:rsidR="00BB5C5E" w:rsidRDefault="00BB5C5E" w:rsidP="00C80CE3">
      <w:pPr>
        <w:pStyle w:val="HeadingFour"/>
      </w:pPr>
      <w:r>
        <w:t>For example</w:t>
      </w:r>
    </w:p>
    <w:p w14:paraId="6F2866FD" w14:textId="77777777" w:rsidR="00E16AB3" w:rsidRDefault="00BB5C5E" w:rsidP="00C716B1">
      <w:pPr>
        <w:pStyle w:val="ExampleBox"/>
        <w:jc w:val="both"/>
      </w:pPr>
      <w:r>
        <w:t>I</w:t>
      </w:r>
      <w:r w:rsidRPr="00105668">
        <w:t>f additional equipment is added to the motor vehicle after the transaction that gives rise to the application for registration of the motor vehicle, but before the application for registration is made</w:t>
      </w:r>
      <w:r w:rsidR="00FD1701">
        <w:t>,</w:t>
      </w:r>
      <w:r w:rsidRPr="00105668">
        <w:t xml:space="preserve"> and that additional equipment increases the market value of the motor vehicle, that increased market value is the dutiable value of the motor vehicle.</w:t>
      </w:r>
    </w:p>
    <w:p w14:paraId="7C03EA79" w14:textId="77777777" w:rsidR="00BB5C5E" w:rsidRPr="00C80CE3" w:rsidRDefault="00BB5C5E" w:rsidP="00C80CE3">
      <w:pPr>
        <w:pStyle w:val="HeadingThree"/>
      </w:pPr>
      <w:r w:rsidRPr="00105668">
        <w:t>Dutiable value in certain common sale transactions</w:t>
      </w:r>
    </w:p>
    <w:p w14:paraId="3D4719D2" w14:textId="77777777" w:rsidR="00BB5C5E" w:rsidRPr="00C80CE3" w:rsidRDefault="00BB5C5E" w:rsidP="004B1447">
      <w:pPr>
        <w:pStyle w:val="HeadingFour"/>
        <w:spacing w:before="240"/>
      </w:pPr>
      <w:r w:rsidRPr="00105668">
        <w:rPr>
          <w:sz w:val="24"/>
          <w:szCs w:val="24"/>
        </w:rPr>
        <w:t>‘</w:t>
      </w:r>
      <w:r w:rsidRPr="004B1447">
        <w:t>Drive away – no more to pay’ sales</w:t>
      </w:r>
    </w:p>
    <w:p w14:paraId="6BB65C7C" w14:textId="77777777" w:rsidR="00BB5C5E" w:rsidRPr="00105668" w:rsidRDefault="00BB5C5E" w:rsidP="00C80CE3">
      <w:pPr>
        <w:pStyle w:val="BlockText"/>
        <w:numPr>
          <w:ilvl w:val="0"/>
          <w:numId w:val="5"/>
        </w:numPr>
        <w:tabs>
          <w:tab w:val="clear" w:pos="567"/>
        </w:tabs>
      </w:pPr>
      <w:r w:rsidRPr="00105668">
        <w:t xml:space="preserve">It is common for new vehicles to be sold on a ‘drive away – no more to pay’ basis. In such cases, the dealer pays the stamp duty and registration fees even though the purchaser normally incurs these costs. Although not as common, used vehicles </w:t>
      </w:r>
      <w:r w:rsidR="00E33F66">
        <w:t>may</w:t>
      </w:r>
      <w:r w:rsidR="00E33F66" w:rsidRPr="00105668">
        <w:t xml:space="preserve"> </w:t>
      </w:r>
      <w:r w:rsidRPr="00105668">
        <w:t xml:space="preserve">also </w:t>
      </w:r>
      <w:r w:rsidR="00E33F66">
        <w:t xml:space="preserve">be </w:t>
      </w:r>
      <w:r w:rsidRPr="00105668">
        <w:t xml:space="preserve">sold on this basis. In these cases, in addition to the stamp duty, the dealer pays the transfer fee. </w:t>
      </w:r>
    </w:p>
    <w:p w14:paraId="4E070106" w14:textId="77777777" w:rsidR="00BB5C5E" w:rsidRPr="00C80CE3" w:rsidRDefault="00BB5C5E" w:rsidP="00BF6AC1">
      <w:pPr>
        <w:pStyle w:val="BlockText"/>
        <w:numPr>
          <w:ilvl w:val="0"/>
          <w:numId w:val="5"/>
        </w:numPr>
        <w:tabs>
          <w:tab w:val="clear" w:pos="567"/>
        </w:tabs>
        <w:spacing w:after="240"/>
      </w:pPr>
      <w:r w:rsidRPr="00105668">
        <w:t xml:space="preserve">In these cases, the stamp duty, registration and registration transfer fees are </w:t>
      </w:r>
      <w:r w:rsidRPr="00105668">
        <w:rPr>
          <w:u w:val="single"/>
        </w:rPr>
        <w:t>not</w:t>
      </w:r>
      <w:r w:rsidRPr="00105668">
        <w:t xml:space="preserve"> included in the dutiable value. To determine the dutiable value of the motor vehicle, the registration fee or transfer fee should be deducted from the purchase price then the sum of that amount </w:t>
      </w:r>
      <w:r>
        <w:t xml:space="preserve">is </w:t>
      </w:r>
      <w:r w:rsidRPr="00105668">
        <w:t xml:space="preserve">divided by 1.03 to account for the stamp duty.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11" w:type="dxa"/>
        </w:tblCellMar>
        <w:tblLook w:val="0000" w:firstRow="0" w:lastRow="0" w:firstColumn="0" w:lastColumn="0" w:noHBand="0" w:noVBand="0"/>
      </w:tblPr>
      <w:tblGrid>
        <w:gridCol w:w="3960"/>
        <w:gridCol w:w="1305"/>
        <w:gridCol w:w="1305"/>
        <w:gridCol w:w="1305"/>
        <w:gridCol w:w="1305"/>
      </w:tblGrid>
      <w:tr w:rsidR="00BB5C5E" w:rsidRPr="00BF6AC1" w14:paraId="3087E709" w14:textId="77777777" w:rsidTr="000E662C">
        <w:trPr>
          <w:trHeight w:val="20"/>
        </w:trPr>
        <w:tc>
          <w:tcPr>
            <w:tcW w:w="3960" w:type="dxa"/>
            <w:tcBorders>
              <w:top w:val="nil"/>
              <w:left w:val="nil"/>
            </w:tcBorders>
          </w:tcPr>
          <w:p w14:paraId="7DBF264E" w14:textId="77777777" w:rsidR="00BB5C5E" w:rsidRPr="00BF6AC1" w:rsidRDefault="00BB5C5E" w:rsidP="000E662C">
            <w:pPr>
              <w:spacing w:after="60"/>
              <w:jc w:val="both"/>
              <w:rPr>
                <w:sz w:val="20"/>
              </w:rPr>
            </w:pPr>
          </w:p>
        </w:tc>
        <w:tc>
          <w:tcPr>
            <w:tcW w:w="1305" w:type="dxa"/>
            <w:shd w:val="clear" w:color="auto" w:fill="F3F3F3"/>
          </w:tcPr>
          <w:p w14:paraId="292D8A74" w14:textId="77777777" w:rsidR="00BB5C5E" w:rsidRPr="00BF6AC1" w:rsidRDefault="00BB5C5E" w:rsidP="000E662C">
            <w:pPr>
              <w:spacing w:after="60"/>
              <w:jc w:val="center"/>
              <w:rPr>
                <w:b/>
                <w:sz w:val="20"/>
              </w:rPr>
            </w:pPr>
            <w:r w:rsidRPr="00BF6AC1">
              <w:rPr>
                <w:b/>
                <w:sz w:val="20"/>
              </w:rPr>
              <w:t>Example 1</w:t>
            </w:r>
            <w:r w:rsidRPr="00BF6AC1">
              <w:rPr>
                <w:b/>
                <w:sz w:val="20"/>
              </w:rPr>
              <w:br/>
              <w:t>New Car</w:t>
            </w:r>
          </w:p>
        </w:tc>
        <w:tc>
          <w:tcPr>
            <w:tcW w:w="1305" w:type="dxa"/>
            <w:shd w:val="clear" w:color="auto" w:fill="F3F3F3"/>
          </w:tcPr>
          <w:p w14:paraId="5325513E" w14:textId="77777777" w:rsidR="00BB5C5E" w:rsidRPr="00BF6AC1" w:rsidRDefault="00BB5C5E" w:rsidP="000E662C">
            <w:pPr>
              <w:spacing w:after="60"/>
              <w:jc w:val="center"/>
              <w:rPr>
                <w:b/>
                <w:sz w:val="20"/>
              </w:rPr>
            </w:pPr>
            <w:r w:rsidRPr="00BF6AC1">
              <w:rPr>
                <w:b/>
                <w:sz w:val="20"/>
              </w:rPr>
              <w:t>Example 2</w:t>
            </w:r>
            <w:r w:rsidRPr="00BF6AC1">
              <w:rPr>
                <w:b/>
                <w:sz w:val="20"/>
              </w:rPr>
              <w:br/>
              <w:t>New Car</w:t>
            </w:r>
          </w:p>
        </w:tc>
        <w:tc>
          <w:tcPr>
            <w:tcW w:w="1305" w:type="dxa"/>
            <w:shd w:val="clear" w:color="auto" w:fill="F3F3F3"/>
          </w:tcPr>
          <w:p w14:paraId="59AA8DD7" w14:textId="77777777" w:rsidR="00BB5C5E" w:rsidRPr="00BF6AC1" w:rsidRDefault="00BB5C5E" w:rsidP="000E662C">
            <w:pPr>
              <w:spacing w:after="60"/>
              <w:jc w:val="center"/>
              <w:rPr>
                <w:b/>
                <w:sz w:val="20"/>
              </w:rPr>
            </w:pPr>
            <w:r w:rsidRPr="00BF6AC1">
              <w:rPr>
                <w:b/>
                <w:sz w:val="20"/>
              </w:rPr>
              <w:t>Example 3</w:t>
            </w:r>
            <w:r w:rsidRPr="00BF6AC1">
              <w:rPr>
                <w:b/>
                <w:sz w:val="20"/>
              </w:rPr>
              <w:br/>
              <w:t>Used Car</w:t>
            </w:r>
          </w:p>
        </w:tc>
        <w:tc>
          <w:tcPr>
            <w:tcW w:w="1305" w:type="dxa"/>
            <w:shd w:val="clear" w:color="auto" w:fill="F3F3F3"/>
          </w:tcPr>
          <w:p w14:paraId="7F105488" w14:textId="77777777" w:rsidR="00BB5C5E" w:rsidRPr="00BF6AC1" w:rsidRDefault="00BB5C5E" w:rsidP="000E662C">
            <w:pPr>
              <w:spacing w:after="60"/>
              <w:jc w:val="center"/>
              <w:rPr>
                <w:b/>
                <w:sz w:val="20"/>
              </w:rPr>
            </w:pPr>
            <w:r w:rsidRPr="00BF6AC1">
              <w:rPr>
                <w:b/>
                <w:sz w:val="20"/>
              </w:rPr>
              <w:t xml:space="preserve">Example 4 </w:t>
            </w:r>
            <w:r w:rsidRPr="00BF6AC1">
              <w:rPr>
                <w:b/>
                <w:sz w:val="20"/>
              </w:rPr>
              <w:br/>
              <w:t>Used Car</w:t>
            </w:r>
          </w:p>
        </w:tc>
      </w:tr>
      <w:tr w:rsidR="00BB5C5E" w:rsidRPr="00BF6AC1" w14:paraId="103D776B" w14:textId="77777777" w:rsidTr="000E662C">
        <w:trPr>
          <w:trHeight w:val="20"/>
        </w:trPr>
        <w:tc>
          <w:tcPr>
            <w:tcW w:w="3960" w:type="dxa"/>
          </w:tcPr>
          <w:p w14:paraId="68B700E2" w14:textId="77777777" w:rsidR="00BB5C5E" w:rsidRPr="00BF6AC1" w:rsidRDefault="00BB5C5E" w:rsidP="000E662C">
            <w:pPr>
              <w:spacing w:after="60"/>
              <w:rPr>
                <w:sz w:val="20"/>
              </w:rPr>
            </w:pPr>
            <w:r w:rsidRPr="00BF6AC1">
              <w:rPr>
                <w:sz w:val="20"/>
              </w:rPr>
              <w:t>Drive away price</w:t>
            </w:r>
          </w:p>
        </w:tc>
        <w:tc>
          <w:tcPr>
            <w:tcW w:w="1305" w:type="dxa"/>
          </w:tcPr>
          <w:p w14:paraId="4FA9DC48" w14:textId="77777777" w:rsidR="00BB5C5E" w:rsidRPr="00BF6AC1" w:rsidRDefault="00BB5C5E" w:rsidP="000E662C">
            <w:pPr>
              <w:spacing w:after="60"/>
              <w:jc w:val="center"/>
              <w:rPr>
                <w:sz w:val="20"/>
              </w:rPr>
            </w:pPr>
            <w:r w:rsidRPr="00BF6AC1">
              <w:rPr>
                <w:sz w:val="20"/>
              </w:rPr>
              <w:t>$1</w:t>
            </w:r>
            <w:r>
              <w:rPr>
                <w:sz w:val="20"/>
              </w:rPr>
              <w:t>8</w:t>
            </w:r>
            <w:r w:rsidRPr="00BF6AC1">
              <w:rPr>
                <w:sz w:val="20"/>
              </w:rPr>
              <w:t> 999</w:t>
            </w:r>
          </w:p>
        </w:tc>
        <w:tc>
          <w:tcPr>
            <w:tcW w:w="1305" w:type="dxa"/>
          </w:tcPr>
          <w:p w14:paraId="42748B80" w14:textId="77777777" w:rsidR="00BB5C5E" w:rsidRPr="00BF6AC1" w:rsidRDefault="00BB5C5E" w:rsidP="000E662C">
            <w:pPr>
              <w:spacing w:after="60"/>
              <w:jc w:val="center"/>
              <w:rPr>
                <w:sz w:val="20"/>
              </w:rPr>
            </w:pPr>
            <w:r w:rsidRPr="00BF6AC1">
              <w:rPr>
                <w:sz w:val="20"/>
              </w:rPr>
              <w:t>$</w:t>
            </w:r>
            <w:r>
              <w:rPr>
                <w:sz w:val="20"/>
              </w:rPr>
              <w:t>3</w:t>
            </w:r>
            <w:r w:rsidRPr="00BF6AC1">
              <w:rPr>
                <w:sz w:val="20"/>
              </w:rPr>
              <w:t>9 999</w:t>
            </w:r>
          </w:p>
        </w:tc>
        <w:tc>
          <w:tcPr>
            <w:tcW w:w="1305" w:type="dxa"/>
          </w:tcPr>
          <w:p w14:paraId="0C188312" w14:textId="77777777" w:rsidR="00BB5C5E" w:rsidRPr="00BF6AC1" w:rsidRDefault="00BB5C5E" w:rsidP="000E662C">
            <w:pPr>
              <w:spacing w:after="60"/>
              <w:jc w:val="center"/>
              <w:rPr>
                <w:sz w:val="20"/>
              </w:rPr>
            </w:pPr>
            <w:r w:rsidRPr="00BF6AC1">
              <w:rPr>
                <w:sz w:val="20"/>
              </w:rPr>
              <w:t>$14 999</w:t>
            </w:r>
          </w:p>
        </w:tc>
        <w:tc>
          <w:tcPr>
            <w:tcW w:w="1305" w:type="dxa"/>
          </w:tcPr>
          <w:p w14:paraId="23690DA7" w14:textId="77777777" w:rsidR="00BB5C5E" w:rsidRPr="00BF6AC1" w:rsidRDefault="00BB5C5E" w:rsidP="000E662C">
            <w:pPr>
              <w:spacing w:after="60"/>
              <w:jc w:val="center"/>
              <w:rPr>
                <w:sz w:val="20"/>
              </w:rPr>
            </w:pPr>
            <w:r w:rsidRPr="00BF6AC1">
              <w:rPr>
                <w:sz w:val="20"/>
              </w:rPr>
              <w:t>$19 999</w:t>
            </w:r>
          </w:p>
        </w:tc>
      </w:tr>
      <w:tr w:rsidR="00BB5C5E" w:rsidRPr="00BF6AC1" w14:paraId="65391FA9" w14:textId="77777777" w:rsidTr="000E662C">
        <w:trPr>
          <w:trHeight w:val="20"/>
        </w:trPr>
        <w:tc>
          <w:tcPr>
            <w:tcW w:w="3960" w:type="dxa"/>
          </w:tcPr>
          <w:p w14:paraId="211AFCBE" w14:textId="77777777" w:rsidR="00BB5C5E" w:rsidRPr="00BF6AC1" w:rsidRDefault="00BB5C5E" w:rsidP="000E662C">
            <w:pPr>
              <w:spacing w:after="60"/>
              <w:rPr>
                <w:sz w:val="20"/>
              </w:rPr>
            </w:pPr>
            <w:r w:rsidRPr="00BF6AC1">
              <w:rPr>
                <w:sz w:val="20"/>
              </w:rPr>
              <w:t>Less registration fees/ transfer fee</w:t>
            </w:r>
          </w:p>
        </w:tc>
        <w:tc>
          <w:tcPr>
            <w:tcW w:w="1305" w:type="dxa"/>
          </w:tcPr>
          <w:p w14:paraId="235ED9B2" w14:textId="77777777" w:rsidR="00BB5C5E" w:rsidRPr="00BF6AC1" w:rsidRDefault="00BB5C5E" w:rsidP="00111713">
            <w:pPr>
              <w:spacing w:after="60"/>
              <w:jc w:val="center"/>
              <w:rPr>
                <w:sz w:val="20"/>
              </w:rPr>
            </w:pPr>
            <w:r>
              <w:rPr>
                <w:sz w:val="20"/>
              </w:rPr>
              <w:t>-</w:t>
            </w:r>
            <w:r w:rsidRPr="00BF6AC1">
              <w:rPr>
                <w:sz w:val="20"/>
              </w:rPr>
              <w:t>$</w:t>
            </w:r>
            <w:r>
              <w:rPr>
                <w:sz w:val="20"/>
              </w:rPr>
              <w:t>62</w:t>
            </w:r>
            <w:r w:rsidRPr="00BF6AC1">
              <w:rPr>
                <w:sz w:val="20"/>
              </w:rPr>
              <w:t>3</w:t>
            </w:r>
          </w:p>
        </w:tc>
        <w:tc>
          <w:tcPr>
            <w:tcW w:w="1305" w:type="dxa"/>
          </w:tcPr>
          <w:p w14:paraId="08D23EE2" w14:textId="77777777" w:rsidR="00BB5C5E" w:rsidRDefault="00BB5C5E">
            <w:pPr>
              <w:spacing w:after="60"/>
              <w:jc w:val="center"/>
              <w:rPr>
                <w:sz w:val="20"/>
              </w:rPr>
            </w:pPr>
            <w:r>
              <w:rPr>
                <w:sz w:val="20"/>
              </w:rPr>
              <w:t>-</w:t>
            </w:r>
            <w:r w:rsidRPr="00BF6AC1">
              <w:rPr>
                <w:sz w:val="20"/>
              </w:rPr>
              <w:t>$</w:t>
            </w:r>
            <w:r>
              <w:rPr>
                <w:sz w:val="20"/>
              </w:rPr>
              <w:t>693</w:t>
            </w:r>
          </w:p>
        </w:tc>
        <w:tc>
          <w:tcPr>
            <w:tcW w:w="1305" w:type="dxa"/>
          </w:tcPr>
          <w:p w14:paraId="04C326F1" w14:textId="77777777" w:rsidR="00BB5C5E" w:rsidRPr="00BF6AC1" w:rsidRDefault="00BB5C5E" w:rsidP="000E662C">
            <w:pPr>
              <w:spacing w:after="60"/>
              <w:jc w:val="center"/>
              <w:rPr>
                <w:sz w:val="20"/>
              </w:rPr>
            </w:pPr>
            <w:r>
              <w:rPr>
                <w:sz w:val="20"/>
              </w:rPr>
              <w:t>-</w:t>
            </w:r>
            <w:r w:rsidRPr="00BF6AC1">
              <w:rPr>
                <w:sz w:val="20"/>
              </w:rPr>
              <w:t>$1</w:t>
            </w:r>
            <w:r>
              <w:rPr>
                <w:sz w:val="20"/>
              </w:rPr>
              <w:t>6</w:t>
            </w:r>
          </w:p>
        </w:tc>
        <w:tc>
          <w:tcPr>
            <w:tcW w:w="1305" w:type="dxa"/>
          </w:tcPr>
          <w:p w14:paraId="4DB99FED" w14:textId="77777777" w:rsidR="00BB5C5E" w:rsidRPr="00BF6AC1" w:rsidRDefault="00BB5C5E" w:rsidP="000E662C">
            <w:pPr>
              <w:spacing w:after="60"/>
              <w:jc w:val="center"/>
              <w:rPr>
                <w:sz w:val="20"/>
              </w:rPr>
            </w:pPr>
            <w:r>
              <w:rPr>
                <w:sz w:val="20"/>
              </w:rPr>
              <w:t>-</w:t>
            </w:r>
            <w:r w:rsidRPr="00BF6AC1">
              <w:rPr>
                <w:sz w:val="20"/>
              </w:rPr>
              <w:t>$1</w:t>
            </w:r>
            <w:r>
              <w:rPr>
                <w:sz w:val="20"/>
              </w:rPr>
              <w:t>6</w:t>
            </w:r>
          </w:p>
        </w:tc>
      </w:tr>
      <w:tr w:rsidR="00BB5C5E" w:rsidRPr="009B5C37" w14:paraId="17BFE6F3" w14:textId="77777777" w:rsidTr="000E662C">
        <w:trPr>
          <w:trHeight w:val="20"/>
        </w:trPr>
        <w:tc>
          <w:tcPr>
            <w:tcW w:w="3960" w:type="dxa"/>
          </w:tcPr>
          <w:p w14:paraId="5B808B0E" w14:textId="77777777" w:rsidR="00BB5C5E" w:rsidRPr="009B5C37" w:rsidRDefault="00BB5C5E" w:rsidP="000E662C">
            <w:pPr>
              <w:spacing w:after="60"/>
              <w:rPr>
                <w:b/>
                <w:sz w:val="20"/>
              </w:rPr>
            </w:pPr>
            <w:r>
              <w:rPr>
                <w:b/>
                <w:sz w:val="20"/>
              </w:rPr>
              <w:t>Equals</w:t>
            </w:r>
          </w:p>
        </w:tc>
        <w:tc>
          <w:tcPr>
            <w:tcW w:w="1305" w:type="dxa"/>
          </w:tcPr>
          <w:p w14:paraId="6D63912B" w14:textId="77777777" w:rsidR="00BB5C5E" w:rsidRDefault="00BB5C5E">
            <w:pPr>
              <w:spacing w:after="60"/>
              <w:jc w:val="center"/>
              <w:rPr>
                <w:b/>
                <w:sz w:val="20"/>
              </w:rPr>
            </w:pPr>
            <w:r w:rsidRPr="009B5C37">
              <w:rPr>
                <w:b/>
                <w:sz w:val="20"/>
              </w:rPr>
              <w:t>$</w:t>
            </w:r>
            <w:r>
              <w:rPr>
                <w:b/>
                <w:sz w:val="20"/>
              </w:rPr>
              <w:t>18 376</w:t>
            </w:r>
          </w:p>
        </w:tc>
        <w:tc>
          <w:tcPr>
            <w:tcW w:w="1305" w:type="dxa"/>
          </w:tcPr>
          <w:p w14:paraId="1FC50CD8" w14:textId="77777777" w:rsidR="00BB5C5E" w:rsidRDefault="00BB5C5E">
            <w:pPr>
              <w:spacing w:after="60"/>
              <w:jc w:val="center"/>
              <w:rPr>
                <w:b/>
                <w:sz w:val="20"/>
              </w:rPr>
            </w:pPr>
            <w:r w:rsidRPr="009B5C37">
              <w:rPr>
                <w:b/>
                <w:sz w:val="20"/>
              </w:rPr>
              <w:t>$</w:t>
            </w:r>
            <w:r>
              <w:rPr>
                <w:b/>
                <w:sz w:val="20"/>
              </w:rPr>
              <w:t>39 306</w:t>
            </w:r>
          </w:p>
        </w:tc>
        <w:tc>
          <w:tcPr>
            <w:tcW w:w="1305" w:type="dxa"/>
          </w:tcPr>
          <w:p w14:paraId="658A756F" w14:textId="77777777" w:rsidR="00BB5C5E" w:rsidRDefault="00BB5C5E">
            <w:pPr>
              <w:spacing w:after="60"/>
              <w:jc w:val="center"/>
              <w:rPr>
                <w:b/>
                <w:sz w:val="20"/>
              </w:rPr>
            </w:pPr>
            <w:r w:rsidRPr="009B5C37">
              <w:rPr>
                <w:b/>
                <w:sz w:val="20"/>
              </w:rPr>
              <w:t>$14 98</w:t>
            </w:r>
            <w:r>
              <w:rPr>
                <w:b/>
                <w:sz w:val="20"/>
              </w:rPr>
              <w:t>3</w:t>
            </w:r>
          </w:p>
        </w:tc>
        <w:tc>
          <w:tcPr>
            <w:tcW w:w="1305" w:type="dxa"/>
          </w:tcPr>
          <w:p w14:paraId="0BC821A8" w14:textId="77777777" w:rsidR="00BB5C5E" w:rsidRDefault="00BB5C5E">
            <w:pPr>
              <w:spacing w:after="60"/>
              <w:jc w:val="center"/>
              <w:rPr>
                <w:b/>
                <w:sz w:val="20"/>
              </w:rPr>
            </w:pPr>
            <w:r w:rsidRPr="009B5C37">
              <w:rPr>
                <w:b/>
                <w:sz w:val="20"/>
              </w:rPr>
              <w:t>$19 98</w:t>
            </w:r>
            <w:r>
              <w:rPr>
                <w:b/>
                <w:sz w:val="20"/>
              </w:rPr>
              <w:t>3</w:t>
            </w:r>
          </w:p>
        </w:tc>
      </w:tr>
      <w:tr w:rsidR="00BB5C5E" w:rsidRPr="00BF6AC1" w14:paraId="224CBD46" w14:textId="77777777" w:rsidTr="000E662C">
        <w:trPr>
          <w:trHeight w:val="20"/>
        </w:trPr>
        <w:tc>
          <w:tcPr>
            <w:tcW w:w="3960" w:type="dxa"/>
          </w:tcPr>
          <w:p w14:paraId="380BC59B" w14:textId="77777777" w:rsidR="00BB5C5E" w:rsidRPr="00BF6AC1" w:rsidRDefault="00BB5C5E" w:rsidP="000E662C">
            <w:pPr>
              <w:spacing w:after="60"/>
              <w:rPr>
                <w:sz w:val="20"/>
              </w:rPr>
            </w:pPr>
            <w:r w:rsidRPr="00BF6AC1">
              <w:rPr>
                <w:sz w:val="20"/>
              </w:rPr>
              <w:t>Divide by 1.03</w:t>
            </w:r>
          </w:p>
        </w:tc>
        <w:tc>
          <w:tcPr>
            <w:tcW w:w="1305" w:type="dxa"/>
          </w:tcPr>
          <w:p w14:paraId="36A8902B" w14:textId="77777777" w:rsidR="00BB5C5E" w:rsidRPr="00BF6AC1" w:rsidRDefault="00BB5C5E" w:rsidP="000E662C">
            <w:pPr>
              <w:spacing w:after="60"/>
              <w:jc w:val="center"/>
              <w:rPr>
                <w:sz w:val="20"/>
              </w:rPr>
            </w:pPr>
            <w:r w:rsidRPr="00BF6AC1">
              <w:rPr>
                <w:sz w:val="20"/>
              </w:rPr>
              <w:t>1.03</w:t>
            </w:r>
          </w:p>
        </w:tc>
        <w:tc>
          <w:tcPr>
            <w:tcW w:w="1305" w:type="dxa"/>
          </w:tcPr>
          <w:p w14:paraId="7BAF98AF" w14:textId="77777777" w:rsidR="00BB5C5E" w:rsidRPr="00BF6AC1" w:rsidRDefault="00BB5C5E" w:rsidP="000E662C">
            <w:pPr>
              <w:spacing w:after="60"/>
              <w:jc w:val="center"/>
              <w:rPr>
                <w:sz w:val="20"/>
              </w:rPr>
            </w:pPr>
            <w:r w:rsidRPr="00BF6AC1">
              <w:rPr>
                <w:sz w:val="20"/>
              </w:rPr>
              <w:t>1.03</w:t>
            </w:r>
          </w:p>
        </w:tc>
        <w:tc>
          <w:tcPr>
            <w:tcW w:w="1305" w:type="dxa"/>
          </w:tcPr>
          <w:p w14:paraId="1A817454" w14:textId="77777777" w:rsidR="00BB5C5E" w:rsidRPr="00BF6AC1" w:rsidRDefault="00BB5C5E" w:rsidP="000E662C">
            <w:pPr>
              <w:spacing w:after="60"/>
              <w:jc w:val="center"/>
              <w:rPr>
                <w:sz w:val="20"/>
              </w:rPr>
            </w:pPr>
            <w:r w:rsidRPr="00BF6AC1">
              <w:rPr>
                <w:sz w:val="20"/>
              </w:rPr>
              <w:t>1.03</w:t>
            </w:r>
          </w:p>
        </w:tc>
        <w:tc>
          <w:tcPr>
            <w:tcW w:w="1305" w:type="dxa"/>
          </w:tcPr>
          <w:p w14:paraId="73586CA4" w14:textId="77777777" w:rsidR="00BB5C5E" w:rsidRPr="00BF6AC1" w:rsidRDefault="00BB5C5E" w:rsidP="000E662C">
            <w:pPr>
              <w:spacing w:after="60"/>
              <w:jc w:val="center"/>
              <w:rPr>
                <w:sz w:val="20"/>
              </w:rPr>
            </w:pPr>
            <w:r w:rsidRPr="00BF6AC1">
              <w:rPr>
                <w:sz w:val="20"/>
              </w:rPr>
              <w:t>1.03</w:t>
            </w:r>
          </w:p>
        </w:tc>
      </w:tr>
      <w:tr w:rsidR="00BB5C5E" w:rsidRPr="009B5C37" w14:paraId="0378050E" w14:textId="77777777" w:rsidTr="000E662C">
        <w:trPr>
          <w:trHeight w:val="20"/>
        </w:trPr>
        <w:tc>
          <w:tcPr>
            <w:tcW w:w="3960" w:type="dxa"/>
          </w:tcPr>
          <w:p w14:paraId="7505FD45" w14:textId="77777777" w:rsidR="00BB5C5E" w:rsidRPr="009B5C37" w:rsidRDefault="00BB5C5E" w:rsidP="000E662C">
            <w:pPr>
              <w:spacing w:after="60"/>
              <w:rPr>
                <w:b/>
                <w:sz w:val="20"/>
              </w:rPr>
            </w:pPr>
            <w:r w:rsidRPr="009B5C37">
              <w:rPr>
                <w:b/>
                <w:sz w:val="20"/>
              </w:rPr>
              <w:t>Dutiable value for duty calculation</w:t>
            </w:r>
          </w:p>
        </w:tc>
        <w:tc>
          <w:tcPr>
            <w:tcW w:w="1305" w:type="dxa"/>
          </w:tcPr>
          <w:p w14:paraId="01D22DEA" w14:textId="77777777" w:rsidR="00BB5C5E" w:rsidRDefault="00BB5C5E">
            <w:pPr>
              <w:spacing w:after="60"/>
              <w:jc w:val="center"/>
              <w:rPr>
                <w:b/>
                <w:sz w:val="20"/>
              </w:rPr>
            </w:pPr>
            <w:r w:rsidRPr="009B5C37">
              <w:rPr>
                <w:b/>
                <w:sz w:val="20"/>
              </w:rPr>
              <w:t>$</w:t>
            </w:r>
            <w:r>
              <w:rPr>
                <w:b/>
                <w:sz w:val="20"/>
              </w:rPr>
              <w:t>17 841</w:t>
            </w:r>
          </w:p>
        </w:tc>
        <w:tc>
          <w:tcPr>
            <w:tcW w:w="1305" w:type="dxa"/>
          </w:tcPr>
          <w:p w14:paraId="7738286C" w14:textId="77777777" w:rsidR="00BB5C5E" w:rsidRDefault="00BB5C5E">
            <w:pPr>
              <w:spacing w:after="60"/>
              <w:jc w:val="center"/>
              <w:rPr>
                <w:b/>
                <w:sz w:val="20"/>
              </w:rPr>
            </w:pPr>
            <w:r w:rsidRPr="009B5C37">
              <w:rPr>
                <w:b/>
                <w:sz w:val="20"/>
              </w:rPr>
              <w:t>$</w:t>
            </w:r>
            <w:r>
              <w:rPr>
                <w:b/>
                <w:sz w:val="20"/>
              </w:rPr>
              <w:t>38 161</w:t>
            </w:r>
          </w:p>
        </w:tc>
        <w:tc>
          <w:tcPr>
            <w:tcW w:w="1305" w:type="dxa"/>
          </w:tcPr>
          <w:p w14:paraId="40739CD7" w14:textId="77777777" w:rsidR="00BB5C5E" w:rsidRPr="009B5C37" w:rsidRDefault="00BB5C5E" w:rsidP="000E662C">
            <w:pPr>
              <w:spacing w:after="60"/>
              <w:jc w:val="center"/>
              <w:rPr>
                <w:b/>
                <w:sz w:val="20"/>
              </w:rPr>
            </w:pPr>
            <w:r w:rsidRPr="009B5C37">
              <w:rPr>
                <w:b/>
                <w:sz w:val="20"/>
              </w:rPr>
              <w:t>$14 5</w:t>
            </w:r>
            <w:r>
              <w:rPr>
                <w:b/>
                <w:sz w:val="20"/>
              </w:rPr>
              <w:t>47</w:t>
            </w:r>
          </w:p>
        </w:tc>
        <w:tc>
          <w:tcPr>
            <w:tcW w:w="1305" w:type="dxa"/>
          </w:tcPr>
          <w:p w14:paraId="2E54BA33" w14:textId="77777777" w:rsidR="00BB5C5E" w:rsidRPr="009B5C37" w:rsidRDefault="00BB5C5E" w:rsidP="000E662C">
            <w:pPr>
              <w:spacing w:after="60"/>
              <w:jc w:val="center"/>
              <w:rPr>
                <w:b/>
                <w:sz w:val="20"/>
              </w:rPr>
            </w:pPr>
            <w:r w:rsidRPr="009B5C37">
              <w:rPr>
                <w:b/>
                <w:sz w:val="20"/>
              </w:rPr>
              <w:t>$19 40</w:t>
            </w:r>
            <w:r>
              <w:rPr>
                <w:b/>
                <w:sz w:val="20"/>
              </w:rPr>
              <w:t>1</w:t>
            </w:r>
          </w:p>
        </w:tc>
      </w:tr>
      <w:tr w:rsidR="00BB5C5E" w:rsidRPr="009B5C37" w14:paraId="5F71AA1A" w14:textId="77777777" w:rsidTr="000E662C">
        <w:trPr>
          <w:trHeight w:val="20"/>
        </w:trPr>
        <w:tc>
          <w:tcPr>
            <w:tcW w:w="3960" w:type="dxa"/>
          </w:tcPr>
          <w:p w14:paraId="2E66AB5A" w14:textId="77777777" w:rsidR="00BB5C5E" w:rsidRPr="009B5C37" w:rsidRDefault="00BB5C5E" w:rsidP="000E662C">
            <w:pPr>
              <w:spacing w:after="60"/>
              <w:rPr>
                <w:b/>
                <w:sz w:val="20"/>
              </w:rPr>
            </w:pPr>
            <w:r w:rsidRPr="009B5C37">
              <w:rPr>
                <w:b/>
                <w:sz w:val="20"/>
              </w:rPr>
              <w:t>Duty payable (at $3 per $100 or part thereof)</w:t>
            </w:r>
          </w:p>
        </w:tc>
        <w:tc>
          <w:tcPr>
            <w:tcW w:w="1305" w:type="dxa"/>
          </w:tcPr>
          <w:p w14:paraId="33C85730" w14:textId="77777777" w:rsidR="00BB5C5E" w:rsidRDefault="00BB5C5E">
            <w:pPr>
              <w:spacing w:after="60"/>
              <w:jc w:val="center"/>
              <w:rPr>
                <w:b/>
                <w:sz w:val="20"/>
              </w:rPr>
            </w:pPr>
            <w:r w:rsidRPr="009B5C37">
              <w:rPr>
                <w:b/>
                <w:sz w:val="20"/>
              </w:rPr>
              <w:t>$</w:t>
            </w:r>
            <w:r>
              <w:rPr>
                <w:b/>
                <w:sz w:val="20"/>
              </w:rPr>
              <w:t>537</w:t>
            </w:r>
          </w:p>
        </w:tc>
        <w:tc>
          <w:tcPr>
            <w:tcW w:w="1305" w:type="dxa"/>
          </w:tcPr>
          <w:p w14:paraId="27C5AED2" w14:textId="77777777" w:rsidR="00BB5C5E" w:rsidRDefault="00BB5C5E">
            <w:pPr>
              <w:spacing w:after="60"/>
              <w:jc w:val="center"/>
              <w:rPr>
                <w:b/>
                <w:sz w:val="20"/>
              </w:rPr>
            </w:pPr>
            <w:r w:rsidRPr="009B5C37">
              <w:rPr>
                <w:b/>
                <w:sz w:val="20"/>
              </w:rPr>
              <w:t>$</w:t>
            </w:r>
            <w:r>
              <w:rPr>
                <w:b/>
                <w:sz w:val="20"/>
              </w:rPr>
              <w:t>1 146</w:t>
            </w:r>
          </w:p>
        </w:tc>
        <w:tc>
          <w:tcPr>
            <w:tcW w:w="1305" w:type="dxa"/>
          </w:tcPr>
          <w:p w14:paraId="65D074B8" w14:textId="77777777" w:rsidR="00BB5C5E" w:rsidRPr="009B5C37" w:rsidRDefault="00BB5C5E" w:rsidP="000E662C">
            <w:pPr>
              <w:spacing w:after="60"/>
              <w:jc w:val="center"/>
              <w:rPr>
                <w:b/>
                <w:sz w:val="20"/>
              </w:rPr>
            </w:pPr>
            <w:r w:rsidRPr="009B5C37">
              <w:rPr>
                <w:b/>
                <w:sz w:val="20"/>
              </w:rPr>
              <w:t>$438</w:t>
            </w:r>
          </w:p>
        </w:tc>
        <w:tc>
          <w:tcPr>
            <w:tcW w:w="1305" w:type="dxa"/>
          </w:tcPr>
          <w:p w14:paraId="091AAD29" w14:textId="77777777" w:rsidR="00BB5C5E" w:rsidRPr="009B5C37" w:rsidRDefault="00BB5C5E" w:rsidP="000E662C">
            <w:pPr>
              <w:spacing w:after="60"/>
              <w:jc w:val="center"/>
              <w:rPr>
                <w:b/>
                <w:sz w:val="20"/>
              </w:rPr>
            </w:pPr>
            <w:r w:rsidRPr="009B5C37">
              <w:rPr>
                <w:b/>
                <w:sz w:val="20"/>
              </w:rPr>
              <w:t>$585</w:t>
            </w:r>
          </w:p>
        </w:tc>
      </w:tr>
    </w:tbl>
    <w:p w14:paraId="269787BB" w14:textId="77777777" w:rsidR="00BB5C5E" w:rsidRDefault="00BB5C5E" w:rsidP="0042047C">
      <w:pPr>
        <w:jc w:val="both"/>
        <w:rPr>
          <w:sz w:val="24"/>
          <w:szCs w:val="24"/>
        </w:rPr>
      </w:pPr>
    </w:p>
    <w:p w14:paraId="1E3ED412" w14:textId="77777777" w:rsidR="00BB5C5E" w:rsidRPr="001D40C3" w:rsidRDefault="00BB5C5E" w:rsidP="001D40C3">
      <w:pPr>
        <w:pStyle w:val="BlockText"/>
        <w:numPr>
          <w:ilvl w:val="0"/>
          <w:numId w:val="5"/>
        </w:numPr>
        <w:tabs>
          <w:tab w:val="clear" w:pos="567"/>
        </w:tabs>
      </w:pPr>
      <w:r w:rsidRPr="00105668">
        <w:t>For audit purposes, dealers should retain records that demonstrate that a sale was inclusive of stamp duty, registration fees or the transfer fee. A copy of the contract showing that the sale was inclusive of these costs will be sufficient in this respect.</w:t>
      </w:r>
      <w:r>
        <w:t xml:space="preserve"> These records </w:t>
      </w:r>
      <w:r w:rsidR="00AF1272">
        <w:t>should be retained</w:t>
      </w:r>
      <w:r>
        <w:t xml:space="preserve"> </w:t>
      </w:r>
      <w:r w:rsidRPr="00105668">
        <w:t>for five years</w:t>
      </w:r>
      <w:r>
        <w:t>.</w:t>
      </w:r>
    </w:p>
    <w:p w14:paraId="6B5A86C9" w14:textId="77777777" w:rsidR="00BB5C5E" w:rsidRPr="001D40C3" w:rsidRDefault="00BB5C5E" w:rsidP="001D40C3">
      <w:pPr>
        <w:pStyle w:val="HeadingFour"/>
      </w:pPr>
      <w:r w:rsidRPr="00105668">
        <w:t xml:space="preserve">Factory </w:t>
      </w:r>
      <w:r w:rsidR="00FD1701">
        <w:t>r</w:t>
      </w:r>
      <w:r w:rsidR="00FD1701" w:rsidRPr="00105668">
        <w:t>ebates</w:t>
      </w:r>
    </w:p>
    <w:p w14:paraId="0AF1BB78" w14:textId="77777777" w:rsidR="00BB5C5E" w:rsidRDefault="00BB5C5E" w:rsidP="001D40C3">
      <w:pPr>
        <w:pStyle w:val="BlockText"/>
        <w:numPr>
          <w:ilvl w:val="0"/>
          <w:numId w:val="5"/>
        </w:numPr>
        <w:tabs>
          <w:tab w:val="clear" w:pos="567"/>
        </w:tabs>
      </w:pPr>
      <w:r w:rsidRPr="00105668">
        <w:t xml:space="preserve">New vehicles are sometimes sold under arrangements where the manufacturer provides a factory rebate directly to the purchaser after the sale. Notwithstanding that the rebate has the effect of reducing the amount paid by the purchaser for the vehicle, the dutiable value is the contracted purchase price and the factory rebate is </w:t>
      </w:r>
      <w:r w:rsidRPr="000C1B12">
        <w:rPr>
          <w:u w:val="single"/>
        </w:rPr>
        <w:t>not</w:t>
      </w:r>
      <w:r w:rsidRPr="000C1B12">
        <w:t xml:space="preserve"> </w:t>
      </w:r>
      <w:r w:rsidRPr="00105668">
        <w:t xml:space="preserve">subtracted. </w:t>
      </w:r>
    </w:p>
    <w:p w14:paraId="76B19407" w14:textId="77777777" w:rsidR="00BB5C5E" w:rsidRPr="001D40C3" w:rsidRDefault="00BB5C5E" w:rsidP="00033C92">
      <w:pPr>
        <w:pStyle w:val="HeadingFour"/>
      </w:pPr>
      <w:r>
        <w:lastRenderedPageBreak/>
        <w:t>Example</w:t>
      </w:r>
    </w:p>
    <w:p w14:paraId="1588BB8B" w14:textId="77777777" w:rsidR="00BB5C5E" w:rsidRPr="007B66F0" w:rsidRDefault="00BB5C5E" w:rsidP="009B5C37">
      <w:pPr>
        <w:pStyle w:val="ExampleBox"/>
      </w:pPr>
      <w:r w:rsidRPr="007B66F0">
        <w:t>Mr Brown purchased a new vehicle for $14 990 under a promotion where he is to be paid a $1 000 factory rebate by the manufacturer. While the overall cost of the vehicle to Mr Brown is reduced to $13 990, the dutiable value of the vehicle is the contracted purchase price of $14 990.</w:t>
      </w:r>
    </w:p>
    <w:p w14:paraId="398F85A9" w14:textId="77777777" w:rsidR="00BB5C5E" w:rsidRPr="001D40C3" w:rsidRDefault="00BB5C5E" w:rsidP="001D40C3">
      <w:pPr>
        <w:pStyle w:val="HeadingFour"/>
      </w:pPr>
      <w:r w:rsidRPr="00105668">
        <w:t xml:space="preserve">Accessories </w:t>
      </w:r>
      <w:r w:rsidR="00FD1701">
        <w:t>and p</w:t>
      </w:r>
      <w:r w:rsidRPr="00105668">
        <w:t xml:space="preserve">rotection </w:t>
      </w:r>
      <w:r w:rsidR="00FD1701">
        <w:t>p</w:t>
      </w:r>
      <w:r w:rsidRPr="00105668">
        <w:t xml:space="preserve">roducts </w:t>
      </w:r>
    </w:p>
    <w:p w14:paraId="520766C8" w14:textId="77777777" w:rsidR="00BB5C5E" w:rsidRPr="001D40C3" w:rsidRDefault="00BB5C5E" w:rsidP="001D40C3">
      <w:pPr>
        <w:pStyle w:val="BlockText"/>
        <w:numPr>
          <w:ilvl w:val="0"/>
          <w:numId w:val="5"/>
        </w:numPr>
        <w:tabs>
          <w:tab w:val="clear" w:pos="567"/>
        </w:tabs>
      </w:pPr>
      <w:r w:rsidRPr="00105668">
        <w:t xml:space="preserve">Often protection products such as rust proofing, window tinting, fabric treatment, paint sealant or similar maintenance products are purchased from dealers as part of the purchase of a motor vehicle. As the product forms part of the vehicle, the amount paid </w:t>
      </w:r>
      <w:r w:rsidRPr="000C1B12">
        <w:rPr>
          <w:u w:val="single"/>
        </w:rPr>
        <w:t>is included</w:t>
      </w:r>
      <w:r w:rsidRPr="00105668">
        <w:t xml:space="preserve"> in the dutiable value of the vehicle where it is applied to the vehicle prior to registration.</w:t>
      </w:r>
    </w:p>
    <w:p w14:paraId="00FEDDF4" w14:textId="77777777" w:rsidR="00BB5C5E" w:rsidRPr="001D40C3" w:rsidRDefault="00BB5C5E" w:rsidP="001D40C3">
      <w:pPr>
        <w:pStyle w:val="HeadingFour"/>
      </w:pPr>
      <w:r w:rsidRPr="00105668">
        <w:t xml:space="preserve">Extended </w:t>
      </w:r>
      <w:r w:rsidR="00FD1701">
        <w:t>w</w:t>
      </w:r>
      <w:r w:rsidR="00FD1701" w:rsidRPr="00105668">
        <w:t>arranties</w:t>
      </w:r>
    </w:p>
    <w:p w14:paraId="4C957E35" w14:textId="77777777" w:rsidR="00BB5C5E" w:rsidRPr="001D40C3" w:rsidRDefault="00BB5C5E" w:rsidP="001D40C3">
      <w:pPr>
        <w:pStyle w:val="BlockText"/>
        <w:numPr>
          <w:ilvl w:val="0"/>
          <w:numId w:val="5"/>
        </w:numPr>
        <w:tabs>
          <w:tab w:val="clear" w:pos="567"/>
        </w:tabs>
      </w:pPr>
      <w:r w:rsidRPr="00105668">
        <w:t xml:space="preserve">Specific amounts paid by purchasers to dealers for extended warranties are </w:t>
      </w:r>
      <w:r w:rsidRPr="000C1B12">
        <w:rPr>
          <w:u w:val="single"/>
        </w:rPr>
        <w:t>not included</w:t>
      </w:r>
      <w:r w:rsidRPr="00105668">
        <w:t xml:space="preserve"> in the dutiable value of a vehicle. However, where a dealer includes an extended warranty in a deal as a</w:t>
      </w:r>
      <w:r w:rsidR="00E33F66">
        <w:t xml:space="preserve"> free</w:t>
      </w:r>
      <w:r w:rsidRPr="00105668">
        <w:t xml:space="preserve"> ‘bonus’, the value of the warranty is not to be deducted from the purchase price </w:t>
      </w:r>
      <w:r w:rsidR="00E33F66">
        <w:t>when</w:t>
      </w:r>
      <w:r w:rsidRPr="00105668">
        <w:t xml:space="preserve"> determining the dutiable value of the vehicle.</w:t>
      </w:r>
    </w:p>
    <w:p w14:paraId="1E17834F" w14:textId="77777777" w:rsidR="00BB5C5E" w:rsidRPr="001D40C3" w:rsidRDefault="00BB5C5E" w:rsidP="001D40C3">
      <w:pPr>
        <w:pStyle w:val="HeadingTwo"/>
      </w:pPr>
      <w:r w:rsidRPr="00105668">
        <w:t xml:space="preserve">Statutory obligations </w:t>
      </w:r>
    </w:p>
    <w:p w14:paraId="07153AA8" w14:textId="77777777" w:rsidR="00BB5C5E" w:rsidRPr="00105668" w:rsidRDefault="00BB5C5E" w:rsidP="001D40C3">
      <w:pPr>
        <w:pStyle w:val="BlockText"/>
        <w:numPr>
          <w:ilvl w:val="0"/>
          <w:numId w:val="5"/>
        </w:numPr>
        <w:tabs>
          <w:tab w:val="clear" w:pos="567"/>
        </w:tabs>
      </w:pPr>
      <w:r w:rsidRPr="00105668">
        <w:t>For every sale and purchase of a motor vehicle, the seller must make a declaration of the vehicle’s sale price in the application for transfer or registration form.</w:t>
      </w:r>
      <w:r>
        <w:rPr>
          <w:rStyle w:val="FootnoteReference"/>
          <w:rFonts w:cs="Arial"/>
          <w:sz w:val="24"/>
          <w:szCs w:val="24"/>
        </w:rPr>
        <w:footnoteReference w:id="7"/>
      </w:r>
      <w:r w:rsidRPr="00105668">
        <w:t xml:space="preserve"> Sellers are also required to make a declaration of the sale price on the Notice of Disposal.</w:t>
      </w:r>
      <w:r>
        <w:rPr>
          <w:rStyle w:val="FootnoteReference"/>
          <w:rFonts w:cs="Arial"/>
          <w:sz w:val="24"/>
          <w:szCs w:val="24"/>
        </w:rPr>
        <w:footnoteReference w:id="8"/>
      </w:r>
      <w:r w:rsidRPr="00105668">
        <w:t xml:space="preserve"> </w:t>
      </w:r>
    </w:p>
    <w:p w14:paraId="5477E10C" w14:textId="77777777" w:rsidR="00BB5C5E" w:rsidRPr="00105668" w:rsidRDefault="00BB5C5E" w:rsidP="00A33F89">
      <w:pPr>
        <w:pStyle w:val="BlockText"/>
        <w:numPr>
          <w:ilvl w:val="0"/>
          <w:numId w:val="5"/>
        </w:numPr>
        <w:tabs>
          <w:tab w:val="clear" w:pos="567"/>
        </w:tabs>
      </w:pPr>
      <w:r w:rsidRPr="00105668">
        <w:t>The provision of information that is false in a material particular in that declaration is an offence, carrying a maximum penalty of 50 penalty units (</w:t>
      </w:r>
      <w:r>
        <w:t xml:space="preserve">current </w:t>
      </w:r>
      <w:hyperlink r:id="rId11" w:tooltip="Link to penalty unit values" w:history="1">
        <w:r w:rsidRPr="00BB1165">
          <w:rPr>
            <w:rStyle w:val="Hyperlink"/>
            <w:rFonts w:cs="Arial"/>
          </w:rPr>
          <w:t>penalty unit values</w:t>
        </w:r>
      </w:hyperlink>
      <w:r>
        <w:t xml:space="preserve"> are available from the Territory Revenue Office (TRO) website</w:t>
      </w:r>
      <w:r w:rsidRPr="00105668">
        <w:t>)</w:t>
      </w:r>
      <w:r>
        <w:t>. The Co</w:t>
      </w:r>
      <w:r w:rsidRPr="00105668">
        <w:t>mmissioner of Territory Revenue may also issue an assessment to recover any unpaid duty together with interest and penalty</w:t>
      </w:r>
      <w:r>
        <w:t> </w:t>
      </w:r>
      <w:r w:rsidRPr="00105668">
        <w:t>tax.</w:t>
      </w:r>
      <w:r>
        <w:rPr>
          <w:rStyle w:val="FootnoteReference"/>
          <w:rFonts w:cs="Arial"/>
          <w:sz w:val="24"/>
          <w:szCs w:val="24"/>
        </w:rPr>
        <w:footnoteReference w:id="9"/>
      </w:r>
      <w:r w:rsidRPr="00105668">
        <w:t xml:space="preserve"> </w:t>
      </w:r>
    </w:p>
    <w:p w14:paraId="16017509" w14:textId="77777777" w:rsidR="00BB5C5E" w:rsidRPr="00105668" w:rsidRDefault="00E33F66" w:rsidP="001D40C3">
      <w:pPr>
        <w:pStyle w:val="BlockText"/>
        <w:numPr>
          <w:ilvl w:val="0"/>
          <w:numId w:val="5"/>
        </w:numPr>
        <w:tabs>
          <w:tab w:val="clear" w:pos="567"/>
        </w:tabs>
      </w:pPr>
      <w:r>
        <w:t>If a s</w:t>
      </w:r>
      <w:r w:rsidR="00BB5C5E" w:rsidRPr="00105668">
        <w:t>eller (</w:t>
      </w:r>
      <w:r>
        <w:t>including a</w:t>
      </w:r>
      <w:r w:rsidR="00BB5C5E" w:rsidRPr="00105668">
        <w:t xml:space="preserve"> motor vehicle dealer) were </w:t>
      </w:r>
      <w:r>
        <w:t xml:space="preserve">to </w:t>
      </w:r>
      <w:r w:rsidR="00BB5C5E" w:rsidRPr="00105668">
        <w:t>sign the application for transfer or registration and leav</w:t>
      </w:r>
      <w:r>
        <w:t>e</w:t>
      </w:r>
      <w:r w:rsidR="00BB5C5E" w:rsidRPr="00105668">
        <w:t xml:space="preserve"> the particulars for the purchaser to complete</w:t>
      </w:r>
      <w:r w:rsidR="00C95F14">
        <w:t>, they</w:t>
      </w:r>
      <w:r w:rsidR="00BB5C5E" w:rsidRPr="00105668">
        <w:t xml:space="preserve"> may </w:t>
      </w:r>
      <w:r w:rsidR="00C95F14">
        <w:t xml:space="preserve">be </w:t>
      </w:r>
      <w:r w:rsidR="00BB5C5E" w:rsidRPr="00105668">
        <w:t>expos</w:t>
      </w:r>
      <w:r w:rsidR="00C95F14">
        <w:t>ing themselves</w:t>
      </w:r>
      <w:r w:rsidR="00BB5C5E" w:rsidRPr="00105668">
        <w:t xml:space="preserve"> to prosecution action if a purchaser under</w:t>
      </w:r>
      <w:r w:rsidR="00BB5C5E">
        <w:noBreakHyphen/>
      </w:r>
      <w:r w:rsidR="00BB5C5E" w:rsidRPr="00105668">
        <w:t xml:space="preserve">declares the purchase price of the vehicle. Sellers should ensure that the particulars in the application form are completed prior to signing and handing the form to the purchaser. </w:t>
      </w:r>
    </w:p>
    <w:p w14:paraId="50F38E6B" w14:textId="77777777" w:rsidR="00BB5C5E" w:rsidRPr="001D40C3" w:rsidRDefault="00BB5C5E" w:rsidP="001D40C3">
      <w:pPr>
        <w:pStyle w:val="BlockText"/>
        <w:numPr>
          <w:ilvl w:val="0"/>
          <w:numId w:val="5"/>
        </w:numPr>
        <w:tabs>
          <w:tab w:val="clear" w:pos="567"/>
        </w:tabs>
      </w:pPr>
      <w:r w:rsidRPr="00105668">
        <w:t>If an application for transfer is not made within 14 days of the person becoming an owner of a vehicle, the Commissioner may create a memorandum and assess it for duty (including interest and penalty tax) as though it was the motor vehicle certificate of registration that the Motor Vehicle Registrar would have issued to the new owner if the required application had been made.</w:t>
      </w:r>
      <w:r>
        <w:rPr>
          <w:rStyle w:val="FootnoteReference"/>
          <w:rFonts w:cs="Arial"/>
          <w:sz w:val="24"/>
          <w:szCs w:val="24"/>
        </w:rPr>
        <w:footnoteReference w:id="10"/>
      </w:r>
      <w:r w:rsidRPr="00105668">
        <w:t xml:space="preserve"> </w:t>
      </w:r>
    </w:p>
    <w:p w14:paraId="2AAB88E5" w14:textId="77777777" w:rsidR="00BB5C5E" w:rsidRPr="001D40C3" w:rsidRDefault="00BB5C5E" w:rsidP="001D40C3">
      <w:pPr>
        <w:pStyle w:val="HeadingTwo"/>
      </w:pPr>
      <w:r w:rsidRPr="00105668">
        <w:t>Refunds</w:t>
      </w:r>
    </w:p>
    <w:p w14:paraId="11AF93DC" w14:textId="77777777" w:rsidR="00BB5C5E" w:rsidRPr="001D40C3" w:rsidRDefault="00BB5C5E" w:rsidP="001D40C3">
      <w:pPr>
        <w:pStyle w:val="BlockText"/>
        <w:numPr>
          <w:ilvl w:val="0"/>
          <w:numId w:val="5"/>
        </w:numPr>
        <w:tabs>
          <w:tab w:val="clear" w:pos="567"/>
        </w:tabs>
      </w:pPr>
      <w:r w:rsidRPr="00105668">
        <w:t>Where the sale of a motor vehicle is cancelled, the Commissioner must refund the amount of duty paid on a motor vehicle certificate of registration, but only if the Commissioner is satisfied that</w:t>
      </w:r>
      <w:r>
        <w:t>:</w:t>
      </w:r>
    </w:p>
    <w:p w14:paraId="17C80A29" w14:textId="77777777" w:rsidR="00BB5C5E" w:rsidRPr="00105668" w:rsidRDefault="00BB5C5E" w:rsidP="001D40C3">
      <w:pPr>
        <w:pStyle w:val="BlockText"/>
        <w:numPr>
          <w:ilvl w:val="1"/>
          <w:numId w:val="5"/>
        </w:numPr>
      </w:pPr>
      <w:r w:rsidRPr="00105668">
        <w:t xml:space="preserve">the motor vehicle the subject of the transaction has been returned to the person from whom it was purchased; and </w:t>
      </w:r>
    </w:p>
    <w:p w14:paraId="703A72F3" w14:textId="77777777" w:rsidR="00BB5C5E" w:rsidRPr="001D40C3" w:rsidRDefault="00BB5C5E" w:rsidP="001D40C3">
      <w:pPr>
        <w:pStyle w:val="BlockText"/>
        <w:numPr>
          <w:ilvl w:val="1"/>
          <w:numId w:val="5"/>
        </w:numPr>
      </w:pPr>
      <w:r w:rsidRPr="00105668">
        <w:t>all money refundable on the cancellation of the transaction</w:t>
      </w:r>
      <w:r w:rsidR="00C95F14">
        <w:t>,</w:t>
      </w:r>
      <w:r w:rsidRPr="00105668">
        <w:t xml:space="preserve"> other than the amount of duty paid</w:t>
      </w:r>
      <w:r w:rsidR="00C95F14">
        <w:t>,</w:t>
      </w:r>
      <w:r w:rsidRPr="00105668">
        <w:t xml:space="preserve"> has been refunded to the person who purchased the vehicle.</w:t>
      </w:r>
      <w:r>
        <w:rPr>
          <w:rStyle w:val="FootnoteReference"/>
          <w:rFonts w:cs="Arial"/>
          <w:sz w:val="24"/>
          <w:szCs w:val="24"/>
        </w:rPr>
        <w:footnoteReference w:id="11"/>
      </w:r>
      <w:r w:rsidRPr="00105668">
        <w:t xml:space="preserve"> </w:t>
      </w:r>
    </w:p>
    <w:p w14:paraId="0D58CCFE" w14:textId="77777777" w:rsidR="00BB5C5E" w:rsidRPr="001D40C3" w:rsidRDefault="00BB5C5E" w:rsidP="001D40C3">
      <w:pPr>
        <w:pStyle w:val="HeadingTwo"/>
      </w:pPr>
      <w:r w:rsidRPr="00105668">
        <w:lastRenderedPageBreak/>
        <w:t>Exemption</w:t>
      </w:r>
      <w:r w:rsidR="00CE2BCA">
        <w:t>s</w:t>
      </w:r>
    </w:p>
    <w:p w14:paraId="22BCD15D" w14:textId="77777777" w:rsidR="00BB5C5E" w:rsidRDefault="00BB5C5E" w:rsidP="001D40C3">
      <w:pPr>
        <w:pStyle w:val="BlockText"/>
        <w:numPr>
          <w:ilvl w:val="0"/>
          <w:numId w:val="5"/>
        </w:numPr>
        <w:tabs>
          <w:tab w:val="clear" w:pos="567"/>
        </w:tabs>
      </w:pPr>
      <w:r w:rsidRPr="00105668">
        <w:t xml:space="preserve">There a number of exemptions from stamp duty on motor vehicle certificates of registration, which are set out in item 23 of Schedule 2 to the Act. For further </w:t>
      </w:r>
      <w:r>
        <w:t>information, please refer to</w:t>
      </w:r>
      <w:r w:rsidRPr="00105668">
        <w:t xml:space="preserve"> </w:t>
      </w:r>
      <w:hyperlink r:id="rId12" w:tooltip="Link to F-SD-004" w:history="1">
        <w:r w:rsidRPr="00A33F89">
          <w:rPr>
            <w:rStyle w:val="Hyperlink"/>
            <w:rFonts w:cs="Arial"/>
          </w:rPr>
          <w:t>F</w:t>
        </w:r>
        <w:r w:rsidRPr="00A33F89">
          <w:rPr>
            <w:rStyle w:val="Hyperlink"/>
            <w:rFonts w:cs="Arial"/>
          </w:rPr>
          <w:noBreakHyphen/>
          <w:t>SD</w:t>
        </w:r>
        <w:r w:rsidRPr="00A33F89">
          <w:rPr>
            <w:rStyle w:val="Hyperlink"/>
            <w:rFonts w:cs="Arial"/>
          </w:rPr>
          <w:noBreakHyphen/>
          <w:t>004</w:t>
        </w:r>
      </w:hyperlink>
      <w:r>
        <w:t>: </w:t>
      </w:r>
      <w:r w:rsidRPr="00105668">
        <w:rPr>
          <w:i/>
        </w:rPr>
        <w:t>Exemption for stamp duty on a motor vehicle</w:t>
      </w:r>
      <w:r w:rsidRPr="00105668">
        <w:t>.</w:t>
      </w:r>
    </w:p>
    <w:p w14:paraId="40B8B341" w14:textId="77777777" w:rsidR="00C95F14" w:rsidRPr="00CE2BCA" w:rsidRDefault="00C95F14" w:rsidP="001D40C3">
      <w:pPr>
        <w:pStyle w:val="BlockText"/>
        <w:numPr>
          <w:ilvl w:val="0"/>
          <w:numId w:val="5"/>
        </w:numPr>
        <w:tabs>
          <w:tab w:val="clear" w:pos="567"/>
        </w:tabs>
      </w:pPr>
      <w:r w:rsidRPr="00105668">
        <w:t xml:space="preserve">A person claiming such an exemption must, along with the application for registration, lodge with the Motor Vehicle Registry a declaration stating the grounds on which the exemption is claimed, including any additional information required.  The declaration is to be made on form </w:t>
      </w:r>
      <w:hyperlink r:id="rId13" w:tooltip="Link to F-SD-004" w:history="1">
        <w:r w:rsidRPr="00CE2BCA">
          <w:rPr>
            <w:rStyle w:val="Hyperlink"/>
            <w:rFonts w:cs="Arial"/>
          </w:rPr>
          <w:t>F</w:t>
        </w:r>
        <w:r w:rsidRPr="00CE2BCA">
          <w:rPr>
            <w:rStyle w:val="Hyperlink"/>
            <w:rFonts w:cs="Arial"/>
          </w:rPr>
          <w:noBreakHyphen/>
          <w:t>SD</w:t>
        </w:r>
        <w:r w:rsidRPr="00CE2BCA">
          <w:rPr>
            <w:rStyle w:val="Hyperlink"/>
            <w:rFonts w:cs="Arial"/>
          </w:rPr>
          <w:noBreakHyphen/>
          <w:t>004</w:t>
        </w:r>
      </w:hyperlink>
      <w:r w:rsidRPr="00CE2BCA">
        <w:t>: </w:t>
      </w:r>
      <w:r w:rsidRPr="00CE2BCA">
        <w:rPr>
          <w:i/>
        </w:rPr>
        <w:t>Exemption for stamp duty on a motor vehicle</w:t>
      </w:r>
      <w:r w:rsidRPr="00CE2BCA">
        <w:t>.</w:t>
      </w:r>
    </w:p>
    <w:p w14:paraId="08C18F9F" w14:textId="77777777" w:rsidR="00BB5C5E" w:rsidRPr="001D40C3" w:rsidRDefault="00BB5C5E" w:rsidP="001D40C3">
      <w:pPr>
        <w:pStyle w:val="BlockText"/>
        <w:numPr>
          <w:ilvl w:val="0"/>
          <w:numId w:val="5"/>
        </w:numPr>
        <w:tabs>
          <w:tab w:val="clear" w:pos="567"/>
        </w:tabs>
      </w:pPr>
      <w:r>
        <w:t xml:space="preserve">An exemption from stamp duty on motor vehicle certificates of registration also exists for motor vehicle traders. For further information, please refer to </w:t>
      </w:r>
      <w:hyperlink r:id="rId14" w:tooltip="Link to F-SD-013" w:history="1">
        <w:r w:rsidRPr="00497BA6">
          <w:rPr>
            <w:rStyle w:val="Hyperlink"/>
            <w:rFonts w:cs="Arial"/>
          </w:rPr>
          <w:t>F-SD-013:</w:t>
        </w:r>
      </w:hyperlink>
      <w:r>
        <w:t xml:space="preserve"> </w:t>
      </w:r>
      <w:r w:rsidR="000330B7" w:rsidRPr="00C716B1">
        <w:rPr>
          <w:i/>
        </w:rPr>
        <w:t>Stamp duty exemption for motor vehicle traders</w:t>
      </w:r>
      <w:r w:rsidR="00EB230C" w:rsidRPr="00CE2BCA">
        <w:t>.</w:t>
      </w:r>
    </w:p>
    <w:p w14:paraId="04AF736C" w14:textId="77777777" w:rsidR="00BB5C5E" w:rsidRPr="001D40C3" w:rsidRDefault="00BB5C5E" w:rsidP="001D40C3">
      <w:pPr>
        <w:pStyle w:val="HeadingTwo"/>
      </w:pPr>
      <w:r w:rsidRPr="00105668">
        <w:t>Definitions</w:t>
      </w:r>
    </w:p>
    <w:p w14:paraId="59EBB399" w14:textId="77777777" w:rsidR="00BB5C5E" w:rsidRPr="00A33F89" w:rsidRDefault="00BB5C5E" w:rsidP="00230EA3">
      <w:pPr>
        <w:pStyle w:val="HeadingFour"/>
      </w:pPr>
      <w:r w:rsidRPr="00105668">
        <w:t xml:space="preserve">Additional </w:t>
      </w:r>
      <w:r w:rsidRPr="00A33F89">
        <w:t xml:space="preserve">equipment </w:t>
      </w:r>
    </w:p>
    <w:p w14:paraId="4255EBB8" w14:textId="77777777" w:rsidR="00BB5C5E" w:rsidRPr="00C716B1" w:rsidRDefault="00BB5C5E" w:rsidP="00A33F89">
      <w:pPr>
        <w:pStyle w:val="BlockText"/>
        <w:numPr>
          <w:ilvl w:val="0"/>
          <w:numId w:val="5"/>
        </w:numPr>
        <w:tabs>
          <w:tab w:val="clear" w:pos="567"/>
        </w:tabs>
        <w:rPr>
          <w:i/>
          <w:szCs w:val="24"/>
        </w:rPr>
      </w:pPr>
      <w:r w:rsidRPr="00105668">
        <w:rPr>
          <w:szCs w:val="24"/>
        </w:rPr>
        <w:t xml:space="preserve">Additional </w:t>
      </w:r>
      <w:r w:rsidRPr="00A33F89">
        <w:rPr>
          <w:szCs w:val="24"/>
        </w:rPr>
        <w:t>equipment</w:t>
      </w:r>
      <w:r w:rsidRPr="00105668">
        <w:rPr>
          <w:szCs w:val="24"/>
        </w:rPr>
        <w:t xml:space="preserve"> means all equipment that is an integral part of the motor vehicle or added to the motor vehicle before registration and, without limiting the meaning, includes all features actually fitted by the manufacturer </w:t>
      </w:r>
      <w:r w:rsidRPr="00CE2BCA">
        <w:rPr>
          <w:szCs w:val="24"/>
        </w:rPr>
        <w:t>or usual</w:t>
      </w:r>
      <w:r w:rsidRPr="00105668">
        <w:rPr>
          <w:szCs w:val="24"/>
        </w:rPr>
        <w:t xml:space="preserve">ly </w:t>
      </w:r>
      <w:r w:rsidR="000330B7" w:rsidRPr="00C716B1">
        <w:rPr>
          <w:i/>
          <w:szCs w:val="24"/>
        </w:rPr>
        <w:t>fitted by a manufacturer.</w:t>
      </w:r>
      <w:r w:rsidR="000330B7" w:rsidRPr="00C716B1">
        <w:rPr>
          <w:rStyle w:val="FootnoteReference"/>
          <w:rFonts w:cs="Arial"/>
          <w:i/>
          <w:szCs w:val="24"/>
        </w:rPr>
        <w:footnoteReference w:id="12"/>
      </w:r>
      <w:r w:rsidR="000330B7" w:rsidRPr="00C716B1">
        <w:rPr>
          <w:i/>
          <w:szCs w:val="24"/>
        </w:rPr>
        <w:t xml:space="preserve"> </w:t>
      </w:r>
    </w:p>
    <w:p w14:paraId="7540C456" w14:textId="77777777" w:rsidR="00BB5C5E" w:rsidRPr="001D40C3" w:rsidRDefault="000330B7" w:rsidP="00A33F89">
      <w:pPr>
        <w:pStyle w:val="BlockText"/>
        <w:numPr>
          <w:ilvl w:val="0"/>
          <w:numId w:val="5"/>
        </w:numPr>
        <w:tabs>
          <w:tab w:val="clear" w:pos="567"/>
        </w:tabs>
        <w:rPr>
          <w:sz w:val="24"/>
          <w:szCs w:val="24"/>
        </w:rPr>
      </w:pPr>
      <w:r w:rsidRPr="00C716B1">
        <w:rPr>
          <w:i/>
        </w:rPr>
        <w:t>Examples of add</w:t>
      </w:r>
      <w:r w:rsidR="00BB5C5E" w:rsidRPr="00A33F89">
        <w:t>itional equipment includes air conditioning, bull bars, towbars, roof-racks, snorkels, window-tinting, car alarm systems, audio visual equipment such as stereos or DVD players, GPS systems,</w:t>
      </w:r>
      <w:r w:rsidR="00BB5C5E">
        <w:t xml:space="preserve"> metallic paint, fog lights, cargo barriers, canopies, parking sensors,</w:t>
      </w:r>
      <w:r w:rsidR="00BB5C5E" w:rsidRPr="00A33F89">
        <w:t xml:space="preserve"> mag wheels and body kits such as spoilers. It also includes more substantive equipment, such as a tipper or tray fitted to a</w:t>
      </w:r>
      <w:r w:rsidR="00BB5C5E" w:rsidRPr="00105668">
        <w:t xml:space="preserve"> cab-chassis vehicle.</w:t>
      </w:r>
    </w:p>
    <w:p w14:paraId="50B916EB" w14:textId="77777777" w:rsidR="00BB5C5E" w:rsidRPr="001D40C3" w:rsidRDefault="00BB5C5E" w:rsidP="001D40C3">
      <w:pPr>
        <w:pStyle w:val="HeadingFour"/>
      </w:pPr>
      <w:bookmarkStart w:id="0" w:name="Arms"/>
      <w:r w:rsidRPr="00105668">
        <w:t xml:space="preserve">Arm’s length </w:t>
      </w:r>
    </w:p>
    <w:bookmarkEnd w:id="0"/>
    <w:p w14:paraId="67B122FD" w14:textId="77777777" w:rsidR="00BB5C5E" w:rsidRPr="00105668" w:rsidRDefault="00BB5C5E" w:rsidP="001D40C3">
      <w:pPr>
        <w:pStyle w:val="BlockText"/>
        <w:numPr>
          <w:ilvl w:val="0"/>
          <w:numId w:val="5"/>
        </w:numPr>
        <w:tabs>
          <w:tab w:val="clear" w:pos="567"/>
        </w:tabs>
      </w:pPr>
      <w:r w:rsidRPr="00105668">
        <w:t xml:space="preserve">A transfer by sale and purchase is at arm’s length when it is a transaction between a willing seller (the seller is not compelled to sell) and a willing buyer (the buyer is not compelled to buy) in which each acts in their own self-interest. Unrelated persons who do not have any business connections with each other generally deal with each other at arm's length, although this might not be the case if, for example, one is under the influence or control of the other. </w:t>
      </w:r>
    </w:p>
    <w:p w14:paraId="11983A26" w14:textId="77777777" w:rsidR="00BB5C5E" w:rsidRPr="001D40C3" w:rsidRDefault="00BB5C5E" w:rsidP="001D40C3">
      <w:pPr>
        <w:pStyle w:val="BlockText"/>
        <w:numPr>
          <w:ilvl w:val="0"/>
          <w:numId w:val="5"/>
        </w:numPr>
        <w:tabs>
          <w:tab w:val="clear" w:pos="567"/>
        </w:tabs>
      </w:pPr>
      <w:r w:rsidRPr="00105668">
        <w:t>Related persons, including associates within the meaning of the Act are not considered to deal with each other at arm's length.</w:t>
      </w:r>
      <w:r>
        <w:rPr>
          <w:rStyle w:val="FootnoteReference"/>
          <w:rFonts w:cs="Arial"/>
          <w:sz w:val="24"/>
          <w:szCs w:val="24"/>
        </w:rPr>
        <w:footnoteReference w:id="13"/>
      </w:r>
      <w:r w:rsidRPr="00105668">
        <w:t xml:space="preserve"> </w:t>
      </w:r>
    </w:p>
    <w:p w14:paraId="17FB8F69" w14:textId="77777777" w:rsidR="00BB5C5E" w:rsidRPr="001D40C3" w:rsidRDefault="00BB5C5E" w:rsidP="001D40C3">
      <w:pPr>
        <w:pStyle w:val="HeadingFour"/>
      </w:pPr>
      <w:bookmarkStart w:id="1" w:name="Market"/>
      <w:r w:rsidRPr="00105668">
        <w:t>Market value</w:t>
      </w:r>
    </w:p>
    <w:bookmarkEnd w:id="1"/>
    <w:p w14:paraId="28B96D30" w14:textId="77777777" w:rsidR="00BB5C5E" w:rsidRDefault="00BB5C5E" w:rsidP="001D40C3">
      <w:pPr>
        <w:pStyle w:val="BlockText"/>
        <w:numPr>
          <w:ilvl w:val="0"/>
          <w:numId w:val="5"/>
        </w:numPr>
        <w:tabs>
          <w:tab w:val="clear" w:pos="567"/>
        </w:tabs>
      </w:pPr>
      <w:r w:rsidRPr="00105668">
        <w:t>The market value of a motor vehicle is the price at which the motor vehicle, including additional equipment fitted to the vehicle, might reasonably be sold on the open market. It must also include GST, if applicable.</w:t>
      </w:r>
    </w:p>
    <w:p w14:paraId="6C9E8D32" w14:textId="77777777" w:rsidR="00BB5C5E" w:rsidRDefault="00BB5C5E" w:rsidP="009A7994">
      <w:pPr>
        <w:pStyle w:val="HeadingTwo"/>
      </w:pPr>
      <w:r>
        <w:t>Further information</w:t>
      </w:r>
    </w:p>
    <w:p w14:paraId="199BB14D" w14:textId="77777777" w:rsidR="00BB5C5E" w:rsidRDefault="00BB5C5E">
      <w:pPr>
        <w:pStyle w:val="BlockText"/>
        <w:numPr>
          <w:ilvl w:val="0"/>
          <w:numId w:val="5"/>
        </w:numPr>
        <w:tabs>
          <w:tab w:val="clear" w:pos="567"/>
        </w:tabs>
      </w:pPr>
      <w:r>
        <w:t xml:space="preserve">Further information can be found in </w:t>
      </w:r>
      <w:hyperlink r:id="rId15" w:tooltip="Link to I-SD-005" w:history="1">
        <w:r w:rsidRPr="00C00E13">
          <w:rPr>
            <w:rStyle w:val="Hyperlink"/>
            <w:rFonts w:cs="Arial"/>
          </w:rPr>
          <w:t>I-SD-005</w:t>
        </w:r>
      </w:hyperlink>
      <w:r>
        <w:t xml:space="preserve">: </w:t>
      </w:r>
      <w:r w:rsidRPr="00C00E13">
        <w:rPr>
          <w:i/>
        </w:rPr>
        <w:t>Stamp Duty and Motor Vehicles</w:t>
      </w:r>
      <w:r>
        <w:t xml:space="preserve">. </w:t>
      </w:r>
    </w:p>
    <w:p w14:paraId="04ED8D4D" w14:textId="77777777" w:rsidR="00BB5C5E" w:rsidRDefault="00BB5C5E" w:rsidP="006034B6">
      <w:pPr>
        <w:pStyle w:val="HeadingTwo"/>
      </w:pPr>
      <w:r>
        <w:t>Commissioner’s Guidelines</w:t>
      </w:r>
    </w:p>
    <w:p w14:paraId="28526A89" w14:textId="77777777" w:rsidR="00BB5C5E" w:rsidRPr="002D6D82" w:rsidRDefault="00BB5C5E" w:rsidP="00206981">
      <w:pPr>
        <w:pStyle w:val="BlockText"/>
        <w:numPr>
          <w:ilvl w:val="0"/>
          <w:numId w:val="5"/>
        </w:numPr>
        <w:tabs>
          <w:tab w:val="clear" w:pos="567"/>
        </w:tabs>
      </w:pPr>
      <w:r w:rsidRPr="002D6D82">
        <w:t>Co</w:t>
      </w:r>
      <w:r>
        <w:t xml:space="preserve">mmissioner’s Guideline </w:t>
      </w:r>
      <w:hyperlink r:id="rId16" w:tooltip="Link to CG-GEN-001" w:history="1">
        <w:r w:rsidRPr="008C77E2">
          <w:rPr>
            <w:rStyle w:val="Hyperlink"/>
            <w:rFonts w:cs="Arial"/>
          </w:rPr>
          <w:t>CG-GEN-001</w:t>
        </w:r>
      </w:hyperlink>
      <w:r w:rsidRPr="002D6D82">
        <w:t>, which sets out information on the revenue publication system, is incorporated into and is to be read as one with this Guideline.</w:t>
      </w:r>
      <w:r>
        <w:t xml:space="preserve"> </w:t>
      </w:r>
      <w:r w:rsidRPr="00987211">
        <w:t xml:space="preserve">All Circulars and Guidelines are available from </w:t>
      </w:r>
      <w:r>
        <w:t xml:space="preserve">the </w:t>
      </w:r>
      <w:r w:rsidRPr="00987211">
        <w:t>TRO website.</w:t>
      </w:r>
    </w:p>
    <w:p w14:paraId="7CCDE002" w14:textId="77777777" w:rsidR="00BB5C5E" w:rsidRDefault="00BB5C5E" w:rsidP="00F65356">
      <w:pPr>
        <w:pStyle w:val="HeadingTwo"/>
      </w:pPr>
      <w:r>
        <w:lastRenderedPageBreak/>
        <w:t>Date of effect</w:t>
      </w:r>
    </w:p>
    <w:p w14:paraId="0117AF8E" w14:textId="77777777" w:rsidR="00BB5C5E" w:rsidRDefault="00BB5C5E" w:rsidP="00BB1165">
      <w:pPr>
        <w:pStyle w:val="BlockText"/>
        <w:numPr>
          <w:ilvl w:val="0"/>
          <w:numId w:val="5"/>
        </w:numPr>
        <w:tabs>
          <w:tab w:val="clear" w:pos="567"/>
        </w:tabs>
      </w:pPr>
      <w:r>
        <w:t xml:space="preserve">This version of the Guideline takes effect from </w:t>
      </w:r>
      <w:r w:rsidR="000905F1">
        <w:t xml:space="preserve">28 </w:t>
      </w:r>
      <w:r w:rsidR="00C95F14">
        <w:t>October</w:t>
      </w:r>
      <w:r>
        <w:t xml:space="preserve"> 2013.</w:t>
      </w:r>
    </w:p>
    <w:p w14:paraId="04B6939C" w14:textId="77777777" w:rsidR="00BB5C5E" w:rsidRDefault="00BB5C5E" w:rsidP="006034B6"/>
    <w:p w14:paraId="6B4983EA" w14:textId="77777777" w:rsidR="00BB5C5E" w:rsidRDefault="000905F1" w:rsidP="006034B6">
      <w:r>
        <w:rPr>
          <w:noProof/>
        </w:rPr>
        <w:drawing>
          <wp:inline distT="0" distB="0" distL="0" distR="0" wp14:anchorId="56438341" wp14:editId="770F295B">
            <wp:extent cx="1847850" cy="352425"/>
            <wp:effectExtent l="0" t="0" r="0" b="9525"/>
            <wp:docPr id="2" name="Picture 2" descr="Grant Parsons electronic signature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ant Parsons electronic signature4.t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47850" cy="352425"/>
                    </a:xfrm>
                    <a:prstGeom prst="rect">
                      <a:avLst/>
                    </a:prstGeom>
                    <a:noFill/>
                    <a:ln>
                      <a:noFill/>
                    </a:ln>
                  </pic:spPr>
                </pic:pic>
              </a:graphicData>
            </a:graphic>
          </wp:inline>
        </w:drawing>
      </w:r>
    </w:p>
    <w:p w14:paraId="7E568ED8" w14:textId="77777777" w:rsidR="00BB5C5E" w:rsidRDefault="00BB5C5E" w:rsidP="006034B6"/>
    <w:p w14:paraId="59B2ED07" w14:textId="77777777" w:rsidR="00BB5C5E" w:rsidRDefault="00BB5C5E" w:rsidP="006034B6">
      <w:r>
        <w:t>Grant Parsons</w:t>
      </w:r>
    </w:p>
    <w:p w14:paraId="403C096C" w14:textId="77777777" w:rsidR="00BB5C5E" w:rsidRPr="005247E5" w:rsidRDefault="00BB5C5E" w:rsidP="006034B6">
      <w:pPr>
        <w:rPr>
          <w:b/>
        </w:rPr>
      </w:pPr>
      <w:r w:rsidRPr="005247E5">
        <w:rPr>
          <w:b/>
        </w:rPr>
        <w:t>COMMISSIONER OF TERRITORY REVENUE</w:t>
      </w:r>
    </w:p>
    <w:p w14:paraId="5A4252F1" w14:textId="77777777" w:rsidR="00BB5C5E" w:rsidRDefault="00BB5C5E" w:rsidP="006034B6"/>
    <w:p w14:paraId="3D74D82B" w14:textId="77777777" w:rsidR="00BB5C5E" w:rsidRDefault="00BB5C5E" w:rsidP="006034B6">
      <w:r>
        <w:t>Date of Issue:</w:t>
      </w:r>
      <w:r>
        <w:tab/>
      </w:r>
      <w:r>
        <w:tab/>
      </w:r>
      <w:r w:rsidR="000905F1">
        <w:t xml:space="preserve">28 </w:t>
      </w:r>
      <w:r w:rsidR="00C95F14">
        <w:t>O</w:t>
      </w:r>
      <w:r w:rsidR="00CE2BCA">
        <w:t>c</w:t>
      </w:r>
      <w:r w:rsidR="00C95F14">
        <w:t>tober</w:t>
      </w:r>
      <w:r>
        <w:t xml:space="preserve"> 2013</w:t>
      </w:r>
    </w:p>
    <w:p w14:paraId="4695C3AF" w14:textId="77777777" w:rsidR="00BB5C5E" w:rsidRDefault="00BB5C5E" w:rsidP="006034B6"/>
    <w:tbl>
      <w:tblPr>
        <w:tblW w:w="0" w:type="auto"/>
        <w:tblBorders>
          <w:top w:val="single" w:sz="4" w:space="0" w:color="auto"/>
          <w:bottom w:val="single" w:sz="4" w:space="0" w:color="auto"/>
          <w:insideH w:val="single" w:sz="4" w:space="0" w:color="auto"/>
        </w:tblBorders>
        <w:tblCellMar>
          <w:top w:w="62" w:type="dxa"/>
          <w:bottom w:w="62" w:type="dxa"/>
        </w:tblCellMar>
        <w:tblLook w:val="01E0" w:firstRow="1" w:lastRow="1" w:firstColumn="1" w:lastColumn="1" w:noHBand="0" w:noVBand="0"/>
      </w:tblPr>
      <w:tblGrid>
        <w:gridCol w:w="4927"/>
        <w:gridCol w:w="4927"/>
      </w:tblGrid>
      <w:tr w:rsidR="00BB5C5E" w:rsidRPr="00F24953" w14:paraId="40966032" w14:textId="77777777" w:rsidTr="00F24953">
        <w:tc>
          <w:tcPr>
            <w:tcW w:w="9854" w:type="dxa"/>
            <w:gridSpan w:val="2"/>
          </w:tcPr>
          <w:p w14:paraId="7A80F726" w14:textId="77777777" w:rsidR="00BB5C5E" w:rsidRPr="00F24953" w:rsidRDefault="00BB5C5E" w:rsidP="006034B6">
            <w:pPr>
              <w:rPr>
                <w:sz w:val="20"/>
              </w:rPr>
            </w:pPr>
            <w:r w:rsidRPr="00F24953">
              <w:rPr>
                <w:sz w:val="20"/>
              </w:rPr>
              <w:t>For further information please contact the Territory Revenue Office:</w:t>
            </w:r>
          </w:p>
        </w:tc>
      </w:tr>
      <w:tr w:rsidR="00BB5C5E" w:rsidRPr="00F24953" w14:paraId="3642F308" w14:textId="77777777" w:rsidTr="00F24953">
        <w:tc>
          <w:tcPr>
            <w:tcW w:w="4927" w:type="dxa"/>
          </w:tcPr>
          <w:p w14:paraId="63F52D83" w14:textId="75F8EBCD" w:rsidR="00BB5C5E" w:rsidRPr="00F24953" w:rsidRDefault="00B46FFF" w:rsidP="006034B6">
            <w:pPr>
              <w:rPr>
                <w:sz w:val="20"/>
              </w:rPr>
            </w:pPr>
            <w:r>
              <w:rPr>
                <w:sz w:val="20"/>
              </w:rPr>
              <w:t>GPO Box 197</w:t>
            </w:r>
            <w:bookmarkStart w:id="2" w:name="_GoBack"/>
            <w:bookmarkEnd w:id="2"/>
            <w:r w:rsidR="00BB5C5E" w:rsidRPr="00F24953">
              <w:rPr>
                <w:sz w:val="20"/>
              </w:rPr>
              <w:t>4</w:t>
            </w:r>
          </w:p>
          <w:p w14:paraId="4FDFE224" w14:textId="77777777" w:rsidR="00BB5C5E" w:rsidRPr="00F24953" w:rsidRDefault="00BB5C5E" w:rsidP="006034B6">
            <w:pPr>
              <w:rPr>
                <w:sz w:val="20"/>
              </w:rPr>
            </w:pPr>
            <w:r w:rsidRPr="00F24953">
              <w:rPr>
                <w:sz w:val="20"/>
              </w:rPr>
              <w:t>Darwin  NT  0801</w:t>
            </w:r>
          </w:p>
          <w:p w14:paraId="5AF359F7" w14:textId="77777777" w:rsidR="00BB5C5E" w:rsidRPr="00F24953" w:rsidRDefault="00BB5C5E" w:rsidP="00F24953">
            <w:pPr>
              <w:pStyle w:val="BlockText"/>
              <w:numPr>
                <w:ilvl w:val="0"/>
                <w:numId w:val="0"/>
              </w:numPr>
              <w:rPr>
                <w:sz w:val="20"/>
              </w:rPr>
            </w:pPr>
            <w:r w:rsidRPr="00F24953">
              <w:rPr>
                <w:sz w:val="20"/>
              </w:rPr>
              <w:t xml:space="preserve">Email: </w:t>
            </w:r>
            <w:hyperlink r:id="rId18" w:tooltip="Link to TRO email address" w:history="1">
              <w:r w:rsidRPr="00FE6B16">
                <w:rPr>
                  <w:rStyle w:val="Hyperlink"/>
                  <w:rFonts w:cs="Arial"/>
                  <w:sz w:val="20"/>
                </w:rPr>
                <w:t>ntrevenue@nt.gov.au</w:t>
              </w:r>
            </w:hyperlink>
            <w:r>
              <w:rPr>
                <w:sz w:val="20"/>
              </w:rPr>
              <w:t xml:space="preserve"> </w:t>
            </w:r>
          </w:p>
        </w:tc>
        <w:tc>
          <w:tcPr>
            <w:tcW w:w="4927" w:type="dxa"/>
          </w:tcPr>
          <w:p w14:paraId="44CF3F3B" w14:textId="77777777" w:rsidR="00BB5C5E" w:rsidRPr="00F24953" w:rsidRDefault="00BB5C5E" w:rsidP="006034B6">
            <w:pPr>
              <w:rPr>
                <w:sz w:val="20"/>
              </w:rPr>
            </w:pPr>
            <w:r w:rsidRPr="00F24953">
              <w:rPr>
                <w:sz w:val="20"/>
              </w:rPr>
              <w:t>Phone: 1300 305 353</w:t>
            </w:r>
          </w:p>
          <w:p w14:paraId="5DB9A6DA" w14:textId="77777777" w:rsidR="00BB5C5E" w:rsidRPr="00F24953" w:rsidRDefault="00BB5C5E" w:rsidP="006034B6">
            <w:pPr>
              <w:rPr>
                <w:sz w:val="20"/>
              </w:rPr>
            </w:pPr>
            <w:r w:rsidRPr="00F24953">
              <w:rPr>
                <w:sz w:val="20"/>
              </w:rPr>
              <w:t xml:space="preserve">Website: </w:t>
            </w:r>
            <w:hyperlink r:id="rId19" w:tooltip="Link to TRO Website" w:history="1">
              <w:r w:rsidRPr="00F24953">
                <w:rPr>
                  <w:rStyle w:val="Hyperlink"/>
                  <w:rFonts w:cs="Arial"/>
                  <w:sz w:val="20"/>
                </w:rPr>
                <w:t>www.revenue.nt.gov.au</w:t>
              </w:r>
            </w:hyperlink>
          </w:p>
        </w:tc>
      </w:tr>
    </w:tbl>
    <w:p w14:paraId="41723AB8" w14:textId="77777777" w:rsidR="00BB5C5E" w:rsidRPr="00364D5F" w:rsidRDefault="00BB5C5E" w:rsidP="00364D5F">
      <w:pPr>
        <w:tabs>
          <w:tab w:val="left" w:pos="3090"/>
        </w:tabs>
      </w:pPr>
    </w:p>
    <w:sectPr w:rsidR="00BB5C5E" w:rsidRPr="00364D5F" w:rsidSect="00F65356">
      <w:headerReference w:type="even" r:id="rId20"/>
      <w:headerReference w:type="default" r:id="rId21"/>
      <w:footerReference w:type="default" r:id="rId22"/>
      <w:headerReference w:type="first" r:id="rId23"/>
      <w:footerReference w:type="first" r:id="rId24"/>
      <w:pgSz w:w="11906" w:h="16838" w:code="9"/>
      <w:pgMar w:top="567" w:right="1134"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B7872A" w14:textId="77777777" w:rsidR="00AD34FE" w:rsidRDefault="00AD34FE">
      <w:r>
        <w:separator/>
      </w:r>
    </w:p>
  </w:endnote>
  <w:endnote w:type="continuationSeparator" w:id="0">
    <w:p w14:paraId="501FF322" w14:textId="77777777" w:rsidR="00AD34FE" w:rsidRDefault="00AD3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CG Omega">
    <w:panose1 w:val="00000000000000000000"/>
    <w:charset w:val="00"/>
    <w:family w:val="swiss"/>
    <w:notTrueType/>
    <w:pitch w:val="variable"/>
    <w:sig w:usb0="00000003" w:usb1="00000000" w:usb2="00000000" w:usb3="00000000" w:csb0="00000001" w:csb1="00000000"/>
  </w:font>
  <w:font w:name="Verdana">
    <w:altName w:val="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EB65E" w14:textId="77777777" w:rsidR="00BB5C5E" w:rsidRDefault="00BB5C5E" w:rsidP="00364D5F">
    <w:pPr>
      <w:pStyle w:val="Footer"/>
      <w:tabs>
        <w:tab w:val="clear" w:pos="4153"/>
        <w:tab w:val="clear" w:pos="8306"/>
        <w:tab w:val="right" w:pos="9720"/>
      </w:tabs>
      <w:rPr>
        <w:sz w:val="16"/>
        <w:szCs w:val="16"/>
      </w:rPr>
    </w:pPr>
  </w:p>
  <w:p w14:paraId="5ED70405" w14:textId="3C41EFEA" w:rsidR="00BB5C5E" w:rsidRPr="00364D5F" w:rsidRDefault="00BB5C5E" w:rsidP="00364D5F">
    <w:pPr>
      <w:pStyle w:val="Footer"/>
      <w:tabs>
        <w:tab w:val="clear" w:pos="4153"/>
        <w:tab w:val="clear" w:pos="8306"/>
        <w:tab w:val="right" w:pos="9720"/>
      </w:tabs>
      <w:rPr>
        <w:sz w:val="16"/>
        <w:szCs w:val="16"/>
      </w:rPr>
    </w:pPr>
    <w:r w:rsidRPr="006034B6">
      <w:rPr>
        <w:sz w:val="16"/>
        <w:szCs w:val="16"/>
      </w:rPr>
      <w:t xml:space="preserve">Page </w:t>
    </w:r>
    <w:r w:rsidR="000330B7" w:rsidRPr="006034B6">
      <w:rPr>
        <w:sz w:val="16"/>
        <w:szCs w:val="16"/>
      </w:rPr>
      <w:fldChar w:fldCharType="begin"/>
    </w:r>
    <w:r w:rsidRPr="006034B6">
      <w:rPr>
        <w:sz w:val="16"/>
        <w:szCs w:val="16"/>
      </w:rPr>
      <w:instrText xml:space="preserve"> PAGE </w:instrText>
    </w:r>
    <w:r w:rsidR="000330B7" w:rsidRPr="006034B6">
      <w:rPr>
        <w:sz w:val="16"/>
        <w:szCs w:val="16"/>
      </w:rPr>
      <w:fldChar w:fldCharType="separate"/>
    </w:r>
    <w:r w:rsidR="00B46FFF">
      <w:rPr>
        <w:noProof/>
        <w:sz w:val="16"/>
        <w:szCs w:val="16"/>
      </w:rPr>
      <w:t>4</w:t>
    </w:r>
    <w:r w:rsidR="000330B7" w:rsidRPr="006034B6">
      <w:rPr>
        <w:sz w:val="16"/>
        <w:szCs w:val="16"/>
      </w:rPr>
      <w:fldChar w:fldCharType="end"/>
    </w:r>
    <w:r w:rsidRPr="006034B6">
      <w:rPr>
        <w:sz w:val="16"/>
        <w:szCs w:val="16"/>
      </w:rPr>
      <w:t xml:space="preserve"> of </w:t>
    </w:r>
    <w:r w:rsidR="000330B7" w:rsidRPr="006034B6">
      <w:rPr>
        <w:sz w:val="16"/>
        <w:szCs w:val="16"/>
      </w:rPr>
      <w:fldChar w:fldCharType="begin"/>
    </w:r>
    <w:r w:rsidRPr="006034B6">
      <w:rPr>
        <w:sz w:val="16"/>
        <w:szCs w:val="16"/>
      </w:rPr>
      <w:instrText xml:space="preserve"> NUMPAGES </w:instrText>
    </w:r>
    <w:r w:rsidR="000330B7" w:rsidRPr="006034B6">
      <w:rPr>
        <w:sz w:val="16"/>
        <w:szCs w:val="16"/>
      </w:rPr>
      <w:fldChar w:fldCharType="separate"/>
    </w:r>
    <w:r w:rsidR="00B46FFF">
      <w:rPr>
        <w:noProof/>
        <w:sz w:val="16"/>
        <w:szCs w:val="16"/>
      </w:rPr>
      <w:t>5</w:t>
    </w:r>
    <w:r w:rsidR="000330B7" w:rsidRPr="006034B6">
      <w:rPr>
        <w:sz w:val="16"/>
        <w:szCs w:val="16"/>
      </w:rPr>
      <w:fldChar w:fldCharType="end"/>
    </w:r>
    <w:r>
      <w:rPr>
        <w:sz w:val="16"/>
        <w:szCs w:val="16"/>
      </w:rPr>
      <w:tab/>
      <w:t>CG-SD-004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8EF1AC" w14:textId="77777777" w:rsidR="00BB5C5E" w:rsidRDefault="00BB5C5E" w:rsidP="00364D5F">
    <w:pPr>
      <w:pStyle w:val="Footer"/>
      <w:tabs>
        <w:tab w:val="clear" w:pos="4153"/>
        <w:tab w:val="clear" w:pos="8306"/>
        <w:tab w:val="right" w:pos="9720"/>
      </w:tabs>
      <w:rPr>
        <w:sz w:val="16"/>
        <w:szCs w:val="16"/>
      </w:rPr>
    </w:pPr>
  </w:p>
  <w:p w14:paraId="18DA216A" w14:textId="26D9877D" w:rsidR="00BB5C5E" w:rsidRPr="006034B6" w:rsidRDefault="00BB5C5E" w:rsidP="00364D5F">
    <w:pPr>
      <w:pStyle w:val="Footer"/>
      <w:tabs>
        <w:tab w:val="clear" w:pos="4153"/>
        <w:tab w:val="clear" w:pos="8306"/>
        <w:tab w:val="right" w:pos="9720"/>
      </w:tabs>
      <w:rPr>
        <w:sz w:val="16"/>
        <w:szCs w:val="16"/>
      </w:rPr>
    </w:pPr>
    <w:r w:rsidRPr="006034B6">
      <w:rPr>
        <w:sz w:val="16"/>
        <w:szCs w:val="16"/>
      </w:rPr>
      <w:t xml:space="preserve">Page </w:t>
    </w:r>
    <w:r w:rsidR="000330B7" w:rsidRPr="006034B6">
      <w:rPr>
        <w:sz w:val="16"/>
        <w:szCs w:val="16"/>
      </w:rPr>
      <w:fldChar w:fldCharType="begin"/>
    </w:r>
    <w:r w:rsidRPr="006034B6">
      <w:rPr>
        <w:sz w:val="16"/>
        <w:szCs w:val="16"/>
      </w:rPr>
      <w:instrText xml:space="preserve"> PAGE </w:instrText>
    </w:r>
    <w:r w:rsidR="000330B7" w:rsidRPr="006034B6">
      <w:rPr>
        <w:sz w:val="16"/>
        <w:szCs w:val="16"/>
      </w:rPr>
      <w:fldChar w:fldCharType="separate"/>
    </w:r>
    <w:r w:rsidR="00B46FFF">
      <w:rPr>
        <w:noProof/>
        <w:sz w:val="16"/>
        <w:szCs w:val="16"/>
      </w:rPr>
      <w:t>1</w:t>
    </w:r>
    <w:r w:rsidR="000330B7" w:rsidRPr="006034B6">
      <w:rPr>
        <w:sz w:val="16"/>
        <w:szCs w:val="16"/>
      </w:rPr>
      <w:fldChar w:fldCharType="end"/>
    </w:r>
    <w:r w:rsidRPr="006034B6">
      <w:rPr>
        <w:sz w:val="16"/>
        <w:szCs w:val="16"/>
      </w:rPr>
      <w:t xml:space="preserve"> of </w:t>
    </w:r>
    <w:r w:rsidR="000330B7" w:rsidRPr="006034B6">
      <w:rPr>
        <w:sz w:val="16"/>
        <w:szCs w:val="16"/>
      </w:rPr>
      <w:fldChar w:fldCharType="begin"/>
    </w:r>
    <w:r w:rsidRPr="006034B6">
      <w:rPr>
        <w:sz w:val="16"/>
        <w:szCs w:val="16"/>
      </w:rPr>
      <w:instrText xml:space="preserve"> NUMPAGES </w:instrText>
    </w:r>
    <w:r w:rsidR="000330B7" w:rsidRPr="006034B6">
      <w:rPr>
        <w:sz w:val="16"/>
        <w:szCs w:val="16"/>
      </w:rPr>
      <w:fldChar w:fldCharType="separate"/>
    </w:r>
    <w:r w:rsidR="00B46FFF">
      <w:rPr>
        <w:noProof/>
        <w:sz w:val="16"/>
        <w:szCs w:val="16"/>
      </w:rPr>
      <w:t>5</w:t>
    </w:r>
    <w:r w:rsidR="000330B7" w:rsidRPr="006034B6">
      <w:rPr>
        <w:sz w:val="16"/>
        <w:szCs w:val="16"/>
      </w:rPr>
      <w:fldChar w:fldCharType="end"/>
    </w:r>
    <w:r>
      <w:rPr>
        <w:sz w:val="16"/>
        <w:szCs w:val="16"/>
      </w:rPr>
      <w:tab/>
      <w:t>CG-SD-004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5B881A" w14:textId="77777777" w:rsidR="00AD34FE" w:rsidRDefault="00AD34FE">
      <w:r>
        <w:separator/>
      </w:r>
    </w:p>
  </w:footnote>
  <w:footnote w:type="continuationSeparator" w:id="0">
    <w:p w14:paraId="21182C5C" w14:textId="77777777" w:rsidR="00AD34FE" w:rsidRDefault="00AD34FE">
      <w:r>
        <w:continuationSeparator/>
      </w:r>
    </w:p>
  </w:footnote>
  <w:footnote w:id="1">
    <w:p w14:paraId="05F9C919" w14:textId="77777777" w:rsidR="00BB5C5E" w:rsidRDefault="00BB5C5E" w:rsidP="0042047C">
      <w:pPr>
        <w:pStyle w:val="FootnoteText"/>
      </w:pPr>
      <w:r w:rsidRPr="000C1B12">
        <w:rPr>
          <w:rStyle w:val="FootnoteReference"/>
          <w:rFonts w:cs="Arial"/>
          <w:sz w:val="18"/>
          <w:szCs w:val="18"/>
        </w:rPr>
        <w:footnoteRef/>
      </w:r>
      <w:r w:rsidRPr="000C1B12">
        <w:rPr>
          <w:rFonts w:ascii="Arial" w:hAnsi="Arial" w:cs="Arial"/>
          <w:sz w:val="18"/>
          <w:szCs w:val="18"/>
        </w:rPr>
        <w:t xml:space="preserve"> Section 57 of the Act.</w:t>
      </w:r>
    </w:p>
  </w:footnote>
  <w:footnote w:id="2">
    <w:p w14:paraId="5AA46918" w14:textId="77777777" w:rsidR="00BB5C5E" w:rsidRDefault="00BB5C5E" w:rsidP="0042047C">
      <w:pPr>
        <w:pStyle w:val="FootnoteText"/>
      </w:pPr>
      <w:r w:rsidRPr="000C1B12">
        <w:rPr>
          <w:rStyle w:val="FootnoteReference"/>
          <w:rFonts w:cs="Arial"/>
          <w:sz w:val="18"/>
          <w:szCs w:val="18"/>
        </w:rPr>
        <w:footnoteRef/>
      </w:r>
      <w:r w:rsidRPr="000C1B12">
        <w:rPr>
          <w:rFonts w:ascii="Arial" w:hAnsi="Arial" w:cs="Arial"/>
          <w:sz w:val="18"/>
          <w:szCs w:val="18"/>
        </w:rPr>
        <w:t xml:space="preserve"> Item 5 of Schedule 1 to the Act.</w:t>
      </w:r>
    </w:p>
  </w:footnote>
  <w:footnote w:id="3">
    <w:p w14:paraId="7060B394" w14:textId="77777777" w:rsidR="00BB5C5E" w:rsidRDefault="00BB5C5E" w:rsidP="0042047C">
      <w:pPr>
        <w:pStyle w:val="FootnoteText"/>
      </w:pPr>
      <w:r w:rsidRPr="000C1B12">
        <w:rPr>
          <w:rStyle w:val="FootnoteReference"/>
          <w:rFonts w:cs="Arial"/>
          <w:sz w:val="18"/>
          <w:szCs w:val="18"/>
        </w:rPr>
        <w:footnoteRef/>
      </w:r>
      <w:r w:rsidRPr="000C1B12">
        <w:rPr>
          <w:rFonts w:ascii="Arial" w:hAnsi="Arial" w:cs="Arial"/>
          <w:sz w:val="18"/>
          <w:szCs w:val="18"/>
        </w:rPr>
        <w:t xml:space="preserve"> Section 58 of the Act.</w:t>
      </w:r>
    </w:p>
  </w:footnote>
  <w:footnote w:id="4">
    <w:p w14:paraId="48D62A41" w14:textId="77777777" w:rsidR="00BB5C5E" w:rsidRDefault="00BB5C5E" w:rsidP="0042047C">
      <w:pPr>
        <w:pStyle w:val="FootnoteText"/>
      </w:pPr>
      <w:r w:rsidRPr="000C1B12">
        <w:rPr>
          <w:rStyle w:val="FootnoteReference"/>
          <w:rFonts w:cs="Arial"/>
          <w:sz w:val="18"/>
          <w:szCs w:val="18"/>
        </w:rPr>
        <w:footnoteRef/>
      </w:r>
      <w:r w:rsidRPr="000C1B12">
        <w:rPr>
          <w:rFonts w:ascii="Arial" w:hAnsi="Arial" w:cs="Arial"/>
          <w:sz w:val="18"/>
          <w:szCs w:val="18"/>
        </w:rPr>
        <w:t xml:space="preserve"> Section 20(2) of the </w:t>
      </w:r>
      <w:r w:rsidRPr="000C1B12">
        <w:rPr>
          <w:rFonts w:ascii="Arial" w:hAnsi="Arial" w:cs="Arial"/>
          <w:i/>
          <w:sz w:val="18"/>
          <w:szCs w:val="18"/>
        </w:rPr>
        <w:t>Motor Vehicles Act</w:t>
      </w:r>
      <w:r w:rsidRPr="000C1B12">
        <w:rPr>
          <w:rFonts w:ascii="Arial" w:hAnsi="Arial" w:cs="Arial"/>
          <w:sz w:val="18"/>
          <w:szCs w:val="18"/>
        </w:rPr>
        <w:t>.</w:t>
      </w:r>
    </w:p>
  </w:footnote>
  <w:footnote w:id="5">
    <w:p w14:paraId="5B1FD242" w14:textId="77777777" w:rsidR="00BB5C5E" w:rsidRDefault="00BB5C5E" w:rsidP="0042047C">
      <w:pPr>
        <w:pStyle w:val="FootnoteText"/>
      </w:pPr>
      <w:r w:rsidRPr="000C1B12">
        <w:rPr>
          <w:rStyle w:val="FootnoteReference"/>
          <w:rFonts w:cs="Arial"/>
          <w:sz w:val="18"/>
          <w:szCs w:val="18"/>
        </w:rPr>
        <w:footnoteRef/>
      </w:r>
      <w:r w:rsidRPr="000C1B12">
        <w:rPr>
          <w:rFonts w:ascii="Arial" w:hAnsi="Arial" w:cs="Arial"/>
          <w:sz w:val="18"/>
          <w:szCs w:val="18"/>
        </w:rPr>
        <w:t xml:space="preserve"> Section 59(1) (“dutiable value”, paragraph (a)) of the Act.</w:t>
      </w:r>
    </w:p>
  </w:footnote>
  <w:footnote w:id="6">
    <w:p w14:paraId="6ED2153A" w14:textId="77777777" w:rsidR="00BB5C5E" w:rsidRDefault="00BB5C5E" w:rsidP="0042047C">
      <w:pPr>
        <w:pStyle w:val="FootnoteText"/>
      </w:pPr>
      <w:r w:rsidRPr="000C1B12">
        <w:rPr>
          <w:rStyle w:val="FootnoteReference"/>
          <w:rFonts w:cs="Arial"/>
          <w:sz w:val="18"/>
          <w:szCs w:val="18"/>
        </w:rPr>
        <w:footnoteRef/>
      </w:r>
      <w:r w:rsidRPr="000C1B12">
        <w:rPr>
          <w:rFonts w:ascii="Arial" w:hAnsi="Arial" w:cs="Arial"/>
          <w:sz w:val="18"/>
          <w:szCs w:val="18"/>
        </w:rPr>
        <w:t xml:space="preserve"> Section 59(1) (‘dutiable value’, paragraph (b)) of the Act.</w:t>
      </w:r>
    </w:p>
  </w:footnote>
  <w:footnote w:id="7">
    <w:p w14:paraId="0C853774" w14:textId="77777777" w:rsidR="00BB5C5E" w:rsidRDefault="00BB5C5E" w:rsidP="0042047C">
      <w:pPr>
        <w:pStyle w:val="FootnoteText"/>
      </w:pPr>
      <w:r w:rsidRPr="00D93182">
        <w:rPr>
          <w:rStyle w:val="FootnoteReference"/>
          <w:rFonts w:cs="Arial"/>
          <w:sz w:val="18"/>
          <w:szCs w:val="18"/>
        </w:rPr>
        <w:footnoteRef/>
      </w:r>
      <w:r w:rsidRPr="00D93182">
        <w:rPr>
          <w:rFonts w:ascii="Arial" w:hAnsi="Arial" w:cs="Arial"/>
          <w:sz w:val="18"/>
          <w:szCs w:val="18"/>
        </w:rPr>
        <w:t xml:space="preserve"> Section 59(3) of the Act.</w:t>
      </w:r>
    </w:p>
  </w:footnote>
  <w:footnote w:id="8">
    <w:p w14:paraId="6DAD0779" w14:textId="77777777" w:rsidR="00BB5C5E" w:rsidRDefault="00BB5C5E" w:rsidP="0042047C">
      <w:pPr>
        <w:pStyle w:val="FootnoteText"/>
      </w:pPr>
      <w:r w:rsidRPr="00D93182">
        <w:rPr>
          <w:rStyle w:val="FootnoteReference"/>
          <w:rFonts w:cs="Arial"/>
          <w:sz w:val="18"/>
          <w:szCs w:val="18"/>
        </w:rPr>
        <w:footnoteRef/>
      </w:r>
      <w:r w:rsidRPr="00D93182">
        <w:rPr>
          <w:rFonts w:ascii="Arial" w:hAnsi="Arial" w:cs="Arial"/>
          <w:sz w:val="18"/>
          <w:szCs w:val="18"/>
        </w:rPr>
        <w:t xml:space="preserve"> Section 20(1) of the </w:t>
      </w:r>
      <w:r w:rsidRPr="00D93182">
        <w:rPr>
          <w:rFonts w:ascii="Arial" w:hAnsi="Arial" w:cs="Arial"/>
          <w:i/>
          <w:sz w:val="18"/>
          <w:szCs w:val="18"/>
        </w:rPr>
        <w:t>Motor Vehicles Act</w:t>
      </w:r>
      <w:r w:rsidRPr="00D93182">
        <w:rPr>
          <w:rFonts w:ascii="Arial" w:hAnsi="Arial" w:cs="Arial"/>
          <w:sz w:val="18"/>
          <w:szCs w:val="18"/>
        </w:rPr>
        <w:t>.</w:t>
      </w:r>
    </w:p>
  </w:footnote>
  <w:footnote w:id="9">
    <w:p w14:paraId="22049EDA" w14:textId="77777777" w:rsidR="00BB5C5E" w:rsidRDefault="00BB5C5E" w:rsidP="0042047C">
      <w:pPr>
        <w:pStyle w:val="FootnoteText"/>
      </w:pPr>
      <w:r w:rsidRPr="00D93182">
        <w:rPr>
          <w:rStyle w:val="FootnoteReference"/>
          <w:rFonts w:cs="Arial"/>
          <w:sz w:val="18"/>
          <w:szCs w:val="18"/>
        </w:rPr>
        <w:footnoteRef/>
      </w:r>
      <w:r w:rsidRPr="00D93182">
        <w:rPr>
          <w:rFonts w:ascii="Arial" w:hAnsi="Arial" w:cs="Arial"/>
          <w:sz w:val="18"/>
          <w:szCs w:val="18"/>
        </w:rPr>
        <w:t xml:space="preserve"> Part 5 of the </w:t>
      </w:r>
      <w:r w:rsidRPr="00D93182">
        <w:rPr>
          <w:rFonts w:ascii="Arial" w:hAnsi="Arial" w:cs="Arial"/>
          <w:i/>
          <w:sz w:val="18"/>
          <w:szCs w:val="18"/>
        </w:rPr>
        <w:t>Taxation Administration Act</w:t>
      </w:r>
      <w:r w:rsidRPr="00D93182">
        <w:rPr>
          <w:rFonts w:ascii="Arial" w:hAnsi="Arial" w:cs="Arial"/>
          <w:sz w:val="18"/>
          <w:szCs w:val="18"/>
        </w:rPr>
        <w:t>.</w:t>
      </w:r>
    </w:p>
  </w:footnote>
  <w:footnote w:id="10">
    <w:p w14:paraId="264EC845" w14:textId="77777777" w:rsidR="00BB5C5E" w:rsidRDefault="00BB5C5E" w:rsidP="0042047C">
      <w:pPr>
        <w:pStyle w:val="FootnoteText"/>
      </w:pPr>
      <w:r w:rsidRPr="00D93182">
        <w:rPr>
          <w:rStyle w:val="FootnoteReference"/>
          <w:rFonts w:cs="Arial"/>
          <w:sz w:val="18"/>
          <w:szCs w:val="18"/>
        </w:rPr>
        <w:footnoteRef/>
      </w:r>
      <w:r w:rsidRPr="00D93182">
        <w:rPr>
          <w:rFonts w:ascii="Arial" w:hAnsi="Arial" w:cs="Arial"/>
          <w:sz w:val="18"/>
          <w:szCs w:val="18"/>
        </w:rPr>
        <w:t xml:space="preserve"> Sections 86(3) and (4) of the Act.</w:t>
      </w:r>
    </w:p>
  </w:footnote>
  <w:footnote w:id="11">
    <w:p w14:paraId="3765C5F3" w14:textId="77777777" w:rsidR="00BB5C5E" w:rsidRDefault="00BB5C5E" w:rsidP="0042047C">
      <w:pPr>
        <w:pStyle w:val="FootnoteText"/>
      </w:pPr>
      <w:r w:rsidRPr="00D93182">
        <w:rPr>
          <w:rStyle w:val="FootnoteReference"/>
          <w:rFonts w:cs="Arial"/>
          <w:sz w:val="18"/>
          <w:szCs w:val="18"/>
        </w:rPr>
        <w:footnoteRef/>
      </w:r>
      <w:r w:rsidRPr="00D93182">
        <w:rPr>
          <w:rFonts w:ascii="Arial" w:hAnsi="Arial" w:cs="Arial"/>
          <w:sz w:val="18"/>
          <w:szCs w:val="18"/>
        </w:rPr>
        <w:t xml:space="preserve"> Section 59A of the Act.</w:t>
      </w:r>
    </w:p>
  </w:footnote>
  <w:footnote w:id="12">
    <w:p w14:paraId="5667CEAC" w14:textId="77777777" w:rsidR="00BB5C5E" w:rsidRDefault="00BB5C5E" w:rsidP="0042047C">
      <w:pPr>
        <w:pStyle w:val="FootnoteText"/>
      </w:pPr>
      <w:r w:rsidRPr="00D93182">
        <w:rPr>
          <w:rStyle w:val="FootnoteReference"/>
          <w:rFonts w:cs="Arial"/>
          <w:sz w:val="18"/>
          <w:szCs w:val="18"/>
        </w:rPr>
        <w:footnoteRef/>
      </w:r>
      <w:r w:rsidRPr="00D93182">
        <w:rPr>
          <w:rFonts w:ascii="Arial" w:hAnsi="Arial" w:cs="Arial"/>
          <w:sz w:val="18"/>
          <w:szCs w:val="18"/>
        </w:rPr>
        <w:t xml:space="preserve"> Section 59(1) (‘additional equipment’) of the Act.</w:t>
      </w:r>
    </w:p>
  </w:footnote>
  <w:footnote w:id="13">
    <w:p w14:paraId="67707CB1" w14:textId="77777777" w:rsidR="00BB5C5E" w:rsidRDefault="00BB5C5E" w:rsidP="0042047C">
      <w:pPr>
        <w:pStyle w:val="FootnoteText"/>
      </w:pPr>
      <w:r w:rsidRPr="00D93182">
        <w:rPr>
          <w:rStyle w:val="FootnoteReference"/>
          <w:rFonts w:cs="Arial"/>
          <w:sz w:val="18"/>
          <w:szCs w:val="18"/>
        </w:rPr>
        <w:footnoteRef/>
      </w:r>
      <w:r w:rsidRPr="00D93182">
        <w:rPr>
          <w:rFonts w:ascii="Arial" w:hAnsi="Arial" w:cs="Arial"/>
          <w:sz w:val="18"/>
          <w:szCs w:val="18"/>
        </w:rPr>
        <w:t xml:space="preserve"> Section 4(2) of the 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4484C" w14:textId="77777777" w:rsidR="00BB5C5E" w:rsidRDefault="000330B7" w:rsidP="00763A20">
    <w:pPr>
      <w:pStyle w:val="Header"/>
      <w:framePr w:wrap="around" w:vAnchor="text" w:hAnchor="margin" w:xAlign="center" w:y="1"/>
      <w:rPr>
        <w:rStyle w:val="PageNumber"/>
        <w:rFonts w:cs="Arial"/>
      </w:rPr>
    </w:pPr>
    <w:r>
      <w:rPr>
        <w:rStyle w:val="PageNumber"/>
        <w:rFonts w:cs="Arial"/>
      </w:rPr>
      <w:fldChar w:fldCharType="begin"/>
    </w:r>
    <w:r w:rsidR="00BB5C5E">
      <w:rPr>
        <w:rStyle w:val="PageNumber"/>
        <w:rFonts w:cs="Arial"/>
      </w:rPr>
      <w:instrText xml:space="preserve">PAGE  </w:instrText>
    </w:r>
    <w:r>
      <w:rPr>
        <w:rStyle w:val="PageNumber"/>
        <w:rFonts w:cs="Arial"/>
      </w:rPr>
      <w:fldChar w:fldCharType="end"/>
    </w:r>
  </w:p>
  <w:p w14:paraId="7A7648F9" w14:textId="77777777" w:rsidR="00BB5C5E" w:rsidRDefault="00BB5C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7ECB7" w14:textId="77777777" w:rsidR="00BB5C5E" w:rsidRPr="003765CD" w:rsidRDefault="00BB5C5E" w:rsidP="0019571B">
    <w:pPr>
      <w:pStyle w:val="NTTBodyText"/>
      <w:jc w:val="center"/>
      <w:rPr>
        <w:rStyle w:val="Heading2Cha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04E10" w14:textId="77777777" w:rsidR="00BB5C5E" w:rsidRDefault="008452C0" w:rsidP="008452C0">
    <w:pPr>
      <w:pStyle w:val="NTTHeaderInfo"/>
      <w:tabs>
        <w:tab w:val="left" w:pos="3930"/>
        <w:tab w:val="right" w:pos="9638"/>
      </w:tabs>
      <w:jc w:val="left"/>
      <w:rPr>
        <w:b/>
        <w:noProof/>
      </w:rPr>
    </w:pPr>
    <w:r>
      <w:rPr>
        <w:b/>
        <w:noProof/>
      </w:rPr>
      <w:tab/>
    </w:r>
    <w:r>
      <w:rPr>
        <w:b/>
        <w:noProof/>
      </w:rPr>
      <w:tab/>
    </w:r>
    <w:r w:rsidR="00497BA6">
      <w:rPr>
        <w:noProof/>
      </w:rPr>
      <w:drawing>
        <wp:anchor distT="0" distB="0" distL="114300" distR="114300" simplePos="0" relativeHeight="251658752" behindDoc="1" locked="0" layoutInCell="0" allowOverlap="1" wp14:anchorId="78DC25FB" wp14:editId="30AA07CB">
          <wp:simplePos x="0" y="0"/>
          <wp:positionH relativeFrom="page">
            <wp:posOffset>180975</wp:posOffset>
          </wp:positionH>
          <wp:positionV relativeFrom="page">
            <wp:posOffset>200660</wp:posOffset>
          </wp:positionV>
          <wp:extent cx="7179945" cy="891540"/>
          <wp:effectExtent l="0" t="0" r="1905" b="3810"/>
          <wp:wrapNone/>
          <wp:docPr id="1" name="Picture 4" descr="DTF Header" title="DTF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9945" cy="891540"/>
                  </a:xfrm>
                  <a:prstGeom prst="rect">
                    <a:avLst/>
                  </a:prstGeom>
                  <a:noFill/>
                </pic:spPr>
              </pic:pic>
            </a:graphicData>
          </a:graphic>
        </wp:anchor>
      </w:drawing>
    </w:r>
  </w:p>
  <w:p w14:paraId="602F7E92" w14:textId="77777777" w:rsidR="00BB5C5E" w:rsidRDefault="00BB5C5E" w:rsidP="001A4012">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74482B0"/>
    <w:lvl w:ilvl="0">
      <w:start w:val="1"/>
      <w:numFmt w:val="decimal"/>
      <w:lvlText w:val="%1."/>
      <w:lvlJc w:val="left"/>
      <w:pPr>
        <w:tabs>
          <w:tab w:val="num" w:pos="360"/>
        </w:tabs>
        <w:ind w:left="360" w:hanging="360"/>
      </w:pPr>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2D310B8"/>
    <w:multiLevelType w:val="multilevel"/>
    <w:tmpl w:val="6DA248D0"/>
    <w:lvl w:ilvl="0">
      <w:start w:val="1"/>
      <w:numFmt w:val="decimal"/>
      <w:lvlText w:val="%1."/>
      <w:lvlJc w:val="left"/>
      <w:pPr>
        <w:tabs>
          <w:tab w:val="num" w:pos="720"/>
        </w:tabs>
        <w:ind w:left="720" w:hanging="360"/>
      </w:pPr>
      <w:rPr>
        <w:rFonts w:ascii="Arial" w:hAnsi="Arial" w:cs="Times New Roman"/>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3D528C5"/>
    <w:multiLevelType w:val="multilevel"/>
    <w:tmpl w:val="643239A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0D593059"/>
    <w:multiLevelType w:val="multilevel"/>
    <w:tmpl w:val="88F6EEB2"/>
    <w:numStyleLink w:val="Text"/>
  </w:abstractNum>
  <w:abstractNum w:abstractNumId="5" w15:restartNumberingAfterBreak="0">
    <w:nsid w:val="0FC94AA2"/>
    <w:multiLevelType w:val="singleLevel"/>
    <w:tmpl w:val="25184BCA"/>
    <w:lvl w:ilvl="0">
      <w:start w:val="1"/>
      <w:numFmt w:val="decimal"/>
      <w:lvlText w:val="(%1)"/>
      <w:lvlJc w:val="left"/>
      <w:pPr>
        <w:tabs>
          <w:tab w:val="num" w:pos="375"/>
        </w:tabs>
        <w:ind w:left="375" w:hanging="375"/>
      </w:pPr>
      <w:rPr>
        <w:rFonts w:cs="Times New Roman" w:hint="default"/>
      </w:rPr>
    </w:lvl>
  </w:abstractNum>
  <w:abstractNum w:abstractNumId="6" w15:restartNumberingAfterBreak="0">
    <w:nsid w:val="101648F4"/>
    <w:multiLevelType w:val="hybridMultilevel"/>
    <w:tmpl w:val="BDA85390"/>
    <w:lvl w:ilvl="0" w:tplc="C4966800">
      <w:start w:val="1"/>
      <w:numFmt w:val="decimal"/>
      <w:lvlText w:val="%1)"/>
      <w:lvlJc w:val="left"/>
      <w:pPr>
        <w:tabs>
          <w:tab w:val="num" w:pos="1080"/>
        </w:tabs>
        <w:ind w:left="1080" w:hanging="72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2810F11"/>
    <w:multiLevelType w:val="singleLevel"/>
    <w:tmpl w:val="43DE282A"/>
    <w:lvl w:ilvl="0">
      <w:start w:val="1"/>
      <w:numFmt w:val="decimal"/>
      <w:lvlText w:val="%1."/>
      <w:legacy w:legacy="1" w:legacySpace="0" w:legacyIndent="360"/>
      <w:lvlJc w:val="left"/>
      <w:pPr>
        <w:ind w:left="360" w:hanging="360"/>
      </w:pPr>
      <w:rPr>
        <w:rFonts w:cs="Times New Roman"/>
      </w:rPr>
    </w:lvl>
  </w:abstractNum>
  <w:abstractNum w:abstractNumId="8" w15:restartNumberingAfterBreak="0">
    <w:nsid w:val="161A1034"/>
    <w:multiLevelType w:val="singleLevel"/>
    <w:tmpl w:val="86725F6E"/>
    <w:lvl w:ilvl="0">
      <w:start w:val="1"/>
      <w:numFmt w:val="lowerLetter"/>
      <w:lvlText w:val="(%1)"/>
      <w:lvlJc w:val="left"/>
      <w:pPr>
        <w:tabs>
          <w:tab w:val="num" w:pos="720"/>
        </w:tabs>
        <w:ind w:left="720" w:hanging="720"/>
      </w:pPr>
      <w:rPr>
        <w:rFonts w:cs="Times New Roman" w:hint="default"/>
        <w:b w:val="0"/>
      </w:rPr>
    </w:lvl>
  </w:abstractNum>
  <w:abstractNum w:abstractNumId="9" w15:restartNumberingAfterBreak="0">
    <w:nsid w:val="18EF2F84"/>
    <w:multiLevelType w:val="singleLevel"/>
    <w:tmpl w:val="37FC4FC2"/>
    <w:lvl w:ilvl="0">
      <w:start w:val="1"/>
      <w:numFmt w:val="lowerLetter"/>
      <w:lvlText w:val="(%1)"/>
      <w:lvlJc w:val="left"/>
      <w:pPr>
        <w:tabs>
          <w:tab w:val="num" w:pos="720"/>
        </w:tabs>
        <w:ind w:left="720" w:hanging="720"/>
      </w:pPr>
      <w:rPr>
        <w:rFonts w:cs="Times New Roman" w:hint="default"/>
      </w:rPr>
    </w:lvl>
  </w:abstractNum>
  <w:abstractNum w:abstractNumId="10" w15:restartNumberingAfterBreak="0">
    <w:nsid w:val="1904567E"/>
    <w:multiLevelType w:val="singleLevel"/>
    <w:tmpl w:val="E878FDAC"/>
    <w:lvl w:ilvl="0">
      <w:start w:val="2"/>
      <w:numFmt w:val="decimal"/>
      <w:lvlText w:val="%1."/>
      <w:legacy w:legacy="1" w:legacySpace="0" w:legacyIndent="360"/>
      <w:lvlJc w:val="left"/>
      <w:pPr>
        <w:ind w:left="360" w:hanging="360"/>
      </w:pPr>
      <w:rPr>
        <w:rFonts w:cs="Times New Roman"/>
      </w:rPr>
    </w:lvl>
  </w:abstractNum>
  <w:abstractNum w:abstractNumId="11" w15:restartNumberingAfterBreak="0">
    <w:nsid w:val="1CC733BC"/>
    <w:multiLevelType w:val="multilevel"/>
    <w:tmpl w:val="BDA85390"/>
    <w:lvl w:ilvl="0">
      <w:start w:val="1"/>
      <w:numFmt w:val="decimal"/>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1E903CE7"/>
    <w:multiLevelType w:val="multilevel"/>
    <w:tmpl w:val="88F6EEB2"/>
    <w:styleLink w:val="Text"/>
    <w:lvl w:ilvl="0">
      <w:start w:val="1"/>
      <w:numFmt w:val="decimal"/>
      <w:lvlText w:val="%1."/>
      <w:lvlJc w:val="left"/>
      <w:pPr>
        <w:tabs>
          <w:tab w:val="num" w:pos="360"/>
        </w:tabs>
        <w:ind w:left="360" w:hanging="360"/>
      </w:pPr>
      <w:rPr>
        <w:rFonts w:cs="Times New Roman" w:hint="default"/>
      </w:rPr>
    </w:lvl>
    <w:lvl w:ilvl="1">
      <w:start w:val="1"/>
      <w:numFmt w:val="upperLetter"/>
      <w:lvlText w:val="%2."/>
      <w:lvlJc w:val="left"/>
      <w:pPr>
        <w:tabs>
          <w:tab w:val="num" w:pos="1080"/>
        </w:tabs>
        <w:ind w:left="1080" w:hanging="360"/>
      </w:pPr>
      <w:rPr>
        <w:rFonts w:cs="Times New Roman" w:hint="default"/>
      </w:rPr>
    </w:lvl>
    <w:lvl w:ilvl="2">
      <w:start w:val="1"/>
      <w:numFmt w:val="lowerRoman"/>
      <w:lvlText w:val="%3."/>
      <w:lvlJc w:val="right"/>
      <w:pPr>
        <w:tabs>
          <w:tab w:val="num" w:pos="1800"/>
        </w:tabs>
        <w:ind w:left="1800" w:hanging="180"/>
      </w:pPr>
      <w:rPr>
        <w:rFonts w:cs="Times New Roman" w:hint="default"/>
      </w:rPr>
    </w:lvl>
    <w:lvl w:ilvl="3">
      <w:start w:val="1"/>
      <w:numFmt w:val="lowerLetter"/>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3" w15:restartNumberingAfterBreak="0">
    <w:nsid w:val="2A0E2691"/>
    <w:multiLevelType w:val="singleLevel"/>
    <w:tmpl w:val="A9862424"/>
    <w:lvl w:ilvl="0">
      <w:start w:val="8"/>
      <w:numFmt w:val="decimal"/>
      <w:lvlText w:val="%1."/>
      <w:legacy w:legacy="1" w:legacySpace="0" w:legacyIndent="360"/>
      <w:lvlJc w:val="left"/>
      <w:pPr>
        <w:ind w:left="360" w:hanging="360"/>
      </w:pPr>
      <w:rPr>
        <w:rFonts w:cs="Times New Roman"/>
      </w:rPr>
    </w:lvl>
  </w:abstractNum>
  <w:abstractNum w:abstractNumId="14" w15:restartNumberingAfterBreak="0">
    <w:nsid w:val="391C19E1"/>
    <w:multiLevelType w:val="multilevel"/>
    <w:tmpl w:val="B3543852"/>
    <w:lvl w:ilvl="0">
      <w:start w:val="1"/>
      <w:numFmt w:val="decimal"/>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774"/>
        </w:tabs>
        <w:ind w:left="2774" w:hanging="794"/>
      </w:pPr>
      <w:rPr>
        <w:rFonts w:cs="Times New Roman" w:hint="default"/>
        <w:b w:val="0"/>
        <w:i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3E0E653C"/>
    <w:multiLevelType w:val="multilevel"/>
    <w:tmpl w:val="643239A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3F0D1A6E"/>
    <w:multiLevelType w:val="multilevel"/>
    <w:tmpl w:val="74F6A72C"/>
    <w:lvl w:ilvl="0">
      <w:start w:val="1"/>
      <w:numFmt w:val="decimal"/>
      <w:pStyle w:val="BlockText"/>
      <w:lvlText w:val="%1."/>
      <w:lvlJc w:val="left"/>
      <w:pPr>
        <w:tabs>
          <w:tab w:val="num" w:pos="720"/>
        </w:tabs>
        <w:ind w:left="720" w:hanging="360"/>
      </w:pPr>
      <w:rPr>
        <w:rFonts w:ascii="Arial" w:hAnsi="Arial" w:cs="Times New Roman"/>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439B51DF"/>
    <w:multiLevelType w:val="multilevel"/>
    <w:tmpl w:val="0C09001F"/>
    <w:lvl w:ilvl="0">
      <w:start w:val="1"/>
      <w:numFmt w:val="decimal"/>
      <w:lvlText w:val="%1."/>
      <w:lvlJc w:val="left"/>
      <w:pPr>
        <w:tabs>
          <w:tab w:val="num" w:pos="720"/>
        </w:tabs>
        <w:ind w:left="360" w:hanging="360"/>
      </w:pPr>
      <w:rPr>
        <w:rFonts w:cs="Times New Roman"/>
      </w:rPr>
    </w:lvl>
    <w:lvl w:ilvl="1">
      <w:start w:val="1"/>
      <w:numFmt w:val="decimal"/>
      <w:lvlText w:val="%1.%2."/>
      <w:lvlJc w:val="left"/>
      <w:pPr>
        <w:tabs>
          <w:tab w:val="num" w:pos="1440"/>
        </w:tabs>
        <w:ind w:left="792" w:hanging="432"/>
      </w:pPr>
      <w:rPr>
        <w:rFonts w:cs="Times New Roman"/>
      </w:rPr>
    </w:lvl>
    <w:lvl w:ilvl="2">
      <w:start w:val="1"/>
      <w:numFmt w:val="decimal"/>
      <w:lvlText w:val="%1.%2.%3."/>
      <w:lvlJc w:val="left"/>
      <w:pPr>
        <w:tabs>
          <w:tab w:val="num" w:pos="2160"/>
        </w:tabs>
        <w:ind w:left="1224" w:hanging="504"/>
      </w:pPr>
      <w:rPr>
        <w:rFonts w:cs="Times New Roman"/>
      </w:rPr>
    </w:lvl>
    <w:lvl w:ilvl="3">
      <w:start w:val="1"/>
      <w:numFmt w:val="decimal"/>
      <w:lvlText w:val="%1.%2.%3.%4."/>
      <w:lvlJc w:val="left"/>
      <w:pPr>
        <w:tabs>
          <w:tab w:val="num" w:pos="2880"/>
        </w:tabs>
        <w:ind w:left="1728" w:hanging="648"/>
      </w:pPr>
      <w:rPr>
        <w:rFonts w:cs="Times New Roman"/>
      </w:rPr>
    </w:lvl>
    <w:lvl w:ilvl="4">
      <w:start w:val="1"/>
      <w:numFmt w:val="decimal"/>
      <w:lvlText w:val="%1.%2.%3.%4.%5."/>
      <w:lvlJc w:val="left"/>
      <w:pPr>
        <w:tabs>
          <w:tab w:val="num" w:pos="3600"/>
        </w:tabs>
        <w:ind w:left="2232" w:hanging="792"/>
      </w:pPr>
      <w:rPr>
        <w:rFonts w:cs="Times New Roman"/>
      </w:rPr>
    </w:lvl>
    <w:lvl w:ilvl="5">
      <w:start w:val="1"/>
      <w:numFmt w:val="decimal"/>
      <w:lvlText w:val="%1.%2.%3.%4.%5.%6."/>
      <w:lvlJc w:val="left"/>
      <w:pPr>
        <w:tabs>
          <w:tab w:val="num" w:pos="4320"/>
        </w:tabs>
        <w:ind w:left="2736" w:hanging="936"/>
      </w:pPr>
      <w:rPr>
        <w:rFonts w:cs="Times New Roman"/>
      </w:rPr>
    </w:lvl>
    <w:lvl w:ilvl="6">
      <w:start w:val="1"/>
      <w:numFmt w:val="decimal"/>
      <w:lvlText w:val="%1.%2.%3.%4.%5.%6.%7."/>
      <w:lvlJc w:val="left"/>
      <w:pPr>
        <w:tabs>
          <w:tab w:val="num" w:pos="5040"/>
        </w:tabs>
        <w:ind w:left="3240" w:hanging="1080"/>
      </w:pPr>
      <w:rPr>
        <w:rFonts w:cs="Times New Roman"/>
      </w:rPr>
    </w:lvl>
    <w:lvl w:ilvl="7">
      <w:start w:val="1"/>
      <w:numFmt w:val="decimal"/>
      <w:lvlText w:val="%1.%2.%3.%4.%5.%6.%7.%8."/>
      <w:lvlJc w:val="left"/>
      <w:pPr>
        <w:tabs>
          <w:tab w:val="num" w:pos="5760"/>
        </w:tabs>
        <w:ind w:left="3744" w:hanging="1224"/>
      </w:pPr>
      <w:rPr>
        <w:rFonts w:cs="Times New Roman"/>
      </w:rPr>
    </w:lvl>
    <w:lvl w:ilvl="8">
      <w:start w:val="1"/>
      <w:numFmt w:val="decimal"/>
      <w:lvlText w:val="%1.%2.%3.%4.%5.%6.%7.%8.%9."/>
      <w:lvlJc w:val="left"/>
      <w:pPr>
        <w:tabs>
          <w:tab w:val="num" w:pos="6480"/>
        </w:tabs>
        <w:ind w:left="4320" w:hanging="1440"/>
      </w:pPr>
      <w:rPr>
        <w:rFonts w:cs="Times New Roman"/>
      </w:rPr>
    </w:lvl>
  </w:abstractNum>
  <w:abstractNum w:abstractNumId="18" w15:restartNumberingAfterBreak="0">
    <w:nsid w:val="48714885"/>
    <w:multiLevelType w:val="multilevel"/>
    <w:tmpl w:val="01B6EAFC"/>
    <w:lvl w:ilvl="0">
      <w:start w:val="1"/>
      <w:numFmt w:val="decimal"/>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4A167D18"/>
    <w:multiLevelType w:val="multilevel"/>
    <w:tmpl w:val="0C09001D"/>
    <w:lvl w:ilvl="0">
      <w:start w:val="1"/>
      <w:numFmt w:val="decimal"/>
      <w:pStyle w:val="ListNumber"/>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4DF15BAE"/>
    <w:multiLevelType w:val="multilevel"/>
    <w:tmpl w:val="02A0FD26"/>
    <w:lvl w:ilvl="0">
      <w:start w:val="1"/>
      <w:numFmt w:val="decimal"/>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5C1C7635"/>
    <w:multiLevelType w:val="hybridMultilevel"/>
    <w:tmpl w:val="B3543852"/>
    <w:lvl w:ilvl="0" w:tplc="C4966800">
      <w:start w:val="1"/>
      <w:numFmt w:val="decimal"/>
      <w:lvlText w:val="%1)"/>
      <w:lvlJc w:val="left"/>
      <w:pPr>
        <w:tabs>
          <w:tab w:val="num" w:pos="1080"/>
        </w:tabs>
        <w:ind w:left="1080" w:hanging="720"/>
      </w:pPr>
      <w:rPr>
        <w:rFonts w:cs="Times New Roman" w:hint="default"/>
      </w:rPr>
    </w:lvl>
    <w:lvl w:ilvl="1" w:tplc="0C090019">
      <w:start w:val="1"/>
      <w:numFmt w:val="lowerLetter"/>
      <w:lvlText w:val="%2."/>
      <w:lvlJc w:val="left"/>
      <w:pPr>
        <w:tabs>
          <w:tab w:val="num" w:pos="1440"/>
        </w:tabs>
        <w:ind w:left="1440" w:hanging="360"/>
      </w:pPr>
      <w:rPr>
        <w:rFonts w:cs="Times New Roman"/>
      </w:rPr>
    </w:lvl>
    <w:lvl w:ilvl="2" w:tplc="9806C66C">
      <w:start w:val="1"/>
      <w:numFmt w:val="lowerRoman"/>
      <w:lvlText w:val="(%3)"/>
      <w:lvlJc w:val="left"/>
      <w:pPr>
        <w:tabs>
          <w:tab w:val="num" w:pos="2774"/>
        </w:tabs>
        <w:ind w:left="2774" w:hanging="794"/>
      </w:pPr>
      <w:rPr>
        <w:rFonts w:cs="Times New Roman" w:hint="default"/>
        <w:b w:val="0"/>
        <w:i w:val="0"/>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F4D4FFA"/>
    <w:multiLevelType w:val="singleLevel"/>
    <w:tmpl w:val="DC3EF4EE"/>
    <w:lvl w:ilvl="0">
      <w:start w:val="9"/>
      <w:numFmt w:val="decimal"/>
      <w:lvlText w:val="%1."/>
      <w:legacy w:legacy="1" w:legacySpace="0" w:legacyIndent="360"/>
      <w:lvlJc w:val="left"/>
      <w:pPr>
        <w:ind w:left="360" w:hanging="360"/>
      </w:pPr>
      <w:rPr>
        <w:rFonts w:cs="Times New Roman"/>
      </w:rPr>
    </w:lvl>
  </w:abstractNum>
  <w:abstractNum w:abstractNumId="23" w15:restartNumberingAfterBreak="0">
    <w:nsid w:val="68747012"/>
    <w:multiLevelType w:val="singleLevel"/>
    <w:tmpl w:val="5FDC0ECC"/>
    <w:lvl w:ilvl="0">
      <w:start w:val="1"/>
      <w:numFmt w:val="lowerLetter"/>
      <w:lvlText w:val="(%1)"/>
      <w:lvlJc w:val="left"/>
      <w:pPr>
        <w:tabs>
          <w:tab w:val="num" w:pos="705"/>
        </w:tabs>
        <w:ind w:left="705" w:hanging="705"/>
      </w:pPr>
      <w:rPr>
        <w:rFonts w:cs="Times New Roman" w:hint="default"/>
      </w:rPr>
    </w:lvl>
  </w:abstractNum>
  <w:abstractNum w:abstractNumId="24" w15:restartNumberingAfterBreak="0">
    <w:nsid w:val="698724CE"/>
    <w:multiLevelType w:val="singleLevel"/>
    <w:tmpl w:val="6E309D46"/>
    <w:lvl w:ilvl="0">
      <w:start w:val="1"/>
      <w:numFmt w:val="lowerLetter"/>
      <w:lvlText w:val="(%1)"/>
      <w:lvlJc w:val="left"/>
      <w:pPr>
        <w:tabs>
          <w:tab w:val="num" w:pos="1429"/>
        </w:tabs>
        <w:ind w:left="1429" w:hanging="720"/>
      </w:pPr>
      <w:rPr>
        <w:rFonts w:cs="Times New Roman" w:hint="default"/>
      </w:rPr>
    </w:lvl>
  </w:abstractNum>
  <w:abstractNum w:abstractNumId="25" w15:restartNumberingAfterBreak="0">
    <w:nsid w:val="6ED0730D"/>
    <w:multiLevelType w:val="singleLevel"/>
    <w:tmpl w:val="21C86082"/>
    <w:lvl w:ilvl="0">
      <w:start w:val="11"/>
      <w:numFmt w:val="decimal"/>
      <w:lvlText w:val="%1."/>
      <w:legacy w:legacy="1" w:legacySpace="0" w:legacyIndent="360"/>
      <w:lvlJc w:val="left"/>
      <w:pPr>
        <w:ind w:left="360" w:hanging="360"/>
      </w:pPr>
      <w:rPr>
        <w:rFonts w:cs="Times New Roman"/>
      </w:rPr>
    </w:lvl>
  </w:abstractNum>
  <w:abstractNum w:abstractNumId="26" w15:restartNumberingAfterBreak="0">
    <w:nsid w:val="7294591F"/>
    <w:multiLevelType w:val="multilevel"/>
    <w:tmpl w:val="88F6EEB2"/>
    <w:numStyleLink w:val="Text"/>
  </w:abstractNum>
  <w:abstractNum w:abstractNumId="27" w15:restartNumberingAfterBreak="0">
    <w:nsid w:val="74815033"/>
    <w:multiLevelType w:val="hybridMultilevel"/>
    <w:tmpl w:val="127A53D8"/>
    <w:lvl w:ilvl="0" w:tplc="C4966800">
      <w:start w:val="1"/>
      <w:numFmt w:val="decimal"/>
      <w:lvlText w:val="%1)"/>
      <w:lvlJc w:val="left"/>
      <w:pPr>
        <w:tabs>
          <w:tab w:val="num" w:pos="1080"/>
        </w:tabs>
        <w:ind w:left="1080" w:hanging="72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7234832"/>
    <w:multiLevelType w:val="multilevel"/>
    <w:tmpl w:val="01B6EAFC"/>
    <w:lvl w:ilvl="0">
      <w:start w:val="1"/>
      <w:numFmt w:val="decimal"/>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15:restartNumberingAfterBreak="0">
    <w:nsid w:val="776F2AAF"/>
    <w:multiLevelType w:val="singleLevel"/>
    <w:tmpl w:val="8A742764"/>
    <w:lvl w:ilvl="0">
      <w:start w:val="2"/>
      <w:numFmt w:val="lowerRoman"/>
      <w:lvlText w:val="(%1)"/>
      <w:lvlJc w:val="left"/>
      <w:pPr>
        <w:tabs>
          <w:tab w:val="num" w:pos="720"/>
        </w:tabs>
        <w:ind w:left="720" w:hanging="720"/>
      </w:pPr>
      <w:rPr>
        <w:rFonts w:cs="Times New Roman" w:hint="default"/>
      </w:rPr>
    </w:lvl>
  </w:abstractNum>
  <w:num w:numId="1">
    <w:abstractNumId w:val="0"/>
  </w:num>
  <w:num w:numId="2">
    <w:abstractNumId w:val="0"/>
  </w:num>
  <w:num w:numId="3">
    <w:abstractNumId w:val="26"/>
  </w:num>
  <w:num w:numId="4">
    <w:abstractNumId w:val="16"/>
  </w:num>
  <w:num w:numId="5">
    <w:abstractNumId w:val="12"/>
    <w:lvlOverride w:ilvl="0">
      <w:lvl w:ilvl="0">
        <w:start w:val="1"/>
        <w:numFmt w:val="decimal"/>
        <w:lvlText w:val="%1."/>
        <w:lvlJc w:val="left"/>
        <w:pPr>
          <w:tabs>
            <w:tab w:val="num" w:pos="567"/>
          </w:tabs>
          <w:ind w:left="567" w:hanging="567"/>
        </w:pPr>
        <w:rPr>
          <w:rFonts w:cs="Times New Roman" w:hint="default"/>
        </w:rPr>
      </w:lvl>
    </w:lvlOverride>
    <w:lvlOverride w:ilvl="1">
      <w:lvl w:ilvl="1">
        <w:start w:val="1"/>
        <w:numFmt w:val="decimal"/>
        <w:lvlText w:val="(%2)"/>
        <w:lvlJc w:val="left"/>
        <w:pPr>
          <w:tabs>
            <w:tab w:val="num" w:pos="1134"/>
          </w:tabs>
          <w:ind w:left="1134" w:hanging="567"/>
        </w:pPr>
        <w:rPr>
          <w:rFonts w:cs="Times New Roman" w:hint="default"/>
        </w:rPr>
      </w:lvl>
    </w:lvlOverride>
    <w:lvlOverride w:ilvl="2">
      <w:lvl w:ilvl="2">
        <w:start w:val="1"/>
        <w:numFmt w:val="lowerLetter"/>
        <w:lvlText w:val="(%3)"/>
        <w:lvlJc w:val="left"/>
        <w:pPr>
          <w:tabs>
            <w:tab w:val="num" w:pos="1701"/>
          </w:tabs>
          <w:ind w:left="1701" w:hanging="567"/>
        </w:pPr>
        <w:rPr>
          <w:rFonts w:cs="Times New Roman" w:hint="default"/>
        </w:rPr>
      </w:lvl>
    </w:lvlOverride>
    <w:lvlOverride w:ilvl="3">
      <w:lvl w:ilvl="3">
        <w:start w:val="1"/>
        <w:numFmt w:val="lowerRoman"/>
        <w:lvlText w:val="(%4)"/>
        <w:lvlJc w:val="left"/>
        <w:pPr>
          <w:tabs>
            <w:tab w:val="num" w:pos="2268"/>
          </w:tabs>
          <w:ind w:left="2268" w:hanging="567"/>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6">
    <w:abstractNumId w:val="2"/>
  </w:num>
  <w:num w:numId="7">
    <w:abstractNumId w:val="4"/>
  </w:num>
  <w:num w:numId="8">
    <w:abstractNumId w:val="17"/>
  </w:num>
  <w:num w:numId="9">
    <w:abstractNumId w:val="19"/>
  </w:num>
  <w:num w:numId="10">
    <w:abstractNumId w:val="0"/>
  </w:num>
  <w:num w:numId="11">
    <w:abstractNumId w:val="5"/>
  </w:num>
  <w:num w:numId="12">
    <w:abstractNumId w:val="21"/>
  </w:num>
  <w:num w:numId="13">
    <w:abstractNumId w:val="6"/>
  </w:num>
  <w:num w:numId="14">
    <w:abstractNumId w:val="27"/>
  </w:num>
  <w:num w:numId="15">
    <w:abstractNumId w:val="7"/>
  </w:num>
  <w:num w:numId="16">
    <w:abstractNumId w:val="1"/>
    <w:lvlOverride w:ilvl="0">
      <w:lvl w:ilvl="0">
        <w:start w:val="1"/>
        <w:numFmt w:val="bullet"/>
        <w:lvlText w:val=""/>
        <w:legacy w:legacy="1" w:legacySpace="0" w:legacyIndent="360"/>
        <w:lvlJc w:val="left"/>
        <w:pPr>
          <w:ind w:left="720" w:hanging="360"/>
        </w:pPr>
        <w:rPr>
          <w:rFonts w:ascii="Symbol" w:hAnsi="Symbol" w:hint="default"/>
        </w:rPr>
      </w:lvl>
    </w:lvlOverride>
  </w:num>
  <w:num w:numId="17">
    <w:abstractNumId w:val="10"/>
  </w:num>
  <w:num w:numId="18">
    <w:abstractNumId w:val="13"/>
  </w:num>
  <w:num w:numId="19">
    <w:abstractNumId w:val="22"/>
  </w:num>
  <w:num w:numId="20">
    <w:abstractNumId w:val="25"/>
  </w:num>
  <w:num w:numId="21">
    <w:abstractNumId w:val="23"/>
  </w:num>
  <w:num w:numId="22">
    <w:abstractNumId w:val="24"/>
  </w:num>
  <w:num w:numId="23">
    <w:abstractNumId w:val="9"/>
  </w:num>
  <w:num w:numId="24">
    <w:abstractNumId w:val="8"/>
  </w:num>
  <w:num w:numId="25">
    <w:abstractNumId w:val="29"/>
  </w:num>
  <w:num w:numId="26">
    <w:abstractNumId w:val="3"/>
  </w:num>
  <w:num w:numId="27">
    <w:abstractNumId w:val="15"/>
  </w:num>
  <w:num w:numId="28">
    <w:abstractNumId w:val="28"/>
  </w:num>
  <w:num w:numId="29">
    <w:abstractNumId w:val="18"/>
  </w:num>
  <w:num w:numId="30">
    <w:abstractNumId w:val="14"/>
  </w:num>
  <w:num w:numId="31">
    <w:abstractNumId w:val="20"/>
  </w:num>
  <w:num w:numId="32">
    <w:abstractNumId w:val="11"/>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cryptProviderType="rsaAES" w:cryptAlgorithmClass="hash" w:cryptAlgorithmType="typeAny" w:cryptAlgorithmSid="14" w:cryptSpinCount="100000" w:hash="wfUIc1Dtb4+S5UKONC3ONS73e2PRiI2VHCGD+ZGP1Qc20eL7ZUN/aoYi16+JQJuiRDXN+JQDVKFx9IC3RhCyaQ==" w:salt="zBoslS/msTWrj7L2MQwcr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47C"/>
    <w:rsid w:val="000060BF"/>
    <w:rsid w:val="000064CB"/>
    <w:rsid w:val="000104AB"/>
    <w:rsid w:val="00010EEA"/>
    <w:rsid w:val="00021286"/>
    <w:rsid w:val="0002150C"/>
    <w:rsid w:val="00022413"/>
    <w:rsid w:val="00023645"/>
    <w:rsid w:val="00025614"/>
    <w:rsid w:val="000302C0"/>
    <w:rsid w:val="000330B7"/>
    <w:rsid w:val="000333C6"/>
    <w:rsid w:val="00033C92"/>
    <w:rsid w:val="000376B2"/>
    <w:rsid w:val="000424F1"/>
    <w:rsid w:val="00042BC9"/>
    <w:rsid w:val="00045CCE"/>
    <w:rsid w:val="00046838"/>
    <w:rsid w:val="00047A86"/>
    <w:rsid w:val="000509BA"/>
    <w:rsid w:val="0005160E"/>
    <w:rsid w:val="00054E58"/>
    <w:rsid w:val="00055A15"/>
    <w:rsid w:val="00055F6E"/>
    <w:rsid w:val="000565F0"/>
    <w:rsid w:val="000567BE"/>
    <w:rsid w:val="0005747B"/>
    <w:rsid w:val="00063A93"/>
    <w:rsid w:val="00063EAC"/>
    <w:rsid w:val="00067AE5"/>
    <w:rsid w:val="00070001"/>
    <w:rsid w:val="000755D7"/>
    <w:rsid w:val="00080503"/>
    <w:rsid w:val="00081963"/>
    <w:rsid w:val="00081984"/>
    <w:rsid w:val="000905F1"/>
    <w:rsid w:val="000917B2"/>
    <w:rsid w:val="00094D2B"/>
    <w:rsid w:val="000968BE"/>
    <w:rsid w:val="000A058E"/>
    <w:rsid w:val="000A1789"/>
    <w:rsid w:val="000A57FE"/>
    <w:rsid w:val="000A5BAB"/>
    <w:rsid w:val="000A5FAF"/>
    <w:rsid w:val="000A7ABD"/>
    <w:rsid w:val="000B1FE4"/>
    <w:rsid w:val="000C0DD5"/>
    <w:rsid w:val="000C1B12"/>
    <w:rsid w:val="000C2C04"/>
    <w:rsid w:val="000C3AD0"/>
    <w:rsid w:val="000C5DAB"/>
    <w:rsid w:val="000D21B9"/>
    <w:rsid w:val="000D4683"/>
    <w:rsid w:val="000D760C"/>
    <w:rsid w:val="000E26E6"/>
    <w:rsid w:val="000E4D8E"/>
    <w:rsid w:val="000E5B94"/>
    <w:rsid w:val="000E662C"/>
    <w:rsid w:val="000F064F"/>
    <w:rsid w:val="000F56DB"/>
    <w:rsid w:val="000F7515"/>
    <w:rsid w:val="001001F2"/>
    <w:rsid w:val="00100636"/>
    <w:rsid w:val="00103C66"/>
    <w:rsid w:val="00105668"/>
    <w:rsid w:val="00111713"/>
    <w:rsid w:val="00112237"/>
    <w:rsid w:val="001171EA"/>
    <w:rsid w:val="00117E21"/>
    <w:rsid w:val="00117F5D"/>
    <w:rsid w:val="00120400"/>
    <w:rsid w:val="0012101B"/>
    <w:rsid w:val="0012610A"/>
    <w:rsid w:val="001271FF"/>
    <w:rsid w:val="0013250A"/>
    <w:rsid w:val="00134634"/>
    <w:rsid w:val="00135C96"/>
    <w:rsid w:val="001364CD"/>
    <w:rsid w:val="001407E2"/>
    <w:rsid w:val="001422DD"/>
    <w:rsid w:val="001521B6"/>
    <w:rsid w:val="00153959"/>
    <w:rsid w:val="00153AFD"/>
    <w:rsid w:val="001545F9"/>
    <w:rsid w:val="001579C2"/>
    <w:rsid w:val="00160881"/>
    <w:rsid w:val="001620FD"/>
    <w:rsid w:val="0016262C"/>
    <w:rsid w:val="00164258"/>
    <w:rsid w:val="00164A3A"/>
    <w:rsid w:val="001650F3"/>
    <w:rsid w:val="00166509"/>
    <w:rsid w:val="00176573"/>
    <w:rsid w:val="00180803"/>
    <w:rsid w:val="001809B5"/>
    <w:rsid w:val="001821B3"/>
    <w:rsid w:val="0018229E"/>
    <w:rsid w:val="00184056"/>
    <w:rsid w:val="00184984"/>
    <w:rsid w:val="00184B7C"/>
    <w:rsid w:val="00187674"/>
    <w:rsid w:val="00190E13"/>
    <w:rsid w:val="00192F6F"/>
    <w:rsid w:val="0019571B"/>
    <w:rsid w:val="00196C1B"/>
    <w:rsid w:val="001971A1"/>
    <w:rsid w:val="0019771F"/>
    <w:rsid w:val="001A4012"/>
    <w:rsid w:val="001A4022"/>
    <w:rsid w:val="001A6196"/>
    <w:rsid w:val="001B01EC"/>
    <w:rsid w:val="001B5A94"/>
    <w:rsid w:val="001B71AE"/>
    <w:rsid w:val="001B7AC7"/>
    <w:rsid w:val="001C422C"/>
    <w:rsid w:val="001C4568"/>
    <w:rsid w:val="001D27E9"/>
    <w:rsid w:val="001D4089"/>
    <w:rsid w:val="001D40C3"/>
    <w:rsid w:val="001D5A9F"/>
    <w:rsid w:val="001D6742"/>
    <w:rsid w:val="001D69E9"/>
    <w:rsid w:val="001D7DC4"/>
    <w:rsid w:val="001E3578"/>
    <w:rsid w:val="001E6135"/>
    <w:rsid w:val="001F4991"/>
    <w:rsid w:val="001F4B71"/>
    <w:rsid w:val="001F5273"/>
    <w:rsid w:val="001F60FE"/>
    <w:rsid w:val="001F6B23"/>
    <w:rsid w:val="001F6DC8"/>
    <w:rsid w:val="001F7B6E"/>
    <w:rsid w:val="00200723"/>
    <w:rsid w:val="00200A17"/>
    <w:rsid w:val="0020232B"/>
    <w:rsid w:val="00204372"/>
    <w:rsid w:val="002048E7"/>
    <w:rsid w:val="00206981"/>
    <w:rsid w:val="00207E37"/>
    <w:rsid w:val="00210686"/>
    <w:rsid w:val="002115E6"/>
    <w:rsid w:val="00211ADE"/>
    <w:rsid w:val="00215A9D"/>
    <w:rsid w:val="0021684D"/>
    <w:rsid w:val="00220E1E"/>
    <w:rsid w:val="00221114"/>
    <w:rsid w:val="0022361B"/>
    <w:rsid w:val="00224644"/>
    <w:rsid w:val="0022584E"/>
    <w:rsid w:val="002306CE"/>
    <w:rsid w:val="0023083D"/>
    <w:rsid w:val="00230EA3"/>
    <w:rsid w:val="002374AC"/>
    <w:rsid w:val="00237B7C"/>
    <w:rsid w:val="00242910"/>
    <w:rsid w:val="002440CC"/>
    <w:rsid w:val="0024555A"/>
    <w:rsid w:val="002466CE"/>
    <w:rsid w:val="002524C0"/>
    <w:rsid w:val="002526A8"/>
    <w:rsid w:val="00252EA3"/>
    <w:rsid w:val="0025439F"/>
    <w:rsid w:val="002545A4"/>
    <w:rsid w:val="002546CB"/>
    <w:rsid w:val="002548C6"/>
    <w:rsid w:val="0025493F"/>
    <w:rsid w:val="002555DE"/>
    <w:rsid w:val="00271740"/>
    <w:rsid w:val="00275768"/>
    <w:rsid w:val="0027710E"/>
    <w:rsid w:val="00282B8B"/>
    <w:rsid w:val="002863EF"/>
    <w:rsid w:val="00295BEF"/>
    <w:rsid w:val="00296A87"/>
    <w:rsid w:val="00297E74"/>
    <w:rsid w:val="002A03A5"/>
    <w:rsid w:val="002A3775"/>
    <w:rsid w:val="002A5567"/>
    <w:rsid w:val="002A5623"/>
    <w:rsid w:val="002A7271"/>
    <w:rsid w:val="002A7D1F"/>
    <w:rsid w:val="002B1738"/>
    <w:rsid w:val="002C0386"/>
    <w:rsid w:val="002C1DA7"/>
    <w:rsid w:val="002C267D"/>
    <w:rsid w:val="002C7A9F"/>
    <w:rsid w:val="002D4499"/>
    <w:rsid w:val="002D4686"/>
    <w:rsid w:val="002D6B9D"/>
    <w:rsid w:val="002D6D82"/>
    <w:rsid w:val="002D7B81"/>
    <w:rsid w:val="002E1CE1"/>
    <w:rsid w:val="002E6892"/>
    <w:rsid w:val="00301586"/>
    <w:rsid w:val="0030677E"/>
    <w:rsid w:val="00307F79"/>
    <w:rsid w:val="00311AB6"/>
    <w:rsid w:val="00314557"/>
    <w:rsid w:val="00314B99"/>
    <w:rsid w:val="00314C98"/>
    <w:rsid w:val="00314E75"/>
    <w:rsid w:val="00323FDD"/>
    <w:rsid w:val="003269C1"/>
    <w:rsid w:val="00327C11"/>
    <w:rsid w:val="00330051"/>
    <w:rsid w:val="00330CA3"/>
    <w:rsid w:val="00332D45"/>
    <w:rsid w:val="00336978"/>
    <w:rsid w:val="00340212"/>
    <w:rsid w:val="00343BDF"/>
    <w:rsid w:val="003455BA"/>
    <w:rsid w:val="003458E7"/>
    <w:rsid w:val="00350C52"/>
    <w:rsid w:val="00350DA3"/>
    <w:rsid w:val="0035373D"/>
    <w:rsid w:val="00354185"/>
    <w:rsid w:val="00354627"/>
    <w:rsid w:val="00355A73"/>
    <w:rsid w:val="00355AD3"/>
    <w:rsid w:val="003566B4"/>
    <w:rsid w:val="003627B1"/>
    <w:rsid w:val="003649F0"/>
    <w:rsid w:val="00364D5F"/>
    <w:rsid w:val="00365875"/>
    <w:rsid w:val="003659AD"/>
    <w:rsid w:val="00371470"/>
    <w:rsid w:val="00371523"/>
    <w:rsid w:val="00371DC6"/>
    <w:rsid w:val="00371E1A"/>
    <w:rsid w:val="00373F19"/>
    <w:rsid w:val="003765CD"/>
    <w:rsid w:val="0038010D"/>
    <w:rsid w:val="00380135"/>
    <w:rsid w:val="00385103"/>
    <w:rsid w:val="00386424"/>
    <w:rsid w:val="00386D5A"/>
    <w:rsid w:val="0038749B"/>
    <w:rsid w:val="00393DD6"/>
    <w:rsid w:val="00394D70"/>
    <w:rsid w:val="0039737A"/>
    <w:rsid w:val="003A42BD"/>
    <w:rsid w:val="003A525E"/>
    <w:rsid w:val="003A5960"/>
    <w:rsid w:val="003A7455"/>
    <w:rsid w:val="003B21D5"/>
    <w:rsid w:val="003B4A50"/>
    <w:rsid w:val="003B4C4C"/>
    <w:rsid w:val="003B680A"/>
    <w:rsid w:val="003C1073"/>
    <w:rsid w:val="003C4081"/>
    <w:rsid w:val="003C6832"/>
    <w:rsid w:val="003D0F41"/>
    <w:rsid w:val="003D26A8"/>
    <w:rsid w:val="003D2766"/>
    <w:rsid w:val="003D3D24"/>
    <w:rsid w:val="003D400C"/>
    <w:rsid w:val="003D5245"/>
    <w:rsid w:val="003D7FC3"/>
    <w:rsid w:val="003E23F6"/>
    <w:rsid w:val="003E5274"/>
    <w:rsid w:val="003E62DE"/>
    <w:rsid w:val="003F5E2C"/>
    <w:rsid w:val="003F70DD"/>
    <w:rsid w:val="003F7195"/>
    <w:rsid w:val="003F73D3"/>
    <w:rsid w:val="003F7433"/>
    <w:rsid w:val="003F7BDE"/>
    <w:rsid w:val="00401F0A"/>
    <w:rsid w:val="004050CF"/>
    <w:rsid w:val="004057C2"/>
    <w:rsid w:val="0041111B"/>
    <w:rsid w:val="004124F6"/>
    <w:rsid w:val="00412F76"/>
    <w:rsid w:val="004130A1"/>
    <w:rsid w:val="0041454C"/>
    <w:rsid w:val="004154A9"/>
    <w:rsid w:val="0041637D"/>
    <w:rsid w:val="0041795D"/>
    <w:rsid w:val="0042047C"/>
    <w:rsid w:val="00424DCE"/>
    <w:rsid w:val="004302A2"/>
    <w:rsid w:val="00430725"/>
    <w:rsid w:val="00431E0A"/>
    <w:rsid w:val="00432945"/>
    <w:rsid w:val="00434F1E"/>
    <w:rsid w:val="004362E6"/>
    <w:rsid w:val="004379E6"/>
    <w:rsid w:val="004407DC"/>
    <w:rsid w:val="004418FE"/>
    <w:rsid w:val="0045415A"/>
    <w:rsid w:val="0045697A"/>
    <w:rsid w:val="00456CDA"/>
    <w:rsid w:val="004572A6"/>
    <w:rsid w:val="00461243"/>
    <w:rsid w:val="00463743"/>
    <w:rsid w:val="0046406C"/>
    <w:rsid w:val="004646F7"/>
    <w:rsid w:val="00465AB2"/>
    <w:rsid w:val="00466FB5"/>
    <w:rsid w:val="00470036"/>
    <w:rsid w:val="004707BC"/>
    <w:rsid w:val="004726D4"/>
    <w:rsid w:val="00473F14"/>
    <w:rsid w:val="004742EA"/>
    <w:rsid w:val="004743B6"/>
    <w:rsid w:val="00474B80"/>
    <w:rsid w:val="00476314"/>
    <w:rsid w:val="00480251"/>
    <w:rsid w:val="00481F7B"/>
    <w:rsid w:val="00482184"/>
    <w:rsid w:val="00482C30"/>
    <w:rsid w:val="00490396"/>
    <w:rsid w:val="0049040E"/>
    <w:rsid w:val="004909A0"/>
    <w:rsid w:val="00492379"/>
    <w:rsid w:val="004941E5"/>
    <w:rsid w:val="00494D6F"/>
    <w:rsid w:val="0049669F"/>
    <w:rsid w:val="004978BD"/>
    <w:rsid w:val="00497BA6"/>
    <w:rsid w:val="004A5CE6"/>
    <w:rsid w:val="004A60E1"/>
    <w:rsid w:val="004B003D"/>
    <w:rsid w:val="004B1447"/>
    <w:rsid w:val="004B2112"/>
    <w:rsid w:val="004B39EB"/>
    <w:rsid w:val="004B4B9D"/>
    <w:rsid w:val="004B64D4"/>
    <w:rsid w:val="004C0D46"/>
    <w:rsid w:val="004C12DE"/>
    <w:rsid w:val="004C5782"/>
    <w:rsid w:val="004C5891"/>
    <w:rsid w:val="004C6027"/>
    <w:rsid w:val="004C7BE8"/>
    <w:rsid w:val="004D04AA"/>
    <w:rsid w:val="004D3B44"/>
    <w:rsid w:val="004E09CA"/>
    <w:rsid w:val="004E2D14"/>
    <w:rsid w:val="004E391B"/>
    <w:rsid w:val="004E502F"/>
    <w:rsid w:val="004E5F24"/>
    <w:rsid w:val="004E69E8"/>
    <w:rsid w:val="004E72CC"/>
    <w:rsid w:val="004F103E"/>
    <w:rsid w:val="00500BE6"/>
    <w:rsid w:val="00502655"/>
    <w:rsid w:val="0050534D"/>
    <w:rsid w:val="0051194C"/>
    <w:rsid w:val="00513926"/>
    <w:rsid w:val="00513DB7"/>
    <w:rsid w:val="00516D27"/>
    <w:rsid w:val="00517382"/>
    <w:rsid w:val="005205CA"/>
    <w:rsid w:val="00520F76"/>
    <w:rsid w:val="00522191"/>
    <w:rsid w:val="005247E5"/>
    <w:rsid w:val="00525881"/>
    <w:rsid w:val="0052614B"/>
    <w:rsid w:val="0052675D"/>
    <w:rsid w:val="00526B7A"/>
    <w:rsid w:val="00530165"/>
    <w:rsid w:val="005302CE"/>
    <w:rsid w:val="00532754"/>
    <w:rsid w:val="00536F37"/>
    <w:rsid w:val="00537837"/>
    <w:rsid w:val="005400EA"/>
    <w:rsid w:val="005419BC"/>
    <w:rsid w:val="005428F8"/>
    <w:rsid w:val="00542966"/>
    <w:rsid w:val="00543B94"/>
    <w:rsid w:val="00545D20"/>
    <w:rsid w:val="005475C0"/>
    <w:rsid w:val="00547681"/>
    <w:rsid w:val="00551CBC"/>
    <w:rsid w:val="00555249"/>
    <w:rsid w:val="0056224B"/>
    <w:rsid w:val="005628C3"/>
    <w:rsid w:val="00566890"/>
    <w:rsid w:val="005707AB"/>
    <w:rsid w:val="00572867"/>
    <w:rsid w:val="00573A16"/>
    <w:rsid w:val="0058140E"/>
    <w:rsid w:val="00581D64"/>
    <w:rsid w:val="00582D7B"/>
    <w:rsid w:val="005855C5"/>
    <w:rsid w:val="0058646E"/>
    <w:rsid w:val="00587446"/>
    <w:rsid w:val="00593D7A"/>
    <w:rsid w:val="00596353"/>
    <w:rsid w:val="00596B7E"/>
    <w:rsid w:val="005A0101"/>
    <w:rsid w:val="005A6A98"/>
    <w:rsid w:val="005A6EAB"/>
    <w:rsid w:val="005B03D6"/>
    <w:rsid w:val="005B3B6D"/>
    <w:rsid w:val="005B419B"/>
    <w:rsid w:val="005B43D5"/>
    <w:rsid w:val="005B4B9A"/>
    <w:rsid w:val="005B5511"/>
    <w:rsid w:val="005C4787"/>
    <w:rsid w:val="005D0992"/>
    <w:rsid w:val="005D22E7"/>
    <w:rsid w:val="005D4468"/>
    <w:rsid w:val="005D54FC"/>
    <w:rsid w:val="005D6E34"/>
    <w:rsid w:val="005E5A0B"/>
    <w:rsid w:val="005E722D"/>
    <w:rsid w:val="005F0CAA"/>
    <w:rsid w:val="005F1765"/>
    <w:rsid w:val="005F21D9"/>
    <w:rsid w:val="005F2627"/>
    <w:rsid w:val="005F5733"/>
    <w:rsid w:val="006023B8"/>
    <w:rsid w:val="0060284F"/>
    <w:rsid w:val="006034B6"/>
    <w:rsid w:val="0060522C"/>
    <w:rsid w:val="00605813"/>
    <w:rsid w:val="00605CAB"/>
    <w:rsid w:val="00606C0A"/>
    <w:rsid w:val="006102F8"/>
    <w:rsid w:val="00612FBB"/>
    <w:rsid w:val="006157D7"/>
    <w:rsid w:val="0061625F"/>
    <w:rsid w:val="006226DC"/>
    <w:rsid w:val="00623756"/>
    <w:rsid w:val="00624CDA"/>
    <w:rsid w:val="00626B28"/>
    <w:rsid w:val="00630FFB"/>
    <w:rsid w:val="00632A1A"/>
    <w:rsid w:val="00634CF3"/>
    <w:rsid w:val="00635C62"/>
    <w:rsid w:val="00635F78"/>
    <w:rsid w:val="00645230"/>
    <w:rsid w:val="00645F0D"/>
    <w:rsid w:val="006501B7"/>
    <w:rsid w:val="00654280"/>
    <w:rsid w:val="006552F7"/>
    <w:rsid w:val="006575EA"/>
    <w:rsid w:val="00662F88"/>
    <w:rsid w:val="0066328B"/>
    <w:rsid w:val="0066709F"/>
    <w:rsid w:val="006705C8"/>
    <w:rsid w:val="006831AE"/>
    <w:rsid w:val="0069461E"/>
    <w:rsid w:val="00697BF0"/>
    <w:rsid w:val="006A21A5"/>
    <w:rsid w:val="006A30C4"/>
    <w:rsid w:val="006A356D"/>
    <w:rsid w:val="006B002A"/>
    <w:rsid w:val="006B0776"/>
    <w:rsid w:val="006B19DB"/>
    <w:rsid w:val="006B3D13"/>
    <w:rsid w:val="006B455C"/>
    <w:rsid w:val="006B605D"/>
    <w:rsid w:val="006B7698"/>
    <w:rsid w:val="006C05D0"/>
    <w:rsid w:val="006C1229"/>
    <w:rsid w:val="006C12B1"/>
    <w:rsid w:val="006C360A"/>
    <w:rsid w:val="006D0C05"/>
    <w:rsid w:val="006D0F14"/>
    <w:rsid w:val="006D19A1"/>
    <w:rsid w:val="006D34E1"/>
    <w:rsid w:val="006D65A6"/>
    <w:rsid w:val="006D7D4A"/>
    <w:rsid w:val="006E03DB"/>
    <w:rsid w:val="006E0735"/>
    <w:rsid w:val="006E32F6"/>
    <w:rsid w:val="006E3A88"/>
    <w:rsid w:val="006E3FC6"/>
    <w:rsid w:val="006E5159"/>
    <w:rsid w:val="006E79AA"/>
    <w:rsid w:val="006F1AB6"/>
    <w:rsid w:val="006F52D2"/>
    <w:rsid w:val="006F56AA"/>
    <w:rsid w:val="006F5C85"/>
    <w:rsid w:val="00700C9F"/>
    <w:rsid w:val="00703666"/>
    <w:rsid w:val="0070603B"/>
    <w:rsid w:val="00706F00"/>
    <w:rsid w:val="00713E0D"/>
    <w:rsid w:val="007140AB"/>
    <w:rsid w:val="0071685C"/>
    <w:rsid w:val="00720153"/>
    <w:rsid w:val="00724967"/>
    <w:rsid w:val="007262F6"/>
    <w:rsid w:val="00731530"/>
    <w:rsid w:val="00732C3B"/>
    <w:rsid w:val="00733450"/>
    <w:rsid w:val="00736DB7"/>
    <w:rsid w:val="0074419C"/>
    <w:rsid w:val="007445E4"/>
    <w:rsid w:val="007501B1"/>
    <w:rsid w:val="0075176D"/>
    <w:rsid w:val="0075179B"/>
    <w:rsid w:val="007553B7"/>
    <w:rsid w:val="00755BFC"/>
    <w:rsid w:val="007572CE"/>
    <w:rsid w:val="00757465"/>
    <w:rsid w:val="00761932"/>
    <w:rsid w:val="00762067"/>
    <w:rsid w:val="00762918"/>
    <w:rsid w:val="00762969"/>
    <w:rsid w:val="00763A20"/>
    <w:rsid w:val="00767E45"/>
    <w:rsid w:val="007719DE"/>
    <w:rsid w:val="007735E7"/>
    <w:rsid w:val="00773B36"/>
    <w:rsid w:val="00777491"/>
    <w:rsid w:val="00780551"/>
    <w:rsid w:val="00780F8C"/>
    <w:rsid w:val="007817A1"/>
    <w:rsid w:val="007829AE"/>
    <w:rsid w:val="00784A94"/>
    <w:rsid w:val="00787076"/>
    <w:rsid w:val="00791ACA"/>
    <w:rsid w:val="00797A22"/>
    <w:rsid w:val="007A07E8"/>
    <w:rsid w:val="007A442B"/>
    <w:rsid w:val="007A4587"/>
    <w:rsid w:val="007A553D"/>
    <w:rsid w:val="007B010F"/>
    <w:rsid w:val="007B0AA1"/>
    <w:rsid w:val="007B1307"/>
    <w:rsid w:val="007B51DD"/>
    <w:rsid w:val="007B66F0"/>
    <w:rsid w:val="007B7CC0"/>
    <w:rsid w:val="007C0E96"/>
    <w:rsid w:val="007C1D40"/>
    <w:rsid w:val="007C4B87"/>
    <w:rsid w:val="007C62CA"/>
    <w:rsid w:val="007C71F4"/>
    <w:rsid w:val="007D290F"/>
    <w:rsid w:val="007D34CA"/>
    <w:rsid w:val="007D40A4"/>
    <w:rsid w:val="007D4D03"/>
    <w:rsid w:val="007D7071"/>
    <w:rsid w:val="007E4470"/>
    <w:rsid w:val="007E6321"/>
    <w:rsid w:val="007E6726"/>
    <w:rsid w:val="007F0790"/>
    <w:rsid w:val="007F10F3"/>
    <w:rsid w:val="007F23CE"/>
    <w:rsid w:val="007F3D47"/>
    <w:rsid w:val="007F458D"/>
    <w:rsid w:val="007F5FDB"/>
    <w:rsid w:val="007F658A"/>
    <w:rsid w:val="007F78D8"/>
    <w:rsid w:val="008049A2"/>
    <w:rsid w:val="00807DD2"/>
    <w:rsid w:val="0081131C"/>
    <w:rsid w:val="00821BA6"/>
    <w:rsid w:val="00824BAA"/>
    <w:rsid w:val="00824DF7"/>
    <w:rsid w:val="00827059"/>
    <w:rsid w:val="00827A50"/>
    <w:rsid w:val="008323D0"/>
    <w:rsid w:val="00832DC1"/>
    <w:rsid w:val="0084462A"/>
    <w:rsid w:val="008452C0"/>
    <w:rsid w:val="008525BF"/>
    <w:rsid w:val="00854345"/>
    <w:rsid w:val="00855DA8"/>
    <w:rsid w:val="008618DE"/>
    <w:rsid w:val="008642D5"/>
    <w:rsid w:val="00864645"/>
    <w:rsid w:val="00865384"/>
    <w:rsid w:val="00866773"/>
    <w:rsid w:val="00874692"/>
    <w:rsid w:val="00875635"/>
    <w:rsid w:val="00880CC9"/>
    <w:rsid w:val="0088327C"/>
    <w:rsid w:val="0088762D"/>
    <w:rsid w:val="008877ED"/>
    <w:rsid w:val="00890996"/>
    <w:rsid w:val="00890DB6"/>
    <w:rsid w:val="008933D8"/>
    <w:rsid w:val="00897806"/>
    <w:rsid w:val="008A0085"/>
    <w:rsid w:val="008A0833"/>
    <w:rsid w:val="008A0912"/>
    <w:rsid w:val="008A0DC2"/>
    <w:rsid w:val="008A3E60"/>
    <w:rsid w:val="008A43A5"/>
    <w:rsid w:val="008A7265"/>
    <w:rsid w:val="008B23E9"/>
    <w:rsid w:val="008B3039"/>
    <w:rsid w:val="008C0559"/>
    <w:rsid w:val="008C1207"/>
    <w:rsid w:val="008C1A09"/>
    <w:rsid w:val="008C3763"/>
    <w:rsid w:val="008C77E2"/>
    <w:rsid w:val="008D038F"/>
    <w:rsid w:val="008D0BA9"/>
    <w:rsid w:val="008D2392"/>
    <w:rsid w:val="008D5BB0"/>
    <w:rsid w:val="008D6708"/>
    <w:rsid w:val="008D7117"/>
    <w:rsid w:val="008E1DC7"/>
    <w:rsid w:val="008E5AC0"/>
    <w:rsid w:val="008E6244"/>
    <w:rsid w:val="008E753F"/>
    <w:rsid w:val="008F2A38"/>
    <w:rsid w:val="008F3E64"/>
    <w:rsid w:val="008F5DAC"/>
    <w:rsid w:val="008F7654"/>
    <w:rsid w:val="0090131A"/>
    <w:rsid w:val="00902884"/>
    <w:rsid w:val="00903EAE"/>
    <w:rsid w:val="009069DD"/>
    <w:rsid w:val="00910C02"/>
    <w:rsid w:val="0091589D"/>
    <w:rsid w:val="00930DF7"/>
    <w:rsid w:val="009312EE"/>
    <w:rsid w:val="00931A46"/>
    <w:rsid w:val="009329EC"/>
    <w:rsid w:val="00933CC5"/>
    <w:rsid w:val="009342C0"/>
    <w:rsid w:val="00944373"/>
    <w:rsid w:val="00944463"/>
    <w:rsid w:val="0094548B"/>
    <w:rsid w:val="00945A49"/>
    <w:rsid w:val="00945B83"/>
    <w:rsid w:val="00947358"/>
    <w:rsid w:val="00951504"/>
    <w:rsid w:val="00955AC5"/>
    <w:rsid w:val="00956834"/>
    <w:rsid w:val="0096299F"/>
    <w:rsid w:val="00966B8B"/>
    <w:rsid w:val="00971B1A"/>
    <w:rsid w:val="00972562"/>
    <w:rsid w:val="0097383F"/>
    <w:rsid w:val="00981A37"/>
    <w:rsid w:val="00981DD0"/>
    <w:rsid w:val="00987211"/>
    <w:rsid w:val="009912B8"/>
    <w:rsid w:val="00993121"/>
    <w:rsid w:val="0099370B"/>
    <w:rsid w:val="00993BA5"/>
    <w:rsid w:val="0099726C"/>
    <w:rsid w:val="009A4C0F"/>
    <w:rsid w:val="009A5957"/>
    <w:rsid w:val="009A5B4C"/>
    <w:rsid w:val="009A75A0"/>
    <w:rsid w:val="009A7994"/>
    <w:rsid w:val="009B08B2"/>
    <w:rsid w:val="009B13A1"/>
    <w:rsid w:val="009B1546"/>
    <w:rsid w:val="009B1644"/>
    <w:rsid w:val="009B5C37"/>
    <w:rsid w:val="009C414E"/>
    <w:rsid w:val="009D0425"/>
    <w:rsid w:val="009D1CC1"/>
    <w:rsid w:val="009D385D"/>
    <w:rsid w:val="009D5D56"/>
    <w:rsid w:val="009D5DA2"/>
    <w:rsid w:val="009E0273"/>
    <w:rsid w:val="009E1CE4"/>
    <w:rsid w:val="009E2103"/>
    <w:rsid w:val="009E21DC"/>
    <w:rsid w:val="009E7450"/>
    <w:rsid w:val="009F372D"/>
    <w:rsid w:val="009F3A74"/>
    <w:rsid w:val="009F48CB"/>
    <w:rsid w:val="009F5A99"/>
    <w:rsid w:val="009F667B"/>
    <w:rsid w:val="009F6DAD"/>
    <w:rsid w:val="009F73C1"/>
    <w:rsid w:val="009F759A"/>
    <w:rsid w:val="00A00C96"/>
    <w:rsid w:val="00A00F49"/>
    <w:rsid w:val="00A00FF6"/>
    <w:rsid w:val="00A03DF6"/>
    <w:rsid w:val="00A047F2"/>
    <w:rsid w:val="00A06FB0"/>
    <w:rsid w:val="00A10398"/>
    <w:rsid w:val="00A10DB1"/>
    <w:rsid w:val="00A1114A"/>
    <w:rsid w:val="00A15B51"/>
    <w:rsid w:val="00A16927"/>
    <w:rsid w:val="00A2194D"/>
    <w:rsid w:val="00A23E15"/>
    <w:rsid w:val="00A255CB"/>
    <w:rsid w:val="00A27062"/>
    <w:rsid w:val="00A271E9"/>
    <w:rsid w:val="00A3089F"/>
    <w:rsid w:val="00A30A6C"/>
    <w:rsid w:val="00A33F89"/>
    <w:rsid w:val="00A36699"/>
    <w:rsid w:val="00A43AAF"/>
    <w:rsid w:val="00A44827"/>
    <w:rsid w:val="00A45774"/>
    <w:rsid w:val="00A47EC0"/>
    <w:rsid w:val="00A537CF"/>
    <w:rsid w:val="00A5494C"/>
    <w:rsid w:val="00A55ECC"/>
    <w:rsid w:val="00A57A39"/>
    <w:rsid w:val="00A60570"/>
    <w:rsid w:val="00A608B1"/>
    <w:rsid w:val="00A641DF"/>
    <w:rsid w:val="00A65BF5"/>
    <w:rsid w:val="00A7187B"/>
    <w:rsid w:val="00A728DB"/>
    <w:rsid w:val="00A73C0C"/>
    <w:rsid w:val="00A80653"/>
    <w:rsid w:val="00A8134F"/>
    <w:rsid w:val="00A81BDC"/>
    <w:rsid w:val="00A82727"/>
    <w:rsid w:val="00A8454A"/>
    <w:rsid w:val="00A84B88"/>
    <w:rsid w:val="00A9062B"/>
    <w:rsid w:val="00A94CD2"/>
    <w:rsid w:val="00A954FE"/>
    <w:rsid w:val="00A968CE"/>
    <w:rsid w:val="00A97604"/>
    <w:rsid w:val="00A97CCB"/>
    <w:rsid w:val="00AA04C3"/>
    <w:rsid w:val="00AA0714"/>
    <w:rsid w:val="00AA548A"/>
    <w:rsid w:val="00AA6273"/>
    <w:rsid w:val="00AA632B"/>
    <w:rsid w:val="00AA7082"/>
    <w:rsid w:val="00AB1281"/>
    <w:rsid w:val="00AB22EA"/>
    <w:rsid w:val="00AB3949"/>
    <w:rsid w:val="00AB3EA7"/>
    <w:rsid w:val="00AB4AB1"/>
    <w:rsid w:val="00AB5CE5"/>
    <w:rsid w:val="00AC0479"/>
    <w:rsid w:val="00AC5873"/>
    <w:rsid w:val="00AC6677"/>
    <w:rsid w:val="00AD2225"/>
    <w:rsid w:val="00AD34FE"/>
    <w:rsid w:val="00AD5CC0"/>
    <w:rsid w:val="00AD5EAB"/>
    <w:rsid w:val="00AD5EAF"/>
    <w:rsid w:val="00AE0B75"/>
    <w:rsid w:val="00AE2154"/>
    <w:rsid w:val="00AF1272"/>
    <w:rsid w:val="00AF2DB3"/>
    <w:rsid w:val="00AF35EB"/>
    <w:rsid w:val="00AF42F0"/>
    <w:rsid w:val="00AF5B58"/>
    <w:rsid w:val="00B0128A"/>
    <w:rsid w:val="00B01BD5"/>
    <w:rsid w:val="00B02AB8"/>
    <w:rsid w:val="00B03943"/>
    <w:rsid w:val="00B11074"/>
    <w:rsid w:val="00B142D1"/>
    <w:rsid w:val="00B14E33"/>
    <w:rsid w:val="00B1670C"/>
    <w:rsid w:val="00B16B84"/>
    <w:rsid w:val="00B17B7E"/>
    <w:rsid w:val="00B2038A"/>
    <w:rsid w:val="00B21D03"/>
    <w:rsid w:val="00B23100"/>
    <w:rsid w:val="00B24316"/>
    <w:rsid w:val="00B360AC"/>
    <w:rsid w:val="00B407CC"/>
    <w:rsid w:val="00B46FFF"/>
    <w:rsid w:val="00B526A8"/>
    <w:rsid w:val="00B5270D"/>
    <w:rsid w:val="00B54F76"/>
    <w:rsid w:val="00B555A0"/>
    <w:rsid w:val="00B60FD0"/>
    <w:rsid w:val="00B621B6"/>
    <w:rsid w:val="00B63555"/>
    <w:rsid w:val="00B70B16"/>
    <w:rsid w:val="00B71990"/>
    <w:rsid w:val="00B71D61"/>
    <w:rsid w:val="00B828A5"/>
    <w:rsid w:val="00B82C46"/>
    <w:rsid w:val="00B85594"/>
    <w:rsid w:val="00B921A2"/>
    <w:rsid w:val="00BA093E"/>
    <w:rsid w:val="00BA0D70"/>
    <w:rsid w:val="00BA24A6"/>
    <w:rsid w:val="00BA263D"/>
    <w:rsid w:val="00BA2971"/>
    <w:rsid w:val="00BA3777"/>
    <w:rsid w:val="00BA48FA"/>
    <w:rsid w:val="00BA4ABE"/>
    <w:rsid w:val="00BA63DE"/>
    <w:rsid w:val="00BA6FAF"/>
    <w:rsid w:val="00BB0A32"/>
    <w:rsid w:val="00BB0B06"/>
    <w:rsid w:val="00BB1165"/>
    <w:rsid w:val="00BB2188"/>
    <w:rsid w:val="00BB5C5E"/>
    <w:rsid w:val="00BC0077"/>
    <w:rsid w:val="00BC590E"/>
    <w:rsid w:val="00BD047B"/>
    <w:rsid w:val="00BD2B44"/>
    <w:rsid w:val="00BD2C00"/>
    <w:rsid w:val="00BD719B"/>
    <w:rsid w:val="00BE1391"/>
    <w:rsid w:val="00BE201D"/>
    <w:rsid w:val="00BE71B8"/>
    <w:rsid w:val="00BE7723"/>
    <w:rsid w:val="00BE7D5F"/>
    <w:rsid w:val="00BF25BF"/>
    <w:rsid w:val="00BF59C3"/>
    <w:rsid w:val="00BF618D"/>
    <w:rsid w:val="00BF6AC1"/>
    <w:rsid w:val="00BF7915"/>
    <w:rsid w:val="00BF79D3"/>
    <w:rsid w:val="00BF7C7C"/>
    <w:rsid w:val="00C00E13"/>
    <w:rsid w:val="00C00EE9"/>
    <w:rsid w:val="00C02729"/>
    <w:rsid w:val="00C03D88"/>
    <w:rsid w:val="00C03F77"/>
    <w:rsid w:val="00C04FF1"/>
    <w:rsid w:val="00C1093F"/>
    <w:rsid w:val="00C12329"/>
    <w:rsid w:val="00C21CAC"/>
    <w:rsid w:val="00C2238C"/>
    <w:rsid w:val="00C229E5"/>
    <w:rsid w:val="00C23AEC"/>
    <w:rsid w:val="00C23F02"/>
    <w:rsid w:val="00C24755"/>
    <w:rsid w:val="00C2528A"/>
    <w:rsid w:val="00C254DF"/>
    <w:rsid w:val="00C26AF2"/>
    <w:rsid w:val="00C27A0A"/>
    <w:rsid w:val="00C30D67"/>
    <w:rsid w:val="00C319F4"/>
    <w:rsid w:val="00C32D2A"/>
    <w:rsid w:val="00C335F2"/>
    <w:rsid w:val="00C33F90"/>
    <w:rsid w:val="00C35B2A"/>
    <w:rsid w:val="00C368C0"/>
    <w:rsid w:val="00C37B99"/>
    <w:rsid w:val="00C37DC4"/>
    <w:rsid w:val="00C432A7"/>
    <w:rsid w:val="00C44F7F"/>
    <w:rsid w:val="00C45C9C"/>
    <w:rsid w:val="00C45FB9"/>
    <w:rsid w:val="00C47288"/>
    <w:rsid w:val="00C51229"/>
    <w:rsid w:val="00C55095"/>
    <w:rsid w:val="00C613A4"/>
    <w:rsid w:val="00C63A22"/>
    <w:rsid w:val="00C666F3"/>
    <w:rsid w:val="00C67A86"/>
    <w:rsid w:val="00C716B1"/>
    <w:rsid w:val="00C75F63"/>
    <w:rsid w:val="00C7642D"/>
    <w:rsid w:val="00C76792"/>
    <w:rsid w:val="00C80B4A"/>
    <w:rsid w:val="00C80CE3"/>
    <w:rsid w:val="00C83BA4"/>
    <w:rsid w:val="00C8698C"/>
    <w:rsid w:val="00C874C6"/>
    <w:rsid w:val="00C90E10"/>
    <w:rsid w:val="00C914DE"/>
    <w:rsid w:val="00C92230"/>
    <w:rsid w:val="00C93068"/>
    <w:rsid w:val="00C93DBA"/>
    <w:rsid w:val="00C95F14"/>
    <w:rsid w:val="00C973DA"/>
    <w:rsid w:val="00CA0FE7"/>
    <w:rsid w:val="00CA4134"/>
    <w:rsid w:val="00CA44FC"/>
    <w:rsid w:val="00CA7A00"/>
    <w:rsid w:val="00CB5202"/>
    <w:rsid w:val="00CB556E"/>
    <w:rsid w:val="00CB6136"/>
    <w:rsid w:val="00CB634F"/>
    <w:rsid w:val="00CB7AA2"/>
    <w:rsid w:val="00CB7F80"/>
    <w:rsid w:val="00CC0C07"/>
    <w:rsid w:val="00CC1325"/>
    <w:rsid w:val="00CC1B04"/>
    <w:rsid w:val="00CC2F1F"/>
    <w:rsid w:val="00CC663D"/>
    <w:rsid w:val="00CD0B91"/>
    <w:rsid w:val="00CD3BEC"/>
    <w:rsid w:val="00CD3BFF"/>
    <w:rsid w:val="00CD41B4"/>
    <w:rsid w:val="00CD472A"/>
    <w:rsid w:val="00CD5754"/>
    <w:rsid w:val="00CD63D7"/>
    <w:rsid w:val="00CD6756"/>
    <w:rsid w:val="00CD74DC"/>
    <w:rsid w:val="00CE0218"/>
    <w:rsid w:val="00CE2985"/>
    <w:rsid w:val="00CE2BCA"/>
    <w:rsid w:val="00CE4A3A"/>
    <w:rsid w:val="00CE5F42"/>
    <w:rsid w:val="00CE6285"/>
    <w:rsid w:val="00CF094D"/>
    <w:rsid w:val="00CF1679"/>
    <w:rsid w:val="00CF26C4"/>
    <w:rsid w:val="00CF3458"/>
    <w:rsid w:val="00CF76E8"/>
    <w:rsid w:val="00CF7CE4"/>
    <w:rsid w:val="00D00D00"/>
    <w:rsid w:val="00D01D91"/>
    <w:rsid w:val="00D01EDD"/>
    <w:rsid w:val="00D0417B"/>
    <w:rsid w:val="00D10561"/>
    <w:rsid w:val="00D1271C"/>
    <w:rsid w:val="00D1311C"/>
    <w:rsid w:val="00D14B39"/>
    <w:rsid w:val="00D15DC7"/>
    <w:rsid w:val="00D2734D"/>
    <w:rsid w:val="00D339A3"/>
    <w:rsid w:val="00D40FB2"/>
    <w:rsid w:val="00D426E7"/>
    <w:rsid w:val="00D44B5C"/>
    <w:rsid w:val="00D4588E"/>
    <w:rsid w:val="00D4597F"/>
    <w:rsid w:val="00D46D7A"/>
    <w:rsid w:val="00D47F5D"/>
    <w:rsid w:val="00D52970"/>
    <w:rsid w:val="00D54990"/>
    <w:rsid w:val="00D54F29"/>
    <w:rsid w:val="00D61191"/>
    <w:rsid w:val="00D63C57"/>
    <w:rsid w:val="00D65C30"/>
    <w:rsid w:val="00D6670A"/>
    <w:rsid w:val="00D71F16"/>
    <w:rsid w:val="00D73CD8"/>
    <w:rsid w:val="00D81604"/>
    <w:rsid w:val="00D90F1C"/>
    <w:rsid w:val="00D91A6D"/>
    <w:rsid w:val="00D91D80"/>
    <w:rsid w:val="00D93182"/>
    <w:rsid w:val="00D94CCC"/>
    <w:rsid w:val="00D95631"/>
    <w:rsid w:val="00D9777E"/>
    <w:rsid w:val="00D97E0B"/>
    <w:rsid w:val="00D97F9A"/>
    <w:rsid w:val="00DA0588"/>
    <w:rsid w:val="00DA1364"/>
    <w:rsid w:val="00DA3638"/>
    <w:rsid w:val="00DA4644"/>
    <w:rsid w:val="00DA73FE"/>
    <w:rsid w:val="00DB3E79"/>
    <w:rsid w:val="00DB70C4"/>
    <w:rsid w:val="00DB7968"/>
    <w:rsid w:val="00DB7D4C"/>
    <w:rsid w:val="00DC332A"/>
    <w:rsid w:val="00DC3F21"/>
    <w:rsid w:val="00DC3F78"/>
    <w:rsid w:val="00DC41DE"/>
    <w:rsid w:val="00DD2AC4"/>
    <w:rsid w:val="00DD3F35"/>
    <w:rsid w:val="00DE2A7B"/>
    <w:rsid w:val="00DE64A9"/>
    <w:rsid w:val="00DF35B1"/>
    <w:rsid w:val="00DF40ED"/>
    <w:rsid w:val="00E01CEC"/>
    <w:rsid w:val="00E0391A"/>
    <w:rsid w:val="00E03A9E"/>
    <w:rsid w:val="00E07172"/>
    <w:rsid w:val="00E120D0"/>
    <w:rsid w:val="00E16AB3"/>
    <w:rsid w:val="00E229A3"/>
    <w:rsid w:val="00E26BA3"/>
    <w:rsid w:val="00E30E66"/>
    <w:rsid w:val="00E3245B"/>
    <w:rsid w:val="00E33ABF"/>
    <w:rsid w:val="00E33F66"/>
    <w:rsid w:val="00E50EEB"/>
    <w:rsid w:val="00E51BC9"/>
    <w:rsid w:val="00E55AAB"/>
    <w:rsid w:val="00E564E8"/>
    <w:rsid w:val="00E628B5"/>
    <w:rsid w:val="00E65FE2"/>
    <w:rsid w:val="00E71056"/>
    <w:rsid w:val="00E718BD"/>
    <w:rsid w:val="00E722AF"/>
    <w:rsid w:val="00E80CEE"/>
    <w:rsid w:val="00E8207D"/>
    <w:rsid w:val="00E82C12"/>
    <w:rsid w:val="00E84A38"/>
    <w:rsid w:val="00E95529"/>
    <w:rsid w:val="00EA01AC"/>
    <w:rsid w:val="00EA0B33"/>
    <w:rsid w:val="00EA100C"/>
    <w:rsid w:val="00EA5777"/>
    <w:rsid w:val="00EB230C"/>
    <w:rsid w:val="00EB4DF2"/>
    <w:rsid w:val="00EB5C29"/>
    <w:rsid w:val="00EC10FD"/>
    <w:rsid w:val="00EC1254"/>
    <w:rsid w:val="00EC14FC"/>
    <w:rsid w:val="00EC4686"/>
    <w:rsid w:val="00ED07DF"/>
    <w:rsid w:val="00ED0B9A"/>
    <w:rsid w:val="00ED0D88"/>
    <w:rsid w:val="00ED3D74"/>
    <w:rsid w:val="00ED7B90"/>
    <w:rsid w:val="00EE0919"/>
    <w:rsid w:val="00EE1282"/>
    <w:rsid w:val="00EE2D47"/>
    <w:rsid w:val="00EE37D3"/>
    <w:rsid w:val="00EE4D2D"/>
    <w:rsid w:val="00EF0350"/>
    <w:rsid w:val="00EF0F77"/>
    <w:rsid w:val="00F00E4D"/>
    <w:rsid w:val="00F07436"/>
    <w:rsid w:val="00F078AC"/>
    <w:rsid w:val="00F10AF7"/>
    <w:rsid w:val="00F12497"/>
    <w:rsid w:val="00F21E75"/>
    <w:rsid w:val="00F2206B"/>
    <w:rsid w:val="00F24953"/>
    <w:rsid w:val="00F266D3"/>
    <w:rsid w:val="00F26C6C"/>
    <w:rsid w:val="00F26E96"/>
    <w:rsid w:val="00F2739F"/>
    <w:rsid w:val="00F30797"/>
    <w:rsid w:val="00F35A52"/>
    <w:rsid w:val="00F41CD5"/>
    <w:rsid w:val="00F43570"/>
    <w:rsid w:val="00F45A80"/>
    <w:rsid w:val="00F46B61"/>
    <w:rsid w:val="00F4720B"/>
    <w:rsid w:val="00F515B1"/>
    <w:rsid w:val="00F53BD0"/>
    <w:rsid w:val="00F54766"/>
    <w:rsid w:val="00F65356"/>
    <w:rsid w:val="00F65883"/>
    <w:rsid w:val="00F7533B"/>
    <w:rsid w:val="00F75893"/>
    <w:rsid w:val="00F775A7"/>
    <w:rsid w:val="00F81AB7"/>
    <w:rsid w:val="00F83718"/>
    <w:rsid w:val="00F84042"/>
    <w:rsid w:val="00F85133"/>
    <w:rsid w:val="00F9092C"/>
    <w:rsid w:val="00F93BC7"/>
    <w:rsid w:val="00F94421"/>
    <w:rsid w:val="00F946ED"/>
    <w:rsid w:val="00F965BC"/>
    <w:rsid w:val="00FA2A4F"/>
    <w:rsid w:val="00FA2CCF"/>
    <w:rsid w:val="00FA2E01"/>
    <w:rsid w:val="00FA3740"/>
    <w:rsid w:val="00FA3A1B"/>
    <w:rsid w:val="00FB0857"/>
    <w:rsid w:val="00FB13A9"/>
    <w:rsid w:val="00FB265C"/>
    <w:rsid w:val="00FB556D"/>
    <w:rsid w:val="00FC033B"/>
    <w:rsid w:val="00FC0B62"/>
    <w:rsid w:val="00FC2011"/>
    <w:rsid w:val="00FC2B90"/>
    <w:rsid w:val="00FC4A2E"/>
    <w:rsid w:val="00FC6726"/>
    <w:rsid w:val="00FD1701"/>
    <w:rsid w:val="00FD4385"/>
    <w:rsid w:val="00FD5FBD"/>
    <w:rsid w:val="00FE2CB7"/>
    <w:rsid w:val="00FE4969"/>
    <w:rsid w:val="00FE5B14"/>
    <w:rsid w:val="00FE6B16"/>
    <w:rsid w:val="00FF07C1"/>
    <w:rsid w:val="00FF2490"/>
    <w:rsid w:val="00FF2B51"/>
    <w:rsid w:val="00FF45F4"/>
    <w:rsid w:val="00FF5EC5"/>
    <w:rsid w:val="00FF61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900475"/>
  <w15:docId w15:val="{492EF5DE-4450-4C56-BBCE-8AE1CFD66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286"/>
    <w:rPr>
      <w:rFonts w:ascii="Arial" w:hAnsi="Arial" w:cs="Arial"/>
      <w:szCs w:val="20"/>
    </w:rPr>
  </w:style>
  <w:style w:type="paragraph" w:styleId="Heading1">
    <w:name w:val="heading 1"/>
    <w:basedOn w:val="Normal"/>
    <w:next w:val="Normal"/>
    <w:link w:val="Heading1Char"/>
    <w:uiPriority w:val="99"/>
    <w:qFormat/>
    <w:rsid w:val="00021286"/>
    <w:pPr>
      <w:tabs>
        <w:tab w:val="center" w:pos="4153"/>
      </w:tabs>
      <w:spacing w:line="240" w:lineRule="exact"/>
      <w:ind w:right="-680"/>
      <w:jc w:val="right"/>
      <w:outlineLvl w:val="0"/>
    </w:pPr>
    <w:rPr>
      <w:sz w:val="18"/>
      <w:szCs w:val="18"/>
    </w:rPr>
  </w:style>
  <w:style w:type="paragraph" w:styleId="Heading2">
    <w:name w:val="heading 2"/>
    <w:basedOn w:val="Heading1"/>
    <w:next w:val="Normal"/>
    <w:link w:val="Heading2Char"/>
    <w:uiPriority w:val="99"/>
    <w:qFormat/>
    <w:rsid w:val="00021286"/>
    <w:pPr>
      <w:outlineLvl w:val="1"/>
    </w:pPr>
    <w:rPr>
      <w:b/>
    </w:rPr>
  </w:style>
  <w:style w:type="paragraph" w:styleId="Heading3">
    <w:name w:val="heading 3"/>
    <w:basedOn w:val="Normal"/>
    <w:next w:val="Normal"/>
    <w:link w:val="Heading3Char"/>
    <w:uiPriority w:val="99"/>
    <w:qFormat/>
    <w:rsid w:val="00021286"/>
    <w:pPr>
      <w:keepNext/>
      <w:spacing w:after="120"/>
      <w:outlineLvl w:val="2"/>
    </w:pPr>
    <w:rPr>
      <w:rFonts w:ascii="Tahoma" w:hAnsi="Tahoma" w:cs="Times New Roman"/>
      <w:b/>
      <w:i/>
    </w:rPr>
  </w:style>
  <w:style w:type="paragraph" w:styleId="Heading4">
    <w:name w:val="heading 4"/>
    <w:basedOn w:val="Normal"/>
    <w:next w:val="Normal"/>
    <w:link w:val="Heading4Char"/>
    <w:uiPriority w:val="99"/>
    <w:qFormat/>
    <w:rsid w:val="00021286"/>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uiPriority w:val="99"/>
    <w:qFormat/>
    <w:rsid w:val="00021286"/>
    <w:pPr>
      <w:spacing w:before="240" w:after="60"/>
      <w:outlineLvl w:val="4"/>
    </w:pPr>
    <w:rPr>
      <w:b/>
      <w:bCs/>
      <w:i/>
      <w:iCs/>
      <w:sz w:val="26"/>
      <w:szCs w:val="26"/>
    </w:rPr>
  </w:style>
  <w:style w:type="paragraph" w:styleId="Heading6">
    <w:name w:val="heading 6"/>
    <w:basedOn w:val="Normal"/>
    <w:next w:val="Normal"/>
    <w:link w:val="Heading6Char"/>
    <w:uiPriority w:val="99"/>
    <w:qFormat/>
    <w:rsid w:val="00021286"/>
    <w:pPr>
      <w:spacing w:before="240" w:after="60"/>
      <w:outlineLvl w:val="5"/>
    </w:pPr>
    <w:rPr>
      <w:rFonts w:ascii="Times New Roman" w:hAnsi="Times New Roman" w:cs="Times New Roman"/>
      <w:b/>
      <w:bCs/>
      <w:szCs w:val="22"/>
    </w:rPr>
  </w:style>
  <w:style w:type="paragraph" w:styleId="Heading7">
    <w:name w:val="heading 7"/>
    <w:basedOn w:val="Normal"/>
    <w:next w:val="Normal"/>
    <w:link w:val="Heading7Char"/>
    <w:uiPriority w:val="99"/>
    <w:qFormat/>
    <w:rsid w:val="00890996"/>
    <w:pPr>
      <w:spacing w:before="240" w:after="60"/>
      <w:outlineLvl w:val="6"/>
    </w:pPr>
    <w:rPr>
      <w:rFonts w:ascii="Times New Roman" w:hAnsi="Times New Roman" w:cs="Times New Roman"/>
      <w:sz w:val="24"/>
      <w:szCs w:val="24"/>
    </w:rPr>
  </w:style>
  <w:style w:type="paragraph" w:styleId="Heading8">
    <w:name w:val="heading 8"/>
    <w:basedOn w:val="Normal"/>
    <w:next w:val="Normal"/>
    <w:link w:val="Heading8Char"/>
    <w:uiPriority w:val="99"/>
    <w:qFormat/>
    <w:rsid w:val="00890996"/>
    <w:pPr>
      <w:spacing w:before="240" w:after="60"/>
      <w:outlineLvl w:val="7"/>
    </w:pPr>
    <w:rPr>
      <w:rFonts w:ascii="Times New Roman" w:hAnsi="Times New Roman" w:cs="Times New Roman"/>
      <w:i/>
      <w:iCs/>
      <w:sz w:val="24"/>
      <w:szCs w:val="24"/>
    </w:rPr>
  </w:style>
  <w:style w:type="paragraph" w:styleId="Heading9">
    <w:name w:val="heading 9"/>
    <w:basedOn w:val="Normal"/>
    <w:next w:val="Normal"/>
    <w:link w:val="Heading9Char"/>
    <w:uiPriority w:val="99"/>
    <w:qFormat/>
    <w:rsid w:val="00890996"/>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D2B44"/>
    <w:rPr>
      <w:rFonts w:ascii="Arial" w:hAnsi="Arial" w:cs="Arial"/>
      <w:sz w:val="18"/>
      <w:szCs w:val="18"/>
      <w:lang w:val="en-AU" w:eastAsia="en-AU" w:bidi="ar-SA"/>
    </w:rPr>
  </w:style>
  <w:style w:type="character" w:customStyle="1" w:styleId="Heading2Char">
    <w:name w:val="Heading 2 Char"/>
    <w:basedOn w:val="Heading1Char"/>
    <w:link w:val="Heading2"/>
    <w:uiPriority w:val="99"/>
    <w:locked/>
    <w:rsid w:val="00BD2B44"/>
    <w:rPr>
      <w:rFonts w:ascii="Arial" w:hAnsi="Arial" w:cs="Arial"/>
      <w:b/>
      <w:sz w:val="18"/>
      <w:szCs w:val="18"/>
      <w:lang w:val="en-AU" w:eastAsia="en-AU" w:bidi="ar-SA"/>
    </w:rPr>
  </w:style>
  <w:style w:type="character" w:customStyle="1" w:styleId="Heading3Char">
    <w:name w:val="Heading 3 Char"/>
    <w:basedOn w:val="DefaultParagraphFont"/>
    <w:link w:val="Heading3"/>
    <w:uiPriority w:val="9"/>
    <w:semiHidden/>
    <w:rsid w:val="00AF0997"/>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AF0997"/>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AF0997"/>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AF0997"/>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AF0997"/>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AF0997"/>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AF0997"/>
    <w:rPr>
      <w:rFonts w:asciiTheme="majorHAnsi" w:eastAsiaTheme="majorEastAsia" w:hAnsiTheme="majorHAnsi" w:cstheme="majorBidi"/>
    </w:rPr>
  </w:style>
  <w:style w:type="paragraph" w:styleId="Footer">
    <w:name w:val="footer"/>
    <w:basedOn w:val="Normal"/>
    <w:link w:val="FooterChar"/>
    <w:uiPriority w:val="99"/>
    <w:rsid w:val="00021286"/>
    <w:pPr>
      <w:tabs>
        <w:tab w:val="center" w:pos="4153"/>
        <w:tab w:val="right" w:pos="8306"/>
      </w:tabs>
    </w:pPr>
  </w:style>
  <w:style w:type="character" w:customStyle="1" w:styleId="FooterChar">
    <w:name w:val="Footer Char"/>
    <w:basedOn w:val="DefaultParagraphFont"/>
    <w:link w:val="Footer"/>
    <w:uiPriority w:val="99"/>
    <w:semiHidden/>
    <w:rsid w:val="00AF0997"/>
    <w:rPr>
      <w:rFonts w:ascii="Arial" w:hAnsi="Arial" w:cs="Arial"/>
      <w:szCs w:val="20"/>
    </w:rPr>
  </w:style>
  <w:style w:type="paragraph" w:styleId="Header">
    <w:name w:val="header"/>
    <w:basedOn w:val="Normal"/>
    <w:link w:val="HeaderChar"/>
    <w:uiPriority w:val="99"/>
    <w:rsid w:val="00021286"/>
    <w:pPr>
      <w:tabs>
        <w:tab w:val="center" w:pos="4153"/>
        <w:tab w:val="right" w:pos="8306"/>
      </w:tabs>
    </w:pPr>
  </w:style>
  <w:style w:type="character" w:customStyle="1" w:styleId="HeaderChar">
    <w:name w:val="Header Char"/>
    <w:basedOn w:val="DefaultParagraphFont"/>
    <w:link w:val="Header"/>
    <w:uiPriority w:val="99"/>
    <w:semiHidden/>
    <w:rsid w:val="00AF0997"/>
    <w:rPr>
      <w:rFonts w:ascii="Arial" w:hAnsi="Arial" w:cs="Arial"/>
      <w:szCs w:val="20"/>
    </w:rPr>
  </w:style>
  <w:style w:type="paragraph" w:styleId="BalloonText">
    <w:name w:val="Balloon Text"/>
    <w:basedOn w:val="Normal"/>
    <w:link w:val="BalloonTextChar"/>
    <w:uiPriority w:val="99"/>
    <w:semiHidden/>
    <w:rsid w:val="00CB5202"/>
    <w:rPr>
      <w:rFonts w:ascii="Tahoma" w:hAnsi="Tahoma" w:cs="Tahoma"/>
      <w:sz w:val="16"/>
      <w:szCs w:val="16"/>
    </w:rPr>
  </w:style>
  <w:style w:type="character" w:customStyle="1" w:styleId="BalloonTextChar">
    <w:name w:val="Balloon Text Char"/>
    <w:basedOn w:val="DefaultParagraphFont"/>
    <w:link w:val="BalloonText"/>
    <w:uiPriority w:val="99"/>
    <w:semiHidden/>
    <w:rsid w:val="00AF0997"/>
    <w:rPr>
      <w:rFonts w:cs="Arial"/>
      <w:sz w:val="0"/>
      <w:szCs w:val="0"/>
    </w:rPr>
  </w:style>
  <w:style w:type="paragraph" w:customStyle="1" w:styleId="NTTHeaderInfo">
    <w:name w:val="NTT Header Info"/>
    <w:uiPriority w:val="99"/>
    <w:rsid w:val="00713E0D"/>
    <w:pPr>
      <w:spacing w:line="240" w:lineRule="exact"/>
      <w:jc w:val="right"/>
    </w:pPr>
    <w:rPr>
      <w:rFonts w:ascii="Arial" w:hAnsi="Arial"/>
      <w:sz w:val="18"/>
      <w:szCs w:val="18"/>
    </w:rPr>
  </w:style>
  <w:style w:type="paragraph" w:customStyle="1" w:styleId="NTTBodyText">
    <w:name w:val="NTT Body Text"/>
    <w:uiPriority w:val="99"/>
    <w:rsid w:val="00E51BC9"/>
    <w:pPr>
      <w:spacing w:after="120" w:line="300" w:lineRule="exact"/>
    </w:pPr>
    <w:rPr>
      <w:rFonts w:ascii="Arial" w:hAnsi="Arial"/>
      <w:szCs w:val="24"/>
    </w:rPr>
  </w:style>
  <w:style w:type="character" w:styleId="PageNumber">
    <w:name w:val="page number"/>
    <w:basedOn w:val="DefaultParagraphFont"/>
    <w:uiPriority w:val="99"/>
    <w:rsid w:val="0019571B"/>
    <w:rPr>
      <w:rFonts w:cs="Times New Roman"/>
    </w:rPr>
  </w:style>
  <w:style w:type="paragraph" w:customStyle="1" w:styleId="NTTBodyTextTitle">
    <w:name w:val="NTT Body Text Title"/>
    <w:basedOn w:val="NTTBodyText"/>
    <w:uiPriority w:val="99"/>
    <w:rsid w:val="001D7DC4"/>
    <w:rPr>
      <w:b/>
      <w:bCs/>
    </w:rPr>
  </w:style>
  <w:style w:type="table" w:styleId="TableGrid">
    <w:name w:val="Table Grid"/>
    <w:basedOn w:val="TableNormal"/>
    <w:uiPriority w:val="99"/>
    <w:rsid w:val="00C27A0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One">
    <w:name w:val="Heading One"/>
    <w:basedOn w:val="Normal"/>
    <w:uiPriority w:val="99"/>
    <w:rsid w:val="00364D5F"/>
    <w:pPr>
      <w:spacing w:after="120"/>
      <w:jc w:val="center"/>
    </w:pPr>
    <w:rPr>
      <w:rFonts w:cs="Times New Roman"/>
      <w:b/>
      <w:bCs/>
      <w:sz w:val="32"/>
    </w:rPr>
  </w:style>
  <w:style w:type="paragraph" w:customStyle="1" w:styleId="HeadingTwo">
    <w:name w:val="Heading Two"/>
    <w:basedOn w:val="Normal"/>
    <w:link w:val="HeadingTwoChar"/>
    <w:uiPriority w:val="99"/>
    <w:rsid w:val="00B24316"/>
    <w:pPr>
      <w:keepNext/>
      <w:keepLines/>
      <w:pBdr>
        <w:bottom w:val="single" w:sz="4" w:space="1" w:color="auto"/>
      </w:pBdr>
      <w:spacing w:before="360" w:after="120"/>
    </w:pPr>
    <w:rPr>
      <w:rFonts w:cs="Times New Roman"/>
      <w:b/>
      <w:bCs/>
    </w:rPr>
  </w:style>
  <w:style w:type="character" w:styleId="Hyperlink">
    <w:name w:val="Hyperlink"/>
    <w:basedOn w:val="DefaultParagraphFont"/>
    <w:uiPriority w:val="99"/>
    <w:rsid w:val="00545D20"/>
    <w:rPr>
      <w:rFonts w:cs="Times New Roman"/>
      <w:color w:val="0000FF"/>
      <w:u w:val="single"/>
    </w:rPr>
  </w:style>
  <w:style w:type="paragraph" w:styleId="BlockText">
    <w:name w:val="Block Text"/>
    <w:basedOn w:val="ListNumber"/>
    <w:uiPriority w:val="99"/>
    <w:rsid w:val="00021286"/>
    <w:pPr>
      <w:keepLines/>
      <w:numPr>
        <w:numId w:val="4"/>
      </w:numPr>
      <w:tabs>
        <w:tab w:val="clear" w:pos="720"/>
      </w:tabs>
      <w:spacing w:after="120"/>
      <w:ind w:left="567" w:hanging="567"/>
      <w:jc w:val="both"/>
    </w:pPr>
  </w:style>
  <w:style w:type="paragraph" w:customStyle="1" w:styleId="HeadingThree">
    <w:name w:val="Heading Three"/>
    <w:basedOn w:val="HeadingTwo"/>
    <w:link w:val="HeadingThreeChar"/>
    <w:uiPriority w:val="99"/>
    <w:rsid w:val="00545D20"/>
    <w:pPr>
      <w:pBdr>
        <w:bottom w:val="none" w:sz="0" w:space="0" w:color="auto"/>
      </w:pBdr>
    </w:pPr>
    <w:rPr>
      <w:i/>
      <w:iCs/>
    </w:rPr>
  </w:style>
  <w:style w:type="paragraph" w:customStyle="1" w:styleId="HeadingFour">
    <w:name w:val="Heading Four"/>
    <w:basedOn w:val="HeadingThree"/>
    <w:link w:val="HeadingFourChar"/>
    <w:uiPriority w:val="99"/>
    <w:rsid w:val="006034B6"/>
    <w:rPr>
      <w:b w:val="0"/>
      <w:bCs w:val="0"/>
      <w:u w:val="single"/>
    </w:rPr>
  </w:style>
  <w:style w:type="paragraph" w:styleId="BodyText2">
    <w:name w:val="Body Text 2"/>
    <w:basedOn w:val="Normal"/>
    <w:link w:val="BodyText2Char"/>
    <w:uiPriority w:val="99"/>
    <w:rsid w:val="00513926"/>
    <w:pPr>
      <w:spacing w:after="120"/>
      <w:jc w:val="both"/>
    </w:pPr>
    <w:rPr>
      <w:rFonts w:ascii="Tahoma" w:hAnsi="Tahoma" w:cs="Times New Roman"/>
      <w:b/>
    </w:rPr>
  </w:style>
  <w:style w:type="character" w:customStyle="1" w:styleId="BodyText2Char">
    <w:name w:val="Body Text 2 Char"/>
    <w:basedOn w:val="DefaultParagraphFont"/>
    <w:link w:val="BodyText2"/>
    <w:uiPriority w:val="99"/>
    <w:semiHidden/>
    <w:rsid w:val="00AF0997"/>
    <w:rPr>
      <w:rFonts w:ascii="Arial" w:hAnsi="Arial" w:cs="Arial"/>
      <w:szCs w:val="20"/>
    </w:rPr>
  </w:style>
  <w:style w:type="paragraph" w:styleId="ListNumber">
    <w:name w:val="List Number"/>
    <w:basedOn w:val="Normal"/>
    <w:uiPriority w:val="99"/>
    <w:rsid w:val="00890996"/>
    <w:pPr>
      <w:numPr>
        <w:numId w:val="9"/>
      </w:numPr>
    </w:pPr>
  </w:style>
  <w:style w:type="paragraph" w:customStyle="1" w:styleId="ExampleBox">
    <w:name w:val="Example Box"/>
    <w:link w:val="ExampleBoxChar"/>
    <w:uiPriority w:val="99"/>
    <w:rsid w:val="00F65356"/>
    <w:pPr>
      <w:pBdr>
        <w:top w:val="single" w:sz="4" w:space="1" w:color="auto"/>
        <w:left w:val="single" w:sz="4" w:space="4" w:color="auto"/>
        <w:bottom w:val="single" w:sz="4" w:space="1" w:color="auto"/>
        <w:right w:val="single" w:sz="4" w:space="4" w:color="auto"/>
      </w:pBdr>
      <w:shd w:val="clear" w:color="auto" w:fill="F3F3F3"/>
      <w:spacing w:before="120" w:after="120"/>
    </w:pPr>
    <w:rPr>
      <w:rFonts w:ascii="Arial" w:hAnsi="Arial"/>
      <w:szCs w:val="20"/>
    </w:rPr>
  </w:style>
  <w:style w:type="paragraph" w:customStyle="1" w:styleId="Subheading1">
    <w:name w:val="Subheading 1"/>
    <w:basedOn w:val="Normal"/>
    <w:uiPriority w:val="99"/>
    <w:rsid w:val="0042047C"/>
    <w:pPr>
      <w:spacing w:before="360" w:line="300" w:lineRule="exact"/>
    </w:pPr>
    <w:rPr>
      <w:rFonts w:cs="Times New Roman"/>
      <w:sz w:val="28"/>
      <w:szCs w:val="28"/>
    </w:rPr>
  </w:style>
  <w:style w:type="paragraph" w:styleId="FootnoteText">
    <w:name w:val="footnote text"/>
    <w:basedOn w:val="Normal"/>
    <w:link w:val="FootnoteTextChar"/>
    <w:uiPriority w:val="99"/>
    <w:semiHidden/>
    <w:rsid w:val="0042047C"/>
    <w:rPr>
      <w:rFonts w:ascii="Times New Roman" w:hAnsi="Times New Roman" w:cs="Times New Roman"/>
      <w:sz w:val="20"/>
    </w:rPr>
  </w:style>
  <w:style w:type="character" w:customStyle="1" w:styleId="FootnoteTextChar">
    <w:name w:val="Footnote Text Char"/>
    <w:basedOn w:val="DefaultParagraphFont"/>
    <w:link w:val="FootnoteText"/>
    <w:uiPriority w:val="99"/>
    <w:semiHidden/>
    <w:rsid w:val="00AF0997"/>
    <w:rPr>
      <w:rFonts w:ascii="Arial" w:hAnsi="Arial" w:cs="Arial"/>
      <w:sz w:val="20"/>
      <w:szCs w:val="20"/>
    </w:rPr>
  </w:style>
  <w:style w:type="character" w:styleId="FootnoteReference">
    <w:name w:val="footnote reference"/>
    <w:basedOn w:val="DefaultParagraphFont"/>
    <w:uiPriority w:val="99"/>
    <w:semiHidden/>
    <w:rsid w:val="0042047C"/>
    <w:rPr>
      <w:rFonts w:cs="Times New Roman"/>
      <w:vertAlign w:val="superscript"/>
    </w:rPr>
  </w:style>
  <w:style w:type="character" w:customStyle="1" w:styleId="HeadingTwoChar">
    <w:name w:val="Heading Two Char"/>
    <w:basedOn w:val="DefaultParagraphFont"/>
    <w:link w:val="HeadingTwo"/>
    <w:uiPriority w:val="99"/>
    <w:locked/>
    <w:rsid w:val="00C80CE3"/>
    <w:rPr>
      <w:rFonts w:ascii="Arial" w:hAnsi="Arial" w:cs="Times New Roman"/>
      <w:b/>
      <w:bCs/>
      <w:sz w:val="22"/>
      <w:lang w:val="en-AU" w:eastAsia="en-AU" w:bidi="ar-SA"/>
    </w:rPr>
  </w:style>
  <w:style w:type="character" w:customStyle="1" w:styleId="HeadingThreeChar">
    <w:name w:val="Heading Three Char"/>
    <w:basedOn w:val="HeadingTwoChar"/>
    <w:link w:val="HeadingThree"/>
    <w:uiPriority w:val="99"/>
    <w:locked/>
    <w:rsid w:val="00C80CE3"/>
    <w:rPr>
      <w:rFonts w:ascii="Arial" w:hAnsi="Arial" w:cs="Times New Roman"/>
      <w:b/>
      <w:bCs/>
      <w:i/>
      <w:iCs/>
      <w:sz w:val="22"/>
      <w:lang w:val="en-AU" w:eastAsia="en-AU" w:bidi="ar-SA"/>
    </w:rPr>
  </w:style>
  <w:style w:type="character" w:customStyle="1" w:styleId="HeadingFourChar">
    <w:name w:val="Heading Four Char"/>
    <w:basedOn w:val="HeadingThreeChar"/>
    <w:link w:val="HeadingFour"/>
    <w:uiPriority w:val="99"/>
    <w:locked/>
    <w:rsid w:val="00C80CE3"/>
    <w:rPr>
      <w:rFonts w:ascii="Arial" w:hAnsi="Arial" w:cs="Times New Roman"/>
      <w:b/>
      <w:bCs/>
      <w:i/>
      <w:iCs/>
      <w:sz w:val="22"/>
      <w:u w:val="single"/>
      <w:lang w:val="en-AU" w:eastAsia="en-AU" w:bidi="ar-SA"/>
    </w:rPr>
  </w:style>
  <w:style w:type="character" w:customStyle="1" w:styleId="ExampleBoxChar">
    <w:name w:val="Example Box Char"/>
    <w:basedOn w:val="DefaultParagraphFont"/>
    <w:link w:val="ExampleBox"/>
    <w:uiPriority w:val="99"/>
    <w:locked/>
    <w:rsid w:val="00C80CE3"/>
    <w:rPr>
      <w:rFonts w:ascii="Arial" w:hAnsi="Arial" w:cs="Times New Roman"/>
      <w:sz w:val="22"/>
      <w:shd w:val="clear" w:color="auto" w:fill="F3F3F3"/>
      <w:lang w:val="en-AU" w:eastAsia="en-AU" w:bidi="ar-SA"/>
    </w:rPr>
  </w:style>
  <w:style w:type="character" w:styleId="FollowedHyperlink">
    <w:name w:val="FollowedHyperlink"/>
    <w:basedOn w:val="DefaultParagraphFont"/>
    <w:uiPriority w:val="99"/>
    <w:rsid w:val="00A33F89"/>
    <w:rPr>
      <w:rFonts w:cs="Times New Roman"/>
      <w:color w:val="800080"/>
      <w:u w:val="single"/>
    </w:rPr>
  </w:style>
  <w:style w:type="paragraph" w:customStyle="1" w:styleId="Noparagraphstyle">
    <w:name w:val="[No paragraph style]"/>
    <w:uiPriority w:val="99"/>
    <w:rsid w:val="00021286"/>
    <w:pPr>
      <w:spacing w:line="288" w:lineRule="auto"/>
    </w:pPr>
    <w:rPr>
      <w:color w:val="000000"/>
      <w:sz w:val="24"/>
      <w:szCs w:val="20"/>
      <w:lang w:eastAsia="en-US"/>
    </w:rPr>
  </w:style>
  <w:style w:type="paragraph" w:customStyle="1" w:styleId="BodyText1">
    <w:name w:val="Body Text1"/>
    <w:basedOn w:val="Noparagraphstyle"/>
    <w:uiPriority w:val="99"/>
    <w:rsid w:val="00021286"/>
    <w:pPr>
      <w:spacing w:after="85" w:line="280" w:lineRule="atLeast"/>
    </w:pPr>
    <w:rPr>
      <w:rFonts w:ascii="Myriad Pro" w:hAnsi="Myriad Pro"/>
      <w:sz w:val="20"/>
    </w:rPr>
  </w:style>
  <w:style w:type="paragraph" w:customStyle="1" w:styleId="firstpar">
    <w:name w:val="first par"/>
    <w:basedOn w:val="BodyText1"/>
    <w:uiPriority w:val="99"/>
    <w:rsid w:val="00021286"/>
    <w:pPr>
      <w:spacing w:after="283" w:line="360" w:lineRule="atLeast"/>
      <w:jc w:val="center"/>
    </w:pPr>
    <w:rPr>
      <w:b/>
      <w:i/>
      <w:sz w:val="24"/>
    </w:rPr>
  </w:style>
  <w:style w:type="paragraph" w:customStyle="1" w:styleId="Hangingindent">
    <w:name w:val="Hanging indent"/>
    <w:basedOn w:val="Noparagraphstyle"/>
    <w:next w:val="BodyText1"/>
    <w:uiPriority w:val="99"/>
    <w:rsid w:val="00021286"/>
    <w:pPr>
      <w:tabs>
        <w:tab w:val="left" w:pos="283"/>
      </w:tabs>
      <w:spacing w:after="85" w:line="280" w:lineRule="atLeast"/>
      <w:ind w:left="283" w:hanging="283"/>
    </w:pPr>
    <w:rPr>
      <w:rFonts w:ascii="Myriad Pro" w:hAnsi="Myriad Pro"/>
      <w:sz w:val="20"/>
    </w:rPr>
  </w:style>
  <w:style w:type="paragraph" w:customStyle="1" w:styleId="CircularText">
    <w:name w:val="Circular Text"/>
    <w:basedOn w:val="Normal"/>
    <w:uiPriority w:val="99"/>
    <w:rsid w:val="00021286"/>
    <w:pPr>
      <w:spacing w:before="120" w:after="120"/>
      <w:jc w:val="both"/>
    </w:pPr>
    <w:rPr>
      <w:rFonts w:ascii="CG Omega" w:hAnsi="CG Omega" w:cs="Times New Roman"/>
      <w:sz w:val="24"/>
    </w:rPr>
  </w:style>
  <w:style w:type="paragraph" w:customStyle="1" w:styleId="CircularTitle">
    <w:name w:val="CircularTitle"/>
    <w:basedOn w:val="Heading1"/>
    <w:uiPriority w:val="99"/>
    <w:rsid w:val="00021286"/>
    <w:pPr>
      <w:keepNext/>
      <w:tabs>
        <w:tab w:val="clear" w:pos="4153"/>
        <w:tab w:val="right" w:pos="9781"/>
      </w:tabs>
      <w:spacing w:before="480" w:line="240" w:lineRule="auto"/>
      <w:ind w:right="0"/>
      <w:jc w:val="center"/>
      <w:outlineLvl w:val="9"/>
    </w:pPr>
    <w:rPr>
      <w:rFonts w:ascii="Verdana" w:hAnsi="Verdana" w:cs="Times New Roman"/>
      <w:b/>
      <w:sz w:val="28"/>
      <w:szCs w:val="20"/>
    </w:rPr>
  </w:style>
  <w:style w:type="paragraph" w:customStyle="1" w:styleId="CircularNumber">
    <w:name w:val="CircularNumber"/>
    <w:basedOn w:val="Heading1"/>
    <w:uiPriority w:val="99"/>
    <w:rsid w:val="00021286"/>
    <w:pPr>
      <w:keepNext/>
      <w:tabs>
        <w:tab w:val="clear" w:pos="4153"/>
        <w:tab w:val="left" w:pos="2585"/>
        <w:tab w:val="right" w:pos="3861"/>
        <w:tab w:val="right" w:pos="8256"/>
        <w:tab w:val="right" w:pos="9781"/>
      </w:tabs>
      <w:spacing w:after="120" w:line="240" w:lineRule="auto"/>
      <w:ind w:right="0"/>
      <w:outlineLvl w:val="9"/>
    </w:pPr>
    <w:rPr>
      <w:rFonts w:ascii="Verdana" w:hAnsi="Verdana" w:cs="Times New Roman"/>
      <w:b/>
      <w:sz w:val="20"/>
      <w:szCs w:val="20"/>
    </w:rPr>
  </w:style>
  <w:style w:type="paragraph" w:customStyle="1" w:styleId="CircularAddressDetails">
    <w:name w:val="CircularAddressDetails"/>
    <w:basedOn w:val="Header"/>
    <w:uiPriority w:val="99"/>
    <w:rsid w:val="00021286"/>
    <w:pPr>
      <w:tabs>
        <w:tab w:val="clear" w:pos="4153"/>
        <w:tab w:val="clear" w:pos="8306"/>
        <w:tab w:val="left" w:pos="1310"/>
        <w:tab w:val="left" w:pos="7328"/>
        <w:tab w:val="right" w:pos="10064"/>
      </w:tabs>
      <w:ind w:left="-108"/>
    </w:pPr>
    <w:rPr>
      <w:rFonts w:ascii="CG Omega" w:hAnsi="CG Omega" w:cs="Times New Roman"/>
      <w:sz w:val="14"/>
      <w:lang w:val="en-US"/>
    </w:rPr>
  </w:style>
  <w:style w:type="paragraph" w:customStyle="1" w:styleId="CircularHeadingsSubItalics">
    <w:name w:val="Circular Headings Sub Italics"/>
    <w:basedOn w:val="Normal"/>
    <w:uiPriority w:val="99"/>
    <w:rsid w:val="00021286"/>
    <w:pPr>
      <w:keepNext/>
      <w:spacing w:before="120" w:after="60"/>
    </w:pPr>
    <w:rPr>
      <w:rFonts w:ascii="CG Omega" w:hAnsi="CG Omega" w:cs="Times New Roman"/>
      <w:i/>
      <w:sz w:val="24"/>
    </w:rPr>
  </w:style>
  <w:style w:type="paragraph" w:styleId="BodyText">
    <w:name w:val="Body Text"/>
    <w:basedOn w:val="Normal"/>
    <w:link w:val="BodyTextChar"/>
    <w:uiPriority w:val="99"/>
    <w:rsid w:val="00021286"/>
    <w:pPr>
      <w:spacing w:after="120"/>
      <w:jc w:val="both"/>
    </w:pPr>
    <w:rPr>
      <w:rFonts w:ascii="Tahoma" w:hAnsi="Tahoma" w:cs="Times New Roman"/>
    </w:rPr>
  </w:style>
  <w:style w:type="character" w:customStyle="1" w:styleId="BodyTextChar">
    <w:name w:val="Body Text Char"/>
    <w:basedOn w:val="DefaultParagraphFont"/>
    <w:link w:val="BodyText"/>
    <w:uiPriority w:val="99"/>
    <w:semiHidden/>
    <w:rsid w:val="00AF0997"/>
    <w:rPr>
      <w:rFonts w:ascii="Arial" w:hAnsi="Arial" w:cs="Arial"/>
      <w:szCs w:val="20"/>
    </w:rPr>
  </w:style>
  <w:style w:type="paragraph" w:styleId="BodyTextIndent">
    <w:name w:val="Body Text Indent"/>
    <w:basedOn w:val="Normal"/>
    <w:link w:val="BodyTextIndentChar"/>
    <w:uiPriority w:val="99"/>
    <w:rsid w:val="00021286"/>
    <w:pPr>
      <w:tabs>
        <w:tab w:val="left" w:pos="1418"/>
      </w:tabs>
      <w:spacing w:after="120"/>
      <w:ind w:left="1418" w:hanging="709"/>
      <w:jc w:val="both"/>
    </w:pPr>
    <w:rPr>
      <w:rFonts w:ascii="Tahoma" w:hAnsi="Tahoma" w:cs="Times New Roman"/>
    </w:rPr>
  </w:style>
  <w:style w:type="character" w:customStyle="1" w:styleId="BodyTextIndentChar">
    <w:name w:val="Body Text Indent Char"/>
    <w:basedOn w:val="DefaultParagraphFont"/>
    <w:link w:val="BodyTextIndent"/>
    <w:uiPriority w:val="99"/>
    <w:semiHidden/>
    <w:rsid w:val="00AF0997"/>
    <w:rPr>
      <w:rFonts w:ascii="Arial" w:hAnsi="Arial" w:cs="Arial"/>
      <w:szCs w:val="20"/>
    </w:rPr>
  </w:style>
  <w:style w:type="paragraph" w:styleId="BodyTextIndent2">
    <w:name w:val="Body Text Indent 2"/>
    <w:basedOn w:val="Normal"/>
    <w:link w:val="BodyTextIndent2Char"/>
    <w:uiPriority w:val="99"/>
    <w:rsid w:val="00021286"/>
    <w:pPr>
      <w:tabs>
        <w:tab w:val="left" w:pos="709"/>
      </w:tabs>
      <w:spacing w:after="120"/>
      <w:ind w:left="709" w:hanging="709"/>
      <w:jc w:val="both"/>
    </w:pPr>
    <w:rPr>
      <w:rFonts w:ascii="Tahoma" w:hAnsi="Tahoma" w:cs="Times New Roman"/>
    </w:rPr>
  </w:style>
  <w:style w:type="character" w:customStyle="1" w:styleId="BodyTextIndent2Char">
    <w:name w:val="Body Text Indent 2 Char"/>
    <w:basedOn w:val="DefaultParagraphFont"/>
    <w:link w:val="BodyTextIndent2"/>
    <w:uiPriority w:val="99"/>
    <w:semiHidden/>
    <w:rsid w:val="00AF0997"/>
    <w:rPr>
      <w:rFonts w:ascii="Arial" w:hAnsi="Arial" w:cs="Arial"/>
      <w:szCs w:val="20"/>
    </w:rPr>
  </w:style>
  <w:style w:type="paragraph" w:styleId="BodyText3">
    <w:name w:val="Body Text 3"/>
    <w:basedOn w:val="Normal"/>
    <w:link w:val="BodyText3Char"/>
    <w:uiPriority w:val="99"/>
    <w:rsid w:val="00021286"/>
    <w:rPr>
      <w:rFonts w:ascii="Times New Roman" w:hAnsi="Times New Roman" w:cs="Times New Roman"/>
    </w:rPr>
  </w:style>
  <w:style w:type="character" w:customStyle="1" w:styleId="BodyText3Char">
    <w:name w:val="Body Text 3 Char"/>
    <w:basedOn w:val="DefaultParagraphFont"/>
    <w:link w:val="BodyText3"/>
    <w:uiPriority w:val="99"/>
    <w:semiHidden/>
    <w:rsid w:val="00AF0997"/>
    <w:rPr>
      <w:rFonts w:ascii="Arial" w:hAnsi="Arial" w:cs="Arial"/>
      <w:sz w:val="16"/>
      <w:szCs w:val="16"/>
    </w:rPr>
  </w:style>
  <w:style w:type="paragraph" w:customStyle="1" w:styleId="Contactdetails">
    <w:name w:val="Contact details"/>
    <w:basedOn w:val="Normal"/>
    <w:uiPriority w:val="99"/>
    <w:rsid w:val="00021286"/>
    <w:pPr>
      <w:spacing w:before="60" w:after="60"/>
    </w:pPr>
    <w:rPr>
      <w:rFonts w:cs="Times New Roman"/>
      <w:sz w:val="20"/>
    </w:rPr>
  </w:style>
  <w:style w:type="paragraph" w:customStyle="1" w:styleId="Forfutherinfo">
    <w:name w:val="For futher info..."/>
    <w:basedOn w:val="Normal"/>
    <w:uiPriority w:val="99"/>
    <w:rsid w:val="00021286"/>
    <w:pPr>
      <w:spacing w:before="60" w:after="60" w:line="240" w:lineRule="atLeast"/>
    </w:pPr>
    <w:rPr>
      <w:rFonts w:cs="Times New Roman"/>
      <w:sz w:val="20"/>
    </w:rPr>
  </w:style>
  <w:style w:type="paragraph" w:customStyle="1" w:styleId="RCHeader">
    <w:name w:val="RC Header"/>
    <w:basedOn w:val="Normal"/>
    <w:uiPriority w:val="99"/>
    <w:rsid w:val="00021286"/>
    <w:pPr>
      <w:spacing w:after="200"/>
      <w:ind w:left="139"/>
    </w:pPr>
    <w:rPr>
      <w:color w:val="FFFFFF"/>
      <w:spacing w:val="48"/>
      <w:sz w:val="28"/>
      <w:szCs w:val="28"/>
    </w:rPr>
  </w:style>
  <w:style w:type="character" w:styleId="CommentReference">
    <w:name w:val="annotation reference"/>
    <w:basedOn w:val="DefaultParagraphFont"/>
    <w:uiPriority w:val="99"/>
    <w:rsid w:val="00CD0B91"/>
    <w:rPr>
      <w:rFonts w:cs="Times New Roman"/>
      <w:sz w:val="16"/>
      <w:szCs w:val="16"/>
    </w:rPr>
  </w:style>
  <w:style w:type="paragraph" w:styleId="CommentText">
    <w:name w:val="annotation text"/>
    <w:basedOn w:val="Normal"/>
    <w:link w:val="CommentTextChar"/>
    <w:uiPriority w:val="99"/>
    <w:rsid w:val="00CD0B91"/>
    <w:rPr>
      <w:sz w:val="20"/>
    </w:rPr>
  </w:style>
  <w:style w:type="character" w:customStyle="1" w:styleId="CommentTextChar">
    <w:name w:val="Comment Text Char"/>
    <w:basedOn w:val="DefaultParagraphFont"/>
    <w:link w:val="CommentText"/>
    <w:uiPriority w:val="99"/>
    <w:locked/>
    <w:rsid w:val="00CD0B91"/>
    <w:rPr>
      <w:rFonts w:ascii="Arial" w:hAnsi="Arial" w:cs="Arial"/>
    </w:rPr>
  </w:style>
  <w:style w:type="paragraph" w:styleId="CommentSubject">
    <w:name w:val="annotation subject"/>
    <w:basedOn w:val="CommentText"/>
    <w:next w:val="CommentText"/>
    <w:link w:val="CommentSubjectChar"/>
    <w:uiPriority w:val="99"/>
    <w:rsid w:val="00CD0B91"/>
    <w:rPr>
      <w:b/>
      <w:bCs/>
    </w:rPr>
  </w:style>
  <w:style w:type="character" w:customStyle="1" w:styleId="CommentSubjectChar">
    <w:name w:val="Comment Subject Char"/>
    <w:basedOn w:val="CommentTextChar"/>
    <w:link w:val="CommentSubject"/>
    <w:uiPriority w:val="99"/>
    <w:locked/>
    <w:rsid w:val="00CD0B91"/>
    <w:rPr>
      <w:rFonts w:ascii="Arial" w:hAnsi="Arial" w:cs="Arial"/>
      <w:b/>
      <w:bCs/>
    </w:rPr>
  </w:style>
  <w:style w:type="numbering" w:customStyle="1" w:styleId="Text">
    <w:name w:val="Text"/>
    <w:rsid w:val="00AF0997"/>
    <w:pPr>
      <w:numPr>
        <w:numId w:val="33"/>
      </w:numPr>
    </w:pPr>
  </w:style>
  <w:style w:type="paragraph" w:styleId="Revision">
    <w:name w:val="Revision"/>
    <w:hidden/>
    <w:uiPriority w:val="99"/>
    <w:semiHidden/>
    <w:rsid w:val="00FD1701"/>
    <w:rPr>
      <w:rFonts w:ascii="Arial"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easury.nt.gov.au/PMS/Publications/TaxesRoyaltiesGrants/StampDuty/F-SD-004.pdf" TargetMode="External"/><Relationship Id="rId18" Type="http://schemas.openxmlformats.org/officeDocument/2006/relationships/hyperlink" Target="mailto:ntrevenue@nt.gov.a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treasury.nt.gov.au/PMS/Publications/TaxesRoyaltiesGrants/StampDuty/F-SD-004.pdf" TargetMode="External"/><Relationship Id="rId17" Type="http://schemas.openxmlformats.org/officeDocument/2006/relationships/image" Target="media/image1.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treasury.nt.gov.au/PMS/Publications/TaxesRoyaltiesGrants/GeneralAdmin/CG-GEN-001.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easury.nt.gov.au/TaxesRoyaltiesAndGrants/AboutTerritoryRevenueOffice/Pages/Penalty-Units.aspx"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treasury.nt.gov.au/PMS/Publications/TaxesRoyaltiesGrants/StampDuty/I-SD-005.pdf"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www.revenue.nt.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easury.nt.gov.au/PMS/Publications/TaxesRoyaltiesGrants/StampDuty/F-SD-013.pdf" TargetMode="External"/><Relationship Id="rId22"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1D68356F7FB54A917EB6B48522F7AB" ma:contentTypeVersion="18" ma:contentTypeDescription="Create a new document." ma:contentTypeScope="" ma:versionID="5968df1a67298019036e2d468f0f57eb">
  <xsd:schema xmlns:xsd="http://www.w3.org/2001/XMLSchema" xmlns:xs="http://www.w3.org/2001/XMLSchema" xmlns:p="http://schemas.microsoft.com/office/2006/metadata/properties" xmlns:ns2="378e824e-6e02-4c0d-8321-dd86fba681ee" targetNamespace="http://schemas.microsoft.com/office/2006/metadata/properties" ma:root="true" ma:fieldsID="016a859d0580dde8c3c2ff3f02387ef4" ns2:_="">
    <xsd:import namespace="378e824e-6e02-4c0d-8321-dd86fba681ee"/>
    <xsd:element name="properties">
      <xsd:complexType>
        <xsd:sequence>
          <xsd:element name="documentManagement">
            <xsd:complexType>
              <xsd:all>
                <xsd:element ref="ns2:Main_x0020_Category"/>
                <xsd:element ref="ns2:Sub_x0020_Category"/>
                <xsd:element ref="ns2:Sub_x0020_Sub_x0020_Category" minOccurs="0"/>
                <xsd:element ref="ns2:Notify" minOccurs="0"/>
                <xsd:element ref="ns2:Details" minOccurs="0"/>
                <xsd:element ref="ns2:Identifier" minOccurs="0"/>
                <xsd:element ref="ns2:Release_x0020_Date" minOccurs="0"/>
                <xsd:element ref="ns2:Publication_x0020_Title" minOccurs="0"/>
                <xsd:element ref="ns2:Publication_x0020_Type" minOccurs="0"/>
                <xsd:element ref="ns2:Tax_x0020_Type" minOccurs="0"/>
                <xsd:element ref="ns2:Tax_x0020_Type_x0020_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e824e-6e02-4c0d-8321-dd86fba681ee" elementFormDefault="qualified">
    <xsd:import namespace="http://schemas.microsoft.com/office/2006/documentManagement/types"/>
    <xsd:import namespace="http://schemas.microsoft.com/office/infopath/2007/PartnerControls"/>
    <xsd:element name="Main_x0020_Category" ma:index="8" ma:displayName="Main Category" ma:list="{b3b53843-a8d9-4b92-b7ee-c4efc7605b88}" ma:internalName="Main_x0020_Category" ma:showField="Title" ma:web="ea3f2675-7e45-4831-bae2-8579175e0c68">
      <xsd:simpleType>
        <xsd:restriction base="dms:Lookup"/>
      </xsd:simpleType>
    </xsd:element>
    <xsd:element name="Sub_x0020_Category" ma:index="9" ma:displayName="Sub Category" ma:list="{edf90873-dc2d-4c00-9444-d26c07edafe2}" ma:internalName="Sub_x0020_Category" ma:showField="Title" ma:web="ea3f2675-7e45-4831-bae2-8579175e0c68">
      <xsd:simpleType>
        <xsd:restriction base="dms:Lookup"/>
      </xsd:simpleType>
    </xsd:element>
    <xsd:element name="Sub_x0020_Sub_x0020_Category" ma:index="10" nillable="true" ma:displayName="Sub Sub Category" ma:list="{0fe7fff1-af8b-412b-8409-b42850d3ea63}" ma:internalName="Sub_x0020_Sub_x0020_Category" ma:readOnly="false" ma:showField="Title" ma:web="ea3f2675-7e45-4831-bae2-8579175e0c68">
      <xsd:simpleType>
        <xsd:restriction base="dms:Lookup"/>
      </xsd:simpleType>
    </xsd:element>
    <xsd:element name="Notify" ma:index="11" nillable="true" ma:displayName="Notify On Check In" ma:default="0" ma:description="Check this box if you would like to notify all subscribers about this document once you check it in." ma:internalName="Notify">
      <xsd:simpleType>
        <xsd:restriction base="dms:Boolean"/>
      </xsd:simpleType>
    </xsd:element>
    <xsd:element name="Details" ma:index="12" nillable="true" ma:displayName="Details" ma:internalName="Details">
      <xsd:simpleType>
        <xsd:restriction base="dms:Text">
          <xsd:maxLength value="255"/>
        </xsd:restriction>
      </xsd:simpleType>
    </xsd:element>
    <xsd:element name="Identifier" ma:index="13" nillable="true" ma:displayName="Identifier" ma:internalName="Identifier">
      <xsd:simpleType>
        <xsd:restriction base="dms:Text">
          <xsd:maxLength value="255"/>
        </xsd:restriction>
      </xsd:simpleType>
    </xsd:element>
    <xsd:element name="Release_x0020_Date" ma:index="14" nillable="true" ma:displayName="Release Date" ma:format="DateOnly" ma:internalName="Release_x0020_Date">
      <xsd:simpleType>
        <xsd:restriction base="dms:DateTime"/>
      </xsd:simpleType>
    </xsd:element>
    <xsd:element name="Publication_x0020_Title" ma:index="15" nillable="true" ma:displayName="Publication Name" ma:description="Use for Taxes, Royalties and Grants publications." ma:internalName="Publication_x0020_Title">
      <xsd:simpleType>
        <xsd:restriction base="dms:Text">
          <xsd:maxLength value="255"/>
        </xsd:restriction>
      </xsd:simpleType>
    </xsd:element>
    <xsd:element name="Publication_x0020_Type" ma:index="16" nillable="true" ma:displayName="Publication Type" ma:description="Use for Taxes, Royalties and Grants publications." ma:format="Dropdown" ma:internalName="Publication_x0020_Type">
      <xsd:simpleType>
        <xsd:restriction base="dms:Choice">
          <xsd:enumeration value="Form (F)"/>
          <xsd:enumeration value="Information (I)"/>
          <xsd:enumeration value="Electronic Returns (RET)"/>
          <xsd:enumeration value="Revenue Circulars (RC)"/>
          <xsd:enumeration value="Payroll Tax Rulings (PTA)"/>
          <xsd:enumeration value="Commissioner's Guidelines (CG)"/>
          <xsd:enumeration value="Royalty Guideline (RG)"/>
          <xsd:enumeration value="Mineral Royalty Forms and Returns (RF)"/>
        </xsd:restriction>
      </xsd:simpleType>
    </xsd:element>
    <xsd:element name="Tax_x0020_Type" ma:index="17" nillable="true" ma:displayName="Tax Type" ma:description="Use for Taxes, Royalties and Grants publications." ma:format="Dropdown" ma:internalName="Tax_x0020_Type">
      <xsd:simpleType>
        <xsd:restriction base="dms:Choice">
          <xsd:enumeration value="General (G)"/>
          <xsd:enumeration value="Home Incentives (HI)"/>
          <xsd:enumeration value="Income Tax Equivalent (IT)"/>
          <xsd:enumeration value="Mineral Royalties"/>
          <xsd:enumeration value="Payroll Tax (PRT)"/>
          <xsd:enumeration value="Stamp Duty (SD)"/>
          <xsd:enumeration value="Unclaimed Money (UM)"/>
        </xsd:restriction>
      </xsd:simpleType>
    </xsd:element>
    <xsd:element name="Tax_x0020_Type_x0020_Topic" ma:index="18" nillable="true" ma:displayName="Tax Type Topic" ma:description="Use for Taxes, Royalties and Grants publications." ma:format="Dropdown" ma:internalName="Tax_x0020_Type_x0020_Topic">
      <xsd:simpleType>
        <xsd:restriction base="dms:Choice">
          <xsd:enumeration value="Allowances"/>
          <xsd:enumeration value="Contractors"/>
          <xsd:enumeration value="Employment Agencies"/>
          <xsd:enumeration value="Exemptions"/>
          <xsd:enumeration value="Fringe Benefits"/>
          <xsd:enumeration value="General"/>
          <xsd:enumeration value="Grouping"/>
          <xsd:enumeration value="NT Payroll Tax Liability"/>
          <xsd:enumeration value="Termination Payments"/>
          <xsd:enumeration value="Wages"/>
          <xsd:enumeration value="Conveyance"/>
          <xsd:enumeration value="Insurance"/>
          <xsd:enumeration value="Leases"/>
          <xsd:enumeration value="Motor Vehicl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_x0020_Type_x0020_Topic xmlns="378e824e-6e02-4c0d-8321-dd86fba681ee" xsi:nil="true"/>
    <Main_x0020_Category xmlns="378e824e-6e02-4c0d-8321-dd86fba681ee">6</Main_x0020_Category>
    <Tax_x0020_Type xmlns="378e824e-6e02-4c0d-8321-dd86fba681ee" xsi:nil="true"/>
    <Publication_x0020_Title xmlns="378e824e-6e02-4c0d-8321-dd86fba681ee">Stamp duty on motor vehicle certificates of registration</Publication_x0020_Title>
    <Details xmlns="378e824e-6e02-4c0d-8321-dd86fba681ee" xsi:nil="true"/>
    <Identifier xmlns="378e824e-6e02-4c0d-8321-dd86fba681ee">CG-SD-004</Identifier>
    <Publication_x0020_Type xmlns="378e824e-6e02-4c0d-8321-dd86fba681ee" xsi:nil="true"/>
    <Sub_x0020_Sub_x0020_Category xmlns="378e824e-6e02-4c0d-8321-dd86fba681ee" xsi:nil="true"/>
    <Release_x0020_Date xmlns="378e824e-6e02-4c0d-8321-dd86fba681ee">2016-02-25T14:30:00+00:00</Release_x0020_Date>
    <Sub_x0020_Category xmlns="378e824e-6e02-4c0d-8321-dd86fba681ee">24</Sub_x0020_Category>
    <Notify xmlns="378e824e-6e02-4c0d-8321-dd86fba681ee">true</Notif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EA4CB-C5F9-4A05-AD5F-968169149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e824e-6e02-4c0d-8321-dd86fba681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F632E5-4A8D-48CD-85C3-70A2375CEA7F}">
  <ds:schemaRefs>
    <ds:schemaRef ds:uri="http://schemas.microsoft.com/sharepoint/v3/contenttype/forms"/>
  </ds:schemaRefs>
</ds:datastoreItem>
</file>

<file path=customXml/itemProps3.xml><?xml version="1.0" encoding="utf-8"?>
<ds:datastoreItem xmlns:ds="http://schemas.openxmlformats.org/officeDocument/2006/customXml" ds:itemID="{18CA41F8-BE80-4648-8562-1A3BDC775719}">
  <ds:schemaRefs>
    <ds:schemaRef ds:uri="http://schemas.microsoft.com/office/2006/metadata/properties"/>
    <ds:schemaRef ds:uri="http://schemas.microsoft.com/office/infopath/2007/PartnerControls"/>
    <ds:schemaRef ds:uri="378e824e-6e02-4c0d-8321-dd86fba681ee"/>
  </ds:schemaRefs>
</ds:datastoreItem>
</file>

<file path=customXml/itemProps4.xml><?xml version="1.0" encoding="utf-8"?>
<ds:datastoreItem xmlns:ds="http://schemas.openxmlformats.org/officeDocument/2006/customXml" ds:itemID="{D85A5FE5-844D-4E6D-8D2D-656CE8C61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1745</Words>
  <Characters>9948</Characters>
  <Application>Microsoft Office Word</Application>
  <DocSecurity>8</DocSecurity>
  <Lines>82</Lines>
  <Paragraphs>23</Paragraphs>
  <ScaleCrop>false</ScaleCrop>
  <HeadingPairs>
    <vt:vector size="2" baseType="variant">
      <vt:variant>
        <vt:lpstr>Title</vt:lpstr>
      </vt:variant>
      <vt:variant>
        <vt:i4>1</vt:i4>
      </vt:variant>
    </vt:vector>
  </HeadingPairs>
  <TitlesOfParts>
    <vt:vector size="1" baseType="lpstr">
      <vt:lpstr>Stamp duty on motor vehicle certificates of registration</vt:lpstr>
    </vt:vector>
  </TitlesOfParts>
  <Company>Northern Territory Government</Company>
  <LinksUpToDate>false</LinksUpToDate>
  <CharactersWithSpaces>11670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Stamp duty on motor vehicle certificates of registration</dc:title>
  <dc:creator>eclark</dc:creator>
  <cp:lastModifiedBy>Jessica Symonds</cp:lastModifiedBy>
  <cp:revision>5</cp:revision>
  <cp:lastPrinted>2013-10-24T01:55:00Z</cp:lastPrinted>
  <dcterms:created xsi:type="dcterms:W3CDTF">2016-08-11T02:15:00Z</dcterms:created>
  <dcterms:modified xsi:type="dcterms:W3CDTF">2021-09-12T23:58:00Z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0x010100AE1D68356F7FB54A917EB6B48522F7AB</vt:lpwstr>
  </property>
</Properties>
</file>