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5E8" w:rsidRDefault="00CF65E8" w:rsidP="00C27A0A">
      <w:pPr>
        <w:pStyle w:val="HeadingOne"/>
      </w:pPr>
    </w:p>
    <w:p w:rsidR="00CF65E8" w:rsidRDefault="00CF65E8" w:rsidP="00C27A0A">
      <w:pPr>
        <w:pStyle w:val="HeadingOne"/>
      </w:pPr>
    </w:p>
    <w:p w:rsidR="00CF65E8" w:rsidRDefault="00CF65E8" w:rsidP="00C27A0A">
      <w:pPr>
        <w:pStyle w:val="HeadingOne"/>
      </w:pPr>
      <w:r>
        <w:t>TERRITORY REVENUE OFFICE</w:t>
      </w:r>
    </w:p>
    <w:p w:rsidR="002546CB" w:rsidRPr="00C27A0A" w:rsidRDefault="00DE64A9" w:rsidP="00C27A0A">
      <w:pPr>
        <w:pStyle w:val="HeadingOne"/>
      </w:pPr>
      <w:r>
        <w:t>COMMISSIONER’S GUIDELINE</w:t>
      </w:r>
      <w:r w:rsidR="00513926">
        <w:t xml:space="preserve"> </w:t>
      </w:r>
    </w:p>
    <w:p w:rsidR="00C27A0A" w:rsidRPr="00C27A0A" w:rsidRDefault="00513926" w:rsidP="00C27A0A">
      <w:pPr>
        <w:pStyle w:val="HeadingOne"/>
      </w:pPr>
      <w:r>
        <w:t>CG</w:t>
      </w:r>
      <w:r w:rsidR="00C27A0A" w:rsidRPr="00C27A0A">
        <w:t>-</w:t>
      </w:r>
      <w:r w:rsidR="004928DC">
        <w:t>SD-002</w:t>
      </w:r>
      <w:r>
        <w:t>:</w:t>
      </w:r>
      <w:r w:rsidR="00C27A0A" w:rsidRPr="00C27A0A">
        <w:t xml:space="preserve"> </w:t>
      </w:r>
      <w:r w:rsidR="004928DC">
        <w:t>Eligible conditional agreements – extension of time to lodge instrument and pay duty</w:t>
      </w:r>
    </w:p>
    <w:p w:rsidR="00C27A0A" w:rsidRDefault="00C27A0A" w:rsidP="00C27A0A">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030"/>
        <w:gridCol w:w="1848"/>
        <w:gridCol w:w="1710"/>
        <w:gridCol w:w="1842"/>
      </w:tblGrid>
      <w:tr w:rsidR="00F65356" w:rsidRPr="00A14E8A" w:rsidTr="00A14E8A">
        <w:trPr>
          <w:jc w:val="center"/>
        </w:trPr>
        <w:tc>
          <w:tcPr>
            <w:tcW w:w="1030" w:type="dxa"/>
            <w:vMerge w:val="restart"/>
            <w:shd w:val="clear" w:color="auto" w:fill="auto"/>
          </w:tcPr>
          <w:p w:rsidR="00F65356" w:rsidRPr="00A14E8A" w:rsidRDefault="00F65356" w:rsidP="00A14E8A">
            <w:pPr>
              <w:jc w:val="center"/>
              <w:rPr>
                <w:b/>
                <w:sz w:val="18"/>
                <w:szCs w:val="18"/>
              </w:rPr>
            </w:pPr>
            <w:r w:rsidRPr="00A14E8A">
              <w:rPr>
                <w:b/>
                <w:sz w:val="18"/>
                <w:szCs w:val="18"/>
              </w:rPr>
              <w:t>Version</w:t>
            </w:r>
          </w:p>
        </w:tc>
        <w:tc>
          <w:tcPr>
            <w:tcW w:w="1848" w:type="dxa"/>
            <w:vMerge w:val="restart"/>
            <w:tcBorders>
              <w:right w:val="single" w:sz="4" w:space="0" w:color="auto"/>
            </w:tcBorders>
            <w:shd w:val="clear" w:color="auto" w:fill="auto"/>
          </w:tcPr>
          <w:p w:rsidR="00F65356" w:rsidRPr="00A14E8A" w:rsidRDefault="00F65356" w:rsidP="00A14E8A">
            <w:pPr>
              <w:jc w:val="center"/>
              <w:rPr>
                <w:b/>
                <w:sz w:val="18"/>
                <w:szCs w:val="18"/>
              </w:rPr>
            </w:pPr>
            <w:r w:rsidRPr="00A14E8A">
              <w:rPr>
                <w:b/>
                <w:sz w:val="18"/>
                <w:szCs w:val="18"/>
              </w:rPr>
              <w:t>Issued</w:t>
            </w:r>
          </w:p>
        </w:tc>
        <w:tc>
          <w:tcPr>
            <w:tcW w:w="3552" w:type="dxa"/>
            <w:gridSpan w:val="2"/>
            <w:tcBorders>
              <w:top w:val="single" w:sz="4" w:space="0" w:color="auto"/>
              <w:left w:val="single" w:sz="4" w:space="0" w:color="auto"/>
              <w:bottom w:val="nil"/>
              <w:right w:val="single" w:sz="4" w:space="0" w:color="auto"/>
            </w:tcBorders>
            <w:shd w:val="clear" w:color="auto" w:fill="auto"/>
          </w:tcPr>
          <w:p w:rsidR="00F65356" w:rsidRPr="00A14E8A" w:rsidRDefault="00F65356" w:rsidP="00A14E8A">
            <w:pPr>
              <w:jc w:val="center"/>
              <w:rPr>
                <w:b/>
                <w:sz w:val="18"/>
                <w:szCs w:val="18"/>
              </w:rPr>
            </w:pPr>
            <w:r w:rsidRPr="00A14E8A">
              <w:rPr>
                <w:b/>
                <w:sz w:val="18"/>
                <w:szCs w:val="18"/>
              </w:rPr>
              <w:t>Dates of Effect</w:t>
            </w:r>
          </w:p>
        </w:tc>
      </w:tr>
      <w:tr w:rsidR="00F65356" w:rsidRPr="00A14E8A" w:rsidTr="00A14E8A">
        <w:trPr>
          <w:jc w:val="center"/>
        </w:trPr>
        <w:tc>
          <w:tcPr>
            <w:tcW w:w="1030" w:type="dxa"/>
            <w:vMerge/>
            <w:shd w:val="clear" w:color="auto" w:fill="auto"/>
          </w:tcPr>
          <w:p w:rsidR="00F65356" w:rsidRPr="00A14E8A" w:rsidRDefault="00F65356" w:rsidP="00A14E8A">
            <w:pPr>
              <w:jc w:val="center"/>
              <w:rPr>
                <w:sz w:val="18"/>
                <w:szCs w:val="18"/>
              </w:rPr>
            </w:pPr>
          </w:p>
        </w:tc>
        <w:tc>
          <w:tcPr>
            <w:tcW w:w="1848" w:type="dxa"/>
            <w:vMerge/>
            <w:tcBorders>
              <w:right w:val="single" w:sz="4" w:space="0" w:color="auto"/>
            </w:tcBorders>
            <w:shd w:val="clear" w:color="auto" w:fill="auto"/>
          </w:tcPr>
          <w:p w:rsidR="00F65356" w:rsidRPr="00A14E8A" w:rsidRDefault="00F65356" w:rsidP="00A14E8A">
            <w:pPr>
              <w:jc w:val="center"/>
              <w:rPr>
                <w:sz w:val="18"/>
                <w:szCs w:val="18"/>
              </w:rPr>
            </w:pPr>
          </w:p>
        </w:tc>
        <w:tc>
          <w:tcPr>
            <w:tcW w:w="1710" w:type="dxa"/>
            <w:tcBorders>
              <w:top w:val="nil"/>
              <w:left w:val="single" w:sz="4" w:space="0" w:color="auto"/>
              <w:bottom w:val="single" w:sz="4" w:space="0" w:color="auto"/>
              <w:right w:val="nil"/>
            </w:tcBorders>
            <w:shd w:val="clear" w:color="auto" w:fill="auto"/>
          </w:tcPr>
          <w:p w:rsidR="00F65356" w:rsidRPr="00A14E8A" w:rsidRDefault="00F65356" w:rsidP="00AD2225">
            <w:pPr>
              <w:rPr>
                <w:b/>
                <w:sz w:val="18"/>
                <w:szCs w:val="18"/>
              </w:rPr>
            </w:pPr>
            <w:r w:rsidRPr="00A14E8A">
              <w:rPr>
                <w:b/>
                <w:sz w:val="18"/>
                <w:szCs w:val="18"/>
              </w:rPr>
              <w:t>From:</w:t>
            </w:r>
          </w:p>
        </w:tc>
        <w:tc>
          <w:tcPr>
            <w:tcW w:w="1842" w:type="dxa"/>
            <w:tcBorders>
              <w:top w:val="nil"/>
              <w:left w:val="nil"/>
              <w:bottom w:val="single" w:sz="4" w:space="0" w:color="auto"/>
              <w:right w:val="single" w:sz="4" w:space="0" w:color="auto"/>
            </w:tcBorders>
            <w:shd w:val="clear" w:color="auto" w:fill="auto"/>
          </w:tcPr>
          <w:p w:rsidR="00F65356" w:rsidRPr="00A14E8A" w:rsidRDefault="00F65356" w:rsidP="00AD2225">
            <w:pPr>
              <w:rPr>
                <w:b/>
                <w:sz w:val="18"/>
                <w:szCs w:val="18"/>
              </w:rPr>
            </w:pPr>
            <w:r w:rsidRPr="00A14E8A">
              <w:rPr>
                <w:b/>
                <w:sz w:val="18"/>
                <w:szCs w:val="18"/>
              </w:rPr>
              <w:t xml:space="preserve">To: </w:t>
            </w:r>
          </w:p>
        </w:tc>
      </w:tr>
      <w:tr w:rsidR="004928DC" w:rsidRPr="00A14E8A" w:rsidTr="00A14E8A">
        <w:trPr>
          <w:jc w:val="center"/>
        </w:trPr>
        <w:tc>
          <w:tcPr>
            <w:tcW w:w="1030" w:type="dxa"/>
            <w:shd w:val="clear" w:color="auto" w:fill="auto"/>
          </w:tcPr>
          <w:p w:rsidR="004928DC" w:rsidRPr="00A14E8A" w:rsidRDefault="004928DC" w:rsidP="00A14E8A">
            <w:pPr>
              <w:jc w:val="center"/>
              <w:rPr>
                <w:sz w:val="18"/>
                <w:szCs w:val="18"/>
              </w:rPr>
            </w:pPr>
            <w:r w:rsidRPr="00A14E8A">
              <w:rPr>
                <w:sz w:val="18"/>
                <w:szCs w:val="18"/>
              </w:rPr>
              <w:t>1</w:t>
            </w:r>
          </w:p>
        </w:tc>
        <w:tc>
          <w:tcPr>
            <w:tcW w:w="1848" w:type="dxa"/>
            <w:shd w:val="clear" w:color="auto" w:fill="auto"/>
          </w:tcPr>
          <w:p w:rsidR="004928DC" w:rsidRPr="00A14E8A" w:rsidRDefault="004928DC" w:rsidP="004928DC">
            <w:pPr>
              <w:rPr>
                <w:sz w:val="18"/>
                <w:szCs w:val="18"/>
              </w:rPr>
            </w:pPr>
            <w:r w:rsidRPr="00A14E8A">
              <w:rPr>
                <w:sz w:val="18"/>
                <w:szCs w:val="18"/>
              </w:rPr>
              <w:t>3 May 2005</w:t>
            </w:r>
          </w:p>
        </w:tc>
        <w:tc>
          <w:tcPr>
            <w:tcW w:w="1710" w:type="dxa"/>
            <w:tcBorders>
              <w:top w:val="single" w:sz="4" w:space="0" w:color="auto"/>
              <w:bottom w:val="single" w:sz="4" w:space="0" w:color="auto"/>
            </w:tcBorders>
            <w:shd w:val="clear" w:color="auto" w:fill="auto"/>
          </w:tcPr>
          <w:p w:rsidR="004928DC" w:rsidRPr="00A14E8A" w:rsidRDefault="004928DC" w:rsidP="004928DC">
            <w:pPr>
              <w:rPr>
                <w:sz w:val="18"/>
                <w:szCs w:val="18"/>
              </w:rPr>
            </w:pPr>
            <w:r w:rsidRPr="00A14E8A">
              <w:rPr>
                <w:sz w:val="18"/>
                <w:szCs w:val="18"/>
              </w:rPr>
              <w:t>3 May 2005</w:t>
            </w:r>
          </w:p>
        </w:tc>
        <w:tc>
          <w:tcPr>
            <w:tcW w:w="1842" w:type="dxa"/>
            <w:tcBorders>
              <w:top w:val="single" w:sz="4" w:space="0" w:color="auto"/>
              <w:bottom w:val="single" w:sz="4" w:space="0" w:color="auto"/>
            </w:tcBorders>
            <w:shd w:val="clear" w:color="auto" w:fill="auto"/>
          </w:tcPr>
          <w:p w:rsidR="004928DC" w:rsidRPr="00A14E8A" w:rsidRDefault="004928DC" w:rsidP="004928DC">
            <w:pPr>
              <w:rPr>
                <w:sz w:val="18"/>
                <w:szCs w:val="18"/>
              </w:rPr>
            </w:pPr>
            <w:r w:rsidRPr="00A14E8A">
              <w:rPr>
                <w:sz w:val="18"/>
                <w:szCs w:val="18"/>
              </w:rPr>
              <w:t>31 December 2007</w:t>
            </w:r>
          </w:p>
        </w:tc>
      </w:tr>
      <w:tr w:rsidR="004928DC" w:rsidRPr="00A14E8A" w:rsidTr="00A14E8A">
        <w:trPr>
          <w:jc w:val="center"/>
        </w:trPr>
        <w:tc>
          <w:tcPr>
            <w:tcW w:w="1030" w:type="dxa"/>
            <w:shd w:val="clear" w:color="auto" w:fill="auto"/>
          </w:tcPr>
          <w:p w:rsidR="004928DC" w:rsidRPr="00A14E8A" w:rsidRDefault="004928DC" w:rsidP="00A14E8A">
            <w:pPr>
              <w:jc w:val="center"/>
              <w:rPr>
                <w:sz w:val="18"/>
                <w:szCs w:val="18"/>
              </w:rPr>
            </w:pPr>
            <w:r w:rsidRPr="00A14E8A">
              <w:rPr>
                <w:sz w:val="18"/>
                <w:szCs w:val="18"/>
              </w:rPr>
              <w:t>2</w:t>
            </w:r>
          </w:p>
        </w:tc>
        <w:tc>
          <w:tcPr>
            <w:tcW w:w="1848" w:type="dxa"/>
            <w:shd w:val="clear" w:color="auto" w:fill="auto"/>
          </w:tcPr>
          <w:p w:rsidR="004928DC" w:rsidRPr="00A14E8A" w:rsidRDefault="004928DC" w:rsidP="004928DC">
            <w:pPr>
              <w:rPr>
                <w:sz w:val="18"/>
                <w:szCs w:val="18"/>
              </w:rPr>
            </w:pPr>
            <w:r w:rsidRPr="00A14E8A">
              <w:rPr>
                <w:sz w:val="18"/>
                <w:szCs w:val="18"/>
              </w:rPr>
              <w:t>2 January 2008</w:t>
            </w:r>
          </w:p>
        </w:tc>
        <w:tc>
          <w:tcPr>
            <w:tcW w:w="1710" w:type="dxa"/>
            <w:tcBorders>
              <w:top w:val="single" w:sz="4" w:space="0" w:color="auto"/>
              <w:bottom w:val="single" w:sz="4" w:space="0" w:color="auto"/>
            </w:tcBorders>
            <w:shd w:val="clear" w:color="auto" w:fill="auto"/>
          </w:tcPr>
          <w:p w:rsidR="004928DC" w:rsidRPr="00A14E8A" w:rsidRDefault="004928DC" w:rsidP="004928DC">
            <w:pPr>
              <w:rPr>
                <w:sz w:val="18"/>
                <w:szCs w:val="18"/>
              </w:rPr>
            </w:pPr>
            <w:r w:rsidRPr="00A14E8A">
              <w:rPr>
                <w:sz w:val="18"/>
                <w:szCs w:val="18"/>
              </w:rPr>
              <w:t>1 January 2008</w:t>
            </w:r>
          </w:p>
        </w:tc>
        <w:tc>
          <w:tcPr>
            <w:tcW w:w="1842" w:type="dxa"/>
            <w:tcBorders>
              <w:top w:val="single" w:sz="4" w:space="0" w:color="auto"/>
              <w:bottom w:val="single" w:sz="4" w:space="0" w:color="auto"/>
            </w:tcBorders>
            <w:shd w:val="clear" w:color="auto" w:fill="auto"/>
          </w:tcPr>
          <w:p w:rsidR="004928DC" w:rsidRPr="00A14E8A" w:rsidRDefault="004928DC" w:rsidP="004928DC">
            <w:pPr>
              <w:rPr>
                <w:sz w:val="18"/>
                <w:szCs w:val="18"/>
              </w:rPr>
            </w:pPr>
            <w:r w:rsidRPr="00A14E8A">
              <w:rPr>
                <w:sz w:val="18"/>
                <w:szCs w:val="18"/>
              </w:rPr>
              <w:t>27 August 2009</w:t>
            </w:r>
          </w:p>
        </w:tc>
      </w:tr>
      <w:tr w:rsidR="004928DC" w:rsidRPr="00A14E8A" w:rsidTr="0077361E">
        <w:trPr>
          <w:jc w:val="center"/>
        </w:trPr>
        <w:tc>
          <w:tcPr>
            <w:tcW w:w="1030" w:type="dxa"/>
            <w:shd w:val="clear" w:color="auto" w:fill="auto"/>
          </w:tcPr>
          <w:p w:rsidR="004928DC" w:rsidRPr="00A14E8A" w:rsidRDefault="004928DC" w:rsidP="00A14E8A">
            <w:pPr>
              <w:jc w:val="center"/>
              <w:rPr>
                <w:sz w:val="18"/>
                <w:szCs w:val="18"/>
              </w:rPr>
            </w:pPr>
            <w:r w:rsidRPr="00A14E8A">
              <w:rPr>
                <w:sz w:val="18"/>
                <w:szCs w:val="18"/>
              </w:rPr>
              <w:t>3</w:t>
            </w:r>
          </w:p>
        </w:tc>
        <w:tc>
          <w:tcPr>
            <w:tcW w:w="1848" w:type="dxa"/>
            <w:shd w:val="clear" w:color="auto" w:fill="auto"/>
          </w:tcPr>
          <w:p w:rsidR="004928DC" w:rsidRPr="00A14E8A" w:rsidRDefault="004928DC" w:rsidP="004928DC">
            <w:pPr>
              <w:rPr>
                <w:sz w:val="18"/>
                <w:szCs w:val="18"/>
              </w:rPr>
            </w:pPr>
            <w:r w:rsidRPr="00A14E8A">
              <w:rPr>
                <w:sz w:val="18"/>
                <w:szCs w:val="18"/>
              </w:rPr>
              <w:t xml:space="preserve">28 August 2009 </w:t>
            </w:r>
          </w:p>
        </w:tc>
        <w:tc>
          <w:tcPr>
            <w:tcW w:w="1710" w:type="dxa"/>
            <w:tcBorders>
              <w:top w:val="single" w:sz="4" w:space="0" w:color="auto"/>
              <w:bottom w:val="single" w:sz="4" w:space="0" w:color="auto"/>
            </w:tcBorders>
            <w:shd w:val="clear" w:color="auto" w:fill="auto"/>
          </w:tcPr>
          <w:p w:rsidR="004928DC" w:rsidRPr="00A14E8A" w:rsidRDefault="004928DC" w:rsidP="004928DC">
            <w:pPr>
              <w:rPr>
                <w:sz w:val="18"/>
                <w:szCs w:val="18"/>
              </w:rPr>
            </w:pPr>
            <w:r w:rsidRPr="00A14E8A">
              <w:rPr>
                <w:sz w:val="18"/>
                <w:szCs w:val="18"/>
              </w:rPr>
              <w:t>28 August 2009</w:t>
            </w:r>
          </w:p>
        </w:tc>
        <w:tc>
          <w:tcPr>
            <w:tcW w:w="1842" w:type="dxa"/>
            <w:tcBorders>
              <w:top w:val="single" w:sz="4" w:space="0" w:color="auto"/>
              <w:bottom w:val="single" w:sz="4" w:space="0" w:color="auto"/>
            </w:tcBorders>
            <w:shd w:val="clear" w:color="auto" w:fill="auto"/>
          </w:tcPr>
          <w:p w:rsidR="004928DC" w:rsidRPr="00A14E8A" w:rsidRDefault="002034A8" w:rsidP="00A426C9">
            <w:pPr>
              <w:rPr>
                <w:sz w:val="18"/>
                <w:szCs w:val="18"/>
              </w:rPr>
            </w:pPr>
            <w:r>
              <w:rPr>
                <w:sz w:val="18"/>
                <w:szCs w:val="18"/>
              </w:rPr>
              <w:t>3</w:t>
            </w:r>
            <w:r w:rsidR="0077361E">
              <w:rPr>
                <w:sz w:val="18"/>
                <w:szCs w:val="18"/>
              </w:rPr>
              <w:t xml:space="preserve"> December 2012</w:t>
            </w:r>
          </w:p>
        </w:tc>
      </w:tr>
      <w:tr w:rsidR="0077361E" w:rsidRPr="00A14E8A" w:rsidTr="00F4066F">
        <w:trPr>
          <w:jc w:val="center"/>
        </w:trPr>
        <w:tc>
          <w:tcPr>
            <w:tcW w:w="1030" w:type="dxa"/>
            <w:shd w:val="clear" w:color="auto" w:fill="auto"/>
          </w:tcPr>
          <w:p w:rsidR="0077361E" w:rsidRPr="00A14E8A" w:rsidRDefault="0077361E" w:rsidP="00A14E8A">
            <w:pPr>
              <w:jc w:val="center"/>
              <w:rPr>
                <w:sz w:val="18"/>
                <w:szCs w:val="18"/>
              </w:rPr>
            </w:pPr>
            <w:r>
              <w:rPr>
                <w:sz w:val="18"/>
                <w:szCs w:val="18"/>
              </w:rPr>
              <w:t>4</w:t>
            </w:r>
          </w:p>
        </w:tc>
        <w:tc>
          <w:tcPr>
            <w:tcW w:w="1848" w:type="dxa"/>
            <w:shd w:val="clear" w:color="auto" w:fill="auto"/>
          </w:tcPr>
          <w:p w:rsidR="0077361E" w:rsidRPr="00A14E8A" w:rsidRDefault="008E6E3D" w:rsidP="004928DC">
            <w:pPr>
              <w:rPr>
                <w:sz w:val="18"/>
                <w:szCs w:val="18"/>
              </w:rPr>
            </w:pPr>
            <w:r>
              <w:rPr>
                <w:sz w:val="18"/>
                <w:szCs w:val="18"/>
              </w:rPr>
              <w:t>7</w:t>
            </w:r>
            <w:r w:rsidR="0077361E">
              <w:rPr>
                <w:sz w:val="18"/>
                <w:szCs w:val="18"/>
              </w:rPr>
              <w:t xml:space="preserve"> December 2012</w:t>
            </w:r>
          </w:p>
        </w:tc>
        <w:tc>
          <w:tcPr>
            <w:tcW w:w="1710" w:type="dxa"/>
            <w:tcBorders>
              <w:top w:val="single" w:sz="4" w:space="0" w:color="auto"/>
              <w:bottom w:val="single" w:sz="4" w:space="0" w:color="auto"/>
            </w:tcBorders>
            <w:shd w:val="clear" w:color="auto" w:fill="auto"/>
          </w:tcPr>
          <w:p w:rsidR="0077361E" w:rsidRPr="00A14E8A" w:rsidRDefault="00A426C9" w:rsidP="004928DC">
            <w:pPr>
              <w:rPr>
                <w:sz w:val="18"/>
                <w:szCs w:val="18"/>
              </w:rPr>
            </w:pPr>
            <w:r>
              <w:rPr>
                <w:sz w:val="18"/>
                <w:szCs w:val="18"/>
              </w:rPr>
              <w:t>4</w:t>
            </w:r>
            <w:r w:rsidR="0077361E">
              <w:rPr>
                <w:sz w:val="18"/>
                <w:szCs w:val="18"/>
              </w:rPr>
              <w:t xml:space="preserve"> December 2012</w:t>
            </w:r>
          </w:p>
        </w:tc>
        <w:tc>
          <w:tcPr>
            <w:tcW w:w="1842" w:type="dxa"/>
            <w:tcBorders>
              <w:top w:val="single" w:sz="4" w:space="0" w:color="auto"/>
              <w:bottom w:val="single" w:sz="4" w:space="0" w:color="auto"/>
            </w:tcBorders>
            <w:shd w:val="clear" w:color="auto" w:fill="auto"/>
          </w:tcPr>
          <w:p w:rsidR="0077361E" w:rsidRPr="00A14E8A" w:rsidRDefault="00F4066F" w:rsidP="00C14CAA">
            <w:pPr>
              <w:rPr>
                <w:sz w:val="18"/>
                <w:szCs w:val="18"/>
              </w:rPr>
            </w:pPr>
            <w:r>
              <w:rPr>
                <w:sz w:val="18"/>
                <w:szCs w:val="18"/>
              </w:rPr>
              <w:t>23 May 2016</w:t>
            </w:r>
          </w:p>
        </w:tc>
      </w:tr>
      <w:tr w:rsidR="00C14CAA" w:rsidRPr="00A14E8A" w:rsidTr="00A14E8A">
        <w:trPr>
          <w:jc w:val="center"/>
        </w:trPr>
        <w:tc>
          <w:tcPr>
            <w:tcW w:w="1030" w:type="dxa"/>
            <w:shd w:val="clear" w:color="auto" w:fill="auto"/>
          </w:tcPr>
          <w:p w:rsidR="00C14CAA" w:rsidRDefault="00C14CAA" w:rsidP="00A14E8A">
            <w:pPr>
              <w:jc w:val="center"/>
              <w:rPr>
                <w:sz w:val="18"/>
                <w:szCs w:val="18"/>
              </w:rPr>
            </w:pPr>
            <w:r>
              <w:rPr>
                <w:sz w:val="18"/>
                <w:szCs w:val="18"/>
              </w:rPr>
              <w:t>5</w:t>
            </w:r>
          </w:p>
        </w:tc>
        <w:tc>
          <w:tcPr>
            <w:tcW w:w="1848" w:type="dxa"/>
            <w:shd w:val="clear" w:color="auto" w:fill="auto"/>
          </w:tcPr>
          <w:p w:rsidR="00C14CAA" w:rsidRDefault="00F4066F" w:rsidP="004928DC">
            <w:pPr>
              <w:rPr>
                <w:sz w:val="18"/>
                <w:szCs w:val="18"/>
              </w:rPr>
            </w:pPr>
            <w:r>
              <w:rPr>
                <w:sz w:val="18"/>
                <w:szCs w:val="18"/>
              </w:rPr>
              <w:t>24 May 2016</w:t>
            </w:r>
          </w:p>
        </w:tc>
        <w:tc>
          <w:tcPr>
            <w:tcW w:w="1710" w:type="dxa"/>
            <w:tcBorders>
              <w:top w:val="single" w:sz="4" w:space="0" w:color="auto"/>
            </w:tcBorders>
            <w:shd w:val="clear" w:color="auto" w:fill="auto"/>
          </w:tcPr>
          <w:p w:rsidR="00C14CAA" w:rsidRDefault="00F4066F" w:rsidP="004928DC">
            <w:pPr>
              <w:rPr>
                <w:sz w:val="18"/>
                <w:szCs w:val="18"/>
              </w:rPr>
            </w:pPr>
            <w:r>
              <w:rPr>
                <w:sz w:val="18"/>
                <w:szCs w:val="18"/>
              </w:rPr>
              <w:t>24 May 2016</w:t>
            </w:r>
          </w:p>
        </w:tc>
        <w:tc>
          <w:tcPr>
            <w:tcW w:w="1842" w:type="dxa"/>
            <w:tcBorders>
              <w:top w:val="single" w:sz="4" w:space="0" w:color="auto"/>
            </w:tcBorders>
            <w:shd w:val="clear" w:color="auto" w:fill="auto"/>
          </w:tcPr>
          <w:p w:rsidR="00C14CAA" w:rsidRDefault="00C14CAA" w:rsidP="004928DC">
            <w:pPr>
              <w:rPr>
                <w:sz w:val="18"/>
                <w:szCs w:val="18"/>
              </w:rPr>
            </w:pPr>
            <w:r>
              <w:rPr>
                <w:sz w:val="18"/>
                <w:szCs w:val="18"/>
              </w:rPr>
              <w:t>Current</w:t>
            </w:r>
          </w:p>
        </w:tc>
      </w:tr>
    </w:tbl>
    <w:p w:rsidR="004928DC" w:rsidRPr="004928DC" w:rsidRDefault="004928DC" w:rsidP="004928DC">
      <w:pPr>
        <w:pStyle w:val="HeadingTwo"/>
      </w:pPr>
      <w:r w:rsidRPr="00733450">
        <w:t>Purpose</w:t>
      </w:r>
    </w:p>
    <w:p w:rsidR="004928DC" w:rsidRPr="004928DC" w:rsidRDefault="004928DC" w:rsidP="004928DC">
      <w:pPr>
        <w:pStyle w:val="BlockText"/>
      </w:pPr>
      <w:r w:rsidRPr="00895D93">
        <w:t xml:space="preserve">This Guideline sets out the circumstances under which the Commissioner of Territory Revenue </w:t>
      </w:r>
      <w:r w:rsidR="00F378C9">
        <w:t xml:space="preserve">(the Commissioner) </w:t>
      </w:r>
      <w:r w:rsidRPr="00895D93">
        <w:t xml:space="preserve">will extend the time for lodging an </w:t>
      </w:r>
      <w:r w:rsidRPr="00895D93">
        <w:rPr>
          <w:b/>
        </w:rPr>
        <w:t>eligible conditional agreement</w:t>
      </w:r>
      <w:r w:rsidRPr="00895D93">
        <w:t xml:space="preserve"> (including ‘off-the-plan’ conveyances of property) and for paying stamp duty on the agreement.</w:t>
      </w:r>
    </w:p>
    <w:p w:rsidR="004928DC" w:rsidRPr="004928DC" w:rsidRDefault="004928DC" w:rsidP="004928DC">
      <w:pPr>
        <w:pStyle w:val="HeadingTwo"/>
      </w:pPr>
      <w:r w:rsidRPr="00895D93">
        <w:t>Background</w:t>
      </w:r>
    </w:p>
    <w:p w:rsidR="004928DC" w:rsidRPr="00895D93" w:rsidRDefault="004928DC" w:rsidP="004928DC">
      <w:pPr>
        <w:pStyle w:val="BlockText"/>
      </w:pPr>
      <w:r w:rsidRPr="00895D93">
        <w:t>A person liable to pay the duty on an instrument must lodge and pay the duty within 60 days after the date the instrument is first executed.</w:t>
      </w:r>
      <w:r>
        <w:rPr>
          <w:rStyle w:val="FootnoteReference"/>
          <w:sz w:val="24"/>
          <w:szCs w:val="24"/>
        </w:rPr>
        <w:footnoteReference w:id="1"/>
      </w:r>
      <w:r w:rsidRPr="00895D93">
        <w:t xml:space="preserve"> For more information on the requirement to lodge and pay in the 60-day period, refer</w:t>
      </w:r>
      <w:r>
        <w:t xml:space="preserve"> to Commissioner’s Guideline </w:t>
      </w:r>
      <w:hyperlink r:id="rId10" w:tooltip="Web link to CG-SD-001" w:history="1">
        <w:r w:rsidRPr="00F378C9">
          <w:rPr>
            <w:rStyle w:val="Hyperlink"/>
          </w:rPr>
          <w:t>CG-SD-001</w:t>
        </w:r>
      </w:hyperlink>
      <w:r w:rsidRPr="00895D93">
        <w:t xml:space="preserve">: </w:t>
      </w:r>
      <w:r w:rsidRPr="00895D93">
        <w:rPr>
          <w:i/>
        </w:rPr>
        <w:t>Document lodgement and payment periods</w:t>
      </w:r>
      <w:r w:rsidRPr="00895D93">
        <w:t>. A person who fails to comply with these requirements commits an offence and may be liable to interest and penalty tax.</w:t>
      </w:r>
      <w:r>
        <w:rPr>
          <w:rStyle w:val="FootnoteReference"/>
          <w:sz w:val="24"/>
          <w:szCs w:val="24"/>
        </w:rPr>
        <w:footnoteReference w:id="2"/>
      </w:r>
      <w:r w:rsidRPr="00895D93">
        <w:t xml:space="preserve"> However, the Commissioner has the discretion to extend the time for lodging and paying stamp duty on an instrument.</w:t>
      </w:r>
      <w:r>
        <w:rPr>
          <w:rStyle w:val="FootnoteReference"/>
          <w:sz w:val="24"/>
          <w:szCs w:val="24"/>
        </w:rPr>
        <w:footnoteReference w:id="3"/>
      </w:r>
      <w:r w:rsidRPr="00895D93">
        <w:t xml:space="preserve"> </w:t>
      </w:r>
    </w:p>
    <w:p w:rsidR="004928DC" w:rsidRDefault="004928DC" w:rsidP="004928DC">
      <w:pPr>
        <w:pStyle w:val="BlockText"/>
      </w:pPr>
      <w:r>
        <w:t>It is common for agreements for the purchase of dutiable property to contain conditions that must be satisfied before the conveyance can be completed. Despite these conditions, unless otherwise extended, the agreement must be lodged with the Territory Revenue Office (TRO) and the duty paid within the abovementioned period.</w:t>
      </w:r>
    </w:p>
    <w:p w:rsidR="004928DC" w:rsidRDefault="004928DC" w:rsidP="004928DC">
      <w:pPr>
        <w:pStyle w:val="BlockText"/>
      </w:pPr>
      <w:r>
        <w:t xml:space="preserve">This guideline sets out the conditions upon which the Commissioner </w:t>
      </w:r>
      <w:r w:rsidRPr="00895D93">
        <w:t xml:space="preserve">will extend the time to lodge and pay stamp duty </w:t>
      </w:r>
      <w:r>
        <w:t>on eligible conditional agreements.</w:t>
      </w:r>
    </w:p>
    <w:p w:rsidR="004928DC" w:rsidRPr="004928DC" w:rsidRDefault="004928DC" w:rsidP="00F05A3F">
      <w:pPr>
        <w:pStyle w:val="HeadingTwo"/>
        <w:rPr>
          <w:sz w:val="26"/>
          <w:szCs w:val="26"/>
        </w:rPr>
      </w:pPr>
      <w:r w:rsidRPr="00BA755A">
        <w:t xml:space="preserve">What is an </w:t>
      </w:r>
      <w:r w:rsidR="00F378C9">
        <w:t>e</w:t>
      </w:r>
      <w:r w:rsidRPr="00BA755A">
        <w:t xml:space="preserve">ligible </w:t>
      </w:r>
      <w:r w:rsidR="00F378C9">
        <w:t>c</w:t>
      </w:r>
      <w:r w:rsidRPr="00BA755A">
        <w:t xml:space="preserve">onditional </w:t>
      </w:r>
      <w:r w:rsidR="00F378C9">
        <w:t>a</w:t>
      </w:r>
      <w:r w:rsidRPr="00BA755A">
        <w:t>greement?</w:t>
      </w:r>
    </w:p>
    <w:p w:rsidR="004928DC" w:rsidRPr="004928DC" w:rsidRDefault="004928DC" w:rsidP="004928DC">
      <w:pPr>
        <w:pStyle w:val="BlockText"/>
      </w:pPr>
      <w:r>
        <w:t>For the purpose of this guideline, an agreement is an eligible conditional agreement if:</w:t>
      </w:r>
    </w:p>
    <w:p w:rsidR="004928DC" w:rsidRPr="00895D93" w:rsidRDefault="004928DC" w:rsidP="004928DC">
      <w:pPr>
        <w:pStyle w:val="BlockText"/>
        <w:numPr>
          <w:ilvl w:val="1"/>
          <w:numId w:val="3"/>
        </w:numPr>
      </w:pPr>
      <w:r w:rsidRPr="00895D93">
        <w:t xml:space="preserve">the completion </w:t>
      </w:r>
      <w:r>
        <w:t xml:space="preserve">of the agreement </w:t>
      </w:r>
      <w:r w:rsidRPr="00895D93">
        <w:t xml:space="preserve">is conditional upon the happening of an event; and </w:t>
      </w:r>
    </w:p>
    <w:p w:rsidR="003B05B4" w:rsidRDefault="004928DC" w:rsidP="004928DC">
      <w:pPr>
        <w:pStyle w:val="BlockText"/>
        <w:numPr>
          <w:ilvl w:val="1"/>
          <w:numId w:val="3"/>
        </w:numPr>
      </w:pPr>
      <w:r w:rsidRPr="00895D93">
        <w:t>the parties (or a person related to the parties) to the agreement do not have any control over the event except to the extent that they are required to use their best endeavours to secure the event happening</w:t>
      </w:r>
      <w:r w:rsidR="003B05B4">
        <w:t>.</w:t>
      </w:r>
    </w:p>
    <w:p w:rsidR="008E3E52" w:rsidRDefault="008E3E52" w:rsidP="008E3E52">
      <w:pPr>
        <w:pStyle w:val="BlockText"/>
        <w:numPr>
          <w:ilvl w:val="0"/>
          <w:numId w:val="0"/>
        </w:numPr>
        <w:ind w:left="567" w:hanging="567"/>
      </w:pPr>
    </w:p>
    <w:p w:rsidR="004928DC" w:rsidRPr="004928DC" w:rsidRDefault="003B05B4" w:rsidP="00D32CAC">
      <w:pPr>
        <w:pStyle w:val="BlockText"/>
      </w:pPr>
      <w:r>
        <w:t>Examples of the above can include:</w:t>
      </w:r>
    </w:p>
    <w:p w:rsidR="004928DC" w:rsidRPr="003B05B4" w:rsidRDefault="003B05B4" w:rsidP="00D32CAC">
      <w:pPr>
        <w:pStyle w:val="BlockText"/>
        <w:numPr>
          <w:ilvl w:val="1"/>
          <w:numId w:val="3"/>
        </w:numPr>
      </w:pPr>
      <w:r>
        <w:t>a</w:t>
      </w:r>
      <w:r w:rsidR="004928DC" w:rsidRPr="003B05B4">
        <w:t xml:space="preserve"> party to the agreement obtaining a satisfactory private ruling as to the taxation consequences of the agreement from the Australian Taxation Office;</w:t>
      </w:r>
    </w:p>
    <w:p w:rsidR="004928DC" w:rsidRPr="003B05B4" w:rsidRDefault="003B05B4" w:rsidP="00D32CAC">
      <w:pPr>
        <w:pStyle w:val="BlockText"/>
        <w:numPr>
          <w:ilvl w:val="1"/>
          <w:numId w:val="3"/>
        </w:numPr>
      </w:pPr>
      <w:r>
        <w:t>a</w:t>
      </w:r>
      <w:r w:rsidR="004928DC" w:rsidRPr="003B05B4">
        <w:t xml:space="preserve"> financial institution approving the conveyee’s finance;</w:t>
      </w:r>
    </w:p>
    <w:p w:rsidR="004928DC" w:rsidRPr="003B05B4" w:rsidRDefault="003B05B4" w:rsidP="00D32CAC">
      <w:pPr>
        <w:pStyle w:val="BlockText"/>
        <w:numPr>
          <w:ilvl w:val="1"/>
          <w:numId w:val="3"/>
        </w:numPr>
      </w:pPr>
      <w:r>
        <w:t>t</w:t>
      </w:r>
      <w:r w:rsidR="004928DC" w:rsidRPr="003B05B4">
        <w:t>he agreement being subject to the conveyance of another property;</w:t>
      </w:r>
    </w:p>
    <w:p w:rsidR="004928DC" w:rsidRPr="003B05B4" w:rsidRDefault="003B05B4" w:rsidP="00D32CAC">
      <w:pPr>
        <w:pStyle w:val="BlockText"/>
        <w:numPr>
          <w:ilvl w:val="1"/>
          <w:numId w:val="3"/>
        </w:numPr>
      </w:pPr>
      <w:r>
        <w:t>s</w:t>
      </w:r>
      <w:r w:rsidR="004928DC" w:rsidRPr="003B05B4">
        <w:t>ubdivisional, rezoning, planning or local council approval;</w:t>
      </w:r>
    </w:p>
    <w:p w:rsidR="004928DC" w:rsidRPr="003B05B4" w:rsidRDefault="003B05B4" w:rsidP="00D32CAC">
      <w:pPr>
        <w:pStyle w:val="BlockText"/>
        <w:numPr>
          <w:ilvl w:val="1"/>
          <w:numId w:val="3"/>
        </w:numPr>
      </w:pPr>
      <w:r>
        <w:t>t</w:t>
      </w:r>
      <w:r w:rsidR="004928DC" w:rsidRPr="003B05B4">
        <w:t>he conveyee obtaining a satisfactory building inspection report from an independent party;</w:t>
      </w:r>
    </w:p>
    <w:p w:rsidR="004928DC" w:rsidRPr="003B05B4" w:rsidRDefault="003B05B4" w:rsidP="00D32CAC">
      <w:pPr>
        <w:pStyle w:val="BlockText"/>
        <w:numPr>
          <w:ilvl w:val="1"/>
          <w:numId w:val="3"/>
        </w:numPr>
      </w:pPr>
      <w:r>
        <w:t>t</w:t>
      </w:r>
      <w:r w:rsidR="004928DC" w:rsidRPr="003B05B4">
        <w:t>he granting of a liquor licence;</w:t>
      </w:r>
    </w:p>
    <w:p w:rsidR="004928DC" w:rsidRPr="003B05B4" w:rsidRDefault="003B05B4" w:rsidP="00D32CAC">
      <w:pPr>
        <w:pStyle w:val="BlockText"/>
        <w:numPr>
          <w:ilvl w:val="1"/>
          <w:numId w:val="3"/>
        </w:numPr>
      </w:pPr>
      <w:r>
        <w:t>t</w:t>
      </w:r>
      <w:r w:rsidR="004928DC" w:rsidRPr="003B05B4">
        <w:t>he conveyor of a commercial property obtaining the renewal of existing leases;</w:t>
      </w:r>
    </w:p>
    <w:p w:rsidR="004928DC" w:rsidRPr="003B05B4" w:rsidRDefault="003B05B4" w:rsidP="00D32CAC">
      <w:pPr>
        <w:pStyle w:val="BlockText"/>
        <w:numPr>
          <w:ilvl w:val="1"/>
          <w:numId w:val="3"/>
        </w:numPr>
      </w:pPr>
      <w:r>
        <w:t>a</w:t>
      </w:r>
      <w:r w:rsidR="004928DC" w:rsidRPr="003B05B4">
        <w:t xml:space="preserve"> conveyor of leasehold land obtaining the Minister’s consent to convey the lease; </w:t>
      </w:r>
      <w:r>
        <w:t>and</w:t>
      </w:r>
    </w:p>
    <w:p w:rsidR="004928DC" w:rsidRPr="003B05B4" w:rsidRDefault="003B05B4" w:rsidP="00D32CAC">
      <w:pPr>
        <w:pStyle w:val="BlockText"/>
        <w:numPr>
          <w:ilvl w:val="1"/>
          <w:numId w:val="3"/>
        </w:numPr>
      </w:pPr>
      <w:r>
        <w:t>t</w:t>
      </w:r>
      <w:r w:rsidR="004928DC" w:rsidRPr="003B05B4">
        <w:t>he issue of separate titles for each unit or lot after a property development is completed.</w:t>
      </w:r>
    </w:p>
    <w:p w:rsidR="004928DC" w:rsidRPr="004928DC" w:rsidRDefault="004928DC" w:rsidP="004928DC">
      <w:pPr>
        <w:pStyle w:val="BlockText"/>
      </w:pPr>
      <w:r w:rsidRPr="00895D93">
        <w:t>A</w:t>
      </w:r>
      <w:r>
        <w:t>n</w:t>
      </w:r>
      <w:r w:rsidRPr="00895D93">
        <w:t xml:space="preserve"> agreement </w:t>
      </w:r>
      <w:r>
        <w:t xml:space="preserve">is not an </w:t>
      </w:r>
      <w:r w:rsidRPr="00895D93">
        <w:t xml:space="preserve">eligible conditional agreement </w:t>
      </w:r>
      <w:r>
        <w:t>for the purpose of this guideline if:</w:t>
      </w:r>
    </w:p>
    <w:p w:rsidR="004928DC" w:rsidRPr="00895D93" w:rsidRDefault="004928DC" w:rsidP="004928DC">
      <w:pPr>
        <w:pStyle w:val="BlockText"/>
        <w:numPr>
          <w:ilvl w:val="1"/>
          <w:numId w:val="3"/>
        </w:numPr>
      </w:pPr>
      <w:r w:rsidRPr="00895D93">
        <w:t xml:space="preserve">the agreement contains a condition that is part of an arrangement to defer the payment of duty; </w:t>
      </w:r>
    </w:p>
    <w:p w:rsidR="004928DC" w:rsidRPr="00895D93" w:rsidRDefault="004928DC" w:rsidP="004928DC">
      <w:pPr>
        <w:pStyle w:val="BlockText"/>
        <w:numPr>
          <w:ilvl w:val="1"/>
          <w:numId w:val="3"/>
        </w:numPr>
      </w:pPr>
      <w:r w:rsidRPr="00895D93">
        <w:t>the agreement is between related persons</w:t>
      </w:r>
      <w:r w:rsidR="008F3A0E">
        <w:t>,</w:t>
      </w:r>
      <w:r>
        <w:rPr>
          <w:rStyle w:val="FootnoteReference"/>
          <w:sz w:val="24"/>
          <w:szCs w:val="24"/>
        </w:rPr>
        <w:footnoteReference w:id="4"/>
      </w:r>
      <w:r w:rsidR="008F3A0E">
        <w:t xml:space="preserve"> </w:t>
      </w:r>
      <w:r w:rsidR="008F3A0E" w:rsidRPr="008F3A0E">
        <w:t xml:space="preserve">unless the agreement is either an </w:t>
      </w:r>
      <w:r w:rsidR="008F3A0E" w:rsidRPr="008F3A0E">
        <w:rPr>
          <w:b/>
        </w:rPr>
        <w:t>off-the-plan conditional agreement</w:t>
      </w:r>
      <w:r w:rsidR="008F3A0E" w:rsidRPr="008F3A0E">
        <w:t xml:space="preserve"> or a </w:t>
      </w:r>
      <w:r w:rsidR="008F3A0E" w:rsidRPr="008F3A0E">
        <w:rPr>
          <w:b/>
        </w:rPr>
        <w:t>subdivision conditional agreement</w:t>
      </w:r>
      <w:r w:rsidR="008F3A0E" w:rsidRPr="008F3A0E">
        <w:t xml:space="preserve"> ;</w:t>
      </w:r>
      <w:r w:rsidRPr="00895D93">
        <w:t xml:space="preserve">  or</w:t>
      </w:r>
    </w:p>
    <w:p w:rsidR="004928DC" w:rsidRPr="00895D93" w:rsidRDefault="004928DC" w:rsidP="004928DC">
      <w:pPr>
        <w:pStyle w:val="BlockText"/>
        <w:numPr>
          <w:ilvl w:val="1"/>
          <w:numId w:val="3"/>
        </w:numPr>
      </w:pPr>
      <w:r w:rsidRPr="00895D93">
        <w:t xml:space="preserve">completion of the agreement is only conditional on one or more of the following: </w:t>
      </w:r>
    </w:p>
    <w:p w:rsidR="004928DC" w:rsidRPr="00895D93" w:rsidRDefault="004928DC" w:rsidP="004928DC">
      <w:pPr>
        <w:pStyle w:val="BlockText"/>
        <w:numPr>
          <w:ilvl w:val="2"/>
          <w:numId w:val="3"/>
        </w:numPr>
      </w:pPr>
      <w:r w:rsidRPr="00895D93">
        <w:t>the conveyee paying the consideration;</w:t>
      </w:r>
    </w:p>
    <w:p w:rsidR="004928DC" w:rsidRPr="00895D93" w:rsidRDefault="004928DC" w:rsidP="004928DC">
      <w:pPr>
        <w:pStyle w:val="BlockText"/>
        <w:numPr>
          <w:ilvl w:val="2"/>
          <w:numId w:val="3"/>
        </w:numPr>
      </w:pPr>
      <w:r w:rsidRPr="00895D93">
        <w:t>a party to the agreement delivering information to the other party or a related party;</w:t>
      </w:r>
    </w:p>
    <w:p w:rsidR="004928DC" w:rsidRPr="00895D93" w:rsidRDefault="004928DC" w:rsidP="004928DC">
      <w:pPr>
        <w:pStyle w:val="BlockText"/>
        <w:numPr>
          <w:ilvl w:val="2"/>
          <w:numId w:val="3"/>
        </w:numPr>
      </w:pPr>
      <w:r w:rsidRPr="00895D93">
        <w:t>the property being leased back to the conveyor;</w:t>
      </w:r>
    </w:p>
    <w:p w:rsidR="004928DC" w:rsidRPr="00895D93" w:rsidRDefault="004928DC" w:rsidP="004928DC">
      <w:pPr>
        <w:pStyle w:val="BlockText"/>
        <w:numPr>
          <w:ilvl w:val="2"/>
          <w:numId w:val="3"/>
        </w:numPr>
      </w:pPr>
      <w:r w:rsidRPr="00895D93">
        <w:t>the agreement being subject to general due diligence without objective criteria being specified; or</w:t>
      </w:r>
    </w:p>
    <w:p w:rsidR="004928DC" w:rsidRDefault="004928DC" w:rsidP="004928DC">
      <w:pPr>
        <w:pStyle w:val="BlockText"/>
        <w:numPr>
          <w:ilvl w:val="2"/>
          <w:numId w:val="3"/>
        </w:numPr>
      </w:pPr>
      <w:r w:rsidRPr="00895D93">
        <w:t>the conveyor or conveyee being satisfied of a particular matter.</w:t>
      </w:r>
    </w:p>
    <w:p w:rsidR="004928DC" w:rsidRDefault="004928DC" w:rsidP="00D32CAC">
      <w:pPr>
        <w:pStyle w:val="HeadingThree"/>
      </w:pPr>
      <w:r>
        <w:t xml:space="preserve">Types of </w:t>
      </w:r>
      <w:r w:rsidR="003B05B4">
        <w:t>e</w:t>
      </w:r>
      <w:r>
        <w:t xml:space="preserve">ligible </w:t>
      </w:r>
      <w:r w:rsidR="003B05B4">
        <w:t>c</w:t>
      </w:r>
      <w:r>
        <w:t xml:space="preserve">onditional </w:t>
      </w:r>
      <w:r w:rsidR="003B05B4">
        <w:t>a</w:t>
      </w:r>
      <w:r>
        <w:t>greements</w:t>
      </w:r>
    </w:p>
    <w:p w:rsidR="004928DC" w:rsidRPr="004928DC" w:rsidRDefault="004928DC" w:rsidP="00D32CAC">
      <w:pPr>
        <w:pStyle w:val="HeadingFour"/>
        <w:spacing w:before="240"/>
      </w:pPr>
      <w:r w:rsidRPr="000E5AEF">
        <w:t>Off-the-plan conditional agreement</w:t>
      </w:r>
    </w:p>
    <w:p w:rsidR="004928DC" w:rsidRPr="004928DC" w:rsidRDefault="004928DC" w:rsidP="004928DC">
      <w:pPr>
        <w:pStyle w:val="BlockText"/>
      </w:pPr>
      <w:r w:rsidRPr="00895D93">
        <w:t xml:space="preserve">An eligible conditional agreement is an </w:t>
      </w:r>
      <w:r w:rsidRPr="008F3A0E">
        <w:rPr>
          <w:b/>
        </w:rPr>
        <w:t>off-the-plan conditional agreement</w:t>
      </w:r>
      <w:r w:rsidRPr="00895D93">
        <w:t xml:space="preserve"> where the agreement is for:</w:t>
      </w:r>
    </w:p>
    <w:p w:rsidR="004928DC" w:rsidRPr="004216E2" w:rsidRDefault="004928DC" w:rsidP="004928DC">
      <w:pPr>
        <w:pStyle w:val="BlockText"/>
        <w:numPr>
          <w:ilvl w:val="1"/>
          <w:numId w:val="3"/>
        </w:numPr>
        <w:rPr>
          <w:color w:val="000000"/>
        </w:rPr>
      </w:pPr>
      <w:r w:rsidRPr="00895D93">
        <w:t>the conveyance of a strata lot and the construction of a building on the strata lot for commercial, residential or mixed-use purposes</w:t>
      </w:r>
      <w:r>
        <w:t xml:space="preserve">, </w:t>
      </w:r>
      <w:r w:rsidRPr="004216E2">
        <w:rPr>
          <w:color w:val="000000"/>
        </w:rPr>
        <w:t>or</w:t>
      </w:r>
    </w:p>
    <w:p w:rsidR="004928DC" w:rsidRDefault="004928DC" w:rsidP="004928DC">
      <w:pPr>
        <w:pStyle w:val="BlockText"/>
        <w:numPr>
          <w:ilvl w:val="1"/>
          <w:numId w:val="3"/>
        </w:numPr>
      </w:pPr>
      <w:r w:rsidRPr="00895D93">
        <w:t>the conveyance of a vacant lot in a proposed development after the land has been subdivided at the conveyor’s cost.</w:t>
      </w:r>
      <w:r>
        <w:t xml:space="preserve"> </w:t>
      </w:r>
    </w:p>
    <w:p w:rsidR="004928DC" w:rsidRPr="004928DC" w:rsidRDefault="004928DC" w:rsidP="004928DC">
      <w:pPr>
        <w:pStyle w:val="HeadingFour"/>
      </w:pPr>
      <w:r w:rsidRPr="000E5AEF">
        <w:t>Subdivision conditional agreement</w:t>
      </w:r>
    </w:p>
    <w:p w:rsidR="004928DC" w:rsidRDefault="004928DC" w:rsidP="00C97B77">
      <w:pPr>
        <w:pStyle w:val="BlockText"/>
      </w:pPr>
      <w:r w:rsidRPr="00895D93">
        <w:t xml:space="preserve">An eligible conditional agreement is a </w:t>
      </w:r>
      <w:r w:rsidRPr="008F3A0E">
        <w:rPr>
          <w:b/>
        </w:rPr>
        <w:t>subdivision conditional agreement</w:t>
      </w:r>
      <w:r w:rsidRPr="00895D93">
        <w:t xml:space="preserve"> where the completion of the agreement is conditional on the conveyee obtaining approval from the relevant authorities to subdivide the land or part of the land.</w:t>
      </w:r>
    </w:p>
    <w:p w:rsidR="004928DC" w:rsidRPr="00C97B77" w:rsidRDefault="004928DC" w:rsidP="00D32CAC">
      <w:pPr>
        <w:pStyle w:val="HeadingThree"/>
      </w:pPr>
      <w:r w:rsidRPr="00895D93">
        <w:lastRenderedPageBreak/>
        <w:t>Extension of time for lodgement and payment</w:t>
      </w:r>
    </w:p>
    <w:p w:rsidR="004928DC" w:rsidRPr="00C97B77" w:rsidRDefault="004928DC" w:rsidP="00C97B77">
      <w:pPr>
        <w:pStyle w:val="BlockText"/>
      </w:pPr>
      <w:r>
        <w:t>A</w:t>
      </w:r>
      <w:r w:rsidRPr="00895D93">
        <w:t xml:space="preserve"> person </w:t>
      </w:r>
      <w:r>
        <w:t>l</w:t>
      </w:r>
      <w:r w:rsidRPr="00895D93">
        <w:t>iable to pay the duty on an eligible conditional agreement</w:t>
      </w:r>
      <w:r>
        <w:t xml:space="preserve"> is required </w:t>
      </w:r>
      <w:r w:rsidRPr="00895D93">
        <w:t xml:space="preserve">to lodge and pay duty on the agreement </w:t>
      </w:r>
      <w:r>
        <w:t>by</w:t>
      </w:r>
      <w:r w:rsidRPr="00895D93">
        <w:rPr>
          <w:b/>
        </w:rPr>
        <w:t xml:space="preserve"> </w:t>
      </w:r>
      <w:r w:rsidRPr="00EC1725">
        <w:t xml:space="preserve">the </w:t>
      </w:r>
      <w:r w:rsidRPr="00895D93">
        <w:rPr>
          <w:b/>
        </w:rPr>
        <w:t>earliest</w:t>
      </w:r>
      <w:r w:rsidRPr="00895D93">
        <w:t xml:space="preserve"> of the following dates:</w:t>
      </w:r>
    </w:p>
    <w:p w:rsidR="004928DC" w:rsidRPr="00895D93" w:rsidRDefault="004928DC" w:rsidP="00C97B77">
      <w:pPr>
        <w:pStyle w:val="BlockText"/>
        <w:numPr>
          <w:ilvl w:val="1"/>
          <w:numId w:val="3"/>
        </w:numPr>
      </w:pPr>
      <w:r w:rsidRPr="00895D93">
        <w:t>60 days after the date upon which all relevant conditions to the agreement are satisfied;</w:t>
      </w:r>
    </w:p>
    <w:p w:rsidR="004928DC" w:rsidRPr="00895D93" w:rsidRDefault="004928DC" w:rsidP="00C97B77">
      <w:pPr>
        <w:pStyle w:val="BlockText"/>
        <w:numPr>
          <w:ilvl w:val="1"/>
          <w:numId w:val="3"/>
        </w:numPr>
      </w:pPr>
      <w:r w:rsidRPr="00895D93">
        <w:t>60 days from the date of the conveyee having the right to possession of the property</w:t>
      </w:r>
      <w:r w:rsidR="008F3A0E">
        <w:t xml:space="preserve"> (including under a lease)</w:t>
      </w:r>
      <w:r w:rsidRPr="00895D93">
        <w:t>, disregarding any deferment of the conveyee’s right to possession due to the leasing of the property</w:t>
      </w:r>
      <w:r w:rsidR="008F3A0E">
        <w:t xml:space="preserve"> to a third party</w:t>
      </w:r>
      <w:r w:rsidRPr="00895D93">
        <w:t>;</w:t>
      </w:r>
    </w:p>
    <w:p w:rsidR="004928DC" w:rsidRDefault="004928DC" w:rsidP="00C97B77">
      <w:pPr>
        <w:pStyle w:val="BlockText"/>
        <w:numPr>
          <w:ilvl w:val="1"/>
          <w:numId w:val="3"/>
        </w:numPr>
      </w:pPr>
      <w:r w:rsidRPr="00895D93">
        <w:t xml:space="preserve">the date specified under a written notice by the Commissioner to lodge the agreement; </w:t>
      </w:r>
    </w:p>
    <w:p w:rsidR="004928DC" w:rsidRPr="00895D93" w:rsidRDefault="004928DC" w:rsidP="00C97B77">
      <w:pPr>
        <w:pStyle w:val="BlockText"/>
        <w:numPr>
          <w:ilvl w:val="1"/>
          <w:numId w:val="3"/>
        </w:numPr>
      </w:pPr>
      <w:r w:rsidRPr="00895D93">
        <w:t xml:space="preserve">where the agreement is an </w:t>
      </w:r>
      <w:r w:rsidRPr="006B4681">
        <w:rPr>
          <w:b/>
        </w:rPr>
        <w:t>off-the-plan conditional agreement</w:t>
      </w:r>
      <w:r w:rsidRPr="00895D93">
        <w:t xml:space="preserve"> or </w:t>
      </w:r>
      <w:r w:rsidRPr="006B4681">
        <w:rPr>
          <w:b/>
        </w:rPr>
        <w:t>subdivision conditional agreement</w:t>
      </w:r>
      <w:r w:rsidRPr="00895D93">
        <w:t>, 24 months after the date on which the agreement was first executed; or</w:t>
      </w:r>
    </w:p>
    <w:p w:rsidR="004928DC" w:rsidRPr="00C97B77" w:rsidRDefault="004928DC" w:rsidP="00C97B77">
      <w:pPr>
        <w:pStyle w:val="BlockText"/>
        <w:numPr>
          <w:ilvl w:val="1"/>
          <w:numId w:val="3"/>
        </w:numPr>
      </w:pPr>
      <w:r>
        <w:t>in all other cases (other than where the</w:t>
      </w:r>
      <w:r w:rsidRPr="0078551B">
        <w:t xml:space="preserve"> property is subject to a subsequent sub-sale or a conveyance by direction of the conveyee</w:t>
      </w:r>
      <w:r>
        <w:t>)</w:t>
      </w:r>
      <w:r w:rsidRPr="00895D93">
        <w:t>, 12 months after the date on which the agreement was first executed.</w:t>
      </w:r>
    </w:p>
    <w:p w:rsidR="004928DC" w:rsidRDefault="004928DC" w:rsidP="00D32CAC">
      <w:pPr>
        <w:pStyle w:val="HeadingThree"/>
      </w:pPr>
      <w:r w:rsidRPr="00D071E3">
        <w:t xml:space="preserve">Special </w:t>
      </w:r>
      <w:r>
        <w:t xml:space="preserve">lodgement </w:t>
      </w:r>
      <w:r w:rsidRPr="00D071E3">
        <w:t xml:space="preserve">arrangements involving sub-sales </w:t>
      </w:r>
      <w:r>
        <w:t xml:space="preserve">and </w:t>
      </w:r>
      <w:r w:rsidRPr="00D071E3">
        <w:t>conveyances by direction</w:t>
      </w:r>
    </w:p>
    <w:p w:rsidR="004928DC" w:rsidRDefault="004928DC" w:rsidP="00C97B77">
      <w:pPr>
        <w:pStyle w:val="BlockText"/>
      </w:pPr>
      <w:r w:rsidRPr="00EC1725">
        <w:t>Where the property</w:t>
      </w:r>
      <w:r>
        <w:t>,</w:t>
      </w:r>
      <w:r w:rsidRPr="00EC1725">
        <w:t xml:space="preserve"> subject of an eligible conditional agreement</w:t>
      </w:r>
      <w:r>
        <w:t>,</w:t>
      </w:r>
      <w:r w:rsidRPr="00EC1725">
        <w:t xml:space="preserve"> is subject to a subsequent sub-sale or conveyance by direction of the conveyee</w:t>
      </w:r>
      <w:r>
        <w:t xml:space="preserve">, </w:t>
      </w:r>
      <w:r w:rsidRPr="00EC1725">
        <w:t xml:space="preserve">the </w:t>
      </w:r>
      <w:r>
        <w:t xml:space="preserve">agreement must be </w:t>
      </w:r>
      <w:r w:rsidRPr="00EC1725">
        <w:t xml:space="preserve">lodged with TRO </w:t>
      </w:r>
      <w:r>
        <w:t xml:space="preserve">by </w:t>
      </w:r>
      <w:r w:rsidRPr="00EC1725">
        <w:t>the earliest of the dates detailed above but no later than 60 days after the sub-sale</w:t>
      </w:r>
      <w:r>
        <w:t xml:space="preserve">, </w:t>
      </w:r>
      <w:r w:rsidRPr="00EC1725">
        <w:t>agreement to</w:t>
      </w:r>
      <w:r>
        <w:t xml:space="preserve"> sub-sell</w:t>
      </w:r>
      <w:r w:rsidRPr="00EC1725">
        <w:t xml:space="preserve"> or conveyance by direction occur</w:t>
      </w:r>
      <w:r>
        <w:t>s</w:t>
      </w:r>
      <w:r w:rsidRPr="00EC1725">
        <w:t>.</w:t>
      </w:r>
      <w:r>
        <w:t xml:space="preserve"> Subject to this requirement being satisfied, payment of the duty will be extended to the earliest of the dates specified above. </w:t>
      </w:r>
    </w:p>
    <w:p w:rsidR="004928DC" w:rsidRDefault="004928DC" w:rsidP="00C97B77">
      <w:pPr>
        <w:pStyle w:val="BlockText"/>
      </w:pPr>
      <w:r>
        <w:t>The extension is subject to the agreement remaining an eligible conditional agreement as defined in this guideline.</w:t>
      </w:r>
    </w:p>
    <w:p w:rsidR="004928DC" w:rsidRPr="00C97B77" w:rsidRDefault="004928DC" w:rsidP="00C97B77">
      <w:pPr>
        <w:pStyle w:val="HeadingTwo"/>
      </w:pPr>
      <w:r w:rsidRPr="00895D93">
        <w:t>Lodgement</w:t>
      </w:r>
      <w:r>
        <w:t xml:space="preserve"> requirements</w:t>
      </w:r>
    </w:p>
    <w:p w:rsidR="004928DC" w:rsidRPr="00C97B77" w:rsidRDefault="004928DC" w:rsidP="00D32CAC">
      <w:pPr>
        <w:pStyle w:val="HeadingFour"/>
        <w:spacing w:before="240"/>
      </w:pPr>
      <w:r>
        <w:t xml:space="preserve">Lodgement form </w:t>
      </w:r>
    </w:p>
    <w:p w:rsidR="004928DC" w:rsidRPr="00C97B77" w:rsidRDefault="004928DC" w:rsidP="00C97B77">
      <w:pPr>
        <w:pStyle w:val="BlockText"/>
      </w:pPr>
      <w:r w:rsidRPr="00895D93">
        <w:t>When lodging an eligible conditional agreement, the lodging party must enter the following details on the stamp duty lodgement form (in addition to the usual information required, bearing in mind the requirement to fully and truly disclose all the facts and circumstanc</w:t>
      </w:r>
      <w:r>
        <w:t>es affecting the tax liability)</w:t>
      </w:r>
      <w:r>
        <w:rPr>
          <w:rStyle w:val="FootnoteReference"/>
          <w:sz w:val="24"/>
          <w:szCs w:val="24"/>
        </w:rPr>
        <w:footnoteReference w:id="5"/>
      </w:r>
      <w:r w:rsidRPr="00895D93">
        <w:t>:</w:t>
      </w:r>
    </w:p>
    <w:p w:rsidR="004928DC" w:rsidRPr="00895D93" w:rsidRDefault="004928DC" w:rsidP="00C97B77">
      <w:pPr>
        <w:pStyle w:val="BlockText"/>
        <w:numPr>
          <w:ilvl w:val="1"/>
          <w:numId w:val="3"/>
        </w:numPr>
      </w:pPr>
      <w:r w:rsidRPr="00895D93">
        <w:t>the date relied on for the extension of time (for example, the date that the contract became unconditional); and</w:t>
      </w:r>
    </w:p>
    <w:p w:rsidR="004928DC" w:rsidRPr="00C97B77" w:rsidRDefault="004928DC" w:rsidP="00C97B77">
      <w:pPr>
        <w:pStyle w:val="BlockText"/>
        <w:numPr>
          <w:ilvl w:val="1"/>
          <w:numId w:val="3"/>
        </w:numPr>
      </w:pPr>
      <w:r w:rsidRPr="00895D93">
        <w:t xml:space="preserve">the type of agreement (that is, a normal eligible conditional contract, an </w:t>
      </w:r>
      <w:r w:rsidRPr="008F3A0E">
        <w:rPr>
          <w:b/>
        </w:rPr>
        <w:t>off</w:t>
      </w:r>
      <w:r w:rsidR="00847C64" w:rsidRPr="008F3A0E">
        <w:rPr>
          <w:b/>
        </w:rPr>
        <w:t>-</w:t>
      </w:r>
      <w:r w:rsidRPr="008F3A0E">
        <w:rPr>
          <w:b/>
        </w:rPr>
        <w:t>the</w:t>
      </w:r>
      <w:r w:rsidR="00847C64" w:rsidRPr="008F3A0E">
        <w:rPr>
          <w:b/>
        </w:rPr>
        <w:t>-</w:t>
      </w:r>
      <w:r w:rsidRPr="008F3A0E">
        <w:rPr>
          <w:b/>
        </w:rPr>
        <w:t>plan conditional agreement</w:t>
      </w:r>
      <w:r w:rsidRPr="00895D93">
        <w:t xml:space="preserve"> or </w:t>
      </w:r>
      <w:r w:rsidRPr="008F3A0E">
        <w:rPr>
          <w:b/>
        </w:rPr>
        <w:t>subdivision conditional agreement</w:t>
      </w:r>
      <w:r w:rsidR="008F3A0E">
        <w:t>)</w:t>
      </w:r>
      <w:r w:rsidRPr="00895D93">
        <w:t>.</w:t>
      </w:r>
    </w:p>
    <w:p w:rsidR="004928DC" w:rsidRDefault="004928DC" w:rsidP="00C97B77">
      <w:pPr>
        <w:pStyle w:val="BlockText"/>
      </w:pPr>
      <w:r w:rsidRPr="00895D93">
        <w:t xml:space="preserve">If this information is not provided, the agreement will be assessed as though it is not an eligible conditional </w:t>
      </w:r>
      <w:r w:rsidR="008F3A0E">
        <w:t>agreement</w:t>
      </w:r>
      <w:r w:rsidR="008F3A0E" w:rsidRPr="00895D93">
        <w:t xml:space="preserve"> </w:t>
      </w:r>
      <w:r w:rsidRPr="00895D93">
        <w:t>and interest and penalty tax will apply because of the tax default.</w:t>
      </w:r>
      <w:r>
        <w:rPr>
          <w:rStyle w:val="FootnoteReference"/>
          <w:sz w:val="24"/>
          <w:szCs w:val="24"/>
        </w:rPr>
        <w:footnoteReference w:id="6"/>
      </w:r>
      <w:r w:rsidRPr="00895D93">
        <w:t xml:space="preserve"> </w:t>
      </w:r>
    </w:p>
    <w:p w:rsidR="00C97B77" w:rsidRDefault="004928DC" w:rsidP="00C97B77">
      <w:pPr>
        <w:pStyle w:val="BlockText"/>
      </w:pPr>
      <w:r w:rsidRPr="00895D93">
        <w:t>As noted, where an agreement contains a condition which is part of an arrangement to defer the payment of stamp duty, the Commissioner will not grant an extension of time and interest and penalty tax will be imposed where the payment of duty occurs later than 60 days after the instrument was first executed.</w:t>
      </w:r>
    </w:p>
    <w:p w:rsidR="004928DC" w:rsidRPr="00C97B77" w:rsidRDefault="004928DC" w:rsidP="00C97B77">
      <w:pPr>
        <w:pStyle w:val="HeadingFour"/>
      </w:pPr>
      <w:r w:rsidRPr="006A11CD">
        <w:t>Home owner concessions</w:t>
      </w:r>
    </w:p>
    <w:p w:rsidR="004928DC" w:rsidRPr="00C97B77" w:rsidRDefault="004928DC" w:rsidP="00CF65E8">
      <w:pPr>
        <w:pStyle w:val="BlockText"/>
      </w:pPr>
      <w:r w:rsidRPr="00895D93">
        <w:t xml:space="preserve">If the conveyee is eligible for </w:t>
      </w:r>
      <w:r w:rsidR="00B54AD1">
        <w:t xml:space="preserve">the </w:t>
      </w:r>
      <w:r w:rsidR="002034A8">
        <w:t xml:space="preserve">stamp duty </w:t>
      </w:r>
      <w:r w:rsidR="00C14CAA">
        <w:t xml:space="preserve">first home owner </w:t>
      </w:r>
      <w:r w:rsidR="002C4D00">
        <w:t>discount</w:t>
      </w:r>
      <w:r w:rsidR="00C14CAA">
        <w:t xml:space="preserve"> (F_HI_014),  </w:t>
      </w:r>
      <w:r w:rsidR="00B54AD1">
        <w:t>principal place of residence rebate (</w:t>
      </w:r>
      <w:hyperlink r:id="rId11" w:history="1">
        <w:r w:rsidR="00B54AD1" w:rsidRPr="00B54AD1">
          <w:rPr>
            <w:rStyle w:val="Hyperlink"/>
          </w:rPr>
          <w:t>F-HI-003</w:t>
        </w:r>
      </w:hyperlink>
      <w:r w:rsidR="00B54AD1">
        <w:t>) or senior, pensioner or carer concessio</w:t>
      </w:r>
      <w:r w:rsidR="00CF65E8">
        <w:t xml:space="preserve">n </w:t>
      </w:r>
      <w:r w:rsidR="00B54AD1">
        <w:t>(</w:t>
      </w:r>
      <w:hyperlink r:id="rId12" w:tooltip="Web link to F-HI-008" w:history="1">
        <w:r w:rsidR="00B54AD1" w:rsidRPr="00B54AD1">
          <w:rPr>
            <w:rStyle w:val="Hyperlink"/>
          </w:rPr>
          <w:t>F-HI-0</w:t>
        </w:r>
        <w:r w:rsidR="00CF65E8">
          <w:rPr>
            <w:rStyle w:val="Hyperlink"/>
          </w:rPr>
          <w:t>0</w:t>
        </w:r>
        <w:r w:rsidR="00B54AD1" w:rsidRPr="00B54AD1">
          <w:rPr>
            <w:rStyle w:val="Hyperlink"/>
          </w:rPr>
          <w:t>8</w:t>
        </w:r>
      </w:hyperlink>
      <w:r w:rsidR="00B54AD1">
        <w:t xml:space="preserve">), </w:t>
      </w:r>
      <w:r w:rsidRPr="00895D93">
        <w:t>the appropriate application form should be submitted at the time of lodging the agreement.</w:t>
      </w:r>
    </w:p>
    <w:p w:rsidR="004928DC" w:rsidRPr="00C97B77" w:rsidRDefault="004928DC" w:rsidP="00C97B77">
      <w:pPr>
        <w:pStyle w:val="HeadingFour"/>
      </w:pPr>
      <w:r w:rsidRPr="006A11CD">
        <w:lastRenderedPageBreak/>
        <w:t>Sub- sales and conveyances by direction</w:t>
      </w:r>
    </w:p>
    <w:p w:rsidR="004928DC" w:rsidRPr="00C97B77" w:rsidRDefault="004928DC" w:rsidP="00C97B77">
      <w:pPr>
        <w:pStyle w:val="BlockText"/>
      </w:pPr>
      <w:r>
        <w:t>If the property is subject to a sub-sale or a conveyance by direction, notification to that effect is required at the time of lodgement of the agreement together with a copy of the sub-sale agreement or the conveyance direction.</w:t>
      </w:r>
    </w:p>
    <w:p w:rsidR="004928DC" w:rsidRPr="00C97B77" w:rsidRDefault="004928DC" w:rsidP="00C97B77">
      <w:pPr>
        <w:pStyle w:val="HeadingFour"/>
      </w:pPr>
      <w:r>
        <w:t>Records</w:t>
      </w:r>
    </w:p>
    <w:p w:rsidR="004928DC" w:rsidRPr="00C97B77" w:rsidRDefault="004928DC" w:rsidP="00C97B77">
      <w:pPr>
        <w:pStyle w:val="BlockText"/>
      </w:pPr>
      <w:r w:rsidRPr="00895D93">
        <w:t xml:space="preserve">The person liable for duty on the agreement must maintain appropriate records that evidence the date the agreement became unconditional (for example, evidence of </w:t>
      </w:r>
      <w:r>
        <w:t xml:space="preserve">the </w:t>
      </w:r>
      <w:r w:rsidRPr="00895D93">
        <w:t>date that finance was obtained or correspondence between the parties to the agreement that evidence</w:t>
      </w:r>
      <w:r>
        <w:t>s</w:t>
      </w:r>
      <w:r w:rsidRPr="00895D93">
        <w:t xml:space="preserve"> that the conditions have been fulfilled) and present these records to the Territory Revenue Office (TRO) if requested.  </w:t>
      </w:r>
    </w:p>
    <w:p w:rsidR="004928DC" w:rsidRPr="00C97B77" w:rsidRDefault="004928DC" w:rsidP="00C97B77">
      <w:pPr>
        <w:pStyle w:val="HeadingFour"/>
      </w:pPr>
      <w:r w:rsidRPr="00326416">
        <w:t>Interest and penalty tax</w:t>
      </w:r>
    </w:p>
    <w:p w:rsidR="004928DC" w:rsidRPr="00C97B77" w:rsidRDefault="004928DC" w:rsidP="00C97B77">
      <w:pPr>
        <w:pStyle w:val="BlockText"/>
      </w:pPr>
      <w:r w:rsidRPr="00895D93">
        <w:t>If the agreement is not lodged and stamp duty paid within the extended timeframe interest and penalty tax will apply.</w:t>
      </w:r>
      <w:r w:rsidR="008C4290">
        <w:t xml:space="preserve">  Refer to Commissioner’s Guideline </w:t>
      </w:r>
      <w:hyperlink r:id="rId13" w:tooltip="Web link to CG-GEN-002" w:history="1">
        <w:r w:rsidR="008C4290" w:rsidRPr="005454A2">
          <w:rPr>
            <w:rStyle w:val="Hyperlink"/>
          </w:rPr>
          <w:t>CG-GEN-0</w:t>
        </w:r>
        <w:r w:rsidR="00B54AD1" w:rsidRPr="005454A2">
          <w:rPr>
            <w:rStyle w:val="Hyperlink"/>
          </w:rPr>
          <w:t>0</w:t>
        </w:r>
        <w:r w:rsidR="005454A2" w:rsidRPr="005454A2">
          <w:rPr>
            <w:rStyle w:val="Hyperlink"/>
          </w:rPr>
          <w:t>2</w:t>
        </w:r>
      </w:hyperlink>
      <w:r w:rsidR="008C4290">
        <w:t xml:space="preserve">: </w:t>
      </w:r>
      <w:r w:rsidR="008C4290" w:rsidRPr="00D32CAC">
        <w:rPr>
          <w:i/>
        </w:rPr>
        <w:t>Interest and penalty tax</w:t>
      </w:r>
      <w:r w:rsidR="008C4290">
        <w:t xml:space="preserve"> for more information.</w:t>
      </w:r>
    </w:p>
    <w:p w:rsidR="004928DC" w:rsidRDefault="004928DC" w:rsidP="00F05A3F">
      <w:pPr>
        <w:pStyle w:val="HeadingThree"/>
        <w:rPr>
          <w:szCs w:val="24"/>
        </w:rPr>
      </w:pPr>
      <w:r w:rsidRPr="00895D93">
        <w:t>Further extensions of time</w:t>
      </w:r>
    </w:p>
    <w:p w:rsidR="004928DC" w:rsidRDefault="004928DC" w:rsidP="00C97B77">
      <w:pPr>
        <w:pStyle w:val="BlockText"/>
      </w:pPr>
      <w:r w:rsidRPr="00895D93">
        <w:t xml:space="preserve">This Guideline represents the Commissioner’s general extension of time in relation to eligible conditional contracts. In appropriate circumstances, the Commissioner will consider a further extension of time (beyond the maximum 12 or 24 month period).  </w:t>
      </w:r>
    </w:p>
    <w:p w:rsidR="004928DC" w:rsidRDefault="004928DC" w:rsidP="00C97B77">
      <w:pPr>
        <w:pStyle w:val="BlockText"/>
      </w:pPr>
      <w:r w:rsidRPr="00895D93">
        <w:t>Application should be made in writing for such further extension, setting out the reasons it is required.</w:t>
      </w:r>
    </w:p>
    <w:p w:rsidR="004928DC" w:rsidRPr="00C97B77" w:rsidRDefault="004928DC" w:rsidP="00C97B77">
      <w:pPr>
        <w:pStyle w:val="BlockText"/>
      </w:pPr>
      <w:r w:rsidRPr="00895D93">
        <w:t>However, the Commissioner will only consider extending the 12 or 24 month period in situations where the contract is still subject to conditions that have not been fulfilled. Once the conditions are fulfilled or the conveyee gains a right of possession of the property, no further extension of time will be granted.</w:t>
      </w:r>
    </w:p>
    <w:p w:rsidR="004928DC" w:rsidRPr="00C97B77" w:rsidRDefault="004928DC" w:rsidP="00F05A3F">
      <w:pPr>
        <w:pStyle w:val="HeadingTwo"/>
      </w:pPr>
      <w:r w:rsidRPr="00895D93">
        <w:t xml:space="preserve">Cancellation of a </w:t>
      </w:r>
      <w:r w:rsidR="008C4290">
        <w:t>c</w:t>
      </w:r>
      <w:r w:rsidRPr="00895D93">
        <w:t xml:space="preserve">onditional </w:t>
      </w:r>
      <w:r w:rsidR="008C4290">
        <w:t>a</w:t>
      </w:r>
      <w:r w:rsidRPr="00895D93">
        <w:t>greement</w:t>
      </w:r>
    </w:p>
    <w:p w:rsidR="004928DC" w:rsidRPr="00C97B77" w:rsidRDefault="004928DC" w:rsidP="00C97B77">
      <w:pPr>
        <w:pStyle w:val="BlockText"/>
      </w:pPr>
      <w:r w:rsidRPr="00720840">
        <w:t>If the agreement does not proceed (whether rescinded by mutual agreement, cancelled because a condition was not satisfied or otherwise), the agreement is not required to be lodged with TRO unless</w:t>
      </w:r>
      <w:r>
        <w:t xml:space="preserve"> it is cancelled to give effect to a sub-sale of the property or is the result of a conveyance by direction.</w:t>
      </w:r>
      <w:r>
        <w:rPr>
          <w:rStyle w:val="FootnoteReference"/>
          <w:sz w:val="24"/>
          <w:szCs w:val="24"/>
        </w:rPr>
        <w:footnoteReference w:id="7"/>
      </w:r>
      <w:r>
        <w:t xml:space="preserve"> </w:t>
      </w:r>
    </w:p>
    <w:p w:rsidR="004928DC" w:rsidRPr="00C97B77" w:rsidRDefault="004928DC" w:rsidP="00F05A3F">
      <w:pPr>
        <w:pStyle w:val="HeadingTwo"/>
      </w:pPr>
      <w:r w:rsidRPr="00895D93">
        <w:t xml:space="preserve">Conveyances </w:t>
      </w:r>
      <w:r w:rsidR="008C4290">
        <w:t>B</w:t>
      </w:r>
      <w:r w:rsidRPr="00895D93">
        <w:t>y Return</w:t>
      </w:r>
    </w:p>
    <w:p w:rsidR="004928DC" w:rsidRDefault="004928DC" w:rsidP="00C97B77">
      <w:pPr>
        <w:pStyle w:val="BlockText"/>
      </w:pPr>
      <w:r w:rsidRPr="00895D93">
        <w:t>Eligible conditional agreements may be stamped by persons approved under the Conveyance By Return (CBR) special tax return arrangement in accordance with the extension of time provided under this Guideline</w:t>
      </w:r>
      <w:r>
        <w:t xml:space="preserve"> except for an eligible conditional contract that is subject to a subsequent sub-sale or conveyance by direction of the conveyee. These agreements must be lodged with TRO.</w:t>
      </w:r>
      <w:r w:rsidRPr="00895D93">
        <w:t xml:space="preserve">  </w:t>
      </w:r>
    </w:p>
    <w:p w:rsidR="006034B6" w:rsidRDefault="00513926" w:rsidP="006034B6">
      <w:pPr>
        <w:pStyle w:val="HeadingTwo"/>
      </w:pPr>
      <w:r>
        <w:t>Commissioner’s Guidelines</w:t>
      </w:r>
    </w:p>
    <w:p w:rsidR="00206981" w:rsidRPr="002D6D82" w:rsidRDefault="00513926" w:rsidP="00206981">
      <w:pPr>
        <w:pStyle w:val="BlockText"/>
      </w:pPr>
      <w:r w:rsidRPr="002D6D82">
        <w:t>Co</w:t>
      </w:r>
      <w:r>
        <w:t>mmissioner’s Guideline</w:t>
      </w:r>
      <w:r w:rsidR="00CF65E8">
        <w:t xml:space="preserve"> </w:t>
      </w:r>
      <w:hyperlink r:id="rId14" w:tooltip="Web link to CG-GEN-001" w:history="1">
        <w:r w:rsidR="00CF65E8" w:rsidRPr="00CF65E8">
          <w:rPr>
            <w:rStyle w:val="Hyperlink"/>
          </w:rPr>
          <w:t>CG-GEN-001</w:t>
        </w:r>
      </w:hyperlink>
      <w:r w:rsidR="00CF65E8">
        <w:t xml:space="preserve">, </w:t>
      </w:r>
      <w:r w:rsidRPr="002D6D82">
        <w:t>which sets out information on the revenue publication system, is incorporated into and is to be read as one with this Guideline.</w:t>
      </w:r>
      <w:r>
        <w:t xml:space="preserve"> </w:t>
      </w:r>
      <w:r w:rsidRPr="00987211">
        <w:t xml:space="preserve">All Circulars and Guidelines are available from </w:t>
      </w:r>
      <w:r w:rsidR="00196C1B">
        <w:t xml:space="preserve">the </w:t>
      </w:r>
      <w:r w:rsidRPr="00987211">
        <w:t>TRO website.</w:t>
      </w:r>
    </w:p>
    <w:p w:rsidR="00F65356" w:rsidRDefault="008C4290" w:rsidP="00D32CAC">
      <w:pPr>
        <w:pStyle w:val="HeadingTwo"/>
        <w:pBdr>
          <w:bottom w:val="single" w:sz="4" w:space="0" w:color="auto"/>
        </w:pBdr>
      </w:pPr>
      <w:r>
        <w:br w:type="page"/>
      </w:r>
      <w:r w:rsidR="00F65356">
        <w:lastRenderedPageBreak/>
        <w:t>Date of effect</w:t>
      </w:r>
    </w:p>
    <w:p w:rsidR="00F65356" w:rsidRDefault="00F65356" w:rsidP="008E3E52">
      <w:pPr>
        <w:pStyle w:val="BlockText"/>
        <w:tabs>
          <w:tab w:val="clear" w:pos="567"/>
        </w:tabs>
      </w:pPr>
      <w:r>
        <w:t>This version of the Gui</w:t>
      </w:r>
      <w:r w:rsidR="00F05A3F">
        <w:t>deline takes effect from</w:t>
      </w:r>
      <w:r w:rsidR="00A426C9">
        <w:t xml:space="preserve"> </w:t>
      </w:r>
      <w:r w:rsidR="00F4066F">
        <w:t>24 May 2016</w:t>
      </w:r>
      <w:r w:rsidR="0077361E">
        <w:t>.</w:t>
      </w:r>
    </w:p>
    <w:p w:rsidR="006034B6" w:rsidRDefault="006034B6" w:rsidP="006034B6"/>
    <w:p w:rsidR="008E3E52" w:rsidRDefault="00EC12BF" w:rsidP="006034B6">
      <w:r>
        <w:rPr>
          <w:noProof/>
        </w:rPr>
        <w:drawing>
          <wp:inline distT="0" distB="0" distL="0" distR="0" wp14:anchorId="25E17126" wp14:editId="54BE72BB">
            <wp:extent cx="1866900" cy="355600"/>
            <wp:effectExtent l="0" t="0" r="0" b="6350"/>
            <wp:docPr id="1" name="Picture 4" descr="Grant Parsons electronic signature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nt Parsons electronic signature4.t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6900" cy="355600"/>
                    </a:xfrm>
                    <a:prstGeom prst="rect">
                      <a:avLst/>
                    </a:prstGeom>
                    <a:noFill/>
                    <a:ln>
                      <a:noFill/>
                    </a:ln>
                  </pic:spPr>
                </pic:pic>
              </a:graphicData>
            </a:graphic>
          </wp:inline>
        </w:drawing>
      </w:r>
    </w:p>
    <w:p w:rsidR="00364D5F" w:rsidRDefault="00364D5F" w:rsidP="006034B6"/>
    <w:p w:rsidR="006034B6" w:rsidRDefault="0077361E" w:rsidP="006034B6">
      <w:r>
        <w:t>Grant Parsons</w:t>
      </w:r>
    </w:p>
    <w:p w:rsidR="006034B6" w:rsidRPr="005247E5" w:rsidRDefault="00F66542" w:rsidP="006034B6">
      <w:pPr>
        <w:rPr>
          <w:b/>
        </w:rPr>
      </w:pPr>
      <w:r>
        <w:rPr>
          <w:b/>
        </w:rPr>
        <w:t>COMMISSIONER OF TERRITORY REVENUE</w:t>
      </w:r>
    </w:p>
    <w:p w:rsidR="006034B6" w:rsidRDefault="006034B6" w:rsidP="006034B6"/>
    <w:p w:rsidR="006034B6" w:rsidRDefault="006034B6" w:rsidP="006034B6">
      <w:r>
        <w:t>Date of Issue:</w:t>
      </w:r>
      <w:r w:rsidR="00F66542">
        <w:tab/>
      </w:r>
      <w:r w:rsidR="00F66542">
        <w:tab/>
      </w:r>
      <w:r w:rsidR="00F4066F">
        <w:t>24 May 2016</w:t>
      </w:r>
    </w:p>
    <w:p w:rsidR="006034B6" w:rsidRDefault="006034B6" w:rsidP="006034B6"/>
    <w:tbl>
      <w:tblPr>
        <w:tblW w:w="0" w:type="auto"/>
        <w:tblBorders>
          <w:top w:val="single" w:sz="4" w:space="0" w:color="auto"/>
          <w:bottom w:val="single" w:sz="4" w:space="0" w:color="auto"/>
          <w:insideH w:val="single" w:sz="4" w:space="0" w:color="auto"/>
        </w:tblBorders>
        <w:tblCellMar>
          <w:top w:w="62" w:type="dxa"/>
          <w:bottom w:w="62" w:type="dxa"/>
        </w:tblCellMar>
        <w:tblLook w:val="01E0" w:firstRow="1" w:lastRow="1" w:firstColumn="1" w:lastColumn="1" w:noHBand="0" w:noVBand="0"/>
      </w:tblPr>
      <w:tblGrid>
        <w:gridCol w:w="4927"/>
        <w:gridCol w:w="4927"/>
      </w:tblGrid>
      <w:tr w:rsidR="006034B6" w:rsidRPr="00A14E8A" w:rsidTr="00A14E8A">
        <w:tc>
          <w:tcPr>
            <w:tcW w:w="9854" w:type="dxa"/>
            <w:gridSpan w:val="2"/>
            <w:shd w:val="clear" w:color="auto" w:fill="auto"/>
          </w:tcPr>
          <w:p w:rsidR="006034B6" w:rsidRPr="00A14E8A" w:rsidRDefault="006034B6" w:rsidP="006034B6">
            <w:pPr>
              <w:rPr>
                <w:sz w:val="20"/>
              </w:rPr>
            </w:pPr>
            <w:r w:rsidRPr="00A14E8A">
              <w:rPr>
                <w:sz w:val="20"/>
              </w:rPr>
              <w:t>For further information please contact the Territory Revenue Office:</w:t>
            </w:r>
          </w:p>
        </w:tc>
      </w:tr>
      <w:tr w:rsidR="006034B6" w:rsidRPr="00A14E8A" w:rsidTr="00A14E8A">
        <w:tc>
          <w:tcPr>
            <w:tcW w:w="4927" w:type="dxa"/>
            <w:shd w:val="clear" w:color="auto" w:fill="auto"/>
          </w:tcPr>
          <w:p w:rsidR="006034B6" w:rsidRPr="00A14E8A" w:rsidRDefault="006034B6" w:rsidP="006034B6">
            <w:pPr>
              <w:rPr>
                <w:sz w:val="20"/>
              </w:rPr>
            </w:pPr>
            <w:r w:rsidRPr="00A14E8A">
              <w:rPr>
                <w:sz w:val="20"/>
              </w:rPr>
              <w:t>GPO Box</w:t>
            </w:r>
            <w:r w:rsidR="00156C75">
              <w:rPr>
                <w:sz w:val="20"/>
              </w:rPr>
              <w:t xml:space="preserve"> 197</w:t>
            </w:r>
            <w:bookmarkStart w:id="0" w:name="_GoBack"/>
            <w:bookmarkEnd w:id="0"/>
            <w:r w:rsidRPr="00A14E8A">
              <w:rPr>
                <w:sz w:val="20"/>
              </w:rPr>
              <w:t>4</w:t>
            </w:r>
          </w:p>
          <w:p w:rsidR="006034B6" w:rsidRPr="00A14E8A" w:rsidRDefault="006034B6" w:rsidP="006034B6">
            <w:pPr>
              <w:rPr>
                <w:sz w:val="20"/>
              </w:rPr>
            </w:pPr>
            <w:smartTag w:uri="urn:schemas-microsoft-com:office:smarttags" w:element="place">
              <w:smartTag w:uri="urn:schemas-microsoft-com:office:smarttags" w:element="City">
                <w:r w:rsidRPr="00A14E8A">
                  <w:rPr>
                    <w:sz w:val="20"/>
                  </w:rPr>
                  <w:t>Darwin</w:t>
                </w:r>
              </w:smartTag>
              <w:r w:rsidRPr="00A14E8A">
                <w:rPr>
                  <w:sz w:val="20"/>
                </w:rPr>
                <w:t xml:space="preserve">  </w:t>
              </w:r>
              <w:smartTag w:uri="urn:schemas-microsoft-com:office:smarttags" w:element="State">
                <w:r w:rsidRPr="00A14E8A">
                  <w:rPr>
                    <w:sz w:val="20"/>
                  </w:rPr>
                  <w:t>NT</w:t>
                </w:r>
              </w:smartTag>
            </w:smartTag>
            <w:r w:rsidRPr="00A14E8A">
              <w:rPr>
                <w:sz w:val="20"/>
              </w:rPr>
              <w:t xml:space="preserve">  0801</w:t>
            </w:r>
          </w:p>
          <w:p w:rsidR="006034B6" w:rsidRPr="00A14E8A" w:rsidRDefault="006034B6" w:rsidP="00A14E8A">
            <w:pPr>
              <w:pStyle w:val="BlockText"/>
              <w:numPr>
                <w:ilvl w:val="0"/>
                <w:numId w:val="0"/>
              </w:numPr>
              <w:rPr>
                <w:sz w:val="20"/>
              </w:rPr>
            </w:pPr>
            <w:r w:rsidRPr="00A14E8A">
              <w:rPr>
                <w:sz w:val="20"/>
              </w:rPr>
              <w:t xml:space="preserve">Email: </w:t>
            </w:r>
            <w:hyperlink r:id="rId16" w:history="1">
              <w:r w:rsidR="00407800" w:rsidRPr="00580E9D">
                <w:rPr>
                  <w:rStyle w:val="Hyperlink"/>
                  <w:sz w:val="20"/>
                </w:rPr>
                <w:t>ntrevenue@nt.gov.au</w:t>
              </w:r>
            </w:hyperlink>
          </w:p>
        </w:tc>
        <w:tc>
          <w:tcPr>
            <w:tcW w:w="4927" w:type="dxa"/>
            <w:shd w:val="clear" w:color="auto" w:fill="auto"/>
          </w:tcPr>
          <w:p w:rsidR="006034B6" w:rsidRPr="00A14E8A" w:rsidRDefault="006034B6" w:rsidP="006034B6">
            <w:pPr>
              <w:rPr>
                <w:sz w:val="20"/>
              </w:rPr>
            </w:pPr>
            <w:r w:rsidRPr="00A14E8A">
              <w:rPr>
                <w:sz w:val="20"/>
              </w:rPr>
              <w:t>Phone: 1300 305 353</w:t>
            </w:r>
          </w:p>
          <w:p w:rsidR="006034B6" w:rsidRPr="00A14E8A" w:rsidRDefault="006034B6" w:rsidP="006034B6">
            <w:pPr>
              <w:rPr>
                <w:sz w:val="20"/>
              </w:rPr>
            </w:pPr>
            <w:r w:rsidRPr="00A14E8A">
              <w:rPr>
                <w:sz w:val="20"/>
              </w:rPr>
              <w:t xml:space="preserve">Website: </w:t>
            </w:r>
            <w:hyperlink r:id="rId17" w:tooltip="Link to TRO website" w:history="1">
              <w:r w:rsidRPr="00A14E8A">
                <w:rPr>
                  <w:rStyle w:val="Hyperlink"/>
                  <w:sz w:val="20"/>
                </w:rPr>
                <w:t>www.revenue.nt.gov.au</w:t>
              </w:r>
            </w:hyperlink>
          </w:p>
        </w:tc>
      </w:tr>
    </w:tbl>
    <w:p w:rsidR="006034B6" w:rsidRPr="00364D5F" w:rsidRDefault="006034B6" w:rsidP="00364D5F">
      <w:pPr>
        <w:tabs>
          <w:tab w:val="left" w:pos="3090"/>
        </w:tabs>
      </w:pPr>
    </w:p>
    <w:sectPr w:rsidR="006034B6" w:rsidRPr="00364D5F" w:rsidSect="00F65356">
      <w:headerReference w:type="even" r:id="rId18"/>
      <w:headerReference w:type="default" r:id="rId19"/>
      <w:footerReference w:type="default" r:id="rId20"/>
      <w:headerReference w:type="first" r:id="rId21"/>
      <w:footerReference w:type="first" r:id="rId22"/>
      <w:pgSz w:w="11906" w:h="16838" w:code="9"/>
      <w:pgMar w:top="567"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CB0" w:rsidRDefault="00E74CB0">
      <w:r>
        <w:separator/>
      </w:r>
    </w:p>
  </w:endnote>
  <w:endnote w:type="continuationSeparator" w:id="0">
    <w:p w:rsidR="00E74CB0" w:rsidRDefault="00E74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Default="00945A49" w:rsidP="00364D5F">
    <w:pPr>
      <w:pStyle w:val="Footer"/>
      <w:tabs>
        <w:tab w:val="clear" w:pos="4153"/>
        <w:tab w:val="clear" w:pos="8306"/>
        <w:tab w:val="right" w:pos="9720"/>
      </w:tabs>
      <w:rPr>
        <w:sz w:val="16"/>
        <w:szCs w:val="16"/>
      </w:rPr>
    </w:pPr>
  </w:p>
  <w:p w:rsidR="00945A49" w:rsidRPr="00364D5F" w:rsidRDefault="00945A49"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156C75">
      <w:rPr>
        <w:noProof/>
        <w:sz w:val="16"/>
        <w:szCs w:val="16"/>
      </w:rPr>
      <w:t>5</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156C75">
      <w:rPr>
        <w:noProof/>
        <w:sz w:val="16"/>
        <w:szCs w:val="16"/>
      </w:rPr>
      <w:t>5</w:t>
    </w:r>
    <w:r w:rsidRPr="006034B6">
      <w:rPr>
        <w:sz w:val="16"/>
        <w:szCs w:val="16"/>
      </w:rPr>
      <w:fldChar w:fldCharType="end"/>
    </w:r>
    <w:r>
      <w:rPr>
        <w:sz w:val="16"/>
        <w:szCs w:val="16"/>
      </w:rPr>
      <w:tab/>
      <w:t>CG-</w:t>
    </w:r>
    <w:r w:rsidR="00C97B77">
      <w:rPr>
        <w:sz w:val="16"/>
        <w:szCs w:val="16"/>
      </w:rPr>
      <w:t>SD-002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Default="00945A49" w:rsidP="00364D5F">
    <w:pPr>
      <w:pStyle w:val="Footer"/>
      <w:tabs>
        <w:tab w:val="clear" w:pos="4153"/>
        <w:tab w:val="clear" w:pos="8306"/>
        <w:tab w:val="right" w:pos="9720"/>
      </w:tabs>
      <w:rPr>
        <w:sz w:val="16"/>
        <w:szCs w:val="16"/>
      </w:rPr>
    </w:pPr>
  </w:p>
  <w:p w:rsidR="00945A49" w:rsidRPr="006034B6" w:rsidRDefault="00945A49"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156C75">
      <w:rPr>
        <w:noProof/>
        <w:sz w:val="16"/>
        <w:szCs w:val="16"/>
      </w:rPr>
      <w:t>1</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156C75">
      <w:rPr>
        <w:noProof/>
        <w:sz w:val="16"/>
        <w:szCs w:val="16"/>
      </w:rPr>
      <w:t>5</w:t>
    </w:r>
    <w:r w:rsidRPr="006034B6">
      <w:rPr>
        <w:sz w:val="16"/>
        <w:szCs w:val="16"/>
      </w:rPr>
      <w:fldChar w:fldCharType="end"/>
    </w:r>
    <w:r w:rsidR="00C97B77">
      <w:rPr>
        <w:sz w:val="16"/>
        <w:szCs w:val="16"/>
      </w:rPr>
      <w:tab/>
      <w:t>CG-SD-002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CB0" w:rsidRDefault="00E74CB0">
      <w:r>
        <w:separator/>
      </w:r>
    </w:p>
  </w:footnote>
  <w:footnote w:type="continuationSeparator" w:id="0">
    <w:p w:rsidR="00E74CB0" w:rsidRDefault="00E74CB0">
      <w:r>
        <w:continuationSeparator/>
      </w:r>
    </w:p>
  </w:footnote>
  <w:footnote w:id="1">
    <w:p w:rsidR="004928DC" w:rsidRPr="006B4681" w:rsidRDefault="004928DC" w:rsidP="004928DC">
      <w:pPr>
        <w:pStyle w:val="FootnoteText"/>
        <w:rPr>
          <w:rFonts w:ascii="Arial" w:hAnsi="Arial" w:cs="Arial"/>
          <w:sz w:val="18"/>
          <w:szCs w:val="18"/>
        </w:rPr>
      </w:pPr>
      <w:r w:rsidRPr="006B4681">
        <w:rPr>
          <w:rStyle w:val="FootnoteReference"/>
          <w:rFonts w:ascii="Arial" w:hAnsi="Arial" w:cs="Arial"/>
          <w:sz w:val="18"/>
          <w:szCs w:val="18"/>
        </w:rPr>
        <w:footnoteRef/>
      </w:r>
      <w:r w:rsidRPr="006B4681">
        <w:rPr>
          <w:rFonts w:ascii="Arial" w:hAnsi="Arial" w:cs="Arial"/>
          <w:sz w:val="18"/>
          <w:szCs w:val="18"/>
        </w:rPr>
        <w:t xml:space="preserve"> Section 4(1) (‘execute’) and section 9 of the </w:t>
      </w:r>
      <w:r w:rsidRPr="006B4681">
        <w:rPr>
          <w:rFonts w:ascii="Arial" w:hAnsi="Arial" w:cs="Arial"/>
          <w:i/>
          <w:sz w:val="18"/>
          <w:szCs w:val="18"/>
        </w:rPr>
        <w:t>Stamp Duty Act</w:t>
      </w:r>
      <w:r w:rsidRPr="006B4681">
        <w:rPr>
          <w:rFonts w:ascii="Arial" w:hAnsi="Arial" w:cs="Arial"/>
          <w:sz w:val="18"/>
          <w:szCs w:val="18"/>
        </w:rPr>
        <w:t xml:space="preserve">.  </w:t>
      </w:r>
    </w:p>
  </w:footnote>
  <w:footnote w:id="2">
    <w:p w:rsidR="004928DC" w:rsidRPr="006B4681" w:rsidRDefault="004928DC" w:rsidP="004928DC">
      <w:pPr>
        <w:pStyle w:val="FootnoteText"/>
        <w:rPr>
          <w:rFonts w:ascii="Arial" w:hAnsi="Arial" w:cs="Arial"/>
          <w:sz w:val="18"/>
          <w:szCs w:val="18"/>
        </w:rPr>
      </w:pPr>
      <w:r w:rsidRPr="006B4681">
        <w:rPr>
          <w:rStyle w:val="FootnoteReference"/>
          <w:rFonts w:ascii="Arial" w:hAnsi="Arial" w:cs="Arial"/>
          <w:sz w:val="18"/>
          <w:szCs w:val="18"/>
        </w:rPr>
        <w:footnoteRef/>
      </w:r>
      <w:r w:rsidRPr="006B4681">
        <w:rPr>
          <w:rFonts w:ascii="Arial" w:hAnsi="Arial" w:cs="Arial"/>
          <w:sz w:val="18"/>
          <w:szCs w:val="18"/>
        </w:rPr>
        <w:t xml:space="preserve"> Part 5 of the </w:t>
      </w:r>
      <w:r w:rsidRPr="006B4681">
        <w:rPr>
          <w:rFonts w:ascii="Arial" w:hAnsi="Arial" w:cs="Arial"/>
          <w:i/>
          <w:sz w:val="18"/>
          <w:szCs w:val="18"/>
        </w:rPr>
        <w:t>Taxation Administration Act</w:t>
      </w:r>
      <w:r w:rsidR="00E228D6">
        <w:rPr>
          <w:rFonts w:ascii="Arial" w:hAnsi="Arial" w:cs="Arial"/>
          <w:sz w:val="18"/>
          <w:szCs w:val="18"/>
        </w:rPr>
        <w:t>, refer to</w:t>
      </w:r>
      <w:r w:rsidRPr="006B4681">
        <w:rPr>
          <w:rFonts w:ascii="Arial" w:hAnsi="Arial" w:cs="Arial"/>
          <w:sz w:val="18"/>
          <w:szCs w:val="18"/>
        </w:rPr>
        <w:t xml:space="preserve"> Commissioner’s Guideline </w:t>
      </w:r>
      <w:hyperlink r:id="rId1" w:tooltip="web link to CG-GEN-002" w:history="1">
        <w:r w:rsidRPr="005454A2">
          <w:rPr>
            <w:rStyle w:val="Hyperlink"/>
            <w:rFonts w:ascii="Arial" w:hAnsi="Arial" w:cs="Arial"/>
            <w:sz w:val="18"/>
            <w:szCs w:val="18"/>
          </w:rPr>
          <w:t>CG-GEN-</w:t>
        </w:r>
        <w:r w:rsidR="00EC5B86" w:rsidRPr="005454A2">
          <w:rPr>
            <w:rStyle w:val="Hyperlink"/>
            <w:rFonts w:ascii="Arial" w:hAnsi="Arial" w:cs="Arial"/>
            <w:sz w:val="18"/>
            <w:szCs w:val="18"/>
          </w:rPr>
          <w:t>0</w:t>
        </w:r>
        <w:r w:rsidR="00B54AD1" w:rsidRPr="005454A2">
          <w:rPr>
            <w:rStyle w:val="Hyperlink"/>
            <w:rFonts w:ascii="Arial" w:hAnsi="Arial" w:cs="Arial"/>
            <w:sz w:val="18"/>
            <w:szCs w:val="18"/>
          </w:rPr>
          <w:t>0</w:t>
        </w:r>
        <w:r w:rsidR="005454A2" w:rsidRPr="005454A2">
          <w:rPr>
            <w:rStyle w:val="Hyperlink"/>
            <w:rFonts w:ascii="Arial" w:hAnsi="Arial" w:cs="Arial"/>
            <w:sz w:val="18"/>
            <w:szCs w:val="18"/>
          </w:rPr>
          <w:t>2</w:t>
        </w:r>
      </w:hyperlink>
      <w:r w:rsidRPr="006B4681">
        <w:rPr>
          <w:rFonts w:ascii="Arial" w:hAnsi="Arial" w:cs="Arial"/>
          <w:sz w:val="18"/>
          <w:szCs w:val="18"/>
        </w:rPr>
        <w:t>:</w:t>
      </w:r>
      <w:r w:rsidRPr="006B4681">
        <w:rPr>
          <w:rFonts w:ascii="Arial" w:hAnsi="Arial" w:cs="Arial"/>
          <w:i/>
          <w:sz w:val="18"/>
          <w:szCs w:val="18"/>
        </w:rPr>
        <w:t xml:space="preserve"> Interest and penalty tax.</w:t>
      </w:r>
    </w:p>
  </w:footnote>
  <w:footnote w:id="3">
    <w:p w:rsidR="004928DC" w:rsidRDefault="004928DC" w:rsidP="004928DC">
      <w:pPr>
        <w:pStyle w:val="FootnoteText"/>
      </w:pPr>
      <w:r w:rsidRPr="006B4681">
        <w:rPr>
          <w:rStyle w:val="FootnoteReference"/>
          <w:rFonts w:ascii="Arial" w:hAnsi="Arial" w:cs="Arial"/>
          <w:sz w:val="18"/>
          <w:szCs w:val="18"/>
        </w:rPr>
        <w:footnoteRef/>
      </w:r>
      <w:r w:rsidRPr="006B4681">
        <w:rPr>
          <w:rFonts w:ascii="Arial" w:hAnsi="Arial" w:cs="Arial"/>
          <w:sz w:val="18"/>
          <w:szCs w:val="18"/>
        </w:rPr>
        <w:t xml:space="preserve"> </w:t>
      </w:r>
      <w:r w:rsidRPr="006B4681">
        <w:rPr>
          <w:rFonts w:ascii="Arial" w:hAnsi="Arial" w:cs="Arial"/>
          <w:snapToGrid w:val="0"/>
          <w:color w:val="000000"/>
          <w:sz w:val="18"/>
          <w:szCs w:val="18"/>
          <w:lang w:eastAsia="en-US"/>
        </w:rPr>
        <w:t xml:space="preserve">Sections 48(1) and 54 of the </w:t>
      </w:r>
      <w:r w:rsidRPr="006B4681">
        <w:rPr>
          <w:rFonts w:ascii="Arial" w:hAnsi="Arial" w:cs="Arial"/>
          <w:i/>
          <w:snapToGrid w:val="0"/>
          <w:color w:val="000000"/>
          <w:sz w:val="18"/>
          <w:szCs w:val="18"/>
          <w:lang w:eastAsia="en-US"/>
        </w:rPr>
        <w:t>Taxation Administration Act</w:t>
      </w:r>
      <w:r w:rsidRPr="006B4681">
        <w:rPr>
          <w:rFonts w:ascii="Arial" w:hAnsi="Arial" w:cs="Arial"/>
          <w:snapToGrid w:val="0"/>
          <w:color w:val="000000"/>
          <w:sz w:val="18"/>
          <w:szCs w:val="18"/>
          <w:lang w:eastAsia="en-US"/>
        </w:rPr>
        <w:t>.</w:t>
      </w:r>
    </w:p>
  </w:footnote>
  <w:footnote w:id="4">
    <w:p w:rsidR="004928DC" w:rsidRPr="006B4681" w:rsidRDefault="004928DC" w:rsidP="004928DC">
      <w:pPr>
        <w:pStyle w:val="FootnoteText"/>
        <w:rPr>
          <w:rFonts w:ascii="Arial" w:hAnsi="Arial" w:cs="Arial"/>
          <w:sz w:val="18"/>
          <w:szCs w:val="18"/>
        </w:rPr>
      </w:pPr>
      <w:r w:rsidRPr="006B4681">
        <w:rPr>
          <w:rStyle w:val="FootnoteReference"/>
          <w:rFonts w:ascii="Arial" w:hAnsi="Arial" w:cs="Arial"/>
          <w:sz w:val="18"/>
          <w:szCs w:val="18"/>
        </w:rPr>
        <w:footnoteRef/>
      </w:r>
      <w:r w:rsidRPr="006B4681">
        <w:rPr>
          <w:rFonts w:ascii="Arial" w:hAnsi="Arial" w:cs="Arial"/>
          <w:sz w:val="18"/>
          <w:szCs w:val="18"/>
        </w:rPr>
        <w:t xml:space="preserve"> Relat</w:t>
      </w:r>
      <w:r>
        <w:rPr>
          <w:rFonts w:ascii="Arial" w:hAnsi="Arial" w:cs="Arial"/>
          <w:sz w:val="18"/>
          <w:szCs w:val="18"/>
        </w:rPr>
        <w:t>ed persons includes ‘associates’</w:t>
      </w:r>
      <w:r w:rsidRPr="006B4681">
        <w:rPr>
          <w:rFonts w:ascii="Arial" w:hAnsi="Arial" w:cs="Arial"/>
          <w:sz w:val="18"/>
          <w:szCs w:val="18"/>
        </w:rPr>
        <w:t xml:space="preserve"> as defined in section 4(2) of the </w:t>
      </w:r>
      <w:r w:rsidRPr="006B4681">
        <w:rPr>
          <w:rFonts w:ascii="Arial" w:hAnsi="Arial" w:cs="Arial"/>
          <w:i/>
          <w:sz w:val="18"/>
          <w:szCs w:val="18"/>
        </w:rPr>
        <w:t xml:space="preserve">Stamp Duty Act </w:t>
      </w:r>
      <w:r w:rsidRPr="006B4681">
        <w:rPr>
          <w:rFonts w:ascii="Arial" w:hAnsi="Arial" w:cs="Arial"/>
          <w:sz w:val="18"/>
          <w:szCs w:val="18"/>
        </w:rPr>
        <w:t>as well as such persons as partners in a partnership or members of a joint venture.</w:t>
      </w:r>
    </w:p>
  </w:footnote>
  <w:footnote w:id="5">
    <w:p w:rsidR="004928DC" w:rsidRPr="003B05B4" w:rsidRDefault="004928DC" w:rsidP="004928DC">
      <w:pPr>
        <w:pStyle w:val="FootnoteText"/>
      </w:pPr>
      <w:r w:rsidRPr="006B4681">
        <w:rPr>
          <w:rStyle w:val="FootnoteReference"/>
          <w:rFonts w:ascii="Arial" w:hAnsi="Arial" w:cs="Arial"/>
          <w:sz w:val="18"/>
          <w:szCs w:val="18"/>
        </w:rPr>
        <w:footnoteRef/>
      </w:r>
      <w:r w:rsidRPr="006B4681">
        <w:rPr>
          <w:rFonts w:ascii="Arial" w:hAnsi="Arial" w:cs="Arial"/>
          <w:sz w:val="18"/>
          <w:szCs w:val="18"/>
        </w:rPr>
        <w:t xml:space="preserve"> Section 24 of the </w:t>
      </w:r>
      <w:r w:rsidRPr="006B4681">
        <w:rPr>
          <w:rFonts w:ascii="Arial" w:hAnsi="Arial" w:cs="Arial"/>
          <w:i/>
          <w:sz w:val="18"/>
          <w:szCs w:val="18"/>
        </w:rPr>
        <w:t>Taxation Administration Act</w:t>
      </w:r>
      <w:r w:rsidR="00F378C9">
        <w:rPr>
          <w:rFonts w:ascii="Arial" w:hAnsi="Arial" w:cs="Arial"/>
          <w:i/>
          <w:sz w:val="18"/>
          <w:szCs w:val="18"/>
        </w:rPr>
        <w:t xml:space="preserve">, </w:t>
      </w:r>
      <w:r w:rsidR="003B05B4">
        <w:rPr>
          <w:rFonts w:ascii="Arial" w:hAnsi="Arial" w:cs="Arial"/>
          <w:sz w:val="18"/>
          <w:szCs w:val="18"/>
        </w:rPr>
        <w:t xml:space="preserve">Commissioner’s Guideline: </w:t>
      </w:r>
      <w:hyperlink r:id="rId2" w:tooltip="Web link to CG-GEN-005" w:history="1">
        <w:r w:rsidR="003B05B4" w:rsidRPr="00F378C9">
          <w:rPr>
            <w:rStyle w:val="Hyperlink"/>
            <w:rFonts w:ascii="Arial" w:hAnsi="Arial" w:cs="Arial"/>
            <w:sz w:val="18"/>
            <w:szCs w:val="18"/>
          </w:rPr>
          <w:t>CG-GEN-005</w:t>
        </w:r>
      </w:hyperlink>
      <w:r w:rsidR="003B05B4">
        <w:rPr>
          <w:rFonts w:ascii="Arial" w:hAnsi="Arial" w:cs="Arial"/>
          <w:sz w:val="18"/>
          <w:szCs w:val="18"/>
        </w:rPr>
        <w:t xml:space="preserve">: </w:t>
      </w:r>
      <w:r w:rsidR="00847C64">
        <w:rPr>
          <w:rFonts w:ascii="Arial" w:hAnsi="Arial" w:cs="Arial"/>
          <w:i/>
          <w:sz w:val="18"/>
          <w:szCs w:val="18"/>
        </w:rPr>
        <w:t>F</w:t>
      </w:r>
      <w:r w:rsidR="00847C64" w:rsidRPr="00D32CAC">
        <w:rPr>
          <w:rFonts w:ascii="Arial" w:hAnsi="Arial" w:cs="Arial"/>
          <w:i/>
          <w:sz w:val="18"/>
          <w:szCs w:val="18"/>
        </w:rPr>
        <w:t>ull and true disclosure.</w:t>
      </w:r>
    </w:p>
  </w:footnote>
  <w:footnote w:id="6">
    <w:p w:rsidR="004928DC" w:rsidRPr="006B4681" w:rsidRDefault="004928DC" w:rsidP="004928DC">
      <w:pPr>
        <w:pStyle w:val="FootnoteText"/>
        <w:rPr>
          <w:rFonts w:ascii="Arial" w:hAnsi="Arial" w:cs="Arial"/>
          <w:sz w:val="18"/>
          <w:szCs w:val="18"/>
        </w:rPr>
      </w:pPr>
      <w:r w:rsidRPr="006B4681">
        <w:rPr>
          <w:rStyle w:val="FootnoteReference"/>
          <w:rFonts w:ascii="Arial" w:hAnsi="Arial" w:cs="Arial"/>
          <w:sz w:val="18"/>
          <w:szCs w:val="18"/>
        </w:rPr>
        <w:footnoteRef/>
      </w:r>
      <w:r w:rsidRPr="006B4681">
        <w:rPr>
          <w:rFonts w:ascii="Arial" w:hAnsi="Arial" w:cs="Arial"/>
          <w:sz w:val="18"/>
          <w:szCs w:val="18"/>
        </w:rPr>
        <w:t xml:space="preserve"> As to interest and penalty tax, see Commissioner’s Guideline</w:t>
      </w:r>
      <w:hyperlink r:id="rId3" w:tooltip="Web link to CG-GEN-002" w:history="1">
        <w:r w:rsidRPr="005454A2">
          <w:rPr>
            <w:rStyle w:val="Hyperlink"/>
            <w:rFonts w:ascii="Arial" w:hAnsi="Arial" w:cs="Arial"/>
            <w:sz w:val="18"/>
            <w:szCs w:val="18"/>
          </w:rPr>
          <w:t xml:space="preserve"> CG-GEN-00</w:t>
        </w:r>
        <w:r w:rsidR="005454A2" w:rsidRPr="005454A2">
          <w:rPr>
            <w:rStyle w:val="Hyperlink"/>
            <w:rFonts w:ascii="Arial" w:hAnsi="Arial" w:cs="Arial"/>
            <w:sz w:val="18"/>
            <w:szCs w:val="18"/>
          </w:rPr>
          <w:t>2</w:t>
        </w:r>
      </w:hyperlink>
      <w:r w:rsidRPr="006B4681">
        <w:rPr>
          <w:rFonts w:ascii="Arial" w:hAnsi="Arial" w:cs="Arial"/>
          <w:sz w:val="18"/>
          <w:szCs w:val="18"/>
        </w:rPr>
        <w:t>:</w:t>
      </w:r>
      <w:r w:rsidRPr="006B4681">
        <w:rPr>
          <w:rFonts w:ascii="Arial" w:hAnsi="Arial" w:cs="Arial"/>
          <w:i/>
          <w:sz w:val="18"/>
          <w:szCs w:val="18"/>
        </w:rPr>
        <w:t xml:space="preserve"> Interest and penalty tax</w:t>
      </w:r>
      <w:r w:rsidRPr="006B4681">
        <w:rPr>
          <w:rFonts w:ascii="Arial" w:hAnsi="Arial" w:cs="Arial"/>
          <w:sz w:val="18"/>
          <w:szCs w:val="18"/>
        </w:rPr>
        <w:t>.</w:t>
      </w:r>
    </w:p>
  </w:footnote>
  <w:footnote w:id="7">
    <w:p w:rsidR="004928DC" w:rsidRPr="00820FC0" w:rsidRDefault="004928DC" w:rsidP="004928DC">
      <w:pPr>
        <w:pStyle w:val="FootnoteText"/>
        <w:rPr>
          <w:rFonts w:ascii="Arial" w:hAnsi="Arial" w:cs="Arial"/>
          <w:i/>
          <w:sz w:val="18"/>
          <w:szCs w:val="18"/>
        </w:rPr>
      </w:pPr>
      <w:r w:rsidRPr="00820FC0">
        <w:rPr>
          <w:rStyle w:val="FootnoteReference"/>
          <w:rFonts w:ascii="Arial" w:hAnsi="Arial" w:cs="Arial"/>
          <w:sz w:val="18"/>
          <w:szCs w:val="18"/>
        </w:rPr>
        <w:footnoteRef/>
      </w:r>
      <w:r w:rsidRPr="00820FC0">
        <w:rPr>
          <w:rFonts w:ascii="Arial" w:hAnsi="Arial" w:cs="Arial"/>
          <w:sz w:val="18"/>
          <w:szCs w:val="18"/>
        </w:rPr>
        <w:t xml:space="preserve"> Section 9(3A) of the </w:t>
      </w:r>
      <w:r w:rsidRPr="00820FC0">
        <w:rPr>
          <w:rFonts w:ascii="Arial" w:hAnsi="Arial" w:cs="Arial"/>
          <w:i/>
          <w:sz w:val="18"/>
          <w:szCs w:val="18"/>
        </w:rPr>
        <w:t>Stamp Duty 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Default="00945A49" w:rsidP="00763A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5A49" w:rsidRDefault="00945A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Pr="003765CD" w:rsidRDefault="00945A49" w:rsidP="0019571B">
    <w:pPr>
      <w:pStyle w:val="NTTBodyText"/>
      <w:jc w:val="center"/>
      <w:rPr>
        <w:rStyle w:val="Heading2Cha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5E8" w:rsidRDefault="00EC12BF">
    <w:pPr>
      <w:pStyle w:val="Header"/>
    </w:pPr>
    <w:r>
      <w:rPr>
        <w:noProof/>
      </w:rPr>
      <w:drawing>
        <wp:anchor distT="0" distB="0" distL="114300" distR="114300" simplePos="0" relativeHeight="251657728" behindDoc="1" locked="0" layoutInCell="0" allowOverlap="1">
          <wp:simplePos x="0" y="0"/>
          <wp:positionH relativeFrom="page">
            <wp:posOffset>180340</wp:posOffset>
          </wp:positionH>
          <wp:positionV relativeFrom="page">
            <wp:posOffset>180340</wp:posOffset>
          </wp:positionV>
          <wp:extent cx="7188200" cy="895350"/>
          <wp:effectExtent l="0" t="0" r="0" b="0"/>
          <wp:wrapNone/>
          <wp:docPr id="5" name="Picture 5" descr="NTG logo and department nam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TG logo and department nam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8200" cy="895350"/>
                  </a:xfrm>
                  <a:prstGeom prst="rect">
                    <a:avLst/>
                  </a:prstGeom>
                  <a:noFill/>
                </pic:spPr>
              </pic:pic>
            </a:graphicData>
          </a:graphic>
          <wp14:sizeRelH relativeFrom="page">
            <wp14:pctWidth>0</wp14:pctWidth>
          </wp14:sizeRelH>
          <wp14:sizeRelV relativeFrom="page">
            <wp14:pctHeight>0</wp14:pctHeight>
          </wp14:sizeRelV>
        </wp:anchor>
      </w:drawing>
    </w:r>
  </w:p>
  <w:p w:rsidR="00F65356" w:rsidRDefault="00F653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74482B0"/>
    <w:lvl w:ilvl="0">
      <w:start w:val="1"/>
      <w:numFmt w:val="decimal"/>
      <w:pStyle w:val="ListNumber"/>
      <w:lvlText w:val="%1."/>
      <w:lvlJc w:val="left"/>
      <w:pPr>
        <w:tabs>
          <w:tab w:val="num" w:pos="360"/>
        </w:tabs>
        <w:ind w:left="360" w:hanging="360"/>
      </w:pPr>
    </w:lvl>
  </w:abstractNum>
  <w:abstractNum w:abstractNumId="1" w15:restartNumberingAfterBreak="0">
    <w:nsid w:val="02D310B8"/>
    <w:multiLevelType w:val="multilevel"/>
    <w:tmpl w:val="6DA248D0"/>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D593059"/>
    <w:multiLevelType w:val="multilevel"/>
    <w:tmpl w:val="88F6EEB2"/>
    <w:numStyleLink w:val="Text"/>
  </w:abstractNum>
  <w:abstractNum w:abstractNumId="3" w15:restartNumberingAfterBreak="0">
    <w:nsid w:val="0FC94AA2"/>
    <w:multiLevelType w:val="singleLevel"/>
    <w:tmpl w:val="25184BCA"/>
    <w:lvl w:ilvl="0">
      <w:start w:val="1"/>
      <w:numFmt w:val="decimal"/>
      <w:lvlText w:val="(%1)"/>
      <w:lvlJc w:val="left"/>
      <w:pPr>
        <w:tabs>
          <w:tab w:val="num" w:pos="375"/>
        </w:tabs>
        <w:ind w:left="375" w:hanging="375"/>
      </w:pPr>
      <w:rPr>
        <w:rFonts w:hint="default"/>
      </w:rPr>
    </w:lvl>
  </w:abstractNum>
  <w:abstractNum w:abstractNumId="4" w15:restartNumberingAfterBreak="0">
    <w:nsid w:val="1E903CE7"/>
    <w:multiLevelType w:val="multilevel"/>
    <w:tmpl w:val="88F6EEB2"/>
    <w:styleLink w:val="Text"/>
    <w:lvl w:ilvl="0">
      <w:start w:val="1"/>
      <w:numFmt w:val="decimal"/>
      <w:pStyle w:val="BlockText"/>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21585817"/>
    <w:multiLevelType w:val="hybridMultilevel"/>
    <w:tmpl w:val="80FE0FFE"/>
    <w:lvl w:ilvl="0" w:tplc="C496680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32D73280"/>
    <w:multiLevelType w:val="hybridMultilevel"/>
    <w:tmpl w:val="E3F0F73A"/>
    <w:lvl w:ilvl="0" w:tplc="C496680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3F0D1A6E"/>
    <w:multiLevelType w:val="multilevel"/>
    <w:tmpl w:val="74F6A72C"/>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39B51DF"/>
    <w:multiLevelType w:val="multilevel"/>
    <w:tmpl w:val="0C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9" w15:restartNumberingAfterBreak="0">
    <w:nsid w:val="474E4516"/>
    <w:multiLevelType w:val="hybridMultilevel"/>
    <w:tmpl w:val="5E507E4E"/>
    <w:lvl w:ilvl="0" w:tplc="C496680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4A167D1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F651E3D"/>
    <w:multiLevelType w:val="hybridMultilevel"/>
    <w:tmpl w:val="6E7E3E82"/>
    <w:lvl w:ilvl="0" w:tplc="C496680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54CE39A1"/>
    <w:multiLevelType w:val="hybridMultilevel"/>
    <w:tmpl w:val="16CAABE6"/>
    <w:lvl w:ilvl="0" w:tplc="C496680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5C1C7635"/>
    <w:multiLevelType w:val="hybridMultilevel"/>
    <w:tmpl w:val="01B6EAFC"/>
    <w:lvl w:ilvl="0" w:tplc="C4966800">
      <w:start w:val="1"/>
      <w:numFmt w:val="decimal"/>
      <w:lvlText w:val="%1)"/>
      <w:lvlJc w:val="left"/>
      <w:pPr>
        <w:tabs>
          <w:tab w:val="num" w:pos="720"/>
        </w:tabs>
        <w:ind w:left="720" w:hanging="72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61DA21F2"/>
    <w:multiLevelType w:val="hybridMultilevel"/>
    <w:tmpl w:val="E7F89C82"/>
    <w:lvl w:ilvl="0" w:tplc="C496680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5" w15:restartNumberingAfterBreak="0">
    <w:nsid w:val="7294591F"/>
    <w:multiLevelType w:val="multilevel"/>
    <w:tmpl w:val="88F6EEB2"/>
    <w:numStyleLink w:val="Text"/>
  </w:abstractNum>
  <w:num w:numId="1">
    <w:abstractNumId w:val="15"/>
  </w:num>
  <w:num w:numId="2">
    <w:abstractNumId w:val="7"/>
  </w:num>
  <w:num w:numId="3">
    <w:abstractNumId w:val="4"/>
    <w:lvlOverride w:ilvl="0">
      <w:lvl w:ilvl="0">
        <w:start w:val="1"/>
        <w:numFmt w:val="decimal"/>
        <w:pStyle w:val="BlockText"/>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Text w:val="(%3)"/>
        <w:lvlJc w:val="left"/>
        <w:pPr>
          <w:tabs>
            <w:tab w:val="num" w:pos="1701"/>
          </w:tabs>
          <w:ind w:left="1701" w:hanging="567"/>
        </w:pPr>
        <w:rPr>
          <w:rFonts w:hint="default"/>
        </w:rPr>
      </w:lvl>
    </w:lvlOverride>
    <w:lvlOverride w:ilvl="3">
      <w:lvl w:ilvl="3">
        <w:start w:val="1"/>
        <w:numFmt w:val="lowerRoman"/>
        <w:lvlText w:val="(%4)"/>
        <w:lvlJc w:val="left"/>
        <w:pPr>
          <w:tabs>
            <w:tab w:val="num" w:pos="2268"/>
          </w:tabs>
          <w:ind w:left="2268" w:hanging="56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
    <w:abstractNumId w:val="1"/>
  </w:num>
  <w:num w:numId="5">
    <w:abstractNumId w:val="2"/>
  </w:num>
  <w:num w:numId="6">
    <w:abstractNumId w:val="8"/>
  </w:num>
  <w:num w:numId="7">
    <w:abstractNumId w:val="10"/>
  </w:num>
  <w:num w:numId="8">
    <w:abstractNumId w:val="0"/>
  </w:num>
  <w:num w:numId="9">
    <w:abstractNumId w:val="3"/>
  </w:num>
  <w:num w:numId="10">
    <w:abstractNumId w:val="13"/>
  </w:num>
  <w:num w:numId="11">
    <w:abstractNumId w:val="5"/>
  </w:num>
  <w:num w:numId="12">
    <w:abstractNumId w:val="9"/>
  </w:num>
  <w:num w:numId="13">
    <w:abstractNumId w:val="6"/>
  </w:num>
  <w:num w:numId="14">
    <w:abstractNumId w:val="12"/>
  </w:num>
  <w:num w:numId="15">
    <w:abstractNumId w:val="11"/>
  </w:num>
  <w:num w:numId="16">
    <w:abstractNumId w:val="14"/>
  </w:num>
  <w:num w:numId="17">
    <w:abstractNumId w:val="4"/>
    <w:lvlOverride w:ilvl="0">
      <w:lvl w:ilvl="0">
        <w:start w:val="1"/>
        <w:numFmt w:val="decimal"/>
        <w:pStyle w:val="BlockText"/>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Text w:val="(%3)"/>
        <w:lvlJc w:val="left"/>
        <w:pPr>
          <w:tabs>
            <w:tab w:val="num" w:pos="1701"/>
          </w:tabs>
          <w:ind w:left="1701" w:hanging="567"/>
        </w:pPr>
        <w:rPr>
          <w:rFonts w:hint="default"/>
        </w:rPr>
      </w:lvl>
    </w:lvlOverride>
    <w:lvlOverride w:ilvl="3">
      <w:lvl w:ilvl="3">
        <w:start w:val="1"/>
        <w:numFmt w:val="lowerRoman"/>
        <w:lvlText w:val="(%4)"/>
        <w:lvlJc w:val="left"/>
        <w:pPr>
          <w:tabs>
            <w:tab w:val="num" w:pos="2268"/>
          </w:tabs>
          <w:ind w:left="2268" w:hanging="56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J5gbSp2TkwpUtpPtTupp9yNLyaR7PcyDBJpMR+Tpgxkgpb9mufCkrBKIiF42cujcJmGQOF1bXHuW1CA3TlLa/w==" w:salt="D/R+RZCg6BWAYMSi1xOXg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8DC"/>
    <w:rsid w:val="000060BF"/>
    <w:rsid w:val="000064CB"/>
    <w:rsid w:val="000104AB"/>
    <w:rsid w:val="00010EEA"/>
    <w:rsid w:val="0002150C"/>
    <w:rsid w:val="00022413"/>
    <w:rsid w:val="00023645"/>
    <w:rsid w:val="00025614"/>
    <w:rsid w:val="000302C0"/>
    <w:rsid w:val="000333C6"/>
    <w:rsid w:val="00035BEB"/>
    <w:rsid w:val="000376B2"/>
    <w:rsid w:val="000424F1"/>
    <w:rsid w:val="00042BC9"/>
    <w:rsid w:val="00045CCE"/>
    <w:rsid w:val="00046838"/>
    <w:rsid w:val="0005160E"/>
    <w:rsid w:val="00054E58"/>
    <w:rsid w:val="00055A15"/>
    <w:rsid w:val="00055F6E"/>
    <w:rsid w:val="000567BE"/>
    <w:rsid w:val="0005747B"/>
    <w:rsid w:val="00063A93"/>
    <w:rsid w:val="00063EAC"/>
    <w:rsid w:val="00067AE5"/>
    <w:rsid w:val="00070001"/>
    <w:rsid w:val="000755D7"/>
    <w:rsid w:val="00081963"/>
    <w:rsid w:val="00081984"/>
    <w:rsid w:val="000917B2"/>
    <w:rsid w:val="00094D2B"/>
    <w:rsid w:val="000968BE"/>
    <w:rsid w:val="000A058E"/>
    <w:rsid w:val="000A1789"/>
    <w:rsid w:val="000A57FE"/>
    <w:rsid w:val="000A5BAB"/>
    <w:rsid w:val="000A5FAF"/>
    <w:rsid w:val="000A7ABD"/>
    <w:rsid w:val="000B12DA"/>
    <w:rsid w:val="000B1FE4"/>
    <w:rsid w:val="000C0DD5"/>
    <w:rsid w:val="000C2C04"/>
    <w:rsid w:val="000C3AD0"/>
    <w:rsid w:val="000C5DAB"/>
    <w:rsid w:val="000D21B9"/>
    <w:rsid w:val="000D4683"/>
    <w:rsid w:val="000D760C"/>
    <w:rsid w:val="000E26E6"/>
    <w:rsid w:val="000E4D8E"/>
    <w:rsid w:val="000F7515"/>
    <w:rsid w:val="00104A18"/>
    <w:rsid w:val="00112237"/>
    <w:rsid w:val="001171EA"/>
    <w:rsid w:val="00117E21"/>
    <w:rsid w:val="00117F5D"/>
    <w:rsid w:val="00120400"/>
    <w:rsid w:val="0012101B"/>
    <w:rsid w:val="0012610A"/>
    <w:rsid w:val="001271FF"/>
    <w:rsid w:val="00127CF4"/>
    <w:rsid w:val="0013250A"/>
    <w:rsid w:val="00134634"/>
    <w:rsid w:val="00135C96"/>
    <w:rsid w:val="001364CD"/>
    <w:rsid w:val="001407E2"/>
    <w:rsid w:val="001422DD"/>
    <w:rsid w:val="00144EB6"/>
    <w:rsid w:val="001521B6"/>
    <w:rsid w:val="00153959"/>
    <w:rsid w:val="00153AFD"/>
    <w:rsid w:val="001545F9"/>
    <w:rsid w:val="00156C75"/>
    <w:rsid w:val="001579C2"/>
    <w:rsid w:val="00160881"/>
    <w:rsid w:val="0016262C"/>
    <w:rsid w:val="00164258"/>
    <w:rsid w:val="00164A3A"/>
    <w:rsid w:val="00166509"/>
    <w:rsid w:val="00173F93"/>
    <w:rsid w:val="00174EE1"/>
    <w:rsid w:val="00176573"/>
    <w:rsid w:val="0018229E"/>
    <w:rsid w:val="00184056"/>
    <w:rsid w:val="00184984"/>
    <w:rsid w:val="00184B7C"/>
    <w:rsid w:val="00187674"/>
    <w:rsid w:val="00192F6F"/>
    <w:rsid w:val="0019571B"/>
    <w:rsid w:val="00196C1B"/>
    <w:rsid w:val="001971A1"/>
    <w:rsid w:val="0019771F"/>
    <w:rsid w:val="001A6196"/>
    <w:rsid w:val="001B71AE"/>
    <w:rsid w:val="001B7AC7"/>
    <w:rsid w:val="001C422C"/>
    <w:rsid w:val="001C4568"/>
    <w:rsid w:val="001D27E9"/>
    <w:rsid w:val="001D4089"/>
    <w:rsid w:val="001D5A9F"/>
    <w:rsid w:val="001D6742"/>
    <w:rsid w:val="001D69E9"/>
    <w:rsid w:val="001D7DC4"/>
    <w:rsid w:val="001E3578"/>
    <w:rsid w:val="001E6135"/>
    <w:rsid w:val="001F4991"/>
    <w:rsid w:val="001F5273"/>
    <w:rsid w:val="001F60FE"/>
    <w:rsid w:val="001F6B23"/>
    <w:rsid w:val="001F765B"/>
    <w:rsid w:val="001F7B6E"/>
    <w:rsid w:val="0020232B"/>
    <w:rsid w:val="002034A8"/>
    <w:rsid w:val="00204372"/>
    <w:rsid w:val="002048E7"/>
    <w:rsid w:val="00206981"/>
    <w:rsid w:val="00207E37"/>
    <w:rsid w:val="00210686"/>
    <w:rsid w:val="002115E6"/>
    <w:rsid w:val="00211ADE"/>
    <w:rsid w:val="00215A9D"/>
    <w:rsid w:val="0021684D"/>
    <w:rsid w:val="00220E1E"/>
    <w:rsid w:val="00221114"/>
    <w:rsid w:val="0022361B"/>
    <w:rsid w:val="00224644"/>
    <w:rsid w:val="0022584E"/>
    <w:rsid w:val="002306CE"/>
    <w:rsid w:val="0023083D"/>
    <w:rsid w:val="002374AC"/>
    <w:rsid w:val="00237B7C"/>
    <w:rsid w:val="00242910"/>
    <w:rsid w:val="002437CF"/>
    <w:rsid w:val="002440CC"/>
    <w:rsid w:val="0024555A"/>
    <w:rsid w:val="002466CE"/>
    <w:rsid w:val="002524C0"/>
    <w:rsid w:val="002526A8"/>
    <w:rsid w:val="00252EA3"/>
    <w:rsid w:val="0025439F"/>
    <w:rsid w:val="002545A4"/>
    <w:rsid w:val="002546CB"/>
    <w:rsid w:val="002548C6"/>
    <w:rsid w:val="002555DE"/>
    <w:rsid w:val="00271740"/>
    <w:rsid w:val="0027710E"/>
    <w:rsid w:val="002863EF"/>
    <w:rsid w:val="002943D3"/>
    <w:rsid w:val="00295BEF"/>
    <w:rsid w:val="00297E74"/>
    <w:rsid w:val="002A03A5"/>
    <w:rsid w:val="002A3775"/>
    <w:rsid w:val="002A5567"/>
    <w:rsid w:val="002A5623"/>
    <w:rsid w:val="002A7D1F"/>
    <w:rsid w:val="002B1738"/>
    <w:rsid w:val="002C0386"/>
    <w:rsid w:val="002C1DA7"/>
    <w:rsid w:val="002C267D"/>
    <w:rsid w:val="002C445E"/>
    <w:rsid w:val="002C4D00"/>
    <w:rsid w:val="002D4686"/>
    <w:rsid w:val="002D6B9D"/>
    <w:rsid w:val="002D7651"/>
    <w:rsid w:val="002D7B81"/>
    <w:rsid w:val="002E1CE1"/>
    <w:rsid w:val="00301586"/>
    <w:rsid w:val="00307F79"/>
    <w:rsid w:val="00311AB6"/>
    <w:rsid w:val="00314B99"/>
    <w:rsid w:val="00314C98"/>
    <w:rsid w:val="00314E75"/>
    <w:rsid w:val="00323FDD"/>
    <w:rsid w:val="00327C11"/>
    <w:rsid w:val="00330CA3"/>
    <w:rsid w:val="00332D45"/>
    <w:rsid w:val="00340212"/>
    <w:rsid w:val="00343BDF"/>
    <w:rsid w:val="003455BA"/>
    <w:rsid w:val="003458E7"/>
    <w:rsid w:val="00350C52"/>
    <w:rsid w:val="00350DA3"/>
    <w:rsid w:val="0035373D"/>
    <w:rsid w:val="0035407B"/>
    <w:rsid w:val="00354185"/>
    <w:rsid w:val="00354627"/>
    <w:rsid w:val="00355A73"/>
    <w:rsid w:val="00355AD3"/>
    <w:rsid w:val="003566B4"/>
    <w:rsid w:val="003627B1"/>
    <w:rsid w:val="003649F0"/>
    <w:rsid w:val="00364D5F"/>
    <w:rsid w:val="00365875"/>
    <w:rsid w:val="003659AD"/>
    <w:rsid w:val="00371470"/>
    <w:rsid w:val="00371523"/>
    <w:rsid w:val="00371DC6"/>
    <w:rsid w:val="00371E1A"/>
    <w:rsid w:val="003765CD"/>
    <w:rsid w:val="00385103"/>
    <w:rsid w:val="00386424"/>
    <w:rsid w:val="00386D5A"/>
    <w:rsid w:val="0038749B"/>
    <w:rsid w:val="00393DD6"/>
    <w:rsid w:val="00394D70"/>
    <w:rsid w:val="0039737A"/>
    <w:rsid w:val="003A525E"/>
    <w:rsid w:val="003A7455"/>
    <w:rsid w:val="003B05B4"/>
    <w:rsid w:val="003B21D5"/>
    <w:rsid w:val="003B4A50"/>
    <w:rsid w:val="003B4C4C"/>
    <w:rsid w:val="003B680A"/>
    <w:rsid w:val="003C1073"/>
    <w:rsid w:val="003C6832"/>
    <w:rsid w:val="003D0F41"/>
    <w:rsid w:val="003D26A8"/>
    <w:rsid w:val="003D3D24"/>
    <w:rsid w:val="003D400C"/>
    <w:rsid w:val="003D5245"/>
    <w:rsid w:val="003E23F6"/>
    <w:rsid w:val="003E5274"/>
    <w:rsid w:val="003E62DE"/>
    <w:rsid w:val="003F5E2C"/>
    <w:rsid w:val="003F70DD"/>
    <w:rsid w:val="003F7195"/>
    <w:rsid w:val="003F73D3"/>
    <w:rsid w:val="003F7433"/>
    <w:rsid w:val="003F7BDE"/>
    <w:rsid w:val="00401F0A"/>
    <w:rsid w:val="004050CF"/>
    <w:rsid w:val="004071A3"/>
    <w:rsid w:val="00407800"/>
    <w:rsid w:val="0041111B"/>
    <w:rsid w:val="004124F6"/>
    <w:rsid w:val="00412F76"/>
    <w:rsid w:val="004130A1"/>
    <w:rsid w:val="0041454C"/>
    <w:rsid w:val="004154A9"/>
    <w:rsid w:val="0041637D"/>
    <w:rsid w:val="0041795D"/>
    <w:rsid w:val="00424DCE"/>
    <w:rsid w:val="004302A2"/>
    <w:rsid w:val="00430725"/>
    <w:rsid w:val="00431E0A"/>
    <w:rsid w:val="00432945"/>
    <w:rsid w:val="00434F1E"/>
    <w:rsid w:val="004362E6"/>
    <w:rsid w:val="004377D3"/>
    <w:rsid w:val="004379E6"/>
    <w:rsid w:val="004407DC"/>
    <w:rsid w:val="0045415A"/>
    <w:rsid w:val="0045697A"/>
    <w:rsid w:val="00456CDA"/>
    <w:rsid w:val="004572A6"/>
    <w:rsid w:val="00461243"/>
    <w:rsid w:val="00463328"/>
    <w:rsid w:val="00463743"/>
    <w:rsid w:val="004646F7"/>
    <w:rsid w:val="00465AB2"/>
    <w:rsid w:val="00466FB5"/>
    <w:rsid w:val="00470036"/>
    <w:rsid w:val="004707BC"/>
    <w:rsid w:val="004726D4"/>
    <w:rsid w:val="00473F14"/>
    <w:rsid w:val="004742EA"/>
    <w:rsid w:val="004743B6"/>
    <w:rsid w:val="00474B80"/>
    <w:rsid w:val="00476314"/>
    <w:rsid w:val="00481F7B"/>
    <w:rsid w:val="00482184"/>
    <w:rsid w:val="00482C30"/>
    <w:rsid w:val="00490396"/>
    <w:rsid w:val="0049040E"/>
    <w:rsid w:val="004909A0"/>
    <w:rsid w:val="00492379"/>
    <w:rsid w:val="004928DC"/>
    <w:rsid w:val="004941E5"/>
    <w:rsid w:val="00494D6F"/>
    <w:rsid w:val="004A5CE6"/>
    <w:rsid w:val="004A60E1"/>
    <w:rsid w:val="004B003D"/>
    <w:rsid w:val="004B39EB"/>
    <w:rsid w:val="004B4B9D"/>
    <w:rsid w:val="004C0D46"/>
    <w:rsid w:val="004C12DE"/>
    <w:rsid w:val="004C5782"/>
    <w:rsid w:val="004C5891"/>
    <w:rsid w:val="004C6027"/>
    <w:rsid w:val="004D04AA"/>
    <w:rsid w:val="004D3B44"/>
    <w:rsid w:val="004E09CA"/>
    <w:rsid w:val="004E391B"/>
    <w:rsid w:val="004E502F"/>
    <w:rsid w:val="004E5F24"/>
    <w:rsid w:val="004E69E8"/>
    <w:rsid w:val="004F103E"/>
    <w:rsid w:val="00500BE6"/>
    <w:rsid w:val="0050534D"/>
    <w:rsid w:val="0051194C"/>
    <w:rsid w:val="00513926"/>
    <w:rsid w:val="00516D27"/>
    <w:rsid w:val="00517382"/>
    <w:rsid w:val="005205CA"/>
    <w:rsid w:val="00520F76"/>
    <w:rsid w:val="00522191"/>
    <w:rsid w:val="005247E5"/>
    <w:rsid w:val="00525881"/>
    <w:rsid w:val="0052614B"/>
    <w:rsid w:val="0052675D"/>
    <w:rsid w:val="00526B7A"/>
    <w:rsid w:val="00530165"/>
    <w:rsid w:val="005302CE"/>
    <w:rsid w:val="00532754"/>
    <w:rsid w:val="00536F37"/>
    <w:rsid w:val="00537837"/>
    <w:rsid w:val="005400EA"/>
    <w:rsid w:val="005419BC"/>
    <w:rsid w:val="005428F8"/>
    <w:rsid w:val="00542966"/>
    <w:rsid w:val="005454A2"/>
    <w:rsid w:val="00545D20"/>
    <w:rsid w:val="005475C0"/>
    <w:rsid w:val="00547681"/>
    <w:rsid w:val="00551CBC"/>
    <w:rsid w:val="00555249"/>
    <w:rsid w:val="0056224B"/>
    <w:rsid w:val="005628C3"/>
    <w:rsid w:val="00566890"/>
    <w:rsid w:val="005707AB"/>
    <w:rsid w:val="00572867"/>
    <w:rsid w:val="0057306F"/>
    <w:rsid w:val="00573A16"/>
    <w:rsid w:val="0058140E"/>
    <w:rsid w:val="00581D64"/>
    <w:rsid w:val="00582D7B"/>
    <w:rsid w:val="005855C5"/>
    <w:rsid w:val="0058646E"/>
    <w:rsid w:val="00587446"/>
    <w:rsid w:val="00596353"/>
    <w:rsid w:val="00596B7E"/>
    <w:rsid w:val="005A0101"/>
    <w:rsid w:val="005A6A98"/>
    <w:rsid w:val="005A6EAB"/>
    <w:rsid w:val="005B03D6"/>
    <w:rsid w:val="005B3B6D"/>
    <w:rsid w:val="005B419B"/>
    <w:rsid w:val="005B43D5"/>
    <w:rsid w:val="005B4B9A"/>
    <w:rsid w:val="005B5511"/>
    <w:rsid w:val="005D0992"/>
    <w:rsid w:val="005D4468"/>
    <w:rsid w:val="005D54FC"/>
    <w:rsid w:val="005E5A0B"/>
    <w:rsid w:val="005E722D"/>
    <w:rsid w:val="005F0CAA"/>
    <w:rsid w:val="005F1765"/>
    <w:rsid w:val="005F21D9"/>
    <w:rsid w:val="005F2627"/>
    <w:rsid w:val="006023B8"/>
    <w:rsid w:val="0060284F"/>
    <w:rsid w:val="006034B6"/>
    <w:rsid w:val="00605813"/>
    <w:rsid w:val="00605CAB"/>
    <w:rsid w:val="006102F8"/>
    <w:rsid w:val="00612FBB"/>
    <w:rsid w:val="0061625F"/>
    <w:rsid w:val="006226DC"/>
    <w:rsid w:val="00623756"/>
    <w:rsid w:val="00624CDA"/>
    <w:rsid w:val="00626B28"/>
    <w:rsid w:val="00630FFB"/>
    <w:rsid w:val="00632A1A"/>
    <w:rsid w:val="00634CF3"/>
    <w:rsid w:val="00635C62"/>
    <w:rsid w:val="00635F78"/>
    <w:rsid w:val="00645230"/>
    <w:rsid w:val="00645F0D"/>
    <w:rsid w:val="006501B7"/>
    <w:rsid w:val="00654280"/>
    <w:rsid w:val="006552F7"/>
    <w:rsid w:val="006575EA"/>
    <w:rsid w:val="0066709F"/>
    <w:rsid w:val="006831AE"/>
    <w:rsid w:val="0069461E"/>
    <w:rsid w:val="006A21A5"/>
    <w:rsid w:val="006A30C4"/>
    <w:rsid w:val="006A356D"/>
    <w:rsid w:val="006B002A"/>
    <w:rsid w:val="006B0776"/>
    <w:rsid w:val="006B19DB"/>
    <w:rsid w:val="006B3D13"/>
    <w:rsid w:val="006B455C"/>
    <w:rsid w:val="006B605D"/>
    <w:rsid w:val="006B7698"/>
    <w:rsid w:val="006C05D0"/>
    <w:rsid w:val="006C1229"/>
    <w:rsid w:val="006C12B1"/>
    <w:rsid w:val="006C360A"/>
    <w:rsid w:val="006D0C05"/>
    <w:rsid w:val="006D19A1"/>
    <w:rsid w:val="006D34E1"/>
    <w:rsid w:val="006D7D4A"/>
    <w:rsid w:val="006E03DB"/>
    <w:rsid w:val="006E0735"/>
    <w:rsid w:val="006E32F6"/>
    <w:rsid w:val="006E3A88"/>
    <w:rsid w:val="006E3FC6"/>
    <w:rsid w:val="006E79AA"/>
    <w:rsid w:val="006F0CCB"/>
    <w:rsid w:val="006F1AB6"/>
    <w:rsid w:val="006F56AA"/>
    <w:rsid w:val="006F5C85"/>
    <w:rsid w:val="00700C9F"/>
    <w:rsid w:val="00703666"/>
    <w:rsid w:val="0070603B"/>
    <w:rsid w:val="00706F00"/>
    <w:rsid w:val="00713E0D"/>
    <w:rsid w:val="00716C55"/>
    <w:rsid w:val="00720153"/>
    <w:rsid w:val="00724967"/>
    <w:rsid w:val="00731530"/>
    <w:rsid w:val="00736DB7"/>
    <w:rsid w:val="0074419C"/>
    <w:rsid w:val="007445E4"/>
    <w:rsid w:val="007501B1"/>
    <w:rsid w:val="0075176D"/>
    <w:rsid w:val="0075179B"/>
    <w:rsid w:val="007553B7"/>
    <w:rsid w:val="00755BFC"/>
    <w:rsid w:val="007572CE"/>
    <w:rsid w:val="00757465"/>
    <w:rsid w:val="00761932"/>
    <w:rsid w:val="00762067"/>
    <w:rsid w:val="00762918"/>
    <w:rsid w:val="00762969"/>
    <w:rsid w:val="00763A20"/>
    <w:rsid w:val="00767E45"/>
    <w:rsid w:val="007719DE"/>
    <w:rsid w:val="007735E7"/>
    <w:rsid w:val="0077361E"/>
    <w:rsid w:val="00773B36"/>
    <w:rsid w:val="00777276"/>
    <w:rsid w:val="00777491"/>
    <w:rsid w:val="00780551"/>
    <w:rsid w:val="00780F8C"/>
    <w:rsid w:val="007817A1"/>
    <w:rsid w:val="007829AE"/>
    <w:rsid w:val="00784A94"/>
    <w:rsid w:val="00787076"/>
    <w:rsid w:val="00791ACA"/>
    <w:rsid w:val="00797A22"/>
    <w:rsid w:val="007A07E8"/>
    <w:rsid w:val="007A442B"/>
    <w:rsid w:val="007A4587"/>
    <w:rsid w:val="007A553D"/>
    <w:rsid w:val="007A601A"/>
    <w:rsid w:val="007B1307"/>
    <w:rsid w:val="007B51DD"/>
    <w:rsid w:val="007B7CC0"/>
    <w:rsid w:val="007C0E96"/>
    <w:rsid w:val="007C1D40"/>
    <w:rsid w:val="007C4B87"/>
    <w:rsid w:val="007C62CA"/>
    <w:rsid w:val="007C71F4"/>
    <w:rsid w:val="007D290F"/>
    <w:rsid w:val="007D34CA"/>
    <w:rsid w:val="007D40A4"/>
    <w:rsid w:val="007D4D03"/>
    <w:rsid w:val="007D7071"/>
    <w:rsid w:val="007E4470"/>
    <w:rsid w:val="007E6321"/>
    <w:rsid w:val="007E6726"/>
    <w:rsid w:val="007F0790"/>
    <w:rsid w:val="007F10F3"/>
    <w:rsid w:val="007F23CE"/>
    <w:rsid w:val="007F3D47"/>
    <w:rsid w:val="007F458D"/>
    <w:rsid w:val="007F5FDB"/>
    <w:rsid w:val="007F658A"/>
    <w:rsid w:val="007F78D8"/>
    <w:rsid w:val="00804026"/>
    <w:rsid w:val="008049A2"/>
    <w:rsid w:val="00807DD2"/>
    <w:rsid w:val="0081131C"/>
    <w:rsid w:val="00821BA6"/>
    <w:rsid w:val="00824BAA"/>
    <w:rsid w:val="00824DF7"/>
    <w:rsid w:val="00827A50"/>
    <w:rsid w:val="00831D96"/>
    <w:rsid w:val="008323D0"/>
    <w:rsid w:val="00832DC1"/>
    <w:rsid w:val="0084462A"/>
    <w:rsid w:val="00847C64"/>
    <w:rsid w:val="008525BF"/>
    <w:rsid w:val="008542D0"/>
    <w:rsid w:val="00854345"/>
    <w:rsid w:val="00855DA8"/>
    <w:rsid w:val="008618DE"/>
    <w:rsid w:val="008642D5"/>
    <w:rsid w:val="00864645"/>
    <w:rsid w:val="00865384"/>
    <w:rsid w:val="00866773"/>
    <w:rsid w:val="00874692"/>
    <w:rsid w:val="00875635"/>
    <w:rsid w:val="00880CC9"/>
    <w:rsid w:val="0088327C"/>
    <w:rsid w:val="0088762D"/>
    <w:rsid w:val="008877ED"/>
    <w:rsid w:val="00890996"/>
    <w:rsid w:val="00890DB6"/>
    <w:rsid w:val="008933D8"/>
    <w:rsid w:val="008A0085"/>
    <w:rsid w:val="008A0833"/>
    <w:rsid w:val="008A0912"/>
    <w:rsid w:val="008A0DC2"/>
    <w:rsid w:val="008A3E60"/>
    <w:rsid w:val="008A43A5"/>
    <w:rsid w:val="008A7265"/>
    <w:rsid w:val="008B23E9"/>
    <w:rsid w:val="008B3039"/>
    <w:rsid w:val="008C0559"/>
    <w:rsid w:val="008C1207"/>
    <w:rsid w:val="008C3763"/>
    <w:rsid w:val="008C4290"/>
    <w:rsid w:val="008D038F"/>
    <w:rsid w:val="008D0BA9"/>
    <w:rsid w:val="008D2392"/>
    <w:rsid w:val="008D5BB0"/>
    <w:rsid w:val="008D7117"/>
    <w:rsid w:val="008E1DC7"/>
    <w:rsid w:val="008E3E52"/>
    <w:rsid w:val="008E5AC0"/>
    <w:rsid w:val="008E6244"/>
    <w:rsid w:val="008E6E3D"/>
    <w:rsid w:val="008F2A38"/>
    <w:rsid w:val="008F3A0E"/>
    <w:rsid w:val="008F3E64"/>
    <w:rsid w:val="008F5DAC"/>
    <w:rsid w:val="008F7654"/>
    <w:rsid w:val="0090131A"/>
    <w:rsid w:val="00902884"/>
    <w:rsid w:val="00903EAE"/>
    <w:rsid w:val="009069DD"/>
    <w:rsid w:val="0091589D"/>
    <w:rsid w:val="009312EE"/>
    <w:rsid w:val="00931A46"/>
    <w:rsid w:val="009329EC"/>
    <w:rsid w:val="009342C0"/>
    <w:rsid w:val="00944373"/>
    <w:rsid w:val="00944463"/>
    <w:rsid w:val="00944BC1"/>
    <w:rsid w:val="0094548B"/>
    <w:rsid w:val="00945A49"/>
    <w:rsid w:val="00947358"/>
    <w:rsid w:val="00951504"/>
    <w:rsid w:val="00955AC5"/>
    <w:rsid w:val="00956834"/>
    <w:rsid w:val="0096299F"/>
    <w:rsid w:val="00966B8B"/>
    <w:rsid w:val="00971B1A"/>
    <w:rsid w:val="00972562"/>
    <w:rsid w:val="0097383F"/>
    <w:rsid w:val="00981A37"/>
    <w:rsid w:val="00981DD0"/>
    <w:rsid w:val="009912B8"/>
    <w:rsid w:val="00993121"/>
    <w:rsid w:val="0099370B"/>
    <w:rsid w:val="00993BA5"/>
    <w:rsid w:val="00995BDA"/>
    <w:rsid w:val="009A4C0F"/>
    <w:rsid w:val="009A5957"/>
    <w:rsid w:val="009A5B4C"/>
    <w:rsid w:val="009A75A0"/>
    <w:rsid w:val="009B08B2"/>
    <w:rsid w:val="009B13A1"/>
    <w:rsid w:val="009B1546"/>
    <w:rsid w:val="009B1644"/>
    <w:rsid w:val="009B3D6D"/>
    <w:rsid w:val="009C414E"/>
    <w:rsid w:val="009D0425"/>
    <w:rsid w:val="009D1CC1"/>
    <w:rsid w:val="009D385D"/>
    <w:rsid w:val="009D44FA"/>
    <w:rsid w:val="009D5D56"/>
    <w:rsid w:val="009D5DA2"/>
    <w:rsid w:val="009E0273"/>
    <w:rsid w:val="009E1CE4"/>
    <w:rsid w:val="009E2103"/>
    <w:rsid w:val="009E21DC"/>
    <w:rsid w:val="009E7450"/>
    <w:rsid w:val="009F372D"/>
    <w:rsid w:val="009F3A74"/>
    <w:rsid w:val="009F48CB"/>
    <w:rsid w:val="009F5A99"/>
    <w:rsid w:val="009F6DAD"/>
    <w:rsid w:val="009F73C1"/>
    <w:rsid w:val="009F759A"/>
    <w:rsid w:val="00A00C96"/>
    <w:rsid w:val="00A00F49"/>
    <w:rsid w:val="00A00FF6"/>
    <w:rsid w:val="00A03DF6"/>
    <w:rsid w:val="00A047F2"/>
    <w:rsid w:val="00A06FB0"/>
    <w:rsid w:val="00A10398"/>
    <w:rsid w:val="00A10DB1"/>
    <w:rsid w:val="00A14E8A"/>
    <w:rsid w:val="00A15B51"/>
    <w:rsid w:val="00A16927"/>
    <w:rsid w:val="00A2194D"/>
    <w:rsid w:val="00A23E15"/>
    <w:rsid w:val="00A255CB"/>
    <w:rsid w:val="00A27062"/>
    <w:rsid w:val="00A271E9"/>
    <w:rsid w:val="00A3089F"/>
    <w:rsid w:val="00A30A6C"/>
    <w:rsid w:val="00A36699"/>
    <w:rsid w:val="00A426C9"/>
    <w:rsid w:val="00A45774"/>
    <w:rsid w:val="00A47EC0"/>
    <w:rsid w:val="00A537CF"/>
    <w:rsid w:val="00A5494C"/>
    <w:rsid w:val="00A55ECC"/>
    <w:rsid w:val="00A57A39"/>
    <w:rsid w:val="00A60570"/>
    <w:rsid w:val="00A608B1"/>
    <w:rsid w:val="00A641DF"/>
    <w:rsid w:val="00A65BF5"/>
    <w:rsid w:val="00A7187B"/>
    <w:rsid w:val="00A728DB"/>
    <w:rsid w:val="00A73C0C"/>
    <w:rsid w:val="00A73C38"/>
    <w:rsid w:val="00A8134F"/>
    <w:rsid w:val="00A81BDC"/>
    <w:rsid w:val="00A82727"/>
    <w:rsid w:val="00A8454A"/>
    <w:rsid w:val="00A84B88"/>
    <w:rsid w:val="00A91A13"/>
    <w:rsid w:val="00A94CD2"/>
    <w:rsid w:val="00A968CE"/>
    <w:rsid w:val="00A97CCB"/>
    <w:rsid w:val="00AA04C3"/>
    <w:rsid w:val="00AA0714"/>
    <w:rsid w:val="00AA548A"/>
    <w:rsid w:val="00AA6273"/>
    <w:rsid w:val="00AA632B"/>
    <w:rsid w:val="00AA7082"/>
    <w:rsid w:val="00AB02C3"/>
    <w:rsid w:val="00AB1281"/>
    <w:rsid w:val="00AB22EA"/>
    <w:rsid w:val="00AB3949"/>
    <w:rsid w:val="00AB3EA7"/>
    <w:rsid w:val="00AB4AB1"/>
    <w:rsid w:val="00AB5CE5"/>
    <w:rsid w:val="00AC0479"/>
    <w:rsid w:val="00AC5873"/>
    <w:rsid w:val="00AC6677"/>
    <w:rsid w:val="00AD2225"/>
    <w:rsid w:val="00AD5CC0"/>
    <w:rsid w:val="00AD5EAB"/>
    <w:rsid w:val="00AD5EAF"/>
    <w:rsid w:val="00AE0B75"/>
    <w:rsid w:val="00AE2154"/>
    <w:rsid w:val="00AE225F"/>
    <w:rsid w:val="00AF2DB3"/>
    <w:rsid w:val="00AF35EB"/>
    <w:rsid w:val="00AF42F0"/>
    <w:rsid w:val="00AF5B58"/>
    <w:rsid w:val="00B0128A"/>
    <w:rsid w:val="00B01BD5"/>
    <w:rsid w:val="00B029B1"/>
    <w:rsid w:val="00B02AB8"/>
    <w:rsid w:val="00B03943"/>
    <w:rsid w:val="00B11074"/>
    <w:rsid w:val="00B142D1"/>
    <w:rsid w:val="00B14E33"/>
    <w:rsid w:val="00B1670C"/>
    <w:rsid w:val="00B16B84"/>
    <w:rsid w:val="00B17B7E"/>
    <w:rsid w:val="00B21D03"/>
    <w:rsid w:val="00B23100"/>
    <w:rsid w:val="00B24316"/>
    <w:rsid w:val="00B407CC"/>
    <w:rsid w:val="00B5270D"/>
    <w:rsid w:val="00B54AD1"/>
    <w:rsid w:val="00B54F76"/>
    <w:rsid w:val="00B555A0"/>
    <w:rsid w:val="00B60FD0"/>
    <w:rsid w:val="00B621B6"/>
    <w:rsid w:val="00B63555"/>
    <w:rsid w:val="00B71990"/>
    <w:rsid w:val="00B71D61"/>
    <w:rsid w:val="00B828A5"/>
    <w:rsid w:val="00B82C46"/>
    <w:rsid w:val="00B85594"/>
    <w:rsid w:val="00B921A2"/>
    <w:rsid w:val="00B952D0"/>
    <w:rsid w:val="00BA093E"/>
    <w:rsid w:val="00BA0D70"/>
    <w:rsid w:val="00BA1C07"/>
    <w:rsid w:val="00BA24A6"/>
    <w:rsid w:val="00BA263D"/>
    <w:rsid w:val="00BA2971"/>
    <w:rsid w:val="00BA3777"/>
    <w:rsid w:val="00BA48FA"/>
    <w:rsid w:val="00BA4ABE"/>
    <w:rsid w:val="00BA63DE"/>
    <w:rsid w:val="00BA6FAF"/>
    <w:rsid w:val="00BB0A32"/>
    <w:rsid w:val="00BB0B06"/>
    <w:rsid w:val="00BB2188"/>
    <w:rsid w:val="00BC0077"/>
    <w:rsid w:val="00BC590E"/>
    <w:rsid w:val="00BD047B"/>
    <w:rsid w:val="00BD2B44"/>
    <w:rsid w:val="00BD2C00"/>
    <w:rsid w:val="00BE1391"/>
    <w:rsid w:val="00BE71B8"/>
    <w:rsid w:val="00BE7723"/>
    <w:rsid w:val="00BE7D5F"/>
    <w:rsid w:val="00BF25BF"/>
    <w:rsid w:val="00BF59C3"/>
    <w:rsid w:val="00BF618D"/>
    <w:rsid w:val="00BF79D3"/>
    <w:rsid w:val="00BF7C7C"/>
    <w:rsid w:val="00C02729"/>
    <w:rsid w:val="00C03D88"/>
    <w:rsid w:val="00C03F77"/>
    <w:rsid w:val="00C04FF1"/>
    <w:rsid w:val="00C1093F"/>
    <w:rsid w:val="00C12329"/>
    <w:rsid w:val="00C14CAA"/>
    <w:rsid w:val="00C17AA1"/>
    <w:rsid w:val="00C21CAC"/>
    <w:rsid w:val="00C2238C"/>
    <w:rsid w:val="00C23AEC"/>
    <w:rsid w:val="00C23F02"/>
    <w:rsid w:val="00C24755"/>
    <w:rsid w:val="00C2528A"/>
    <w:rsid w:val="00C254DF"/>
    <w:rsid w:val="00C26AF2"/>
    <w:rsid w:val="00C27A0A"/>
    <w:rsid w:val="00C30D67"/>
    <w:rsid w:val="00C319F4"/>
    <w:rsid w:val="00C32D2A"/>
    <w:rsid w:val="00C335F2"/>
    <w:rsid w:val="00C33F90"/>
    <w:rsid w:val="00C35B2A"/>
    <w:rsid w:val="00C368C0"/>
    <w:rsid w:val="00C37B99"/>
    <w:rsid w:val="00C37DC4"/>
    <w:rsid w:val="00C432A7"/>
    <w:rsid w:val="00C44F7F"/>
    <w:rsid w:val="00C45C9C"/>
    <w:rsid w:val="00C45FB9"/>
    <w:rsid w:val="00C47288"/>
    <w:rsid w:val="00C51229"/>
    <w:rsid w:val="00C55095"/>
    <w:rsid w:val="00C613A4"/>
    <w:rsid w:val="00C63A22"/>
    <w:rsid w:val="00C666F3"/>
    <w:rsid w:val="00C67A86"/>
    <w:rsid w:val="00C75F63"/>
    <w:rsid w:val="00C7642D"/>
    <w:rsid w:val="00C80B4A"/>
    <w:rsid w:val="00C83BA4"/>
    <w:rsid w:val="00C8698C"/>
    <w:rsid w:val="00C90E10"/>
    <w:rsid w:val="00C914DE"/>
    <w:rsid w:val="00C92230"/>
    <w:rsid w:val="00C93068"/>
    <w:rsid w:val="00C93DBA"/>
    <w:rsid w:val="00C973DA"/>
    <w:rsid w:val="00C97B77"/>
    <w:rsid w:val="00CA4134"/>
    <w:rsid w:val="00CA44FC"/>
    <w:rsid w:val="00CA7A00"/>
    <w:rsid w:val="00CB5202"/>
    <w:rsid w:val="00CB556E"/>
    <w:rsid w:val="00CB6136"/>
    <w:rsid w:val="00CB634F"/>
    <w:rsid w:val="00CB7F80"/>
    <w:rsid w:val="00CC1325"/>
    <w:rsid w:val="00CC1B04"/>
    <w:rsid w:val="00CD3BEC"/>
    <w:rsid w:val="00CD41B4"/>
    <w:rsid w:val="00CD472A"/>
    <w:rsid w:val="00CD5754"/>
    <w:rsid w:val="00CD5890"/>
    <w:rsid w:val="00CD6756"/>
    <w:rsid w:val="00CE0218"/>
    <w:rsid w:val="00CE2985"/>
    <w:rsid w:val="00CF094D"/>
    <w:rsid w:val="00CF1679"/>
    <w:rsid w:val="00CF26C4"/>
    <w:rsid w:val="00CF3458"/>
    <w:rsid w:val="00CF65E8"/>
    <w:rsid w:val="00CF76E8"/>
    <w:rsid w:val="00CF7CE4"/>
    <w:rsid w:val="00D00D00"/>
    <w:rsid w:val="00D01D91"/>
    <w:rsid w:val="00D01EDD"/>
    <w:rsid w:val="00D10561"/>
    <w:rsid w:val="00D124B5"/>
    <w:rsid w:val="00D1271C"/>
    <w:rsid w:val="00D1311C"/>
    <w:rsid w:val="00D14B39"/>
    <w:rsid w:val="00D15DC7"/>
    <w:rsid w:val="00D2734D"/>
    <w:rsid w:val="00D32CAC"/>
    <w:rsid w:val="00D339A3"/>
    <w:rsid w:val="00D40FB2"/>
    <w:rsid w:val="00D426E7"/>
    <w:rsid w:val="00D44B5C"/>
    <w:rsid w:val="00D4588E"/>
    <w:rsid w:val="00D4597F"/>
    <w:rsid w:val="00D46D7A"/>
    <w:rsid w:val="00D47F5D"/>
    <w:rsid w:val="00D52970"/>
    <w:rsid w:val="00D54990"/>
    <w:rsid w:val="00D54F29"/>
    <w:rsid w:val="00D61191"/>
    <w:rsid w:val="00D63C57"/>
    <w:rsid w:val="00D65C30"/>
    <w:rsid w:val="00D6670A"/>
    <w:rsid w:val="00D71F16"/>
    <w:rsid w:val="00D73CD8"/>
    <w:rsid w:val="00D76CD3"/>
    <w:rsid w:val="00D81604"/>
    <w:rsid w:val="00D90F1C"/>
    <w:rsid w:val="00D91A6D"/>
    <w:rsid w:val="00D91D80"/>
    <w:rsid w:val="00D94CCC"/>
    <w:rsid w:val="00D95631"/>
    <w:rsid w:val="00D9777E"/>
    <w:rsid w:val="00D97E0B"/>
    <w:rsid w:val="00D97F9A"/>
    <w:rsid w:val="00DA0588"/>
    <w:rsid w:val="00DA3638"/>
    <w:rsid w:val="00DA4644"/>
    <w:rsid w:val="00DA73FE"/>
    <w:rsid w:val="00DB3E79"/>
    <w:rsid w:val="00DB70C4"/>
    <w:rsid w:val="00DB7968"/>
    <w:rsid w:val="00DB7D4C"/>
    <w:rsid w:val="00DC332A"/>
    <w:rsid w:val="00DC3F21"/>
    <w:rsid w:val="00DC3F78"/>
    <w:rsid w:val="00DC41DE"/>
    <w:rsid w:val="00DD2AC4"/>
    <w:rsid w:val="00DD3F35"/>
    <w:rsid w:val="00DE2A7B"/>
    <w:rsid w:val="00DE64A9"/>
    <w:rsid w:val="00DF40ED"/>
    <w:rsid w:val="00E01CEC"/>
    <w:rsid w:val="00E0391A"/>
    <w:rsid w:val="00E03A9E"/>
    <w:rsid w:val="00E07172"/>
    <w:rsid w:val="00E120D0"/>
    <w:rsid w:val="00E228D6"/>
    <w:rsid w:val="00E229A3"/>
    <w:rsid w:val="00E26BA3"/>
    <w:rsid w:val="00E33ABF"/>
    <w:rsid w:val="00E47936"/>
    <w:rsid w:val="00E50EEB"/>
    <w:rsid w:val="00E51BC9"/>
    <w:rsid w:val="00E55AAB"/>
    <w:rsid w:val="00E564E8"/>
    <w:rsid w:val="00E65FE2"/>
    <w:rsid w:val="00E71056"/>
    <w:rsid w:val="00E718BD"/>
    <w:rsid w:val="00E722AF"/>
    <w:rsid w:val="00E74CB0"/>
    <w:rsid w:val="00E80CEE"/>
    <w:rsid w:val="00E82C12"/>
    <w:rsid w:val="00E84A38"/>
    <w:rsid w:val="00E95529"/>
    <w:rsid w:val="00EA01AC"/>
    <w:rsid w:val="00EA0B33"/>
    <w:rsid w:val="00EA100C"/>
    <w:rsid w:val="00EA5777"/>
    <w:rsid w:val="00EB4DF2"/>
    <w:rsid w:val="00EB5C29"/>
    <w:rsid w:val="00EC10FD"/>
    <w:rsid w:val="00EC1254"/>
    <w:rsid w:val="00EC12BF"/>
    <w:rsid w:val="00EC14FC"/>
    <w:rsid w:val="00EC4686"/>
    <w:rsid w:val="00EC5B86"/>
    <w:rsid w:val="00ED07DF"/>
    <w:rsid w:val="00ED0B9A"/>
    <w:rsid w:val="00ED0D88"/>
    <w:rsid w:val="00ED3D74"/>
    <w:rsid w:val="00ED7B90"/>
    <w:rsid w:val="00EE1282"/>
    <w:rsid w:val="00EE2D47"/>
    <w:rsid w:val="00EE37D3"/>
    <w:rsid w:val="00EF0350"/>
    <w:rsid w:val="00EF0F77"/>
    <w:rsid w:val="00F00E4D"/>
    <w:rsid w:val="00F05A3F"/>
    <w:rsid w:val="00F07436"/>
    <w:rsid w:val="00F078AC"/>
    <w:rsid w:val="00F10AF7"/>
    <w:rsid w:val="00F11103"/>
    <w:rsid w:val="00F12497"/>
    <w:rsid w:val="00F21E75"/>
    <w:rsid w:val="00F266D3"/>
    <w:rsid w:val="00F26C6C"/>
    <w:rsid w:val="00F26E96"/>
    <w:rsid w:val="00F2739F"/>
    <w:rsid w:val="00F30797"/>
    <w:rsid w:val="00F333D7"/>
    <w:rsid w:val="00F35A52"/>
    <w:rsid w:val="00F378C9"/>
    <w:rsid w:val="00F4066F"/>
    <w:rsid w:val="00F41CD5"/>
    <w:rsid w:val="00F43570"/>
    <w:rsid w:val="00F45A80"/>
    <w:rsid w:val="00F4720B"/>
    <w:rsid w:val="00F53BD0"/>
    <w:rsid w:val="00F54766"/>
    <w:rsid w:val="00F65356"/>
    <w:rsid w:val="00F65883"/>
    <w:rsid w:val="00F66542"/>
    <w:rsid w:val="00F775A7"/>
    <w:rsid w:val="00F81AB7"/>
    <w:rsid w:val="00F83718"/>
    <w:rsid w:val="00F84042"/>
    <w:rsid w:val="00F8508A"/>
    <w:rsid w:val="00F85133"/>
    <w:rsid w:val="00F9092C"/>
    <w:rsid w:val="00F93BC7"/>
    <w:rsid w:val="00F94421"/>
    <w:rsid w:val="00F946C7"/>
    <w:rsid w:val="00F946ED"/>
    <w:rsid w:val="00F965BC"/>
    <w:rsid w:val="00FA2A4F"/>
    <w:rsid w:val="00FA2CCF"/>
    <w:rsid w:val="00FA3740"/>
    <w:rsid w:val="00FA3A1B"/>
    <w:rsid w:val="00FB0857"/>
    <w:rsid w:val="00FB13A9"/>
    <w:rsid w:val="00FB265C"/>
    <w:rsid w:val="00FB556D"/>
    <w:rsid w:val="00FC033B"/>
    <w:rsid w:val="00FC0B62"/>
    <w:rsid w:val="00FC2011"/>
    <w:rsid w:val="00FC2B90"/>
    <w:rsid w:val="00FC4A2E"/>
    <w:rsid w:val="00FC6726"/>
    <w:rsid w:val="00FD4385"/>
    <w:rsid w:val="00FD5FBD"/>
    <w:rsid w:val="00FE2CB7"/>
    <w:rsid w:val="00FE4969"/>
    <w:rsid w:val="00FE5B14"/>
    <w:rsid w:val="00FF07C1"/>
    <w:rsid w:val="00FF2B51"/>
    <w:rsid w:val="00FF45F4"/>
    <w:rsid w:val="00FF5EC5"/>
    <w:rsid w:val="00FF61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1FF714E0"/>
  <w15:docId w15:val="{23A85F3A-6478-4F15-9718-F0DAF62F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A0A"/>
    <w:rPr>
      <w:rFonts w:ascii="Arial" w:hAnsi="Arial" w:cs="Arial"/>
      <w:sz w:val="22"/>
    </w:rPr>
  </w:style>
  <w:style w:type="paragraph" w:styleId="Heading1">
    <w:name w:val="heading 1"/>
    <w:basedOn w:val="Normal"/>
    <w:next w:val="Normal"/>
    <w:link w:val="Heading1Char"/>
    <w:qFormat/>
    <w:rsid w:val="00BD2B44"/>
    <w:pPr>
      <w:tabs>
        <w:tab w:val="center" w:pos="4153"/>
      </w:tabs>
      <w:spacing w:line="240" w:lineRule="exact"/>
      <w:ind w:right="-680"/>
      <w:jc w:val="right"/>
      <w:outlineLvl w:val="0"/>
    </w:pPr>
    <w:rPr>
      <w:rFonts w:cs="Times New Roman"/>
      <w:sz w:val="18"/>
      <w:szCs w:val="18"/>
    </w:rPr>
  </w:style>
  <w:style w:type="paragraph" w:styleId="Heading2">
    <w:name w:val="heading 2"/>
    <w:basedOn w:val="Heading1"/>
    <w:next w:val="Normal"/>
    <w:link w:val="Heading2Char"/>
    <w:qFormat/>
    <w:rsid w:val="00BD2B44"/>
    <w:pPr>
      <w:outlineLvl w:val="1"/>
    </w:pPr>
    <w:rPr>
      <w:b/>
    </w:rPr>
  </w:style>
  <w:style w:type="paragraph" w:styleId="Heading3">
    <w:name w:val="heading 3"/>
    <w:basedOn w:val="Normal"/>
    <w:next w:val="Normal"/>
    <w:qFormat/>
    <w:rsid w:val="004928DC"/>
    <w:pPr>
      <w:keepNext/>
      <w:spacing w:before="240" w:after="60"/>
      <w:outlineLvl w:val="2"/>
    </w:pPr>
    <w:rPr>
      <w:b/>
      <w:bCs/>
      <w:sz w:val="26"/>
      <w:szCs w:val="26"/>
    </w:rPr>
  </w:style>
  <w:style w:type="paragraph" w:styleId="Heading4">
    <w:name w:val="heading 4"/>
    <w:basedOn w:val="Normal"/>
    <w:next w:val="Normal"/>
    <w:qFormat/>
    <w:rsid w:val="00890996"/>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890996"/>
    <w:pPr>
      <w:spacing w:before="240" w:after="60"/>
      <w:outlineLvl w:val="4"/>
    </w:pPr>
    <w:rPr>
      <w:b/>
      <w:bCs/>
      <w:i/>
      <w:iCs/>
      <w:sz w:val="26"/>
      <w:szCs w:val="26"/>
    </w:rPr>
  </w:style>
  <w:style w:type="paragraph" w:styleId="Heading6">
    <w:name w:val="heading 6"/>
    <w:basedOn w:val="Normal"/>
    <w:next w:val="Normal"/>
    <w:qFormat/>
    <w:rsid w:val="00890996"/>
    <w:pPr>
      <w:spacing w:before="240" w:after="60"/>
      <w:outlineLvl w:val="5"/>
    </w:pPr>
    <w:rPr>
      <w:rFonts w:ascii="Times New Roman" w:hAnsi="Times New Roman" w:cs="Times New Roman"/>
      <w:b/>
      <w:bCs/>
      <w:szCs w:val="22"/>
    </w:rPr>
  </w:style>
  <w:style w:type="paragraph" w:styleId="Heading7">
    <w:name w:val="heading 7"/>
    <w:basedOn w:val="Normal"/>
    <w:next w:val="Normal"/>
    <w:qFormat/>
    <w:rsid w:val="00890996"/>
    <w:p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890996"/>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890996"/>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84B7C"/>
    <w:pPr>
      <w:tabs>
        <w:tab w:val="center" w:pos="4153"/>
        <w:tab w:val="right" w:pos="8306"/>
      </w:tabs>
    </w:pPr>
  </w:style>
  <w:style w:type="paragraph" w:styleId="Header">
    <w:name w:val="header"/>
    <w:basedOn w:val="Normal"/>
    <w:link w:val="HeaderChar"/>
    <w:uiPriority w:val="99"/>
    <w:rsid w:val="00184B7C"/>
    <w:pPr>
      <w:tabs>
        <w:tab w:val="center" w:pos="4153"/>
        <w:tab w:val="right" w:pos="8306"/>
      </w:tabs>
    </w:pPr>
  </w:style>
  <w:style w:type="paragraph" w:styleId="BalloonText">
    <w:name w:val="Balloon Text"/>
    <w:basedOn w:val="Normal"/>
    <w:semiHidden/>
    <w:rsid w:val="00CB5202"/>
    <w:rPr>
      <w:rFonts w:ascii="Tahoma" w:hAnsi="Tahoma" w:cs="Tahoma"/>
      <w:sz w:val="16"/>
      <w:szCs w:val="16"/>
    </w:rPr>
  </w:style>
  <w:style w:type="paragraph" w:customStyle="1" w:styleId="NTTHeaderInfo">
    <w:name w:val="NTT Header Info"/>
    <w:rsid w:val="00713E0D"/>
    <w:pPr>
      <w:spacing w:line="240" w:lineRule="exact"/>
      <w:jc w:val="right"/>
    </w:pPr>
    <w:rPr>
      <w:rFonts w:ascii="Arial" w:hAnsi="Arial"/>
      <w:sz w:val="18"/>
      <w:szCs w:val="18"/>
    </w:rPr>
  </w:style>
  <w:style w:type="character" w:customStyle="1" w:styleId="Heading1Char">
    <w:name w:val="Heading 1 Char"/>
    <w:link w:val="Heading1"/>
    <w:rsid w:val="00BD2B44"/>
    <w:rPr>
      <w:rFonts w:ascii="Arial" w:hAnsi="Arial"/>
      <w:sz w:val="18"/>
      <w:szCs w:val="18"/>
      <w:lang w:val="en-AU" w:eastAsia="en-AU" w:bidi="ar-SA"/>
    </w:rPr>
  </w:style>
  <w:style w:type="character" w:customStyle="1" w:styleId="Heading2Char">
    <w:name w:val="Heading 2 Char"/>
    <w:link w:val="Heading2"/>
    <w:rsid w:val="00BD2B44"/>
    <w:rPr>
      <w:rFonts w:ascii="Arial" w:hAnsi="Arial"/>
      <w:b/>
      <w:sz w:val="18"/>
      <w:szCs w:val="18"/>
      <w:lang w:val="en-AU" w:eastAsia="en-AU" w:bidi="ar-SA"/>
    </w:rPr>
  </w:style>
  <w:style w:type="paragraph" w:customStyle="1" w:styleId="NTTBodyText">
    <w:name w:val="NTT Body Text"/>
    <w:rsid w:val="00E51BC9"/>
    <w:pPr>
      <w:spacing w:after="120" w:line="300" w:lineRule="exact"/>
    </w:pPr>
    <w:rPr>
      <w:rFonts w:ascii="Arial" w:hAnsi="Arial"/>
      <w:sz w:val="22"/>
      <w:szCs w:val="24"/>
    </w:rPr>
  </w:style>
  <w:style w:type="character" w:styleId="PageNumber">
    <w:name w:val="page number"/>
    <w:basedOn w:val="DefaultParagraphFont"/>
    <w:rsid w:val="0019571B"/>
  </w:style>
  <w:style w:type="paragraph" w:customStyle="1" w:styleId="NTTBodyTextTitle">
    <w:name w:val="NTT Body Text Title"/>
    <w:basedOn w:val="NTTBodyText"/>
    <w:rsid w:val="001D7DC4"/>
    <w:rPr>
      <w:b/>
      <w:bCs/>
    </w:rPr>
  </w:style>
  <w:style w:type="table" w:styleId="TableGrid">
    <w:name w:val="Table Grid"/>
    <w:basedOn w:val="TableNormal"/>
    <w:rsid w:val="00C27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One">
    <w:name w:val="Heading One"/>
    <w:basedOn w:val="Normal"/>
    <w:rsid w:val="00364D5F"/>
    <w:pPr>
      <w:spacing w:after="120"/>
      <w:jc w:val="center"/>
    </w:pPr>
    <w:rPr>
      <w:rFonts w:cs="Times New Roman"/>
      <w:b/>
      <w:bCs/>
      <w:sz w:val="32"/>
    </w:rPr>
  </w:style>
  <w:style w:type="paragraph" w:customStyle="1" w:styleId="HeadingTwo">
    <w:name w:val="Heading Two"/>
    <w:basedOn w:val="Normal"/>
    <w:rsid w:val="00B24316"/>
    <w:pPr>
      <w:keepNext/>
      <w:keepLines/>
      <w:pBdr>
        <w:bottom w:val="single" w:sz="4" w:space="1" w:color="auto"/>
      </w:pBdr>
      <w:spacing w:before="360" w:after="120"/>
    </w:pPr>
    <w:rPr>
      <w:rFonts w:cs="Times New Roman"/>
      <w:b/>
      <w:bCs/>
    </w:rPr>
  </w:style>
  <w:style w:type="numbering" w:customStyle="1" w:styleId="Text">
    <w:name w:val="Text"/>
    <w:rsid w:val="00545D20"/>
    <w:pPr>
      <w:numPr>
        <w:numId w:val="18"/>
      </w:numPr>
    </w:pPr>
  </w:style>
  <w:style w:type="character" w:styleId="Hyperlink">
    <w:name w:val="Hyperlink"/>
    <w:rsid w:val="00545D20"/>
    <w:rPr>
      <w:color w:val="0000FF"/>
      <w:u w:val="single"/>
    </w:rPr>
  </w:style>
  <w:style w:type="paragraph" w:styleId="BlockText">
    <w:name w:val="Block Text"/>
    <w:basedOn w:val="ListNumber"/>
    <w:rsid w:val="00206981"/>
    <w:pPr>
      <w:keepLines/>
      <w:numPr>
        <w:numId w:val="3"/>
      </w:numPr>
      <w:spacing w:after="120"/>
      <w:jc w:val="both"/>
    </w:pPr>
  </w:style>
  <w:style w:type="paragraph" w:customStyle="1" w:styleId="HeadingThree">
    <w:name w:val="Heading Three"/>
    <w:basedOn w:val="HeadingTwo"/>
    <w:rsid w:val="00545D20"/>
    <w:pPr>
      <w:pBdr>
        <w:bottom w:val="none" w:sz="0" w:space="0" w:color="auto"/>
      </w:pBdr>
    </w:pPr>
    <w:rPr>
      <w:i/>
      <w:iCs/>
    </w:rPr>
  </w:style>
  <w:style w:type="paragraph" w:customStyle="1" w:styleId="HeadingFour">
    <w:name w:val="Heading Four"/>
    <w:basedOn w:val="HeadingThree"/>
    <w:rsid w:val="006034B6"/>
    <w:rPr>
      <w:b w:val="0"/>
      <w:bCs w:val="0"/>
      <w:u w:val="single"/>
    </w:rPr>
  </w:style>
  <w:style w:type="paragraph" w:styleId="BodyText2">
    <w:name w:val="Body Text 2"/>
    <w:basedOn w:val="Normal"/>
    <w:rsid w:val="00513926"/>
    <w:pPr>
      <w:spacing w:after="120"/>
      <w:jc w:val="both"/>
    </w:pPr>
    <w:rPr>
      <w:rFonts w:ascii="Tahoma" w:hAnsi="Tahoma" w:cs="Times New Roman"/>
      <w:b/>
    </w:rPr>
  </w:style>
  <w:style w:type="paragraph" w:styleId="ListNumber">
    <w:name w:val="List Number"/>
    <w:basedOn w:val="Normal"/>
    <w:rsid w:val="00890996"/>
    <w:pPr>
      <w:numPr>
        <w:numId w:val="8"/>
      </w:numPr>
    </w:pPr>
  </w:style>
  <w:style w:type="paragraph" w:customStyle="1" w:styleId="ExampleBox">
    <w:name w:val="Example Box"/>
    <w:rsid w:val="00F65356"/>
    <w:pPr>
      <w:pBdr>
        <w:top w:val="single" w:sz="4" w:space="1" w:color="auto"/>
        <w:left w:val="single" w:sz="4" w:space="4" w:color="auto"/>
        <w:bottom w:val="single" w:sz="4" w:space="1" w:color="auto"/>
        <w:right w:val="single" w:sz="4" w:space="4" w:color="auto"/>
      </w:pBdr>
      <w:shd w:val="clear" w:color="auto" w:fill="F3F3F3"/>
      <w:spacing w:before="120" w:after="120"/>
    </w:pPr>
    <w:rPr>
      <w:rFonts w:ascii="Arial" w:hAnsi="Arial"/>
      <w:sz w:val="22"/>
    </w:rPr>
  </w:style>
  <w:style w:type="paragraph" w:customStyle="1" w:styleId="CircularNumber">
    <w:name w:val="CircularNumber"/>
    <w:basedOn w:val="Heading1"/>
    <w:rsid w:val="004928DC"/>
    <w:pPr>
      <w:keepNext/>
      <w:tabs>
        <w:tab w:val="clear" w:pos="4153"/>
        <w:tab w:val="left" w:pos="2585"/>
        <w:tab w:val="right" w:pos="3861"/>
        <w:tab w:val="right" w:pos="8256"/>
        <w:tab w:val="right" w:pos="9781"/>
      </w:tabs>
      <w:spacing w:after="120" w:line="240" w:lineRule="auto"/>
      <w:ind w:right="0"/>
      <w:outlineLvl w:val="9"/>
    </w:pPr>
    <w:rPr>
      <w:rFonts w:ascii="Verdana" w:hAnsi="Verdana"/>
      <w:b/>
      <w:sz w:val="20"/>
      <w:szCs w:val="20"/>
    </w:rPr>
  </w:style>
  <w:style w:type="paragraph" w:customStyle="1" w:styleId="Subheading1">
    <w:name w:val="Subheading 1"/>
    <w:basedOn w:val="Normal"/>
    <w:rsid w:val="004928DC"/>
    <w:pPr>
      <w:spacing w:before="360" w:line="300" w:lineRule="exact"/>
    </w:pPr>
    <w:rPr>
      <w:rFonts w:cs="Times New Roman"/>
      <w:sz w:val="28"/>
      <w:szCs w:val="28"/>
    </w:rPr>
  </w:style>
  <w:style w:type="paragraph" w:styleId="FootnoteText">
    <w:name w:val="footnote text"/>
    <w:basedOn w:val="Normal"/>
    <w:semiHidden/>
    <w:rsid w:val="004928DC"/>
    <w:rPr>
      <w:rFonts w:ascii="Times New Roman" w:hAnsi="Times New Roman" w:cs="Times New Roman"/>
      <w:sz w:val="20"/>
    </w:rPr>
  </w:style>
  <w:style w:type="character" w:styleId="FootnoteReference">
    <w:name w:val="footnote reference"/>
    <w:semiHidden/>
    <w:rsid w:val="004928DC"/>
    <w:rPr>
      <w:vertAlign w:val="superscript"/>
    </w:rPr>
  </w:style>
  <w:style w:type="character" w:styleId="FollowedHyperlink">
    <w:name w:val="FollowedHyperlink"/>
    <w:rsid w:val="008C4290"/>
    <w:rPr>
      <w:color w:val="800080"/>
      <w:u w:val="single"/>
    </w:rPr>
  </w:style>
  <w:style w:type="character" w:customStyle="1" w:styleId="HeaderChar">
    <w:name w:val="Header Char"/>
    <w:link w:val="Header"/>
    <w:uiPriority w:val="99"/>
    <w:rsid w:val="00CF65E8"/>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11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easury.nt.gov.au/PMS/Publications/TaxesRoyaltiesGrants/GeneralAdmin/CG-GEN-002.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treasury.nt.gov.au/PMS/Publications/TaxesRoyaltiesGrants/HomeOwnerIncent/F-HI-008.pdf" TargetMode="External"/><Relationship Id="rId17" Type="http://schemas.openxmlformats.org/officeDocument/2006/relationships/hyperlink" Target="http://www.revenue.nt.gov.au/" TargetMode="External"/><Relationship Id="rId2" Type="http://schemas.openxmlformats.org/officeDocument/2006/relationships/customXml" Target="../customXml/item2.xml"/><Relationship Id="rId16" Type="http://schemas.openxmlformats.org/officeDocument/2006/relationships/hyperlink" Target="mailto:ntrevenue@nt.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easury.nt.gov.au/PMS/Publications/TaxesRoyaltiesGrants/HomeOwnerIncent/F-HI-003.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http://www.treasury.nt.gov.au/PMS/Publications/TaxesRoyaltiesGrants/StampDuty/CG-SD-001.pdf"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reasury.nt.gov.au/PMS/Publications/TaxesRoyaltiesGrants/GeneralAdmin/CG-GEN-001.pdf"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treasury.nt.gov.au/PMS/Publications/TaxesRoyaltiesGrants/GeneralAdmin/CG-GEN-002.pdf" TargetMode="External"/><Relationship Id="rId2" Type="http://schemas.openxmlformats.org/officeDocument/2006/relationships/hyperlink" Target="http://www.treasury.nt.gov.au/PMS/Publications/TaxesRoyaltiesGrants/GeneralAdmin/CG-GEN-005.pdf" TargetMode="External"/><Relationship Id="rId1" Type="http://schemas.openxmlformats.org/officeDocument/2006/relationships/hyperlink" Target="http://www.treasury.nt.gov.au/PMS/Publications/TaxesRoyaltiesGrants/GeneralAdmin/CG-GEN-002.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_x0020_Type_x0020_Topic xmlns="378e824e-6e02-4c0d-8321-dd86fba681ee" xsi:nil="true"/>
    <Main_x0020_Category xmlns="378e824e-6e02-4c0d-8321-dd86fba681ee">6</Main_x0020_Category>
    <Tax_x0020_Type xmlns="378e824e-6e02-4c0d-8321-dd86fba681ee">Stamp Duty (SD)</Tax_x0020_Type>
    <Publication_x0020_Title xmlns="378e824e-6e02-4c0d-8321-dd86fba681ee">Eligible conditional agreements – extension of time to lodge instrument and pay duty</Publication_x0020_Title>
    <Details xmlns="378e824e-6e02-4c0d-8321-dd86fba681ee" xsi:nil="true"/>
    <Identifier xmlns="378e824e-6e02-4c0d-8321-dd86fba681ee">CG-SD-002</Identifier>
    <Publication_x0020_Type xmlns="378e824e-6e02-4c0d-8321-dd86fba681ee">Commissioner's Guidelines (CG)</Publication_x0020_Type>
    <Sub_x0020_Sub_x0020_Category xmlns="378e824e-6e02-4c0d-8321-dd86fba681ee" xsi:nil="true"/>
    <Release_x0020_Date xmlns="378e824e-6e02-4c0d-8321-dd86fba681ee">2016-05-23T14:30:00+00:00</Release_x0020_Date>
    <Sub_x0020_Category xmlns="378e824e-6e02-4c0d-8321-dd86fba681ee">24</Sub_x0020_Category>
    <Notify xmlns="378e824e-6e02-4c0d-8321-dd86fba681ee">false</Notify>
  </documentManagement>
</p:properties>
</file>

<file path=customXml/itemProps1.xml><?xml version="1.0" encoding="utf-8"?>
<ds:datastoreItem xmlns:ds="http://schemas.openxmlformats.org/officeDocument/2006/customXml" ds:itemID="{E1786F77-B33C-44A4-BB28-2B22847D5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FF1A06-8B7B-4120-A9E2-8FB65FF4ED34}">
  <ds:schemaRefs>
    <ds:schemaRef ds:uri="http://schemas.microsoft.com/sharepoint/v3/contenttype/forms"/>
  </ds:schemaRefs>
</ds:datastoreItem>
</file>

<file path=customXml/itemProps3.xml><?xml version="1.0" encoding="utf-8"?>
<ds:datastoreItem xmlns:ds="http://schemas.openxmlformats.org/officeDocument/2006/customXml" ds:itemID="{97BE6E80-1AE4-4EAB-856D-2536E27F6D95}">
  <ds:schemaRefs>
    <ds:schemaRef ds:uri="http://schemas.microsoft.com/office/2006/metadata/properties"/>
    <ds:schemaRef ds:uri="http://schemas.microsoft.com/office/infopath/2007/PartnerControls"/>
    <ds:schemaRef ds:uri="378e824e-6e02-4c0d-8321-dd86fba681e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1664</Words>
  <Characters>9491</Characters>
  <Application>Microsoft Office Word</Application>
  <DocSecurity>8</DocSecurity>
  <Lines>79</Lines>
  <Paragraphs>22</Paragraphs>
  <ScaleCrop>false</ScaleCrop>
  <HeadingPairs>
    <vt:vector size="2" baseType="variant">
      <vt:variant>
        <vt:lpstr>Title</vt:lpstr>
      </vt:variant>
      <vt:variant>
        <vt:i4>1</vt:i4>
      </vt:variant>
    </vt:vector>
  </HeadingPairs>
  <TitlesOfParts>
    <vt:vector size="1" baseType="lpstr">
      <vt:lpstr>Our Ref:</vt:lpstr>
    </vt:vector>
  </TitlesOfParts>
  <Company>Northern Territory Government</Company>
  <LinksUpToDate>false</LinksUpToDate>
  <CharactersWithSpaces>11133</CharactersWithSpaces>
  <SharedDoc>false</SharedDoc>
  <HLinks>
    <vt:vector size="60" baseType="variant">
      <vt:variant>
        <vt:i4>5242895</vt:i4>
      </vt:variant>
      <vt:variant>
        <vt:i4>18</vt:i4>
      </vt:variant>
      <vt:variant>
        <vt:i4>0</vt:i4>
      </vt:variant>
      <vt:variant>
        <vt:i4>5</vt:i4>
      </vt:variant>
      <vt:variant>
        <vt:lpwstr>http://www.revenue.nt.gov.au/</vt:lpwstr>
      </vt:variant>
      <vt:variant>
        <vt:lpwstr/>
      </vt:variant>
      <vt:variant>
        <vt:i4>7798799</vt:i4>
      </vt:variant>
      <vt:variant>
        <vt:i4>15</vt:i4>
      </vt:variant>
      <vt:variant>
        <vt:i4>0</vt:i4>
      </vt:variant>
      <vt:variant>
        <vt:i4>5</vt:i4>
      </vt:variant>
      <vt:variant>
        <vt:lpwstr>mailto:ntrevenue@nt.gov.au</vt:lpwstr>
      </vt:variant>
      <vt:variant>
        <vt:lpwstr/>
      </vt:variant>
      <vt:variant>
        <vt:i4>2883638</vt:i4>
      </vt:variant>
      <vt:variant>
        <vt:i4>12</vt:i4>
      </vt:variant>
      <vt:variant>
        <vt:i4>0</vt:i4>
      </vt:variant>
      <vt:variant>
        <vt:i4>5</vt:i4>
      </vt:variant>
      <vt:variant>
        <vt:lpwstr>http://www.treasury.nt.gov.au/PMS/Publications/TaxesRoyaltiesGrants/GeneralAdmin/CG-GEN-001.pdf</vt:lpwstr>
      </vt:variant>
      <vt:variant>
        <vt:lpwstr/>
      </vt:variant>
      <vt:variant>
        <vt:i4>2883637</vt:i4>
      </vt:variant>
      <vt:variant>
        <vt:i4>9</vt:i4>
      </vt:variant>
      <vt:variant>
        <vt:i4>0</vt:i4>
      </vt:variant>
      <vt:variant>
        <vt:i4>5</vt:i4>
      </vt:variant>
      <vt:variant>
        <vt:lpwstr>http://www.treasury.nt.gov.au/PMS/Publications/TaxesRoyaltiesGrants/GeneralAdmin/CG-GEN-002.pdf</vt:lpwstr>
      </vt:variant>
      <vt:variant>
        <vt:lpwstr/>
      </vt:variant>
      <vt:variant>
        <vt:i4>5898316</vt:i4>
      </vt:variant>
      <vt:variant>
        <vt:i4>6</vt:i4>
      </vt:variant>
      <vt:variant>
        <vt:i4>0</vt:i4>
      </vt:variant>
      <vt:variant>
        <vt:i4>5</vt:i4>
      </vt:variant>
      <vt:variant>
        <vt:lpwstr>http://www.treasury.nt.gov.au/PMS/Publications/TaxesRoyaltiesGrants/HomeOwnerIncent/F-HI-008.pdf</vt:lpwstr>
      </vt:variant>
      <vt:variant>
        <vt:lpwstr/>
      </vt:variant>
      <vt:variant>
        <vt:i4>5308492</vt:i4>
      </vt:variant>
      <vt:variant>
        <vt:i4>3</vt:i4>
      </vt:variant>
      <vt:variant>
        <vt:i4>0</vt:i4>
      </vt:variant>
      <vt:variant>
        <vt:i4>5</vt:i4>
      </vt:variant>
      <vt:variant>
        <vt:lpwstr>http://www.treasury.nt.gov.au/PMS/Publications/TaxesRoyaltiesGrants/HomeOwnerIncent/F-HI-003.pdf</vt:lpwstr>
      </vt:variant>
      <vt:variant>
        <vt:lpwstr/>
      </vt:variant>
      <vt:variant>
        <vt:i4>3538985</vt:i4>
      </vt:variant>
      <vt:variant>
        <vt:i4>0</vt:i4>
      </vt:variant>
      <vt:variant>
        <vt:i4>0</vt:i4>
      </vt:variant>
      <vt:variant>
        <vt:i4>5</vt:i4>
      </vt:variant>
      <vt:variant>
        <vt:lpwstr>http://www.treasury.nt.gov.au/PMS/Publications/TaxesRoyaltiesGrants/StampDuty/CG-SD-001.pdf</vt:lpwstr>
      </vt:variant>
      <vt:variant>
        <vt:lpwstr/>
      </vt:variant>
      <vt:variant>
        <vt:i4>2883637</vt:i4>
      </vt:variant>
      <vt:variant>
        <vt:i4>6</vt:i4>
      </vt:variant>
      <vt:variant>
        <vt:i4>0</vt:i4>
      </vt:variant>
      <vt:variant>
        <vt:i4>5</vt:i4>
      </vt:variant>
      <vt:variant>
        <vt:lpwstr>http://www.treasury.nt.gov.au/PMS/Publications/TaxesRoyaltiesGrants/GeneralAdmin/CG-GEN-002.pdf</vt:lpwstr>
      </vt:variant>
      <vt:variant>
        <vt:lpwstr/>
      </vt:variant>
      <vt:variant>
        <vt:i4>2883634</vt:i4>
      </vt:variant>
      <vt:variant>
        <vt:i4>3</vt:i4>
      </vt:variant>
      <vt:variant>
        <vt:i4>0</vt:i4>
      </vt:variant>
      <vt:variant>
        <vt:i4>5</vt:i4>
      </vt:variant>
      <vt:variant>
        <vt:lpwstr>http://www.treasury.nt.gov.au/PMS/Publications/TaxesRoyaltiesGrants/GeneralAdmin/CG-GEN-005.pdf</vt:lpwstr>
      </vt:variant>
      <vt:variant>
        <vt:lpwstr/>
      </vt:variant>
      <vt:variant>
        <vt:i4>2883637</vt:i4>
      </vt:variant>
      <vt:variant>
        <vt:i4>0</vt:i4>
      </vt:variant>
      <vt:variant>
        <vt:i4>0</vt:i4>
      </vt:variant>
      <vt:variant>
        <vt:i4>5</vt:i4>
      </vt:variant>
      <vt:variant>
        <vt:lpwstr>http://www.treasury.nt.gov.au/PMS/Publications/TaxesRoyaltiesGrants/GeneralAdmin/CG-GEN-002.pdf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Eligible conditional agreements – extension of time to lodge instrument and pay duty</dc:title>
  <dc:creator>eclark</dc:creator>
  <cp:lastModifiedBy>Jessica Symonds</cp:lastModifiedBy>
  <cp:revision>5</cp:revision>
  <cp:lastPrinted>2012-12-07T00:25:00Z</cp:lastPrinted>
  <dcterms:created xsi:type="dcterms:W3CDTF">2016-05-23T05:51:00Z</dcterms:created>
  <dcterms:modified xsi:type="dcterms:W3CDTF">2021-09-12T23:38:00Z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0x010100AE1D68356F7FB54A917EB6B48522F7AB</vt:lpwstr>
  </property>
</Properties>
</file>