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r w:rsidR="00513926">
        <w:t xml:space="preserve"> </w:t>
      </w:r>
    </w:p>
    <w:p w:rsidR="00C27A0A" w:rsidRPr="00C27A0A" w:rsidRDefault="00513926" w:rsidP="00C27A0A">
      <w:pPr>
        <w:pStyle w:val="HeadingOne"/>
      </w:pPr>
      <w:r>
        <w:t>CG</w:t>
      </w:r>
      <w:r w:rsidR="00C27A0A" w:rsidRPr="00C27A0A">
        <w:t>-</w:t>
      </w:r>
      <w:r w:rsidR="00497D80">
        <w:t>SD</w:t>
      </w:r>
      <w:r w:rsidR="00C27A0A" w:rsidRPr="00C27A0A">
        <w:t>-</w:t>
      </w:r>
      <w:r w:rsidR="00497D80">
        <w:t>001</w:t>
      </w:r>
      <w:r>
        <w:t>:</w:t>
      </w:r>
      <w:r w:rsidR="00C27A0A" w:rsidRPr="00C27A0A">
        <w:t xml:space="preserve"> </w:t>
      </w:r>
      <w:r w:rsidR="00497D80">
        <w:t>Document lodgement and payment periods</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80669B" w:rsidTr="0080669B">
        <w:trPr>
          <w:jc w:val="center"/>
        </w:trPr>
        <w:tc>
          <w:tcPr>
            <w:tcW w:w="1030" w:type="dxa"/>
            <w:vMerge w:val="restart"/>
          </w:tcPr>
          <w:p w:rsidR="00F65356" w:rsidRPr="0080669B" w:rsidRDefault="00F65356" w:rsidP="0080669B">
            <w:pPr>
              <w:jc w:val="center"/>
              <w:rPr>
                <w:b/>
                <w:sz w:val="18"/>
                <w:szCs w:val="18"/>
              </w:rPr>
            </w:pPr>
            <w:r w:rsidRPr="0080669B">
              <w:rPr>
                <w:b/>
                <w:sz w:val="18"/>
                <w:szCs w:val="18"/>
              </w:rPr>
              <w:t>Version</w:t>
            </w:r>
          </w:p>
        </w:tc>
        <w:tc>
          <w:tcPr>
            <w:tcW w:w="1848" w:type="dxa"/>
            <w:vMerge w:val="restart"/>
            <w:tcBorders>
              <w:right w:val="single" w:sz="4" w:space="0" w:color="auto"/>
            </w:tcBorders>
          </w:tcPr>
          <w:p w:rsidR="00F65356" w:rsidRPr="0080669B" w:rsidRDefault="00F65356" w:rsidP="0080669B">
            <w:pPr>
              <w:jc w:val="center"/>
              <w:rPr>
                <w:b/>
                <w:sz w:val="18"/>
                <w:szCs w:val="18"/>
              </w:rPr>
            </w:pPr>
            <w:r w:rsidRPr="0080669B">
              <w:rPr>
                <w:b/>
                <w:sz w:val="18"/>
                <w:szCs w:val="18"/>
              </w:rPr>
              <w:t>Issued</w:t>
            </w:r>
          </w:p>
        </w:tc>
        <w:tc>
          <w:tcPr>
            <w:tcW w:w="3552" w:type="dxa"/>
            <w:gridSpan w:val="2"/>
            <w:tcBorders>
              <w:top w:val="single" w:sz="4" w:space="0" w:color="auto"/>
              <w:left w:val="single" w:sz="4" w:space="0" w:color="auto"/>
              <w:bottom w:val="nil"/>
              <w:right w:val="single" w:sz="4" w:space="0" w:color="auto"/>
            </w:tcBorders>
          </w:tcPr>
          <w:p w:rsidR="00F65356" w:rsidRPr="0080669B" w:rsidRDefault="00F65356" w:rsidP="0080669B">
            <w:pPr>
              <w:jc w:val="center"/>
              <w:rPr>
                <w:b/>
                <w:sz w:val="18"/>
                <w:szCs w:val="18"/>
              </w:rPr>
            </w:pPr>
            <w:r w:rsidRPr="0080669B">
              <w:rPr>
                <w:b/>
                <w:sz w:val="18"/>
                <w:szCs w:val="18"/>
              </w:rPr>
              <w:t>Dates of Effect</w:t>
            </w:r>
          </w:p>
        </w:tc>
      </w:tr>
      <w:tr w:rsidR="00F65356" w:rsidRPr="0080669B" w:rsidTr="0080669B">
        <w:trPr>
          <w:jc w:val="center"/>
        </w:trPr>
        <w:tc>
          <w:tcPr>
            <w:tcW w:w="1030" w:type="dxa"/>
            <w:vMerge/>
          </w:tcPr>
          <w:p w:rsidR="00F65356" w:rsidRPr="0080669B" w:rsidRDefault="00F65356" w:rsidP="0080669B">
            <w:pPr>
              <w:jc w:val="center"/>
              <w:rPr>
                <w:sz w:val="18"/>
                <w:szCs w:val="18"/>
              </w:rPr>
            </w:pPr>
          </w:p>
        </w:tc>
        <w:tc>
          <w:tcPr>
            <w:tcW w:w="1848" w:type="dxa"/>
            <w:vMerge/>
            <w:tcBorders>
              <w:right w:val="single" w:sz="4" w:space="0" w:color="auto"/>
            </w:tcBorders>
          </w:tcPr>
          <w:p w:rsidR="00F65356" w:rsidRPr="0080669B" w:rsidRDefault="00F65356" w:rsidP="0080669B">
            <w:pPr>
              <w:jc w:val="center"/>
              <w:rPr>
                <w:sz w:val="18"/>
                <w:szCs w:val="18"/>
              </w:rPr>
            </w:pPr>
          </w:p>
        </w:tc>
        <w:tc>
          <w:tcPr>
            <w:tcW w:w="1710" w:type="dxa"/>
            <w:tcBorders>
              <w:top w:val="nil"/>
              <w:left w:val="single" w:sz="4" w:space="0" w:color="auto"/>
              <w:bottom w:val="single" w:sz="4" w:space="0" w:color="auto"/>
              <w:right w:val="nil"/>
            </w:tcBorders>
          </w:tcPr>
          <w:p w:rsidR="00F65356" w:rsidRPr="0080669B" w:rsidRDefault="00F65356" w:rsidP="00AD2225">
            <w:pPr>
              <w:rPr>
                <w:b/>
                <w:sz w:val="18"/>
                <w:szCs w:val="18"/>
              </w:rPr>
            </w:pPr>
            <w:r w:rsidRPr="0080669B">
              <w:rPr>
                <w:b/>
                <w:sz w:val="18"/>
                <w:szCs w:val="18"/>
              </w:rPr>
              <w:t>From:</w:t>
            </w:r>
          </w:p>
        </w:tc>
        <w:tc>
          <w:tcPr>
            <w:tcW w:w="1842" w:type="dxa"/>
            <w:tcBorders>
              <w:top w:val="nil"/>
              <w:left w:val="nil"/>
              <w:bottom w:val="single" w:sz="4" w:space="0" w:color="auto"/>
              <w:right w:val="single" w:sz="4" w:space="0" w:color="auto"/>
            </w:tcBorders>
          </w:tcPr>
          <w:p w:rsidR="00F65356" w:rsidRPr="0080669B" w:rsidRDefault="00F65356" w:rsidP="00AD2225">
            <w:pPr>
              <w:rPr>
                <w:b/>
                <w:sz w:val="18"/>
                <w:szCs w:val="18"/>
              </w:rPr>
            </w:pPr>
            <w:r w:rsidRPr="0080669B">
              <w:rPr>
                <w:b/>
                <w:sz w:val="18"/>
                <w:szCs w:val="18"/>
              </w:rPr>
              <w:t xml:space="preserve">To: </w:t>
            </w:r>
          </w:p>
        </w:tc>
      </w:tr>
      <w:tr w:rsidR="00497D80" w:rsidRPr="0080669B" w:rsidTr="0080669B">
        <w:trPr>
          <w:jc w:val="center"/>
        </w:trPr>
        <w:tc>
          <w:tcPr>
            <w:tcW w:w="1030" w:type="dxa"/>
          </w:tcPr>
          <w:p w:rsidR="00497D80" w:rsidRPr="0080669B" w:rsidRDefault="00497D80" w:rsidP="0080669B">
            <w:pPr>
              <w:tabs>
                <w:tab w:val="center" w:pos="702"/>
              </w:tabs>
              <w:jc w:val="center"/>
              <w:rPr>
                <w:sz w:val="18"/>
                <w:szCs w:val="18"/>
              </w:rPr>
            </w:pPr>
            <w:r w:rsidRPr="0080669B">
              <w:rPr>
                <w:sz w:val="18"/>
                <w:szCs w:val="18"/>
              </w:rPr>
              <w:t>1</w:t>
            </w:r>
          </w:p>
        </w:tc>
        <w:tc>
          <w:tcPr>
            <w:tcW w:w="1848" w:type="dxa"/>
          </w:tcPr>
          <w:p w:rsidR="00497D80" w:rsidRPr="0080669B" w:rsidRDefault="00497D80" w:rsidP="0080669B">
            <w:pPr>
              <w:tabs>
                <w:tab w:val="center" w:pos="702"/>
              </w:tabs>
              <w:rPr>
                <w:sz w:val="18"/>
                <w:szCs w:val="18"/>
              </w:rPr>
            </w:pPr>
            <w:r w:rsidRPr="0080669B">
              <w:rPr>
                <w:sz w:val="18"/>
                <w:szCs w:val="18"/>
              </w:rPr>
              <w:t>29 April 2005</w:t>
            </w:r>
          </w:p>
        </w:tc>
        <w:tc>
          <w:tcPr>
            <w:tcW w:w="1710" w:type="dxa"/>
            <w:tcBorders>
              <w:top w:val="single" w:sz="4" w:space="0" w:color="auto"/>
              <w:bottom w:val="single" w:sz="4" w:space="0" w:color="auto"/>
            </w:tcBorders>
          </w:tcPr>
          <w:p w:rsidR="00497D80" w:rsidRPr="0080669B" w:rsidRDefault="00497D80" w:rsidP="0080669B">
            <w:pPr>
              <w:tabs>
                <w:tab w:val="center" w:pos="702"/>
              </w:tabs>
              <w:rPr>
                <w:sz w:val="18"/>
                <w:szCs w:val="18"/>
              </w:rPr>
            </w:pPr>
            <w:r w:rsidRPr="0080669B">
              <w:rPr>
                <w:sz w:val="18"/>
                <w:szCs w:val="18"/>
              </w:rPr>
              <w:t>29 April 2005</w:t>
            </w:r>
          </w:p>
        </w:tc>
        <w:tc>
          <w:tcPr>
            <w:tcW w:w="1842" w:type="dxa"/>
            <w:tcBorders>
              <w:top w:val="single" w:sz="4" w:space="0" w:color="auto"/>
              <w:bottom w:val="single" w:sz="4" w:space="0" w:color="auto"/>
            </w:tcBorders>
          </w:tcPr>
          <w:p w:rsidR="00497D80" w:rsidRPr="0080669B" w:rsidRDefault="00497D80" w:rsidP="0080669B">
            <w:pPr>
              <w:tabs>
                <w:tab w:val="center" w:pos="702"/>
              </w:tabs>
              <w:rPr>
                <w:sz w:val="18"/>
                <w:szCs w:val="18"/>
              </w:rPr>
            </w:pPr>
            <w:r w:rsidRPr="0080669B">
              <w:rPr>
                <w:sz w:val="18"/>
                <w:szCs w:val="18"/>
              </w:rPr>
              <w:t>30 June 2006</w:t>
            </w:r>
          </w:p>
        </w:tc>
      </w:tr>
      <w:tr w:rsidR="00497D80" w:rsidRPr="0080669B" w:rsidTr="0080669B">
        <w:trPr>
          <w:jc w:val="center"/>
        </w:trPr>
        <w:tc>
          <w:tcPr>
            <w:tcW w:w="1030" w:type="dxa"/>
          </w:tcPr>
          <w:p w:rsidR="00497D80" w:rsidRPr="0080669B" w:rsidRDefault="00497D80" w:rsidP="0080669B">
            <w:pPr>
              <w:tabs>
                <w:tab w:val="center" w:pos="702"/>
              </w:tabs>
              <w:jc w:val="center"/>
              <w:rPr>
                <w:sz w:val="18"/>
                <w:szCs w:val="18"/>
              </w:rPr>
            </w:pPr>
            <w:r w:rsidRPr="0080669B">
              <w:rPr>
                <w:sz w:val="18"/>
                <w:szCs w:val="18"/>
              </w:rPr>
              <w:t>2</w:t>
            </w:r>
          </w:p>
        </w:tc>
        <w:tc>
          <w:tcPr>
            <w:tcW w:w="1848" w:type="dxa"/>
          </w:tcPr>
          <w:p w:rsidR="00497D80" w:rsidRPr="0080669B" w:rsidRDefault="00497D80" w:rsidP="0080669B">
            <w:pPr>
              <w:tabs>
                <w:tab w:val="center" w:pos="702"/>
              </w:tabs>
              <w:rPr>
                <w:sz w:val="18"/>
                <w:szCs w:val="18"/>
              </w:rPr>
            </w:pPr>
            <w:r w:rsidRPr="0080669B">
              <w:rPr>
                <w:sz w:val="18"/>
                <w:szCs w:val="18"/>
              </w:rPr>
              <w:t>29 June 2006</w:t>
            </w:r>
          </w:p>
        </w:tc>
        <w:tc>
          <w:tcPr>
            <w:tcW w:w="1710" w:type="dxa"/>
            <w:tcBorders>
              <w:top w:val="single" w:sz="4" w:space="0" w:color="auto"/>
              <w:bottom w:val="single" w:sz="4" w:space="0" w:color="auto"/>
            </w:tcBorders>
          </w:tcPr>
          <w:p w:rsidR="00497D80" w:rsidRPr="0080669B" w:rsidRDefault="00497D80" w:rsidP="0080669B">
            <w:pPr>
              <w:tabs>
                <w:tab w:val="center" w:pos="702"/>
              </w:tabs>
              <w:rPr>
                <w:sz w:val="18"/>
                <w:szCs w:val="18"/>
              </w:rPr>
            </w:pPr>
            <w:r w:rsidRPr="0080669B">
              <w:rPr>
                <w:sz w:val="18"/>
                <w:szCs w:val="18"/>
              </w:rPr>
              <w:t>1 July 2006</w:t>
            </w:r>
          </w:p>
        </w:tc>
        <w:tc>
          <w:tcPr>
            <w:tcW w:w="1842" w:type="dxa"/>
            <w:tcBorders>
              <w:top w:val="single" w:sz="4" w:space="0" w:color="auto"/>
              <w:bottom w:val="single" w:sz="4" w:space="0" w:color="auto"/>
            </w:tcBorders>
          </w:tcPr>
          <w:p w:rsidR="00497D80" w:rsidRPr="0080669B" w:rsidRDefault="00497D80" w:rsidP="0080669B">
            <w:pPr>
              <w:tabs>
                <w:tab w:val="center" w:pos="702"/>
              </w:tabs>
              <w:rPr>
                <w:sz w:val="18"/>
                <w:szCs w:val="18"/>
              </w:rPr>
            </w:pPr>
            <w:r w:rsidRPr="0080669B">
              <w:rPr>
                <w:sz w:val="18"/>
                <w:szCs w:val="18"/>
              </w:rPr>
              <w:t>31 December 2007</w:t>
            </w:r>
          </w:p>
        </w:tc>
      </w:tr>
      <w:tr w:rsidR="00497D80" w:rsidRPr="0080669B" w:rsidTr="0080669B">
        <w:trPr>
          <w:jc w:val="center"/>
        </w:trPr>
        <w:tc>
          <w:tcPr>
            <w:tcW w:w="1030" w:type="dxa"/>
          </w:tcPr>
          <w:p w:rsidR="00497D80" w:rsidRPr="0080669B" w:rsidRDefault="00497D80" w:rsidP="0080669B">
            <w:pPr>
              <w:tabs>
                <w:tab w:val="center" w:pos="702"/>
              </w:tabs>
              <w:jc w:val="center"/>
              <w:rPr>
                <w:sz w:val="18"/>
                <w:szCs w:val="18"/>
              </w:rPr>
            </w:pPr>
            <w:r w:rsidRPr="0080669B">
              <w:rPr>
                <w:sz w:val="18"/>
                <w:szCs w:val="18"/>
              </w:rPr>
              <w:t>3</w:t>
            </w:r>
          </w:p>
        </w:tc>
        <w:tc>
          <w:tcPr>
            <w:tcW w:w="1848" w:type="dxa"/>
          </w:tcPr>
          <w:p w:rsidR="00497D80" w:rsidRPr="0080669B" w:rsidRDefault="00497D80" w:rsidP="0080669B">
            <w:pPr>
              <w:tabs>
                <w:tab w:val="center" w:pos="702"/>
              </w:tabs>
              <w:rPr>
                <w:sz w:val="18"/>
                <w:szCs w:val="18"/>
              </w:rPr>
            </w:pPr>
            <w:r w:rsidRPr="0080669B">
              <w:rPr>
                <w:sz w:val="18"/>
                <w:szCs w:val="18"/>
              </w:rPr>
              <w:t>20 February 2008</w:t>
            </w:r>
          </w:p>
        </w:tc>
        <w:tc>
          <w:tcPr>
            <w:tcW w:w="1710" w:type="dxa"/>
            <w:tcBorders>
              <w:top w:val="single" w:sz="4" w:space="0" w:color="auto"/>
            </w:tcBorders>
          </w:tcPr>
          <w:p w:rsidR="00497D80" w:rsidRPr="0080669B" w:rsidRDefault="00497D80" w:rsidP="0080669B">
            <w:pPr>
              <w:tabs>
                <w:tab w:val="center" w:pos="702"/>
              </w:tabs>
              <w:rPr>
                <w:sz w:val="18"/>
                <w:szCs w:val="18"/>
              </w:rPr>
            </w:pPr>
            <w:r w:rsidRPr="0080669B">
              <w:rPr>
                <w:sz w:val="18"/>
                <w:szCs w:val="18"/>
              </w:rPr>
              <w:t>1 January 2008</w:t>
            </w:r>
          </w:p>
        </w:tc>
        <w:tc>
          <w:tcPr>
            <w:tcW w:w="1842" w:type="dxa"/>
            <w:tcBorders>
              <w:top w:val="single" w:sz="4" w:space="0" w:color="auto"/>
            </w:tcBorders>
          </w:tcPr>
          <w:p w:rsidR="00497D80" w:rsidRPr="0080669B" w:rsidRDefault="00497D80" w:rsidP="0080669B">
            <w:pPr>
              <w:tabs>
                <w:tab w:val="center" w:pos="702"/>
              </w:tabs>
              <w:rPr>
                <w:sz w:val="18"/>
                <w:szCs w:val="18"/>
              </w:rPr>
            </w:pPr>
            <w:r w:rsidRPr="0080669B">
              <w:rPr>
                <w:sz w:val="18"/>
                <w:szCs w:val="18"/>
              </w:rPr>
              <w:t>Current</w:t>
            </w:r>
          </w:p>
        </w:tc>
      </w:tr>
    </w:tbl>
    <w:p w:rsidR="00497D80" w:rsidRPr="00497D80" w:rsidRDefault="00497D80" w:rsidP="00497D80">
      <w:pPr>
        <w:pStyle w:val="HeadingTwo"/>
      </w:pPr>
      <w:r w:rsidRPr="00733450">
        <w:t>Purpose</w:t>
      </w:r>
    </w:p>
    <w:p w:rsidR="00497D80" w:rsidRPr="00497D80" w:rsidRDefault="00497D80" w:rsidP="00497D80">
      <w:pPr>
        <w:pStyle w:val="BlockText"/>
      </w:pPr>
      <w:r>
        <w:t xml:space="preserve">This Guideline </w:t>
      </w:r>
      <w:r w:rsidRPr="00B3462F">
        <w:t xml:space="preserve">details the lodgement and payment periods for stamp duty on dutiable </w:t>
      </w:r>
      <w:r>
        <w:t>instruments</w:t>
      </w:r>
      <w:r w:rsidRPr="00B3462F">
        <w:t>, provides information to assist lodging parties to comply with these requirements and sets out the circumstances where the payment date will be extended.</w:t>
      </w:r>
    </w:p>
    <w:p w:rsidR="00497D80" w:rsidRPr="00497D80" w:rsidRDefault="00497D80" w:rsidP="00497D80">
      <w:pPr>
        <w:pStyle w:val="HeadingTwo"/>
      </w:pPr>
      <w:r>
        <w:t>Background</w:t>
      </w:r>
    </w:p>
    <w:p w:rsidR="00497D80" w:rsidRPr="00497D80" w:rsidRDefault="00497D80" w:rsidP="00497D80">
      <w:pPr>
        <w:pStyle w:val="BlockText"/>
      </w:pPr>
      <w:r w:rsidRPr="00B3462F">
        <w:t xml:space="preserve">The </w:t>
      </w:r>
      <w:r w:rsidRPr="00B3462F">
        <w:rPr>
          <w:i/>
        </w:rPr>
        <w:t>Stamp Duty Act</w:t>
      </w:r>
      <w:r w:rsidRPr="00B3462F">
        <w:t xml:space="preserve"> (SDA) requires that where a</w:t>
      </w:r>
      <w:r>
        <w:t xml:space="preserve"> dutiable instrument</w:t>
      </w:r>
      <w:r w:rsidRPr="00B3462F">
        <w:t xml:space="preserve"> is required to be lodged for assessment, then within 60 days after it is first executed (or, if it becomes legally effective without execution, 60 days after it becomes legally effective):</w:t>
      </w:r>
    </w:p>
    <w:p w:rsidR="00497D80" w:rsidRPr="00B3462F" w:rsidRDefault="00497D80" w:rsidP="00497D80">
      <w:pPr>
        <w:pStyle w:val="BlockText"/>
        <w:numPr>
          <w:ilvl w:val="1"/>
          <w:numId w:val="3"/>
        </w:numPr>
      </w:pPr>
      <w:r w:rsidRPr="00B3462F">
        <w:t>the instrument must be lodged for assessment;</w:t>
      </w:r>
      <w:r w:rsidRPr="00B3462F">
        <w:rPr>
          <w:vertAlign w:val="superscript"/>
        </w:rPr>
        <w:footnoteReference w:id="1"/>
      </w:r>
      <w:r>
        <w:t xml:space="preserve"> </w:t>
      </w:r>
      <w:r w:rsidRPr="00B3462F">
        <w:t>and</w:t>
      </w:r>
    </w:p>
    <w:p w:rsidR="00497D80" w:rsidRPr="00497D80" w:rsidRDefault="00497D80" w:rsidP="00497D80">
      <w:pPr>
        <w:pStyle w:val="BlockText"/>
        <w:numPr>
          <w:ilvl w:val="1"/>
          <w:numId w:val="3"/>
        </w:numPr>
      </w:pPr>
      <w:r w:rsidRPr="00B3462F">
        <w:t xml:space="preserve">any stamp duty on the dutiable </w:t>
      </w:r>
      <w:r>
        <w:t>instrument</w:t>
      </w:r>
      <w:r w:rsidRPr="00B3462F">
        <w:t xml:space="preserve"> must be paid, unless the notice of assessment specifies a later due date for payment.</w:t>
      </w:r>
      <w:r w:rsidRPr="00B3462F">
        <w:rPr>
          <w:rStyle w:val="FootnoteReference"/>
          <w:sz w:val="24"/>
          <w:szCs w:val="24"/>
        </w:rPr>
        <w:footnoteReference w:id="2"/>
      </w:r>
    </w:p>
    <w:p w:rsidR="00497D80" w:rsidRPr="00B3462F" w:rsidRDefault="00497D80" w:rsidP="00497D80">
      <w:pPr>
        <w:pStyle w:val="BlockText"/>
      </w:pPr>
      <w:r w:rsidRPr="00B3462F">
        <w:t xml:space="preserve">This time frame applies regardless of where </w:t>
      </w:r>
      <w:r>
        <w:t>the dutiable instrument</w:t>
      </w:r>
      <w:r w:rsidRPr="00B3462F">
        <w:t xml:space="preserve"> was executed or when it was first received in the Territory.</w:t>
      </w:r>
      <w:r w:rsidRPr="00B3462F">
        <w:rPr>
          <w:rStyle w:val="FootnoteReference"/>
          <w:sz w:val="24"/>
          <w:szCs w:val="24"/>
        </w:rPr>
        <w:footnoteReference w:id="3"/>
      </w:r>
      <w:r w:rsidRPr="00B3462F">
        <w:t xml:space="preserve">  </w:t>
      </w:r>
    </w:p>
    <w:p w:rsidR="00497D80" w:rsidRPr="00497D80" w:rsidRDefault="00497D80" w:rsidP="00497D80">
      <w:pPr>
        <w:pStyle w:val="BlockText"/>
      </w:pPr>
      <w:r w:rsidRPr="00B3462F">
        <w:t>Similarly, a statement that is required to be lodged under Part 3, Division 8A of the SDA in relation to a relevant acquisition in a land-holding corporation or unit trust scheme must be lodged within 60 days after the date of the relevant acquisition.</w:t>
      </w:r>
      <w:r w:rsidRPr="00B3462F">
        <w:rPr>
          <w:vertAlign w:val="superscript"/>
        </w:rPr>
        <w:footnoteReference w:id="4"/>
      </w:r>
      <w:r w:rsidRPr="00B3462F">
        <w:t xml:space="preserve"> Any duty arising from the statement is to be paid:</w:t>
      </w:r>
    </w:p>
    <w:p w:rsidR="00497D80" w:rsidRPr="00B3462F" w:rsidRDefault="00497D80" w:rsidP="00497D80">
      <w:pPr>
        <w:pStyle w:val="BlockText"/>
        <w:numPr>
          <w:ilvl w:val="1"/>
          <w:numId w:val="3"/>
        </w:numPr>
      </w:pPr>
      <w:r w:rsidRPr="00B3462F">
        <w:t>within 60 days after the occurrence of the relevant acquisition;</w:t>
      </w:r>
      <w:r w:rsidRPr="00B3462F">
        <w:rPr>
          <w:vertAlign w:val="superscript"/>
        </w:rPr>
        <w:footnoteReference w:id="5"/>
      </w:r>
      <w:r w:rsidRPr="00B3462F">
        <w:t xml:space="preserve"> or</w:t>
      </w:r>
    </w:p>
    <w:p w:rsidR="00497D80" w:rsidRPr="00497D80" w:rsidRDefault="00497D80" w:rsidP="00497D80">
      <w:pPr>
        <w:pStyle w:val="BlockText"/>
        <w:numPr>
          <w:ilvl w:val="1"/>
          <w:numId w:val="3"/>
        </w:numPr>
      </w:pPr>
      <w:r w:rsidRPr="00B3462F">
        <w:t>by a date specified in the notice of assessment.</w:t>
      </w:r>
    </w:p>
    <w:p w:rsidR="00497D80" w:rsidRPr="00497D80" w:rsidRDefault="00497D80" w:rsidP="00497D80">
      <w:pPr>
        <w:pStyle w:val="BlockText"/>
      </w:pPr>
      <w:r w:rsidRPr="00B3462F">
        <w:t>As a general rule, a notice of assessment will not specify a later date than the 60-day period except in special circumstances. Details of the circumstances in which the payment date will be extended are detailed below.</w:t>
      </w:r>
    </w:p>
    <w:p w:rsidR="00497D80" w:rsidRPr="00497D80" w:rsidRDefault="00497D80" w:rsidP="00497D80">
      <w:pPr>
        <w:pStyle w:val="HeadingThree"/>
      </w:pPr>
      <w:r w:rsidRPr="00B3462F">
        <w:t>Extension of time to pay</w:t>
      </w:r>
      <w:r>
        <w:t xml:space="preserve"> by specifying a later date in the assessment</w:t>
      </w:r>
    </w:p>
    <w:p w:rsidR="00497D80" w:rsidRPr="00497D80" w:rsidRDefault="00497D80" w:rsidP="00497D80">
      <w:pPr>
        <w:pStyle w:val="BlockText"/>
      </w:pPr>
      <w:r w:rsidRPr="00B3462F">
        <w:t xml:space="preserve">As </w:t>
      </w:r>
      <w:r>
        <w:t xml:space="preserve">stated above, the </w:t>
      </w:r>
      <w:r w:rsidRPr="00B3462F">
        <w:t xml:space="preserve">Territory Revenue Office (TRO) </w:t>
      </w:r>
      <w:r>
        <w:t xml:space="preserve">will generally not </w:t>
      </w:r>
      <w:r w:rsidRPr="00B3462F">
        <w:t xml:space="preserve">specify a date </w:t>
      </w:r>
      <w:r>
        <w:t>in</w:t>
      </w:r>
      <w:r w:rsidRPr="00B3462F">
        <w:t xml:space="preserve"> a notice of assessment </w:t>
      </w:r>
      <w:r>
        <w:t xml:space="preserve">later </w:t>
      </w:r>
      <w:r w:rsidRPr="00B3462F">
        <w:t>than the 60-day period</w:t>
      </w:r>
      <w:r>
        <w:t xml:space="preserve">. However, </w:t>
      </w:r>
      <w:r w:rsidRPr="00B3462F">
        <w:t xml:space="preserve">TRO will extend the 60-day payment period </w:t>
      </w:r>
      <w:r>
        <w:t>only where</w:t>
      </w:r>
      <w:r w:rsidRPr="00B3462F">
        <w:t>:</w:t>
      </w:r>
    </w:p>
    <w:p w:rsidR="00497D80" w:rsidRPr="00B3462F" w:rsidRDefault="00497D80" w:rsidP="00497D80">
      <w:pPr>
        <w:pStyle w:val="BlockText"/>
        <w:numPr>
          <w:ilvl w:val="1"/>
          <w:numId w:val="3"/>
        </w:numPr>
      </w:pPr>
      <w:r w:rsidRPr="00B3462F">
        <w:lastRenderedPageBreak/>
        <w:t>the agreement is an eligible conditional agreement (including ‘off-the-plan’ pur</w:t>
      </w:r>
      <w:r>
        <w:t>chases of residential property);</w:t>
      </w:r>
      <w:r w:rsidRPr="00B3462F">
        <w:rPr>
          <w:vertAlign w:val="superscript"/>
        </w:rPr>
        <w:footnoteReference w:id="6"/>
      </w:r>
      <w:r w:rsidRPr="00B3462F">
        <w:rPr>
          <w:vertAlign w:val="superscript"/>
        </w:rPr>
        <w:t xml:space="preserve"> </w:t>
      </w:r>
      <w:r>
        <w:t>or</w:t>
      </w:r>
    </w:p>
    <w:p w:rsidR="00497D80" w:rsidRPr="00B3462F" w:rsidRDefault="00497D80" w:rsidP="00497D80">
      <w:pPr>
        <w:pStyle w:val="BlockText"/>
        <w:numPr>
          <w:ilvl w:val="1"/>
          <w:numId w:val="3"/>
        </w:numPr>
      </w:pPr>
      <w:r w:rsidRPr="00B3462F">
        <w:t>there has been an unreasonable delay by TRO in making an assessment</w:t>
      </w:r>
      <w:r>
        <w:t xml:space="preserve"> and the </w:t>
      </w:r>
      <w:r w:rsidRPr="00B3462F">
        <w:t xml:space="preserve">lodging party has </w:t>
      </w:r>
      <w:r>
        <w:t>fulfilled their</w:t>
      </w:r>
      <w:r w:rsidRPr="00B3462F">
        <w:t xml:space="preserve"> responsibility to ensure the document and all relevant information is lodged in sufficient time for the Commissioner </w:t>
      </w:r>
      <w:r w:rsidR="0082490F">
        <w:t xml:space="preserve">of Territory Revenue </w:t>
      </w:r>
      <w:r w:rsidRPr="00B3462F">
        <w:t>to issue the assessment within the 60</w:t>
      </w:r>
      <w:r>
        <w:t>-</w:t>
      </w:r>
      <w:r w:rsidRPr="00B3462F">
        <w:t>day period. A Stamp Duty Lodgement Guide</w:t>
      </w:r>
      <w:r w:rsidR="0082490F">
        <w:br/>
      </w:r>
      <w:r w:rsidR="00096084">
        <w:t>(</w:t>
      </w:r>
      <w:hyperlink r:id="rId10" w:history="1">
        <w:r w:rsidR="00096084" w:rsidRPr="00096084">
          <w:rPr>
            <w:rStyle w:val="Hyperlink"/>
          </w:rPr>
          <w:t>I-SD-001</w:t>
        </w:r>
      </w:hyperlink>
      <w:r w:rsidR="00096084">
        <w:t>)</w:t>
      </w:r>
      <w:r w:rsidRPr="00B3462F">
        <w:t xml:space="preserve"> has been published detailing the usual information required to assess most classes of documents.</w:t>
      </w:r>
    </w:p>
    <w:p w:rsidR="00497D80" w:rsidRPr="00497D80" w:rsidRDefault="00497D80" w:rsidP="00431B64">
      <w:pPr>
        <w:pStyle w:val="BlockText"/>
        <w:tabs>
          <w:tab w:val="num" w:pos="567"/>
        </w:tabs>
      </w:pPr>
      <w:r>
        <w:t>However, w</w:t>
      </w:r>
      <w:r w:rsidRPr="00B3462F">
        <w:t xml:space="preserve">here the fault of the delay lies with both the lodging party and TRO, the period for payment will not be extended, but </w:t>
      </w:r>
      <w:r>
        <w:t xml:space="preserve">interest and </w:t>
      </w:r>
      <w:r w:rsidRPr="00B3462F">
        <w:t>penalty tax may be reduced to reflect the extent that TRO is responsible for the delay.</w:t>
      </w:r>
    </w:p>
    <w:p w:rsidR="00497D80" w:rsidRPr="00497D80" w:rsidRDefault="00497D80" w:rsidP="00497D80">
      <w:pPr>
        <w:pStyle w:val="HeadingThree"/>
      </w:pPr>
      <w:r w:rsidRPr="00B3462F">
        <w:t>Failure to pay on time</w:t>
      </w:r>
    </w:p>
    <w:p w:rsidR="00497D80" w:rsidRDefault="00497D80" w:rsidP="00497D80">
      <w:pPr>
        <w:pStyle w:val="BlockText"/>
      </w:pPr>
      <w:r w:rsidRPr="00B3462F">
        <w:t>Failure to pay the duty within the requisite period</w:t>
      </w:r>
      <w:r>
        <w:t xml:space="preserve"> (the 60-day period or by the date set out in the notice of assessment)</w:t>
      </w:r>
      <w:r w:rsidRPr="00B3462F">
        <w:t xml:space="preserve"> is a tax default which will give rise to a liability for interest and penalty tax.</w:t>
      </w:r>
      <w:r w:rsidRPr="00B3462F">
        <w:rPr>
          <w:vertAlign w:val="superscript"/>
        </w:rPr>
        <w:footnoteReference w:id="7"/>
      </w:r>
      <w:r w:rsidRPr="00B3462F">
        <w:t xml:space="preserve"> The circumstances of the tax default will determine the level of interest and/or penalty tax payable. For details of these circumstances see Commissioner’s Guideline</w:t>
      </w:r>
      <w:r w:rsidR="00096084">
        <w:br/>
      </w:r>
      <w:hyperlink r:id="rId11" w:history="1">
        <w:r w:rsidRPr="00431B64">
          <w:rPr>
            <w:rStyle w:val="Hyperlink"/>
          </w:rPr>
          <w:t>CG-GEN-00</w:t>
        </w:r>
        <w:r w:rsidR="00D27DDF" w:rsidRPr="00D27DDF">
          <w:rPr>
            <w:rStyle w:val="Hyperlink"/>
          </w:rPr>
          <w:t>2</w:t>
        </w:r>
      </w:hyperlink>
      <w:r w:rsidRPr="00096084">
        <w:t>:</w:t>
      </w:r>
      <w:r w:rsidRPr="00B3462F">
        <w:t xml:space="preserve"> </w:t>
      </w:r>
      <w:r w:rsidRPr="00B3462F">
        <w:rPr>
          <w:i/>
        </w:rPr>
        <w:t>Interest and penalty tax policy</w:t>
      </w:r>
      <w:r w:rsidRPr="00B3462F">
        <w:t>.</w:t>
      </w:r>
      <w:r>
        <w:t xml:space="preserve">  </w:t>
      </w:r>
    </w:p>
    <w:p w:rsidR="00497D80" w:rsidRDefault="00497D80" w:rsidP="00497D80">
      <w:pPr>
        <w:pStyle w:val="BlockText"/>
      </w:pPr>
      <w:r>
        <w:t>The actions of the taxpayer and/or person lodging on behalf of the taxpayer before and during the assessment process will determine the level of penalty tax, such as whether those persons have lodged as early as possible and have cooperated with TRO in the assessment process or have instead hindered the assessment process.</w:t>
      </w:r>
    </w:p>
    <w:p w:rsidR="00497D80" w:rsidRPr="00497D80" w:rsidRDefault="00497D80" w:rsidP="00497D80">
      <w:pPr>
        <w:pStyle w:val="BlockText"/>
      </w:pPr>
      <w:r>
        <w:t>Where the tax default is ‘merely’ late payment of the tax set out in the assessment, TRO will generally not impose penalty tax (or more penalty tax than was imposed in the notice of assessment), but interest will still be payable. However, in circumstances where the failure to pay the tax set out in the assessment is of a nature where TRO considers that penalty tax ought to be paid, such as where the person deliberately delays payment, then penalty tax will be imposed under the normal provisions relating to a tax default.</w:t>
      </w:r>
    </w:p>
    <w:p w:rsidR="00497D80" w:rsidRPr="00497D80" w:rsidRDefault="00497D80" w:rsidP="00497D80">
      <w:pPr>
        <w:pStyle w:val="HeadingThree"/>
      </w:pPr>
      <w:r w:rsidRPr="00B3462F">
        <w:t>Practices to assist with meeting the payment period</w:t>
      </w:r>
    </w:p>
    <w:p w:rsidR="00497D80" w:rsidRPr="00B3462F" w:rsidRDefault="00497D80" w:rsidP="00497D80">
      <w:pPr>
        <w:pStyle w:val="BlockText"/>
      </w:pPr>
      <w:r w:rsidRPr="00B3462F">
        <w:t xml:space="preserve">The following practices will assist taxpayers </w:t>
      </w:r>
      <w:r w:rsidR="00EF50EC">
        <w:t xml:space="preserve">to </w:t>
      </w:r>
      <w:r w:rsidRPr="00B3462F">
        <w:t>comply with the 60-day payment period and mitigate</w:t>
      </w:r>
      <w:r>
        <w:t xml:space="preserve"> the amount of interest and</w:t>
      </w:r>
      <w:r w:rsidRPr="00B3462F">
        <w:t xml:space="preserve"> penalty tax that would otherwise become payable</w:t>
      </w:r>
      <w:r>
        <w:t>.</w:t>
      </w:r>
    </w:p>
    <w:p w:rsidR="00497D80" w:rsidRPr="00B3462F" w:rsidRDefault="00497D80" w:rsidP="00497D80">
      <w:pPr>
        <w:pStyle w:val="BlockText"/>
        <w:numPr>
          <w:ilvl w:val="1"/>
          <w:numId w:val="3"/>
        </w:numPr>
      </w:pPr>
      <w:r w:rsidRPr="00B3462F">
        <w:t>Lodge the document for assessment as soon as practical after it is first executed (or if it becomes legally effective without execution, as soon as practical after it becomes legally effective).</w:t>
      </w:r>
      <w:r w:rsidRPr="00B3462F">
        <w:rPr>
          <w:vertAlign w:val="superscript"/>
        </w:rPr>
        <w:footnoteReference w:id="8"/>
      </w:r>
      <w:r w:rsidRPr="00B3462F">
        <w:rPr>
          <w:vertAlign w:val="superscript"/>
        </w:rPr>
        <w:t xml:space="preserve"> </w:t>
      </w:r>
      <w:r w:rsidRPr="00B3462F">
        <w:t>If the original cannot be lodged (for example, because of stamping requirements in another jurisdiction), a copy of the executed document should be lodged. If required, the duty paid on the copy will be shown by authorised stamp to the original when it becomes available.</w:t>
      </w:r>
    </w:p>
    <w:p w:rsidR="00497D80" w:rsidRPr="00B3462F" w:rsidRDefault="00497D80" w:rsidP="00497D80">
      <w:pPr>
        <w:pStyle w:val="BlockText"/>
        <w:numPr>
          <w:ilvl w:val="1"/>
          <w:numId w:val="3"/>
        </w:numPr>
      </w:pPr>
      <w:r w:rsidRPr="00B3462F">
        <w:t>Where the original instrument has not been duly stamped or has been destroyed without being duly stamped, or otherwise cannot be produced for stamping, a copy of the original instrument may be stamped as if it were the original.</w:t>
      </w:r>
      <w:r w:rsidRPr="00B3462F">
        <w:rPr>
          <w:vertAlign w:val="superscript"/>
        </w:rPr>
        <w:footnoteReference w:id="9"/>
      </w:r>
    </w:p>
    <w:p w:rsidR="00497D80" w:rsidRPr="003C5CC6" w:rsidRDefault="00497D80" w:rsidP="00497D80">
      <w:pPr>
        <w:pStyle w:val="BlockText"/>
        <w:numPr>
          <w:ilvl w:val="1"/>
          <w:numId w:val="3"/>
        </w:numPr>
        <w:rPr>
          <w:szCs w:val="22"/>
        </w:rPr>
      </w:pPr>
      <w:r w:rsidRPr="003C5CC6">
        <w:rPr>
          <w:szCs w:val="22"/>
        </w:rPr>
        <w:t xml:space="preserve">Provide all relevant information (as required by section 24 of the </w:t>
      </w:r>
      <w:r w:rsidRPr="003C5CC6">
        <w:rPr>
          <w:i/>
          <w:szCs w:val="22"/>
        </w:rPr>
        <w:t>Taxation Administration Act</w:t>
      </w:r>
      <w:r w:rsidR="00D27DDF">
        <w:rPr>
          <w:i/>
          <w:szCs w:val="22"/>
        </w:rPr>
        <w:t xml:space="preserve"> [TAA]</w:t>
      </w:r>
      <w:r w:rsidRPr="003C5CC6">
        <w:rPr>
          <w:szCs w:val="22"/>
        </w:rPr>
        <w:t>)</w:t>
      </w:r>
      <w:r w:rsidRPr="00431B64">
        <w:rPr>
          <w:rStyle w:val="FootnoteReference"/>
          <w:szCs w:val="22"/>
        </w:rPr>
        <w:footnoteReference w:id="10"/>
      </w:r>
      <w:r w:rsidRPr="003C5CC6">
        <w:rPr>
          <w:i/>
          <w:szCs w:val="22"/>
        </w:rPr>
        <w:t xml:space="preserve"> </w:t>
      </w:r>
      <w:r w:rsidRPr="003C5CC6">
        <w:rPr>
          <w:szCs w:val="22"/>
        </w:rPr>
        <w:t>to enable a correct assessment to be made – see the Stamp Duty Lodgement Guide</w:t>
      </w:r>
      <w:r w:rsidR="00EF50EC" w:rsidRPr="003C5CC6">
        <w:rPr>
          <w:szCs w:val="22"/>
        </w:rPr>
        <w:t xml:space="preserve"> (</w:t>
      </w:r>
      <w:hyperlink r:id="rId12" w:history="1">
        <w:r w:rsidR="00EF50EC" w:rsidRPr="003C5CC6">
          <w:rPr>
            <w:rStyle w:val="Hyperlink"/>
            <w:szCs w:val="22"/>
          </w:rPr>
          <w:t>I-SD-001</w:t>
        </w:r>
      </w:hyperlink>
      <w:r w:rsidR="00EF50EC" w:rsidRPr="003C5CC6">
        <w:rPr>
          <w:szCs w:val="22"/>
        </w:rPr>
        <w:t>)</w:t>
      </w:r>
      <w:r w:rsidRPr="003C5CC6">
        <w:rPr>
          <w:szCs w:val="22"/>
        </w:rPr>
        <w:t xml:space="preserve"> for general guidance.</w:t>
      </w:r>
    </w:p>
    <w:p w:rsidR="00497D80" w:rsidRPr="00B3462F" w:rsidRDefault="00497D80" w:rsidP="00497D80">
      <w:pPr>
        <w:pStyle w:val="BlockText"/>
        <w:numPr>
          <w:ilvl w:val="1"/>
          <w:numId w:val="3"/>
        </w:numPr>
      </w:pPr>
      <w:r>
        <w:t>Comply promptly with any requests for further information or material by TRO.</w:t>
      </w:r>
    </w:p>
    <w:p w:rsidR="00497D80" w:rsidRPr="00B3462F" w:rsidRDefault="00497D80" w:rsidP="00497D80">
      <w:pPr>
        <w:pStyle w:val="BlockText"/>
        <w:numPr>
          <w:ilvl w:val="1"/>
          <w:numId w:val="3"/>
        </w:numPr>
      </w:pPr>
      <w:r>
        <w:lastRenderedPageBreak/>
        <w:t>Pay a reasonable</w:t>
      </w:r>
      <w:r w:rsidRPr="00B3462F">
        <w:t xml:space="preserve"> estimate of the duty in advance of an assessment being issued.</w:t>
      </w:r>
      <w:r>
        <w:t xml:space="preserve"> </w:t>
      </w:r>
      <w:r w:rsidRPr="00B3462F">
        <w:t>Stamp duty calculators are available on TRO’s website to assist with calculating the estimate.</w:t>
      </w:r>
      <w:r w:rsidRPr="00EF38F2">
        <w:t xml:space="preserve"> </w:t>
      </w:r>
      <w:r>
        <w:t xml:space="preserve">Where the assessment is reasonable and any underpayment of tax is paid within the timeframe set out in the subsequent assessment, interest and penalty tax may be reduced to nil – see Commissioner’s Guideline </w:t>
      </w:r>
      <w:hyperlink r:id="rId13" w:history="1">
        <w:r w:rsidRPr="00D27DDF">
          <w:rPr>
            <w:rStyle w:val="Hyperlink"/>
          </w:rPr>
          <w:t>CG-GEN-00</w:t>
        </w:r>
        <w:r w:rsidR="00D27DDF">
          <w:rPr>
            <w:rStyle w:val="Hyperlink"/>
          </w:rPr>
          <w:t>2</w:t>
        </w:r>
      </w:hyperlink>
      <w:r>
        <w:t>:</w:t>
      </w:r>
      <w:r>
        <w:rPr>
          <w:i/>
        </w:rPr>
        <w:t xml:space="preserve"> Interest and penalty tax</w:t>
      </w:r>
      <w:r>
        <w:t>.</w:t>
      </w:r>
    </w:p>
    <w:p w:rsidR="006034B6" w:rsidRDefault="00513926" w:rsidP="006034B6">
      <w:pPr>
        <w:pStyle w:val="HeadingTwo"/>
      </w:pPr>
      <w:r>
        <w:t>Commissioner’s Guidelines</w:t>
      </w:r>
    </w:p>
    <w:p w:rsidR="00206981" w:rsidRPr="002D6D82" w:rsidRDefault="00513926" w:rsidP="00206981">
      <w:pPr>
        <w:pStyle w:val="BlockText"/>
      </w:pPr>
      <w:r w:rsidRPr="002D6D82">
        <w:t>Co</w:t>
      </w:r>
      <w:r>
        <w:t xml:space="preserve">mmissioner’s Guideline </w:t>
      </w:r>
      <w:hyperlink r:id="rId14" w:history="1">
        <w:r w:rsidRPr="004154A9">
          <w:rPr>
            <w:rStyle w:val="Hyperlink"/>
          </w:rPr>
          <w:t>CG</w:t>
        </w:r>
      </w:hyperlink>
      <w:hyperlink r:id="rId15" w:history="1">
        <w:r w:rsidRPr="004154A9">
          <w:rPr>
            <w:rStyle w:val="Hyperlink"/>
          </w:rPr>
          <w:t>-GEN-001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F65356" w:rsidRDefault="00F65356" w:rsidP="00F65356">
      <w:pPr>
        <w:pStyle w:val="HeadingTwo"/>
      </w:pPr>
      <w:r>
        <w:t>Date of effect</w:t>
      </w:r>
    </w:p>
    <w:p w:rsidR="00F65356" w:rsidRDefault="00F65356" w:rsidP="003C5CC6">
      <w:pPr>
        <w:pStyle w:val="BlockText"/>
        <w:numPr>
          <w:ilvl w:val="0"/>
          <w:numId w:val="0"/>
        </w:numPr>
      </w:pPr>
      <w:r>
        <w:t>This version of the Gui</w:t>
      </w:r>
      <w:r w:rsidR="00497D80">
        <w:t>deline takes effect from 1 January 2008</w:t>
      </w:r>
      <w:r w:rsidR="00970B4D">
        <w:t>.</w:t>
      </w:r>
    </w:p>
    <w:p w:rsidR="006034B6" w:rsidRDefault="006034B6" w:rsidP="006034B6"/>
    <w:p w:rsidR="00364D5F" w:rsidRDefault="00244061" w:rsidP="006034B6">
      <w:r>
        <w:rPr>
          <w:noProof/>
        </w:rPr>
        <w:drawing>
          <wp:inline distT="0" distB="0" distL="0" distR="0">
            <wp:extent cx="23907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775" cy="495300"/>
                    </a:xfrm>
                    <a:prstGeom prst="rect">
                      <a:avLst/>
                    </a:prstGeom>
                    <a:noFill/>
                    <a:ln>
                      <a:noFill/>
                    </a:ln>
                  </pic:spPr>
                </pic:pic>
              </a:graphicData>
            </a:graphic>
          </wp:inline>
        </w:drawing>
      </w:r>
    </w:p>
    <w:p w:rsidR="006034B6" w:rsidRDefault="00497D80" w:rsidP="006034B6">
      <w:r>
        <w:t>Craig Vukman</w:t>
      </w:r>
    </w:p>
    <w:p w:rsidR="006034B6" w:rsidRPr="005247E5" w:rsidRDefault="005247E5" w:rsidP="006034B6">
      <w:pPr>
        <w:rPr>
          <w:b/>
        </w:rPr>
      </w:pPr>
      <w:r w:rsidRPr="005247E5">
        <w:rPr>
          <w:b/>
        </w:rPr>
        <w:t>COMMISSIONER OF TERRITORY REVENUE</w:t>
      </w:r>
    </w:p>
    <w:p w:rsidR="006034B6" w:rsidRDefault="006034B6" w:rsidP="006034B6"/>
    <w:p w:rsidR="006034B6" w:rsidRDefault="006034B6" w:rsidP="006034B6">
      <w:r>
        <w:t>Date of Issue:</w:t>
      </w:r>
      <w:r w:rsidR="00497D80">
        <w:tab/>
      </w:r>
      <w:r w:rsidR="00497D80">
        <w:tab/>
        <w:t>20 February 2008</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80669B" w:rsidTr="0080669B">
        <w:tc>
          <w:tcPr>
            <w:tcW w:w="9854" w:type="dxa"/>
            <w:gridSpan w:val="2"/>
          </w:tcPr>
          <w:p w:rsidR="006034B6" w:rsidRPr="0080669B" w:rsidRDefault="006034B6" w:rsidP="006034B6">
            <w:pPr>
              <w:rPr>
                <w:sz w:val="20"/>
              </w:rPr>
            </w:pPr>
            <w:r w:rsidRPr="0080669B">
              <w:rPr>
                <w:sz w:val="20"/>
              </w:rPr>
              <w:t>For further information please contact the Territory Revenue Office:</w:t>
            </w:r>
          </w:p>
        </w:tc>
      </w:tr>
      <w:tr w:rsidR="006034B6" w:rsidRPr="0080669B" w:rsidTr="0080669B">
        <w:tc>
          <w:tcPr>
            <w:tcW w:w="4927" w:type="dxa"/>
          </w:tcPr>
          <w:p w:rsidR="006034B6" w:rsidRPr="0080669B" w:rsidRDefault="008B54EF" w:rsidP="006034B6">
            <w:pPr>
              <w:rPr>
                <w:sz w:val="20"/>
              </w:rPr>
            </w:pPr>
            <w:r>
              <w:rPr>
                <w:sz w:val="20"/>
              </w:rPr>
              <w:t>GPO Box 197</w:t>
            </w:r>
            <w:bookmarkStart w:id="0" w:name="_GoBack"/>
            <w:bookmarkEnd w:id="0"/>
            <w:r w:rsidR="006034B6" w:rsidRPr="0080669B">
              <w:rPr>
                <w:sz w:val="20"/>
              </w:rPr>
              <w:t>4</w:t>
            </w:r>
          </w:p>
          <w:p w:rsidR="006034B6" w:rsidRPr="0080669B" w:rsidRDefault="006034B6" w:rsidP="006034B6">
            <w:pPr>
              <w:rPr>
                <w:sz w:val="20"/>
              </w:rPr>
            </w:pPr>
            <w:r w:rsidRPr="0080669B">
              <w:rPr>
                <w:sz w:val="20"/>
              </w:rPr>
              <w:t>Darwin  NT  0801</w:t>
            </w:r>
          </w:p>
          <w:p w:rsidR="006034B6" w:rsidRPr="0080669B" w:rsidRDefault="006034B6" w:rsidP="00431B64">
            <w:pPr>
              <w:pStyle w:val="BlockText"/>
              <w:numPr>
                <w:ilvl w:val="0"/>
                <w:numId w:val="0"/>
              </w:numPr>
              <w:rPr>
                <w:sz w:val="20"/>
              </w:rPr>
            </w:pPr>
            <w:r w:rsidRPr="0080669B">
              <w:rPr>
                <w:sz w:val="20"/>
              </w:rPr>
              <w:t xml:space="preserve">Email: </w:t>
            </w:r>
            <w:hyperlink r:id="rId17" w:history="1">
              <w:r w:rsidR="001C41D6" w:rsidRPr="00431B64">
                <w:rPr>
                  <w:rStyle w:val="Hyperlink"/>
                  <w:sz w:val="20"/>
                </w:rPr>
                <w:t>ntrevenue@nt.gov.au</w:t>
              </w:r>
            </w:hyperlink>
          </w:p>
        </w:tc>
        <w:tc>
          <w:tcPr>
            <w:tcW w:w="4927" w:type="dxa"/>
          </w:tcPr>
          <w:p w:rsidR="006034B6" w:rsidRPr="0080669B" w:rsidRDefault="006034B6" w:rsidP="006034B6">
            <w:pPr>
              <w:rPr>
                <w:sz w:val="20"/>
              </w:rPr>
            </w:pPr>
            <w:r w:rsidRPr="0080669B">
              <w:rPr>
                <w:sz w:val="20"/>
              </w:rPr>
              <w:t>Phone: 1300 305 353</w:t>
            </w:r>
          </w:p>
          <w:p w:rsidR="006034B6" w:rsidRPr="0080669B" w:rsidRDefault="006034B6" w:rsidP="006034B6">
            <w:pPr>
              <w:rPr>
                <w:sz w:val="20"/>
              </w:rPr>
            </w:pPr>
            <w:r w:rsidRPr="0080669B">
              <w:rPr>
                <w:sz w:val="20"/>
              </w:rPr>
              <w:t xml:space="preserve">Website: </w:t>
            </w:r>
            <w:hyperlink r:id="rId18" w:history="1">
              <w:r w:rsidRPr="0080669B">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9"/>
      <w:headerReference w:type="default" r:id="rId20"/>
      <w:footerReference w:type="default" r:id="rId21"/>
      <w:headerReference w:type="first" r:id="rId22"/>
      <w:footerReference w:type="first" r:id="rId23"/>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DB0" w:rsidRDefault="00900DB0">
      <w:r>
        <w:separator/>
      </w:r>
    </w:p>
  </w:endnote>
  <w:endnote w:type="continuationSeparator" w:id="0">
    <w:p w:rsidR="00900DB0" w:rsidRDefault="0090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497D80"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B54EF">
      <w:rPr>
        <w:noProof/>
        <w:sz w:val="16"/>
        <w:szCs w:val="16"/>
      </w:rPr>
      <w:t>2</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B54EF">
      <w:rPr>
        <w:noProof/>
        <w:sz w:val="16"/>
        <w:szCs w:val="16"/>
      </w:rPr>
      <w:t>3</w:t>
    </w:r>
    <w:r w:rsidRPr="006034B6">
      <w:rPr>
        <w:sz w:val="16"/>
        <w:szCs w:val="16"/>
      </w:rPr>
      <w:fldChar w:fldCharType="end"/>
    </w:r>
    <w:r w:rsidR="00497D80">
      <w:rPr>
        <w:sz w:val="16"/>
        <w:szCs w:val="16"/>
      </w:rPr>
      <w:tab/>
      <w:t>CG-SD-001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B54EF">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B54EF">
      <w:rPr>
        <w:noProof/>
        <w:sz w:val="16"/>
        <w:szCs w:val="16"/>
      </w:rPr>
      <w:t>3</w:t>
    </w:r>
    <w:r w:rsidRPr="006034B6">
      <w:rPr>
        <w:sz w:val="16"/>
        <w:szCs w:val="16"/>
      </w:rPr>
      <w:fldChar w:fldCharType="end"/>
    </w:r>
    <w:r w:rsidR="00497D80">
      <w:rPr>
        <w:sz w:val="16"/>
        <w:szCs w:val="16"/>
      </w:rPr>
      <w:tab/>
      <w:t>CG-SD-001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DB0" w:rsidRDefault="00900DB0">
      <w:r>
        <w:separator/>
      </w:r>
    </w:p>
  </w:footnote>
  <w:footnote w:type="continuationSeparator" w:id="0">
    <w:p w:rsidR="00900DB0" w:rsidRDefault="00900DB0">
      <w:r>
        <w:continuationSeparator/>
      </w:r>
    </w:p>
  </w:footnote>
  <w:footnote w:id="1">
    <w:p w:rsidR="00497D80" w:rsidRPr="00EC018D" w:rsidRDefault="00497D80" w:rsidP="00497D80">
      <w:pPr>
        <w:pStyle w:val="FootnoteText"/>
        <w:rPr>
          <w:rFonts w:ascii="Arial" w:hAnsi="Arial" w:cs="Arial"/>
          <w:sz w:val="18"/>
          <w:szCs w:val="18"/>
        </w:rPr>
      </w:pPr>
      <w:r w:rsidRPr="00EC018D">
        <w:rPr>
          <w:rStyle w:val="FootnoteReference"/>
          <w:rFonts w:cs="Arial"/>
          <w:sz w:val="18"/>
          <w:szCs w:val="18"/>
        </w:rPr>
        <w:footnoteRef/>
      </w:r>
      <w:r w:rsidRPr="00EC018D">
        <w:rPr>
          <w:rFonts w:ascii="Arial" w:hAnsi="Arial" w:cs="Arial"/>
          <w:sz w:val="18"/>
          <w:szCs w:val="18"/>
        </w:rPr>
        <w:t xml:space="preserve"> Section 9(1</w:t>
      </w:r>
      <w:r>
        <w:rPr>
          <w:rFonts w:ascii="Arial" w:hAnsi="Arial" w:cs="Arial"/>
          <w:sz w:val="18"/>
          <w:szCs w:val="18"/>
        </w:rPr>
        <w:t>)</w:t>
      </w:r>
      <w:r w:rsidRPr="00EC018D">
        <w:rPr>
          <w:rFonts w:ascii="Arial" w:hAnsi="Arial" w:cs="Arial"/>
          <w:sz w:val="18"/>
          <w:szCs w:val="18"/>
        </w:rPr>
        <w:t xml:space="preserve"> of </w:t>
      </w:r>
      <w:r>
        <w:rPr>
          <w:rFonts w:ascii="Arial" w:hAnsi="Arial" w:cs="Arial"/>
          <w:sz w:val="18"/>
          <w:szCs w:val="18"/>
        </w:rPr>
        <w:t>the SDA</w:t>
      </w:r>
      <w:r w:rsidRPr="00EC018D">
        <w:rPr>
          <w:rFonts w:ascii="Arial" w:hAnsi="Arial" w:cs="Arial"/>
          <w:sz w:val="18"/>
          <w:szCs w:val="18"/>
        </w:rPr>
        <w:t>.</w:t>
      </w:r>
    </w:p>
  </w:footnote>
  <w:footnote w:id="2">
    <w:p w:rsidR="00497D80" w:rsidRPr="00DA2146" w:rsidRDefault="00497D80" w:rsidP="00497D80">
      <w:pPr>
        <w:pStyle w:val="FootnoteText"/>
        <w:rPr>
          <w:rFonts w:ascii="Arial" w:hAnsi="Arial" w:cs="Arial"/>
          <w:sz w:val="18"/>
          <w:szCs w:val="18"/>
        </w:rPr>
      </w:pPr>
      <w:r w:rsidRPr="00DA2146">
        <w:rPr>
          <w:rStyle w:val="FootnoteReference"/>
          <w:rFonts w:cs="Arial"/>
          <w:sz w:val="18"/>
          <w:szCs w:val="18"/>
        </w:rPr>
        <w:footnoteRef/>
      </w:r>
      <w:r w:rsidRPr="00DA2146">
        <w:rPr>
          <w:rFonts w:ascii="Arial" w:hAnsi="Arial" w:cs="Arial"/>
          <w:sz w:val="18"/>
          <w:szCs w:val="18"/>
        </w:rPr>
        <w:t xml:space="preserve"> </w:t>
      </w:r>
      <w:r>
        <w:rPr>
          <w:rFonts w:ascii="Arial" w:hAnsi="Arial" w:cs="Arial"/>
          <w:sz w:val="18"/>
          <w:szCs w:val="18"/>
        </w:rPr>
        <w:t>Section 9(5) of the SDA.</w:t>
      </w:r>
    </w:p>
  </w:footnote>
  <w:footnote w:id="3">
    <w:p w:rsidR="00497D80" w:rsidRPr="00F02FEB" w:rsidRDefault="00497D80" w:rsidP="00497D80">
      <w:pPr>
        <w:pStyle w:val="FootnoteText"/>
        <w:rPr>
          <w:rFonts w:ascii="Arial" w:hAnsi="Arial"/>
          <w:sz w:val="18"/>
          <w:szCs w:val="18"/>
        </w:rPr>
      </w:pPr>
      <w:r w:rsidRPr="00F02FEB">
        <w:rPr>
          <w:rStyle w:val="FootnoteReference"/>
          <w:sz w:val="18"/>
          <w:szCs w:val="18"/>
        </w:rPr>
        <w:footnoteRef/>
      </w:r>
      <w:r w:rsidRPr="00F02FEB">
        <w:rPr>
          <w:rFonts w:ascii="Arial" w:hAnsi="Arial"/>
          <w:sz w:val="18"/>
          <w:szCs w:val="18"/>
        </w:rPr>
        <w:t xml:space="preserve"> Section 9(2) of </w:t>
      </w:r>
      <w:r>
        <w:rPr>
          <w:rFonts w:ascii="Arial" w:hAnsi="Arial"/>
          <w:sz w:val="18"/>
          <w:szCs w:val="18"/>
        </w:rPr>
        <w:t>the SDA</w:t>
      </w:r>
      <w:r w:rsidRPr="00F02FEB">
        <w:rPr>
          <w:rFonts w:ascii="Arial" w:hAnsi="Arial"/>
          <w:sz w:val="18"/>
          <w:szCs w:val="18"/>
        </w:rPr>
        <w:t>.</w:t>
      </w:r>
    </w:p>
  </w:footnote>
  <w:footnote w:id="4">
    <w:p w:rsidR="00497D80" w:rsidRPr="00EC018D" w:rsidRDefault="00497D80" w:rsidP="00497D80">
      <w:pPr>
        <w:pStyle w:val="FootnoteText"/>
        <w:rPr>
          <w:rFonts w:ascii="Arial" w:hAnsi="Arial" w:cs="Arial"/>
          <w:sz w:val="18"/>
          <w:szCs w:val="18"/>
        </w:rPr>
      </w:pPr>
      <w:r w:rsidRPr="00EC018D">
        <w:rPr>
          <w:rStyle w:val="FootnoteReference"/>
          <w:rFonts w:cs="Arial"/>
          <w:sz w:val="18"/>
          <w:szCs w:val="18"/>
        </w:rPr>
        <w:footnoteRef/>
      </w:r>
      <w:r w:rsidRPr="00EC018D">
        <w:rPr>
          <w:rFonts w:ascii="Arial" w:hAnsi="Arial" w:cs="Arial"/>
          <w:sz w:val="18"/>
          <w:szCs w:val="18"/>
        </w:rPr>
        <w:t xml:space="preserve"> Section 56K(3) of </w:t>
      </w:r>
      <w:r>
        <w:rPr>
          <w:rFonts w:ascii="Arial" w:hAnsi="Arial" w:cs="Arial"/>
          <w:sz w:val="18"/>
          <w:szCs w:val="18"/>
        </w:rPr>
        <w:t>the SDA</w:t>
      </w:r>
      <w:r w:rsidRPr="00EC018D">
        <w:rPr>
          <w:rFonts w:ascii="Arial" w:hAnsi="Arial" w:cs="Arial"/>
          <w:sz w:val="18"/>
          <w:szCs w:val="18"/>
        </w:rPr>
        <w:t>.</w:t>
      </w:r>
    </w:p>
  </w:footnote>
  <w:footnote w:id="5">
    <w:p w:rsidR="00497D80" w:rsidRDefault="00497D80" w:rsidP="00497D80">
      <w:pPr>
        <w:pStyle w:val="FootnoteText"/>
        <w:jc w:val="both"/>
      </w:pPr>
      <w:r w:rsidRPr="00EC018D">
        <w:rPr>
          <w:rStyle w:val="FootnoteReference"/>
          <w:rFonts w:cs="Arial"/>
          <w:sz w:val="18"/>
          <w:szCs w:val="18"/>
        </w:rPr>
        <w:footnoteRef/>
      </w:r>
      <w:r w:rsidRPr="00EC018D">
        <w:rPr>
          <w:rFonts w:ascii="Arial" w:hAnsi="Arial" w:cs="Arial"/>
          <w:sz w:val="18"/>
          <w:szCs w:val="18"/>
        </w:rPr>
        <w:t xml:space="preserve"> Section 56M(3) of </w:t>
      </w:r>
      <w:r>
        <w:rPr>
          <w:rFonts w:ascii="Arial" w:hAnsi="Arial" w:cs="Arial"/>
          <w:sz w:val="18"/>
          <w:szCs w:val="18"/>
        </w:rPr>
        <w:t>the SDA</w:t>
      </w:r>
      <w:r w:rsidRPr="00EC018D">
        <w:rPr>
          <w:rFonts w:ascii="Arial" w:hAnsi="Arial" w:cs="Arial"/>
          <w:sz w:val="18"/>
          <w:szCs w:val="18"/>
        </w:rPr>
        <w:t>.</w:t>
      </w:r>
    </w:p>
  </w:footnote>
  <w:footnote w:id="6">
    <w:p w:rsidR="00497D80" w:rsidRPr="00EC018D" w:rsidRDefault="00497D80" w:rsidP="00497D80">
      <w:pPr>
        <w:pStyle w:val="FootnoteText"/>
        <w:jc w:val="both"/>
        <w:rPr>
          <w:rFonts w:ascii="Arial" w:hAnsi="Arial" w:cs="Arial"/>
          <w:i/>
          <w:sz w:val="18"/>
          <w:szCs w:val="18"/>
        </w:rPr>
      </w:pPr>
      <w:r w:rsidRPr="00EC018D">
        <w:rPr>
          <w:rStyle w:val="FootnoteReference"/>
          <w:rFonts w:cs="Arial"/>
          <w:sz w:val="18"/>
          <w:szCs w:val="18"/>
        </w:rPr>
        <w:footnoteRef/>
      </w:r>
      <w:r w:rsidRPr="00EC018D">
        <w:rPr>
          <w:rFonts w:ascii="Arial" w:hAnsi="Arial" w:cs="Arial"/>
          <w:sz w:val="18"/>
          <w:szCs w:val="18"/>
        </w:rPr>
        <w:t xml:space="preserve"> Refer to Commissioner’s Guideline </w:t>
      </w:r>
      <w:hyperlink r:id="rId1" w:history="1">
        <w:r w:rsidRPr="0082490F">
          <w:rPr>
            <w:rStyle w:val="Hyperlink"/>
            <w:rFonts w:ascii="Arial" w:hAnsi="Arial" w:cs="Arial"/>
            <w:sz w:val="18"/>
            <w:szCs w:val="18"/>
          </w:rPr>
          <w:t>CG-SD-002</w:t>
        </w:r>
      </w:hyperlink>
      <w:r w:rsidRPr="00EC018D">
        <w:rPr>
          <w:rFonts w:ascii="Arial" w:hAnsi="Arial" w:cs="Arial"/>
          <w:sz w:val="18"/>
          <w:szCs w:val="18"/>
        </w:rPr>
        <w:t xml:space="preserve">: </w:t>
      </w:r>
      <w:r w:rsidRPr="00EC018D">
        <w:rPr>
          <w:rFonts w:ascii="Arial" w:hAnsi="Arial" w:cs="Arial"/>
          <w:i/>
          <w:sz w:val="18"/>
          <w:szCs w:val="18"/>
        </w:rPr>
        <w:t>Eligible conditional</w:t>
      </w:r>
      <w:r>
        <w:rPr>
          <w:rFonts w:ascii="Arial" w:hAnsi="Arial" w:cs="Arial"/>
          <w:i/>
          <w:sz w:val="18"/>
          <w:szCs w:val="18"/>
        </w:rPr>
        <w:t xml:space="preserve"> </w:t>
      </w:r>
      <w:r w:rsidRPr="00EC018D">
        <w:rPr>
          <w:rFonts w:ascii="Arial" w:hAnsi="Arial" w:cs="Arial"/>
          <w:i/>
          <w:sz w:val="18"/>
          <w:szCs w:val="18"/>
        </w:rPr>
        <w:t>agreements – extension of time to lodge</w:t>
      </w:r>
      <w:r>
        <w:rPr>
          <w:rFonts w:ascii="Arial" w:hAnsi="Arial" w:cs="Arial"/>
          <w:i/>
          <w:sz w:val="18"/>
          <w:szCs w:val="18"/>
        </w:rPr>
        <w:t xml:space="preserve"> </w:t>
      </w:r>
      <w:r w:rsidRPr="00EC018D">
        <w:rPr>
          <w:rFonts w:ascii="Arial" w:hAnsi="Arial" w:cs="Arial"/>
          <w:i/>
          <w:sz w:val="18"/>
          <w:szCs w:val="18"/>
        </w:rPr>
        <w:t>instrument and pay duty.</w:t>
      </w:r>
    </w:p>
  </w:footnote>
  <w:footnote w:id="7">
    <w:p w:rsidR="00497D80" w:rsidRPr="00CA6FCE" w:rsidRDefault="00497D80" w:rsidP="00497D80">
      <w:pPr>
        <w:pStyle w:val="FootnoteText"/>
        <w:jc w:val="both"/>
        <w:rPr>
          <w:rFonts w:ascii="Arial" w:hAnsi="Arial" w:cs="Arial"/>
          <w:sz w:val="18"/>
          <w:szCs w:val="18"/>
        </w:rPr>
      </w:pPr>
      <w:r w:rsidRPr="00EC018D">
        <w:rPr>
          <w:rStyle w:val="FootnoteReference"/>
          <w:rFonts w:cs="Arial"/>
          <w:sz w:val="18"/>
          <w:szCs w:val="18"/>
        </w:rPr>
        <w:footnoteRef/>
      </w:r>
      <w:r w:rsidRPr="00EC018D">
        <w:rPr>
          <w:rFonts w:ascii="Arial" w:hAnsi="Arial" w:cs="Arial"/>
          <w:sz w:val="18"/>
          <w:szCs w:val="18"/>
        </w:rPr>
        <w:t xml:space="preserve"> Section </w:t>
      </w:r>
      <w:r>
        <w:rPr>
          <w:rFonts w:ascii="Arial" w:hAnsi="Arial" w:cs="Arial"/>
          <w:sz w:val="18"/>
          <w:szCs w:val="18"/>
        </w:rPr>
        <w:t xml:space="preserve">3 (definition of ‘tax default’) and Part 5 of the </w:t>
      </w:r>
      <w:r>
        <w:rPr>
          <w:rFonts w:ascii="Arial" w:hAnsi="Arial" w:cs="Arial"/>
          <w:i/>
          <w:sz w:val="18"/>
          <w:szCs w:val="18"/>
        </w:rPr>
        <w:t>T</w:t>
      </w:r>
      <w:r w:rsidR="00D27DDF">
        <w:rPr>
          <w:rFonts w:ascii="Arial" w:hAnsi="Arial" w:cs="Arial"/>
          <w:i/>
          <w:sz w:val="18"/>
          <w:szCs w:val="18"/>
        </w:rPr>
        <w:t>AA</w:t>
      </w:r>
      <w:r>
        <w:rPr>
          <w:rFonts w:ascii="Arial" w:hAnsi="Arial" w:cs="Arial"/>
          <w:i/>
          <w:sz w:val="18"/>
          <w:szCs w:val="18"/>
        </w:rPr>
        <w:t>.</w:t>
      </w:r>
    </w:p>
  </w:footnote>
  <w:footnote w:id="8">
    <w:p w:rsidR="00497D80" w:rsidRPr="00EC018D" w:rsidRDefault="00497D80" w:rsidP="00497D80">
      <w:pPr>
        <w:pStyle w:val="FootnoteText"/>
        <w:jc w:val="both"/>
        <w:rPr>
          <w:rFonts w:ascii="Arial" w:hAnsi="Arial" w:cs="Arial"/>
          <w:sz w:val="18"/>
          <w:szCs w:val="18"/>
        </w:rPr>
      </w:pPr>
      <w:r w:rsidRPr="00EC018D">
        <w:rPr>
          <w:rStyle w:val="FootnoteReference"/>
          <w:rFonts w:cs="Arial"/>
          <w:sz w:val="18"/>
          <w:szCs w:val="18"/>
        </w:rPr>
        <w:footnoteRef/>
      </w:r>
      <w:r w:rsidRPr="00EC018D">
        <w:rPr>
          <w:rFonts w:ascii="Arial" w:hAnsi="Arial" w:cs="Arial"/>
          <w:sz w:val="18"/>
          <w:szCs w:val="18"/>
        </w:rPr>
        <w:t xml:space="preserve"> Section 4(1) of </w:t>
      </w:r>
      <w:r>
        <w:rPr>
          <w:rFonts w:ascii="Arial" w:hAnsi="Arial" w:cs="Arial"/>
          <w:sz w:val="18"/>
          <w:szCs w:val="18"/>
        </w:rPr>
        <w:t>the SDA</w:t>
      </w:r>
      <w:r w:rsidRPr="00EC018D">
        <w:rPr>
          <w:rFonts w:ascii="Arial" w:hAnsi="Arial" w:cs="Arial"/>
          <w:sz w:val="18"/>
          <w:szCs w:val="18"/>
        </w:rPr>
        <w:t xml:space="preserve"> (definition of ‘execute’).</w:t>
      </w:r>
    </w:p>
  </w:footnote>
  <w:footnote w:id="9">
    <w:p w:rsidR="00497D80" w:rsidRDefault="00497D80" w:rsidP="00497D80">
      <w:pPr>
        <w:pStyle w:val="FootnoteText"/>
        <w:jc w:val="both"/>
      </w:pPr>
      <w:r w:rsidRPr="00EC018D">
        <w:rPr>
          <w:rStyle w:val="FootnoteReference"/>
          <w:rFonts w:cs="Arial"/>
          <w:sz w:val="18"/>
          <w:szCs w:val="18"/>
        </w:rPr>
        <w:footnoteRef/>
      </w:r>
      <w:r w:rsidRPr="00EC018D">
        <w:rPr>
          <w:rFonts w:ascii="Arial" w:hAnsi="Arial" w:cs="Arial"/>
          <w:sz w:val="18"/>
          <w:szCs w:val="18"/>
        </w:rPr>
        <w:t xml:space="preserve"> Section 9C(2) of </w:t>
      </w:r>
      <w:r>
        <w:rPr>
          <w:rFonts w:ascii="Arial" w:hAnsi="Arial" w:cs="Arial"/>
          <w:sz w:val="18"/>
          <w:szCs w:val="18"/>
        </w:rPr>
        <w:t>the SDA</w:t>
      </w:r>
      <w:r w:rsidRPr="00EC018D">
        <w:rPr>
          <w:rFonts w:ascii="Arial" w:hAnsi="Arial" w:cs="Arial"/>
          <w:sz w:val="18"/>
          <w:szCs w:val="18"/>
        </w:rPr>
        <w:t>.</w:t>
      </w:r>
    </w:p>
  </w:footnote>
  <w:footnote w:id="10">
    <w:p w:rsidR="00497D80" w:rsidRPr="00EC6E19" w:rsidRDefault="00497D80" w:rsidP="00497D80">
      <w:pPr>
        <w:pStyle w:val="FootnoteText"/>
        <w:jc w:val="both"/>
        <w:rPr>
          <w:rFonts w:ascii="Arial" w:hAnsi="Arial" w:cs="Arial"/>
          <w:sz w:val="18"/>
          <w:szCs w:val="18"/>
          <w:u w:val="single"/>
        </w:rPr>
      </w:pPr>
      <w:r w:rsidRPr="00EC6E19">
        <w:rPr>
          <w:rStyle w:val="FootnoteReference"/>
          <w:rFonts w:cs="Arial"/>
          <w:sz w:val="18"/>
          <w:szCs w:val="18"/>
        </w:rPr>
        <w:footnoteRef/>
      </w:r>
      <w:r w:rsidRPr="00EC6E19">
        <w:rPr>
          <w:rFonts w:ascii="Arial" w:hAnsi="Arial" w:cs="Arial"/>
          <w:sz w:val="18"/>
          <w:szCs w:val="18"/>
        </w:rPr>
        <w:t xml:space="preserve"> Refer to Commissioner’s Guideline </w:t>
      </w:r>
      <w:hyperlink r:id="rId2" w:history="1">
        <w:r w:rsidRPr="0082490F">
          <w:rPr>
            <w:rStyle w:val="Hyperlink"/>
            <w:rFonts w:ascii="Arial" w:hAnsi="Arial" w:cs="Arial"/>
            <w:sz w:val="18"/>
            <w:szCs w:val="18"/>
          </w:rPr>
          <w:t>CG-GEN-005</w:t>
        </w:r>
      </w:hyperlink>
      <w:r w:rsidRPr="00EC6E19">
        <w:rPr>
          <w:rFonts w:ascii="Arial" w:hAnsi="Arial" w:cs="Arial"/>
          <w:sz w:val="18"/>
          <w:szCs w:val="18"/>
        </w:rPr>
        <w:t xml:space="preserve">: </w:t>
      </w:r>
      <w:r w:rsidRPr="00EC6E19">
        <w:rPr>
          <w:rFonts w:ascii="Arial" w:hAnsi="Arial" w:cs="Arial"/>
          <w:i/>
          <w:sz w:val="18"/>
          <w:szCs w:val="18"/>
        </w:rPr>
        <w:t>Requirement for full and true disclosur</w:t>
      </w:r>
      <w:r w:rsidRPr="00B3462F">
        <w:rPr>
          <w:rFonts w:ascii="Arial" w:hAnsi="Arial" w:cs="Arial"/>
          <w:i/>
          <w:sz w:val="18"/>
          <w:szCs w:val="18"/>
        </w:rPr>
        <w:t>e</w:t>
      </w:r>
      <w:r w:rsidRPr="00B3462F">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244061" w:rsidP="0019571B">
    <w:pPr>
      <w:pStyle w:val="NTTHeaderInfo"/>
      <w:rPr>
        <w:b/>
        <w:noProof/>
      </w:rPr>
    </w:pPr>
    <w:r>
      <w:rPr>
        <w:noProof/>
      </w:rPr>
      <w:drawing>
        <wp:anchor distT="0" distB="0" distL="114300" distR="114300" simplePos="0" relativeHeight="251657728" behindDoc="1" locked="0" layoutInCell="1" allowOverlap="1">
          <wp:simplePos x="0" y="0"/>
          <wp:positionH relativeFrom="column">
            <wp:posOffset>-453390</wp:posOffset>
          </wp:positionH>
          <wp:positionV relativeFrom="paragraph">
            <wp:posOffset>-160020</wp:posOffset>
          </wp:positionV>
          <wp:extent cx="7038975" cy="942975"/>
          <wp:effectExtent l="0" t="0" r="0" b="0"/>
          <wp:wrapThrough wrapText="bothSides">
            <wp:wrapPolygon edited="0">
              <wp:start x="0" y="0"/>
              <wp:lineTo x="0" y="21382"/>
              <wp:lineTo x="21571" y="21382"/>
              <wp:lineTo x="21571"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8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A49" w:rsidRDefault="00945A49" w:rsidP="0019571B">
    <w:pPr>
      <w:pStyle w:val="NTTHeaderInfo"/>
      <w:rPr>
        <w:b/>
        <w:noProof/>
      </w:rPr>
    </w:pPr>
  </w:p>
  <w:p w:rsidR="00945A49" w:rsidRDefault="00945A49" w:rsidP="0019571B">
    <w:pPr>
      <w:pStyle w:val="NTTHeaderInfo"/>
      <w:rPr>
        <w:b/>
        <w:noProof/>
      </w:rPr>
    </w:pPr>
  </w:p>
  <w:p w:rsidR="00945A49" w:rsidRDefault="00945A49">
    <w:pPr>
      <w:pStyle w:val="Header"/>
    </w:pPr>
  </w:p>
  <w:p w:rsidR="00945A49" w:rsidRDefault="00945A49">
    <w:pPr>
      <w:pStyle w:val="Header"/>
    </w:pPr>
  </w:p>
  <w:p w:rsidR="00945A49" w:rsidRDefault="00945A49">
    <w:pPr>
      <w:pStyle w:val="Header"/>
    </w:pP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BD40F71"/>
    <w:multiLevelType w:val="hybridMultilevel"/>
    <w:tmpl w:val="1600634A"/>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174374A"/>
    <w:multiLevelType w:val="hybridMultilevel"/>
    <w:tmpl w:val="BC8CEC7C"/>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4A56B68"/>
    <w:multiLevelType w:val="hybridMultilevel"/>
    <w:tmpl w:val="2FD463DE"/>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6BF32377"/>
    <w:multiLevelType w:val="hybridMultilevel"/>
    <w:tmpl w:val="7878F29C"/>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7294591F"/>
    <w:multiLevelType w:val="multilevel"/>
    <w:tmpl w:val="88F6EEB2"/>
    <w:numStyleLink w:val="Text"/>
  </w:abstractNum>
  <w:num w:numId="1">
    <w:abstractNumId w:val="12"/>
  </w:num>
  <w:num w:numId="2">
    <w:abstractNumId w:val="6"/>
  </w:num>
  <w:num w:numId="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8"/>
  </w:num>
  <w:num w:numId="7">
    <w:abstractNumId w:val="9"/>
  </w:num>
  <w:num w:numId="8">
    <w:abstractNumId w:val="0"/>
  </w:num>
  <w:num w:numId="9">
    <w:abstractNumId w:val="3"/>
  </w:num>
  <w:num w:numId="10">
    <w:abstractNumId w:val="10"/>
  </w:num>
  <w:num w:numId="11">
    <w:abstractNumId w:val="7"/>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hEEA87HLHDSF2jIkc9fvrQm+pa8LqMpPOGExP0nyyJd2xZhedbIOLxQVLxfNsG6NNCLYzDR315obpbAOs7QPaw==" w:salt="44q/q0uRvzYEicTtA3FIO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80"/>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084"/>
    <w:rsid w:val="000968BE"/>
    <w:rsid w:val="000A058E"/>
    <w:rsid w:val="000A1789"/>
    <w:rsid w:val="000A57FE"/>
    <w:rsid w:val="000A5BAB"/>
    <w:rsid w:val="000A5FAF"/>
    <w:rsid w:val="000A7ABD"/>
    <w:rsid w:val="000B1FE4"/>
    <w:rsid w:val="000C0DD5"/>
    <w:rsid w:val="000C2C04"/>
    <w:rsid w:val="000C3AD0"/>
    <w:rsid w:val="000C5DAB"/>
    <w:rsid w:val="000D21B9"/>
    <w:rsid w:val="000D4683"/>
    <w:rsid w:val="000D760C"/>
    <w:rsid w:val="000E26E6"/>
    <w:rsid w:val="000E4D8E"/>
    <w:rsid w:val="000E6EDF"/>
    <w:rsid w:val="000F7515"/>
    <w:rsid w:val="00112237"/>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31C3"/>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1D6"/>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61"/>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C0386"/>
    <w:rsid w:val="002C1DA7"/>
    <w:rsid w:val="002C267D"/>
    <w:rsid w:val="002D4686"/>
    <w:rsid w:val="002D6B9D"/>
    <w:rsid w:val="002D7B81"/>
    <w:rsid w:val="002E1CE1"/>
    <w:rsid w:val="002F48B7"/>
    <w:rsid w:val="002F5D3C"/>
    <w:rsid w:val="00301586"/>
    <w:rsid w:val="00307F79"/>
    <w:rsid w:val="00311AB6"/>
    <w:rsid w:val="00314B99"/>
    <w:rsid w:val="00314C98"/>
    <w:rsid w:val="00314E75"/>
    <w:rsid w:val="00316942"/>
    <w:rsid w:val="00323FDD"/>
    <w:rsid w:val="00327C11"/>
    <w:rsid w:val="00330CA3"/>
    <w:rsid w:val="00332D45"/>
    <w:rsid w:val="00340212"/>
    <w:rsid w:val="00343BDF"/>
    <w:rsid w:val="003455BA"/>
    <w:rsid w:val="003458E7"/>
    <w:rsid w:val="00350C52"/>
    <w:rsid w:val="00350DA3"/>
    <w:rsid w:val="0035373D"/>
    <w:rsid w:val="00354185"/>
    <w:rsid w:val="00354627"/>
    <w:rsid w:val="00354FCF"/>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A00"/>
    <w:rsid w:val="00393DD6"/>
    <w:rsid w:val="00394D70"/>
    <w:rsid w:val="0039737A"/>
    <w:rsid w:val="003A525E"/>
    <w:rsid w:val="003A7455"/>
    <w:rsid w:val="003B21D5"/>
    <w:rsid w:val="003B4A50"/>
    <w:rsid w:val="003B4C4C"/>
    <w:rsid w:val="003B680A"/>
    <w:rsid w:val="003C1073"/>
    <w:rsid w:val="003C5CC6"/>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B64"/>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7A7"/>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97D80"/>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F24"/>
    <w:rsid w:val="004E69E8"/>
    <w:rsid w:val="004F103E"/>
    <w:rsid w:val="004F5DEC"/>
    <w:rsid w:val="00500BE6"/>
    <w:rsid w:val="0050534D"/>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5A0B"/>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95"/>
    <w:rsid w:val="006501B7"/>
    <w:rsid w:val="00654280"/>
    <w:rsid w:val="006552F7"/>
    <w:rsid w:val="006575EA"/>
    <w:rsid w:val="0066709F"/>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3EB0"/>
    <w:rsid w:val="006F56AA"/>
    <w:rsid w:val="006F5C85"/>
    <w:rsid w:val="00700C9F"/>
    <w:rsid w:val="00703666"/>
    <w:rsid w:val="0070603B"/>
    <w:rsid w:val="00706F00"/>
    <w:rsid w:val="00713E0D"/>
    <w:rsid w:val="00720153"/>
    <w:rsid w:val="00724967"/>
    <w:rsid w:val="00731530"/>
    <w:rsid w:val="00736DB7"/>
    <w:rsid w:val="00740335"/>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9A2"/>
    <w:rsid w:val="0080669B"/>
    <w:rsid w:val="00807DD2"/>
    <w:rsid w:val="0081131C"/>
    <w:rsid w:val="00821BA6"/>
    <w:rsid w:val="0082490F"/>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67D45"/>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B54EF"/>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0DB0"/>
    <w:rsid w:val="0090131A"/>
    <w:rsid w:val="00902884"/>
    <w:rsid w:val="00903EAE"/>
    <w:rsid w:val="009069DD"/>
    <w:rsid w:val="0091589D"/>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0B4D"/>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31CD"/>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24316"/>
    <w:rsid w:val="00B407CC"/>
    <w:rsid w:val="00B5270D"/>
    <w:rsid w:val="00B54F76"/>
    <w:rsid w:val="00B555A0"/>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10561"/>
    <w:rsid w:val="00D1271C"/>
    <w:rsid w:val="00D1311C"/>
    <w:rsid w:val="00D14B39"/>
    <w:rsid w:val="00D15DC7"/>
    <w:rsid w:val="00D2734D"/>
    <w:rsid w:val="00D27DDF"/>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04AE"/>
    <w:rsid w:val="00DD2AC4"/>
    <w:rsid w:val="00DD3F35"/>
    <w:rsid w:val="00DE2A7B"/>
    <w:rsid w:val="00DE64A9"/>
    <w:rsid w:val="00DF40ED"/>
    <w:rsid w:val="00E01CEC"/>
    <w:rsid w:val="00E0391A"/>
    <w:rsid w:val="00E03A9E"/>
    <w:rsid w:val="00E07172"/>
    <w:rsid w:val="00E120D0"/>
    <w:rsid w:val="00E229A3"/>
    <w:rsid w:val="00E26BA3"/>
    <w:rsid w:val="00E33ABF"/>
    <w:rsid w:val="00E50EEB"/>
    <w:rsid w:val="00E51BC9"/>
    <w:rsid w:val="00E55AAB"/>
    <w:rsid w:val="00E564E8"/>
    <w:rsid w:val="00E60225"/>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EF50EC"/>
    <w:rsid w:val="00F00E4D"/>
    <w:rsid w:val="00F05352"/>
    <w:rsid w:val="00F07436"/>
    <w:rsid w:val="00F078AC"/>
    <w:rsid w:val="00F10AF7"/>
    <w:rsid w:val="00F12497"/>
    <w:rsid w:val="00F20EBD"/>
    <w:rsid w:val="00F21E75"/>
    <w:rsid w:val="00F266D3"/>
    <w:rsid w:val="00F26C6C"/>
    <w:rsid w:val="00F26E96"/>
    <w:rsid w:val="00F2739F"/>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46D4B"/>
  <w15:docId w15:val="{A79A78C8-8CD9-491C-BBA4-CBB2946D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4"/>
      </w:numPr>
    </w:pPr>
  </w:style>
  <w:style w:type="character" w:styleId="Hyperlink">
    <w:name w:val="Hyperlink"/>
    <w:rsid w:val="00545D20"/>
    <w:rPr>
      <w:color w:val="0000FF"/>
      <w:u w:val="single"/>
    </w:rPr>
  </w:style>
  <w:style w:type="paragraph" w:styleId="BlockText">
    <w:name w:val="Block Text"/>
    <w:basedOn w:val="ListNumber"/>
    <w:rsid w:val="00206981"/>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497D80"/>
    <w:pPr>
      <w:spacing w:before="360" w:line="300" w:lineRule="exact"/>
    </w:pPr>
    <w:rPr>
      <w:rFonts w:cs="Times New Roman"/>
      <w:sz w:val="28"/>
      <w:szCs w:val="28"/>
    </w:rPr>
  </w:style>
  <w:style w:type="paragraph" w:styleId="FootnoteText">
    <w:name w:val="footnote text"/>
    <w:basedOn w:val="Normal"/>
    <w:semiHidden/>
    <w:rsid w:val="00497D80"/>
    <w:rPr>
      <w:rFonts w:ascii="Times New Roman" w:hAnsi="Times New Roman" w:cs="Times New Roman"/>
      <w:sz w:val="20"/>
    </w:rPr>
  </w:style>
  <w:style w:type="character" w:styleId="FootnoteReference">
    <w:name w:val="footnote reference"/>
    <w:semiHidden/>
    <w:rsid w:val="00497D80"/>
    <w:rPr>
      <w:vertAlign w:val="superscript"/>
    </w:rPr>
  </w:style>
  <w:style w:type="paragraph" w:customStyle="1" w:styleId="BodyText">
    <w:name w:val="Body Text."/>
    <w:basedOn w:val="Normal"/>
    <w:link w:val="BodyTextChar"/>
    <w:rsid w:val="00497D80"/>
    <w:pPr>
      <w:spacing w:before="240" w:line="260" w:lineRule="exact"/>
    </w:pPr>
    <w:rPr>
      <w:rFonts w:cs="Times New Roman"/>
    </w:rPr>
  </w:style>
  <w:style w:type="character" w:customStyle="1" w:styleId="BodyTextChar">
    <w:name w:val="Body Text. Char"/>
    <w:link w:val="BodyText"/>
    <w:rsid w:val="00497D80"/>
    <w:rPr>
      <w:rFonts w:ascii="Arial" w:hAnsi="Arial"/>
      <w:sz w:val="22"/>
      <w:lang w:val="en-AU" w:eastAsia="en-AU" w:bidi="ar-SA"/>
    </w:rPr>
  </w:style>
  <w:style w:type="character" w:styleId="FollowedHyperlink">
    <w:name w:val="FollowedHyperlink"/>
    <w:rsid w:val="00EF50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asury.nt.gov.au/PMS/Publications/TaxesRoyaltiesGrants/GeneralAdmin/CG-GEN-002.pdf" TargetMode="External"/><Relationship Id="rId18" Type="http://schemas.openxmlformats.org/officeDocument/2006/relationships/hyperlink" Target="http://www.revenue.nt.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treasury.nt.gov.au/PMS/Publications/TaxesRoyaltiesGrants/StampDuty/I-SD-001.pdf" TargetMode="External"/><Relationship Id="rId17" Type="http://schemas.openxmlformats.org/officeDocument/2006/relationships/hyperlink" Target="mailto:ntrevenue@nt.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GeneralAdmin/CG-GEN-002.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reasury.nt.gov.au/PMS/Publications/TaxesRoyaltiesGrants/GeneralAdmin/CG-GEN-001.pdf" TargetMode="External"/><Relationship Id="rId23" Type="http://schemas.openxmlformats.org/officeDocument/2006/relationships/footer" Target="footer2.xml"/><Relationship Id="rId10" Type="http://schemas.openxmlformats.org/officeDocument/2006/relationships/hyperlink" Target="http://www.treasury.nt.gov.au/PMS/Publications/TaxesRoyaltiesGrants/StampDuty/I-SD-001.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t.gov.au/ntt/revenue/pdf/CG-GEN-001.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treasury.nt.gov.au/PMS/Publications/TaxesRoyaltiesGrants/GeneralAdmin/CG-GEN-005.pdf" TargetMode="External"/><Relationship Id="rId1" Type="http://schemas.openxmlformats.org/officeDocument/2006/relationships/hyperlink" Target="http://www.treasury.nt.gov.au/PMS/Publications/TaxesRoyaltiesGrants/StampDuty/CG-SD-00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Document lodgement and payment periods</Publication_x0020_Title>
    <Details xmlns="378e824e-6e02-4c0d-8321-dd86fba681ee" xsi:nil="true"/>
    <Identifier xmlns="378e824e-6e02-4c0d-8321-dd86fba681ee">CG-SD-001</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117B0-60DE-4537-A04C-3ACD0354869F}">
  <ds:schemaRefs>
    <ds:schemaRef ds:uri="http://schemas.microsoft.com/sharepoint/v3/contenttype/forms"/>
  </ds:schemaRefs>
</ds:datastoreItem>
</file>

<file path=customXml/itemProps2.xml><?xml version="1.0" encoding="utf-8"?>
<ds:datastoreItem xmlns:ds="http://schemas.openxmlformats.org/officeDocument/2006/customXml" ds:itemID="{93AF2025-6FAD-43D0-81A9-1D2F7CBB64E8}">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0CBF64F9-7703-409E-AB8E-D7AF4A0EF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5985</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7021</CharactersWithSpaces>
  <SharedDoc>false</SharedDoc>
  <HLinks>
    <vt:vector size="60" baseType="variant">
      <vt:variant>
        <vt:i4>5242895</vt:i4>
      </vt:variant>
      <vt:variant>
        <vt:i4>21</vt:i4>
      </vt:variant>
      <vt:variant>
        <vt:i4>0</vt:i4>
      </vt:variant>
      <vt:variant>
        <vt:i4>5</vt:i4>
      </vt:variant>
      <vt:variant>
        <vt:lpwstr>http://www.revenue.nt.gov.au/</vt:lpwstr>
      </vt:variant>
      <vt:variant>
        <vt:lpwstr/>
      </vt:variant>
      <vt:variant>
        <vt:i4>7798799</vt:i4>
      </vt:variant>
      <vt:variant>
        <vt:i4>18</vt:i4>
      </vt:variant>
      <vt:variant>
        <vt:i4>0</vt:i4>
      </vt:variant>
      <vt:variant>
        <vt:i4>5</vt:i4>
      </vt:variant>
      <vt:variant>
        <vt:lpwstr>mailto:ntrevenue@nt.gov.au</vt:lpwstr>
      </vt:variant>
      <vt:variant>
        <vt:lpwstr/>
      </vt:variant>
      <vt:variant>
        <vt:i4>2883638</vt:i4>
      </vt:variant>
      <vt:variant>
        <vt:i4>15</vt:i4>
      </vt:variant>
      <vt:variant>
        <vt:i4>0</vt:i4>
      </vt:variant>
      <vt:variant>
        <vt:i4>5</vt:i4>
      </vt:variant>
      <vt:variant>
        <vt:lpwstr>http://www.treasury.nt.gov.au/PMS/Publications/TaxesRoyaltiesGrants/GeneralAdmin/CG-GEN-001.pdf</vt:lpwstr>
      </vt:variant>
      <vt:variant>
        <vt:lpwstr/>
      </vt:variant>
      <vt:variant>
        <vt:i4>2097198</vt:i4>
      </vt:variant>
      <vt:variant>
        <vt:i4>12</vt:i4>
      </vt:variant>
      <vt:variant>
        <vt:i4>0</vt:i4>
      </vt:variant>
      <vt:variant>
        <vt:i4>5</vt:i4>
      </vt:variant>
      <vt:variant>
        <vt:lpwstr>http://www.nt.gov.au/ntt/revenue/pdf/CG-GEN-001.pdf</vt:lpwstr>
      </vt:variant>
      <vt:variant>
        <vt:lpwstr/>
      </vt:variant>
      <vt:variant>
        <vt:i4>2883637</vt:i4>
      </vt:variant>
      <vt:variant>
        <vt:i4>9</vt:i4>
      </vt:variant>
      <vt:variant>
        <vt:i4>0</vt:i4>
      </vt:variant>
      <vt:variant>
        <vt:i4>5</vt:i4>
      </vt:variant>
      <vt:variant>
        <vt:lpwstr>http://www.treasury.nt.gov.au/PMS/Publications/TaxesRoyaltiesGrants/GeneralAdmin/CG-GEN-002.pdf</vt:lpwstr>
      </vt:variant>
      <vt:variant>
        <vt:lpwstr/>
      </vt:variant>
      <vt:variant>
        <vt:i4>2818111</vt:i4>
      </vt:variant>
      <vt:variant>
        <vt:i4>6</vt:i4>
      </vt:variant>
      <vt:variant>
        <vt:i4>0</vt:i4>
      </vt:variant>
      <vt:variant>
        <vt:i4>5</vt:i4>
      </vt:variant>
      <vt:variant>
        <vt:lpwstr>http://www.treasury.nt.gov.au/PMS/Publications/TaxesRoyaltiesGrants/StampDuty/I-SD-001.pdf</vt:lpwstr>
      </vt:variant>
      <vt:variant>
        <vt:lpwstr/>
      </vt:variant>
      <vt:variant>
        <vt:i4>2883637</vt:i4>
      </vt:variant>
      <vt:variant>
        <vt:i4>3</vt:i4>
      </vt:variant>
      <vt:variant>
        <vt:i4>0</vt:i4>
      </vt:variant>
      <vt:variant>
        <vt:i4>5</vt:i4>
      </vt:variant>
      <vt:variant>
        <vt:lpwstr>http://www.treasury.nt.gov.au/PMS/Publications/TaxesRoyaltiesGrants/GeneralAdmin/CG-GEN-002.pdf</vt:lpwstr>
      </vt:variant>
      <vt:variant>
        <vt:lpwstr/>
      </vt:variant>
      <vt:variant>
        <vt:i4>2818111</vt:i4>
      </vt:variant>
      <vt:variant>
        <vt:i4>0</vt:i4>
      </vt:variant>
      <vt:variant>
        <vt:i4>0</vt:i4>
      </vt:variant>
      <vt:variant>
        <vt:i4>5</vt:i4>
      </vt:variant>
      <vt:variant>
        <vt:lpwstr>http://www.treasury.nt.gov.au/PMS/Publications/TaxesRoyaltiesGrants/StampDuty/I-SD-001.pdf</vt:lpwstr>
      </vt:variant>
      <vt:variant>
        <vt:lpwstr/>
      </vt:variant>
      <vt:variant>
        <vt:i4>2883634</vt:i4>
      </vt:variant>
      <vt:variant>
        <vt:i4>3</vt:i4>
      </vt:variant>
      <vt:variant>
        <vt:i4>0</vt:i4>
      </vt:variant>
      <vt:variant>
        <vt:i4>5</vt:i4>
      </vt:variant>
      <vt:variant>
        <vt:lpwstr>http://www.treasury.nt.gov.au/PMS/Publications/TaxesRoyaltiesGrants/GeneralAdmin/CG-GEN-005.pdf</vt:lpwstr>
      </vt:variant>
      <vt:variant>
        <vt:lpwstr/>
      </vt:variant>
      <vt:variant>
        <vt:i4>3538986</vt:i4>
      </vt:variant>
      <vt:variant>
        <vt:i4>0</vt:i4>
      </vt:variant>
      <vt:variant>
        <vt:i4>0</vt:i4>
      </vt:variant>
      <vt:variant>
        <vt:i4>5</vt:i4>
      </vt:variant>
      <vt:variant>
        <vt:lpwstr>http://www.treasury.nt.gov.au/PMS/Publications/TaxesRoyaltiesGrants/StampDuty/CG-SD-002.pdf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lodgement and payment periods</dc:title>
  <dc:creator>eclark</dc:creator>
  <cp:lastModifiedBy>Jessica Symonds</cp:lastModifiedBy>
  <cp:revision>3</cp:revision>
  <cp:lastPrinted>2011-11-09T04:07:00Z</cp:lastPrinted>
  <dcterms:created xsi:type="dcterms:W3CDTF">2016-02-25T06:19:00Z</dcterms:created>
  <dcterms:modified xsi:type="dcterms:W3CDTF">2021-09-12T23:34:00Z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