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82791" w14:textId="77777777" w:rsidR="003C4941" w:rsidRDefault="00E12B05" w:rsidP="00AE185D">
      <w:pPr>
        <w:pStyle w:val="Subtitle0"/>
        <w:rPr>
          <w:noProof/>
          <w:lang w:eastAsia="en-AU"/>
        </w:rPr>
      </w:pPr>
      <w:r w:rsidRPr="00E12B05">
        <w:rPr>
          <w:noProof/>
          <w:lang w:eastAsia="en-AU"/>
        </w:rPr>
        <w:t>Commissioner’s Guideline</w:t>
      </w:r>
    </w:p>
    <w:tbl>
      <w:tblPr>
        <w:tblStyle w:val="NTGtable1"/>
        <w:tblW w:w="10312" w:type="dxa"/>
        <w:tblLook w:val="04A0" w:firstRow="1" w:lastRow="0" w:firstColumn="1" w:lastColumn="0" w:noHBand="0" w:noVBand="1"/>
      </w:tblPr>
      <w:tblGrid>
        <w:gridCol w:w="1134"/>
        <w:gridCol w:w="3061"/>
        <w:gridCol w:w="3061"/>
        <w:gridCol w:w="3056"/>
      </w:tblGrid>
      <w:tr w:rsidR="008805ED" w:rsidRPr="00FC7F2D" w14:paraId="031CA49C" w14:textId="77777777" w:rsidTr="001D53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vMerge w:val="restart"/>
            <w:vAlign w:val="bottom"/>
          </w:tcPr>
          <w:p w14:paraId="0152B3AE" w14:textId="77777777" w:rsidR="008805ED" w:rsidRPr="00FC7F2D" w:rsidRDefault="008805ED" w:rsidP="001D537A">
            <w:pPr>
              <w:pStyle w:val="BodyText"/>
              <w:spacing w:after="60"/>
            </w:pPr>
            <w:r w:rsidRPr="00FC7F2D">
              <w:t>Version</w:t>
            </w:r>
          </w:p>
        </w:tc>
        <w:tc>
          <w:tcPr>
            <w:tcW w:w="3061" w:type="dxa"/>
            <w:vMerge w:val="restart"/>
            <w:vAlign w:val="bottom"/>
          </w:tcPr>
          <w:p w14:paraId="5CC3D10F" w14:textId="77777777" w:rsidR="008805ED" w:rsidRPr="00FC7F2D" w:rsidRDefault="008805ED" w:rsidP="001D537A">
            <w:pPr>
              <w:pStyle w:val="BodyText"/>
              <w:spacing w:after="60"/>
              <w:cnfStyle w:val="100000000000" w:firstRow="1" w:lastRow="0" w:firstColumn="0" w:lastColumn="0" w:oddVBand="0" w:evenVBand="0" w:oddHBand="0" w:evenHBand="0" w:firstRowFirstColumn="0" w:firstRowLastColumn="0" w:lastRowFirstColumn="0" w:lastRowLastColumn="0"/>
            </w:pPr>
            <w:r w:rsidRPr="00FC7F2D">
              <w:t>Issued</w:t>
            </w:r>
          </w:p>
        </w:tc>
        <w:tc>
          <w:tcPr>
            <w:tcW w:w="6117" w:type="dxa"/>
            <w:gridSpan w:val="2"/>
            <w:tcBorders>
              <w:top w:val="single" w:sz="4" w:space="0" w:color="1F1F5F" w:themeColor="text1"/>
              <w:bottom w:val="single" w:sz="4" w:space="0" w:color="FFFFFF" w:themeColor="background1"/>
            </w:tcBorders>
          </w:tcPr>
          <w:p w14:paraId="5F3804CA" w14:textId="77777777" w:rsidR="008805ED" w:rsidRPr="00FC7F2D" w:rsidRDefault="008805ED" w:rsidP="00E12B05">
            <w:pPr>
              <w:pStyle w:val="BodyText"/>
              <w:spacing w:after="60"/>
              <w:jc w:val="center"/>
              <w:cnfStyle w:val="100000000000" w:firstRow="1" w:lastRow="0" w:firstColumn="0" w:lastColumn="0" w:oddVBand="0" w:evenVBand="0" w:oddHBand="0" w:evenHBand="0" w:firstRowFirstColumn="0" w:firstRowLastColumn="0" w:lastRowFirstColumn="0" w:lastRowLastColumn="0"/>
            </w:pPr>
            <w:r w:rsidRPr="00FC7F2D">
              <w:t xml:space="preserve">Dates of </w:t>
            </w:r>
            <w:r>
              <w:t>e</w:t>
            </w:r>
            <w:r w:rsidRPr="00FC7F2D">
              <w:t>ffect</w:t>
            </w:r>
          </w:p>
        </w:tc>
      </w:tr>
      <w:tr w:rsidR="00AE185D" w:rsidRPr="00FC7F2D" w14:paraId="1FC9BB81" w14:textId="77777777" w:rsidTr="001D537A">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134" w:type="dxa"/>
            <w:vMerge/>
          </w:tcPr>
          <w:p w14:paraId="7CE3A55F" w14:textId="77777777" w:rsidR="00AE185D" w:rsidRPr="00FC7F2D" w:rsidRDefault="00AE185D" w:rsidP="007833B1">
            <w:pPr>
              <w:spacing w:after="200"/>
            </w:pPr>
          </w:p>
        </w:tc>
        <w:tc>
          <w:tcPr>
            <w:tcW w:w="3061" w:type="dxa"/>
            <w:vMerge/>
          </w:tcPr>
          <w:p w14:paraId="444C3044" w14:textId="77777777" w:rsidR="00AE185D" w:rsidRPr="00FC7F2D" w:rsidRDefault="00AE185D" w:rsidP="007833B1">
            <w:pPr>
              <w:spacing w:after="200"/>
              <w:cnfStyle w:val="000000100000" w:firstRow="0" w:lastRow="0" w:firstColumn="0" w:lastColumn="0" w:oddVBand="0" w:evenVBand="0" w:oddHBand="1" w:evenHBand="0" w:firstRowFirstColumn="0" w:firstRowLastColumn="0" w:lastRowFirstColumn="0" w:lastRowLastColumn="0"/>
            </w:pPr>
          </w:p>
        </w:tc>
        <w:tc>
          <w:tcPr>
            <w:tcW w:w="3061" w:type="dxa"/>
            <w:tcBorders>
              <w:top w:val="single" w:sz="4" w:space="0" w:color="FFFFFF" w:themeColor="background1"/>
            </w:tcBorders>
            <w:shd w:val="clear" w:color="auto" w:fill="1F1F5F" w:themeFill="text1"/>
            <w:vAlign w:val="bottom"/>
          </w:tcPr>
          <w:p w14:paraId="39E469C2" w14:textId="77777777" w:rsidR="00AE185D" w:rsidRPr="00C8314B" w:rsidRDefault="00AE185D" w:rsidP="001D537A">
            <w:pPr>
              <w:pStyle w:val="BodyText"/>
              <w:spacing w:before="60" w:after="60"/>
              <w:cnfStyle w:val="000000100000" w:firstRow="0" w:lastRow="0" w:firstColumn="0" w:lastColumn="0" w:oddVBand="0" w:evenVBand="0" w:oddHBand="1" w:evenHBand="0" w:firstRowFirstColumn="0" w:firstRowLastColumn="0" w:lastRowFirstColumn="0" w:lastRowLastColumn="0"/>
              <w:rPr>
                <w:b/>
              </w:rPr>
            </w:pPr>
            <w:r w:rsidRPr="00C8314B">
              <w:rPr>
                <w:b/>
              </w:rPr>
              <w:t>From:</w:t>
            </w:r>
          </w:p>
        </w:tc>
        <w:tc>
          <w:tcPr>
            <w:tcW w:w="3056" w:type="dxa"/>
            <w:tcBorders>
              <w:top w:val="single" w:sz="4" w:space="0" w:color="FFFFFF" w:themeColor="background1"/>
            </w:tcBorders>
            <w:shd w:val="clear" w:color="auto" w:fill="1F1F5F" w:themeFill="text1"/>
            <w:vAlign w:val="bottom"/>
          </w:tcPr>
          <w:p w14:paraId="0ABA1524" w14:textId="77777777" w:rsidR="00AE185D" w:rsidRPr="00C8314B" w:rsidRDefault="00AE185D" w:rsidP="001D537A">
            <w:pPr>
              <w:pStyle w:val="BodyText"/>
              <w:spacing w:before="60" w:after="60"/>
              <w:cnfStyle w:val="000000100000" w:firstRow="0" w:lastRow="0" w:firstColumn="0" w:lastColumn="0" w:oddVBand="0" w:evenVBand="0" w:oddHBand="1" w:evenHBand="0" w:firstRowFirstColumn="0" w:firstRowLastColumn="0" w:lastRowFirstColumn="0" w:lastRowLastColumn="0"/>
              <w:rPr>
                <w:b/>
              </w:rPr>
            </w:pPr>
            <w:r w:rsidRPr="00C8314B">
              <w:rPr>
                <w:b/>
              </w:rPr>
              <w:t>To:</w:t>
            </w:r>
          </w:p>
        </w:tc>
      </w:tr>
      <w:tr w:rsidR="00AE185D" w:rsidRPr="003C6A6B" w14:paraId="7647D11B" w14:textId="77777777" w:rsidTr="001D53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92B0AE6" w14:textId="77777777" w:rsidR="00AE185D" w:rsidRPr="00E12B05" w:rsidRDefault="00AE185D" w:rsidP="00E12B05">
            <w:pPr>
              <w:pStyle w:val="BodyText1"/>
            </w:pPr>
            <w:r w:rsidRPr="00E12B05">
              <w:t>1</w:t>
            </w:r>
          </w:p>
        </w:tc>
        <w:tc>
          <w:tcPr>
            <w:tcW w:w="3061" w:type="dxa"/>
          </w:tcPr>
          <w:p w14:paraId="234DD486" w14:textId="77777777" w:rsidR="00AE185D" w:rsidRPr="00E12B05" w:rsidRDefault="00AE185D" w:rsidP="00E12B05">
            <w:pPr>
              <w:pStyle w:val="BodyText1"/>
              <w:cnfStyle w:val="000000010000" w:firstRow="0" w:lastRow="0" w:firstColumn="0" w:lastColumn="0" w:oddVBand="0" w:evenVBand="0" w:oddHBand="0" w:evenHBand="1" w:firstRowFirstColumn="0" w:firstRowLastColumn="0" w:lastRowFirstColumn="0" w:lastRowLastColumn="0"/>
            </w:pPr>
            <w:r w:rsidRPr="00E12B05">
              <w:t>4 December 2012</w:t>
            </w:r>
          </w:p>
        </w:tc>
        <w:tc>
          <w:tcPr>
            <w:tcW w:w="3061" w:type="dxa"/>
          </w:tcPr>
          <w:p w14:paraId="7BDEF0A4" w14:textId="77777777" w:rsidR="00AE185D" w:rsidRPr="00E12B05" w:rsidRDefault="00AE185D" w:rsidP="00E12B05">
            <w:pPr>
              <w:pStyle w:val="BodyText1"/>
              <w:cnfStyle w:val="000000010000" w:firstRow="0" w:lastRow="0" w:firstColumn="0" w:lastColumn="0" w:oddVBand="0" w:evenVBand="0" w:oddHBand="0" w:evenHBand="1" w:firstRowFirstColumn="0" w:firstRowLastColumn="0" w:lastRowFirstColumn="0" w:lastRowLastColumn="0"/>
            </w:pPr>
            <w:r w:rsidRPr="00E12B05">
              <w:t>4 December 2012</w:t>
            </w:r>
          </w:p>
        </w:tc>
        <w:tc>
          <w:tcPr>
            <w:tcW w:w="3056" w:type="dxa"/>
          </w:tcPr>
          <w:p w14:paraId="32C2CD39" w14:textId="77777777" w:rsidR="00AE185D" w:rsidRPr="00E12B05" w:rsidRDefault="00AE185D" w:rsidP="00E12B05">
            <w:pPr>
              <w:pStyle w:val="BodyText1"/>
              <w:cnfStyle w:val="000000010000" w:firstRow="0" w:lastRow="0" w:firstColumn="0" w:lastColumn="0" w:oddVBand="0" w:evenVBand="0" w:oddHBand="0" w:evenHBand="1" w:firstRowFirstColumn="0" w:firstRowLastColumn="0" w:lastRowFirstColumn="0" w:lastRowLastColumn="0"/>
            </w:pPr>
            <w:r w:rsidRPr="00E12B05">
              <w:t>13 May 2014</w:t>
            </w:r>
          </w:p>
        </w:tc>
      </w:tr>
      <w:tr w:rsidR="00AE185D" w:rsidRPr="003C6A6B" w14:paraId="536F7D25" w14:textId="77777777" w:rsidTr="001D537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Pr>
          <w:p w14:paraId="3C2DEB00" w14:textId="77777777" w:rsidR="00AE185D" w:rsidRPr="00E12B05" w:rsidRDefault="00AE185D" w:rsidP="00E12B05">
            <w:pPr>
              <w:pStyle w:val="BodyText1"/>
            </w:pPr>
            <w:r w:rsidRPr="00E12B05">
              <w:t>2</w:t>
            </w:r>
          </w:p>
        </w:tc>
        <w:tc>
          <w:tcPr>
            <w:tcW w:w="3061" w:type="dxa"/>
          </w:tcPr>
          <w:p w14:paraId="489D31F2" w14:textId="77777777" w:rsidR="00AE185D" w:rsidRPr="00E12B05" w:rsidRDefault="00AE185D" w:rsidP="00E12B05">
            <w:pPr>
              <w:pStyle w:val="BodyText1"/>
              <w:cnfStyle w:val="000000100000" w:firstRow="0" w:lastRow="0" w:firstColumn="0" w:lastColumn="0" w:oddVBand="0" w:evenVBand="0" w:oddHBand="1" w:evenHBand="0" w:firstRowFirstColumn="0" w:firstRowLastColumn="0" w:lastRowFirstColumn="0" w:lastRowLastColumn="0"/>
            </w:pPr>
            <w:r w:rsidRPr="00E12B05">
              <w:t>13 May 2014</w:t>
            </w:r>
          </w:p>
        </w:tc>
        <w:tc>
          <w:tcPr>
            <w:tcW w:w="3061" w:type="dxa"/>
          </w:tcPr>
          <w:p w14:paraId="5191EDAD" w14:textId="77777777" w:rsidR="00AE185D" w:rsidRPr="00E12B05" w:rsidRDefault="00AE185D" w:rsidP="00E12B05">
            <w:pPr>
              <w:pStyle w:val="BodyText1"/>
              <w:cnfStyle w:val="000000100000" w:firstRow="0" w:lastRow="0" w:firstColumn="0" w:lastColumn="0" w:oddVBand="0" w:evenVBand="0" w:oddHBand="1" w:evenHBand="0" w:firstRowFirstColumn="0" w:firstRowLastColumn="0" w:lastRowFirstColumn="0" w:lastRowLastColumn="0"/>
            </w:pPr>
            <w:r w:rsidRPr="00E12B05">
              <w:t>13 May 2014</w:t>
            </w:r>
          </w:p>
        </w:tc>
        <w:tc>
          <w:tcPr>
            <w:tcW w:w="3056" w:type="dxa"/>
          </w:tcPr>
          <w:p w14:paraId="6657DABD" w14:textId="77777777" w:rsidR="00AE185D" w:rsidRPr="00E12B05" w:rsidRDefault="00AE185D" w:rsidP="00E12B05">
            <w:pPr>
              <w:pStyle w:val="BodyText1"/>
              <w:cnfStyle w:val="000000100000" w:firstRow="0" w:lastRow="0" w:firstColumn="0" w:lastColumn="0" w:oddVBand="0" w:evenVBand="0" w:oddHBand="1" w:evenHBand="0" w:firstRowFirstColumn="0" w:firstRowLastColumn="0" w:lastRowFirstColumn="0" w:lastRowLastColumn="0"/>
            </w:pPr>
            <w:r w:rsidRPr="00E12B05">
              <w:t>9 May 2022</w:t>
            </w:r>
          </w:p>
        </w:tc>
      </w:tr>
      <w:tr w:rsidR="00AE185D" w:rsidRPr="003C6A6B" w14:paraId="27CA2A06" w14:textId="77777777" w:rsidTr="001D53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720D146" w14:textId="77777777" w:rsidR="00AE185D" w:rsidRPr="00E12B05" w:rsidRDefault="00AE185D" w:rsidP="00E12B05">
            <w:pPr>
              <w:pStyle w:val="BodyText1"/>
            </w:pPr>
            <w:r w:rsidRPr="00E12B05">
              <w:t>3</w:t>
            </w:r>
          </w:p>
        </w:tc>
        <w:tc>
          <w:tcPr>
            <w:tcW w:w="3061" w:type="dxa"/>
          </w:tcPr>
          <w:p w14:paraId="41096CA8" w14:textId="77777777" w:rsidR="00AE185D" w:rsidRPr="00E12B05" w:rsidRDefault="00AE185D" w:rsidP="00E12B05">
            <w:pPr>
              <w:pStyle w:val="BodyText1"/>
              <w:cnfStyle w:val="000000010000" w:firstRow="0" w:lastRow="0" w:firstColumn="0" w:lastColumn="0" w:oddVBand="0" w:evenVBand="0" w:oddHBand="0" w:evenHBand="1" w:firstRowFirstColumn="0" w:firstRowLastColumn="0" w:lastRowFirstColumn="0" w:lastRowLastColumn="0"/>
            </w:pPr>
            <w:r w:rsidRPr="00E12B05">
              <w:t>1 July 2022</w:t>
            </w:r>
          </w:p>
        </w:tc>
        <w:tc>
          <w:tcPr>
            <w:tcW w:w="3061" w:type="dxa"/>
          </w:tcPr>
          <w:p w14:paraId="219A372F" w14:textId="77777777" w:rsidR="00AE185D" w:rsidRPr="00E12B05" w:rsidRDefault="00AE185D" w:rsidP="00E12B05">
            <w:pPr>
              <w:pStyle w:val="BodyText1"/>
              <w:cnfStyle w:val="000000010000" w:firstRow="0" w:lastRow="0" w:firstColumn="0" w:lastColumn="0" w:oddVBand="0" w:evenVBand="0" w:oddHBand="0" w:evenHBand="1" w:firstRowFirstColumn="0" w:firstRowLastColumn="0" w:lastRowFirstColumn="0" w:lastRowLastColumn="0"/>
            </w:pPr>
            <w:r w:rsidRPr="00E12B05">
              <w:t>1 July 2022</w:t>
            </w:r>
          </w:p>
        </w:tc>
        <w:tc>
          <w:tcPr>
            <w:tcW w:w="3056" w:type="dxa"/>
          </w:tcPr>
          <w:p w14:paraId="3443CADC" w14:textId="77777777" w:rsidR="00AE185D" w:rsidRPr="00E12B05" w:rsidRDefault="00AE185D" w:rsidP="00E12B05">
            <w:pPr>
              <w:pStyle w:val="BodyText1"/>
              <w:cnfStyle w:val="000000010000" w:firstRow="0" w:lastRow="0" w:firstColumn="0" w:lastColumn="0" w:oddVBand="0" w:evenVBand="0" w:oddHBand="0" w:evenHBand="1" w:firstRowFirstColumn="0" w:firstRowLastColumn="0" w:lastRowFirstColumn="0" w:lastRowLastColumn="0"/>
            </w:pPr>
            <w:r w:rsidRPr="00E12B05">
              <w:t>Current</w:t>
            </w:r>
          </w:p>
        </w:tc>
      </w:tr>
    </w:tbl>
    <w:p w14:paraId="11BAE254" w14:textId="77777777" w:rsidR="00AE185D" w:rsidRDefault="00AE185D" w:rsidP="00AE185D">
      <w:pPr>
        <w:pStyle w:val="Heading1"/>
      </w:pPr>
      <w:r>
        <w:t>Purpose</w:t>
      </w:r>
    </w:p>
    <w:p w14:paraId="49896231" w14:textId="0E2F2A30" w:rsidR="00AE185D" w:rsidRDefault="00AE185D" w:rsidP="00C8314B">
      <w:pPr>
        <w:pStyle w:val="Numberlistlevel1ListNumber"/>
      </w:pPr>
      <w:r w:rsidRPr="00AE185D">
        <w:t xml:space="preserve">This </w:t>
      </w:r>
      <w:r w:rsidR="008805ED">
        <w:t>g</w:t>
      </w:r>
      <w:r w:rsidRPr="00AE185D">
        <w:t xml:space="preserve">uideline explains </w:t>
      </w:r>
      <w:r w:rsidR="00E76CE6">
        <w:t>the criteria for</w:t>
      </w:r>
      <w:r w:rsidR="00E76CE6" w:rsidRPr="00AE185D">
        <w:t xml:space="preserve"> </w:t>
      </w:r>
      <w:r w:rsidRPr="00AE185D">
        <w:t xml:space="preserve">a building </w:t>
      </w:r>
      <w:r w:rsidR="00E76CE6">
        <w:t xml:space="preserve">to </w:t>
      </w:r>
      <w:r w:rsidR="00E76CE6" w:rsidRPr="00AE185D">
        <w:t>qualif</w:t>
      </w:r>
      <w:r w:rsidR="00E76CE6">
        <w:t>y</w:t>
      </w:r>
      <w:r w:rsidR="00E76CE6" w:rsidRPr="00AE185D">
        <w:t xml:space="preserve"> </w:t>
      </w:r>
      <w:r w:rsidRPr="00AE185D">
        <w:t xml:space="preserve">as a ‘new home’ for the purposes of the first home owner grant (FHOG) and the </w:t>
      </w:r>
      <w:r w:rsidR="00671E99">
        <w:t>H</w:t>
      </w:r>
      <w:r w:rsidRPr="00AE185D">
        <w:t xml:space="preserve">ouse and land package exemption, </w:t>
      </w:r>
      <w:r w:rsidR="00E76CE6">
        <w:t xml:space="preserve">which are known </w:t>
      </w:r>
      <w:r w:rsidRPr="00AE185D">
        <w:t>collectively</w:t>
      </w:r>
      <w:r w:rsidR="00E76CE6">
        <w:t xml:space="preserve"> as</w:t>
      </w:r>
      <w:r w:rsidR="00E76CE6" w:rsidRPr="00AE185D">
        <w:t xml:space="preserve"> </w:t>
      </w:r>
      <w:r w:rsidRPr="00AE185D">
        <w:t>‘the home owner assistance schemes’.</w:t>
      </w:r>
      <w:bookmarkStart w:id="0" w:name="_GoBack"/>
      <w:bookmarkEnd w:id="0"/>
    </w:p>
    <w:p w14:paraId="3688DC0D" w14:textId="4272251D" w:rsidR="00AE185D" w:rsidRDefault="00305805" w:rsidP="00C8314B">
      <w:pPr>
        <w:pStyle w:val="Heading2"/>
      </w:pPr>
      <w:r>
        <w:t>H</w:t>
      </w:r>
      <w:r w:rsidR="00AE185D" w:rsidRPr="00AE185D">
        <w:t>ome owner assistances schemes</w:t>
      </w:r>
    </w:p>
    <w:p w14:paraId="3B6EA7EE" w14:textId="705A08E1" w:rsidR="00AE185D" w:rsidRDefault="00AE185D" w:rsidP="00C8314B">
      <w:pPr>
        <w:pStyle w:val="Numberlistlevel1ListNumber"/>
      </w:pPr>
      <w:r w:rsidRPr="00AE185D">
        <w:t xml:space="preserve">The home owner assistance schemes </w:t>
      </w:r>
      <w:r w:rsidR="00E76CE6">
        <w:t>are intended</w:t>
      </w:r>
      <w:r w:rsidR="00E76CE6" w:rsidRPr="00AE185D">
        <w:t xml:space="preserve"> </w:t>
      </w:r>
      <w:r w:rsidRPr="00AE185D">
        <w:t xml:space="preserve">to encourage home ownership by providing assistance in the form of a grant for the purchase or construction of a home or </w:t>
      </w:r>
      <w:r w:rsidR="00E76CE6">
        <w:t>reducing</w:t>
      </w:r>
      <w:r w:rsidRPr="00AE185D">
        <w:t xml:space="preserve"> the stamp duty payable on the purchase of land on which there is or will be a new home.</w:t>
      </w:r>
    </w:p>
    <w:p w14:paraId="1F2D1AB2" w14:textId="77777777" w:rsidR="00AE185D" w:rsidRDefault="00AE185D" w:rsidP="00AE185D">
      <w:pPr>
        <w:pStyle w:val="Heading1"/>
      </w:pPr>
      <w:r>
        <w:t>What is a ‘new home’?</w:t>
      </w:r>
    </w:p>
    <w:p w14:paraId="2065F236" w14:textId="0E36F18B" w:rsidR="00AE185D" w:rsidRPr="00AE185D" w:rsidRDefault="00AE185D" w:rsidP="00C8314B">
      <w:pPr>
        <w:pStyle w:val="Numberlistlevel1ListNumber"/>
      </w:pPr>
      <w:r w:rsidRPr="00AE185D">
        <w:t>The home owner assistance schemes define a ‘home’ as a building affixed to land which is:</w:t>
      </w:r>
    </w:p>
    <w:p w14:paraId="0209C967" w14:textId="6CDD1E30" w:rsidR="00AE185D" w:rsidRPr="00AE185D" w:rsidRDefault="00AE185D" w:rsidP="00C8314B">
      <w:pPr>
        <w:pStyle w:val="Numberlistlevel2ListNumber2"/>
      </w:pPr>
      <w:r w:rsidRPr="00AE185D">
        <w:t>able to be lawfully used as a place of residence</w:t>
      </w:r>
    </w:p>
    <w:p w14:paraId="4C802858" w14:textId="50A3E0BC" w:rsidR="00AE185D" w:rsidRPr="00AE185D" w:rsidRDefault="00AE185D" w:rsidP="00C8314B">
      <w:pPr>
        <w:pStyle w:val="Numberlistlevel2ListNumber2"/>
      </w:pPr>
      <w:r w:rsidRPr="00AE185D">
        <w:t>in the opinion of the Commissioner of Territory Revenue</w:t>
      </w:r>
      <w:r w:rsidR="00E76CE6">
        <w:t xml:space="preserve"> (Commissioner)</w:t>
      </w:r>
      <w:r w:rsidRPr="00AE185D">
        <w:t>, suitable for use as a place of residence.</w:t>
      </w:r>
      <w:r w:rsidRPr="00AE185D">
        <w:rPr>
          <w:vertAlign w:val="superscript"/>
        </w:rPr>
        <w:footnoteReference w:id="1"/>
      </w:r>
    </w:p>
    <w:p w14:paraId="6B988D16" w14:textId="3D75AF8F" w:rsidR="00AE185D" w:rsidRPr="00AE185D" w:rsidRDefault="00AE185D" w:rsidP="00C8314B">
      <w:pPr>
        <w:pStyle w:val="Numberlistlevel1ListNumber"/>
      </w:pPr>
      <w:r w:rsidRPr="00AE185D">
        <w:t xml:space="preserve">Further information is provided in Commissioner’s Guideline </w:t>
      </w:r>
      <w:r w:rsidR="00E76CE6" w:rsidRPr="001D537A">
        <w:t>CG-HI-006: Meaning of a ‘home’</w:t>
      </w:r>
      <w:r w:rsidRPr="00AE185D">
        <w:t xml:space="preserve">. Commissioner’s Guideline </w:t>
      </w:r>
      <w:r w:rsidR="00E76CE6" w:rsidRPr="001D537A">
        <w:t>CG-HI-001</w:t>
      </w:r>
      <w:r w:rsidR="00E76CE6" w:rsidRPr="00F064E5">
        <w:t xml:space="preserve">: Stamp </w:t>
      </w:r>
      <w:r w:rsidR="000F3A97" w:rsidRPr="00F064E5">
        <w:t>d</w:t>
      </w:r>
      <w:r w:rsidR="00E76CE6" w:rsidRPr="00F064E5">
        <w:t xml:space="preserve">uty </w:t>
      </w:r>
      <w:r w:rsidR="000F3A97" w:rsidRPr="00F064E5">
        <w:t>home o</w:t>
      </w:r>
      <w:r w:rsidR="00E76CE6" w:rsidRPr="00F064E5">
        <w:t xml:space="preserve">wner assistance </w:t>
      </w:r>
      <w:r w:rsidR="000F3A97" w:rsidRPr="00F064E5">
        <w:t>s</w:t>
      </w:r>
      <w:r w:rsidR="00E76CE6" w:rsidRPr="00F064E5">
        <w:t>chemes</w:t>
      </w:r>
      <w:r w:rsidRPr="00AE185D">
        <w:t xml:space="preserve"> and the respective home owner assistance scheme applications also provide more information on the eligibility criteria for the home owner assistance schemes.</w:t>
      </w:r>
    </w:p>
    <w:p w14:paraId="56698305" w14:textId="49F54FD1" w:rsidR="00AE185D" w:rsidRPr="00AE185D" w:rsidRDefault="00AE185D" w:rsidP="00C8314B">
      <w:pPr>
        <w:pStyle w:val="Numberlistlevel1ListNumber"/>
      </w:pPr>
      <w:r w:rsidRPr="00AE185D">
        <w:t xml:space="preserve">A ‘new home’ is defined as a home that has not </w:t>
      </w:r>
      <w:r w:rsidR="00E76CE6" w:rsidRPr="00AE185D">
        <w:t xml:space="preserve">previously </w:t>
      </w:r>
      <w:r w:rsidRPr="00AE185D">
        <w:t>been occupied or sold as a place of residence, including as residential accommodation (regardless of the duration of the occupation).</w:t>
      </w:r>
      <w:r w:rsidRPr="00AE185D">
        <w:rPr>
          <w:vertAlign w:val="superscript"/>
        </w:rPr>
        <w:footnoteReference w:id="2"/>
      </w:r>
      <w:r w:rsidRPr="00AE185D">
        <w:t xml:space="preserve"> </w:t>
      </w:r>
      <w:r w:rsidR="00001841">
        <w:t>R</w:t>
      </w:r>
      <w:r w:rsidRPr="00AE185D">
        <w:t>esidential accommodation include</w:t>
      </w:r>
      <w:r w:rsidR="00001841">
        <w:t>s</w:t>
      </w:r>
      <w:r w:rsidRPr="00AE185D">
        <w:t xml:space="preserve"> hotel</w:t>
      </w:r>
      <w:r w:rsidR="00001841">
        <w:t>s</w:t>
      </w:r>
      <w:r w:rsidRPr="00AE185D">
        <w:t xml:space="preserve">, serviced apartments and </w:t>
      </w:r>
      <w:r w:rsidR="00E76CE6" w:rsidRPr="00AE185D">
        <w:t>workers</w:t>
      </w:r>
      <w:r w:rsidR="000F3A97">
        <w:t>’</w:t>
      </w:r>
      <w:r w:rsidR="00E76CE6">
        <w:t> </w:t>
      </w:r>
      <w:r w:rsidRPr="00AE185D">
        <w:t>accommodation.</w:t>
      </w:r>
    </w:p>
    <w:p w14:paraId="28D444BD" w14:textId="77777777" w:rsidR="00AE185D" w:rsidRPr="00AE185D" w:rsidRDefault="00AE185D" w:rsidP="00C8314B">
      <w:pPr>
        <w:pStyle w:val="Numberlistlevel1ListNumber"/>
      </w:pPr>
      <w:r w:rsidRPr="00AE185D">
        <w:t>For the FHOG, a new home will generally be a house, duplex, unit or townhouse that is newly built and has not, since being built, been sold or occupied as a place of residence.</w:t>
      </w:r>
      <w:r w:rsidRPr="00AE185D" w:rsidDel="00A4083A">
        <w:t xml:space="preserve"> </w:t>
      </w:r>
      <w:r w:rsidRPr="00AE185D">
        <w:t>This may include house and land packages, homes purchased ‘off-the-plan’ and the construction of a new home by the applicant or a builder engaged by the applicant.</w:t>
      </w:r>
    </w:p>
    <w:p w14:paraId="725DCC0A" w14:textId="561FE130" w:rsidR="00AE185D" w:rsidRPr="00AE185D" w:rsidRDefault="00AE185D" w:rsidP="00C8314B">
      <w:pPr>
        <w:pStyle w:val="Numberlistlevel1ListNumber"/>
      </w:pPr>
      <w:r w:rsidRPr="00AE185D">
        <w:t xml:space="preserve">The </w:t>
      </w:r>
      <w:r w:rsidR="00671E99">
        <w:t>H</w:t>
      </w:r>
      <w:r w:rsidR="000F3A97" w:rsidRPr="00AE185D">
        <w:t>ouse and land package exemption</w:t>
      </w:r>
      <w:r w:rsidR="000F3A97" w:rsidRPr="00AE185D" w:rsidDel="000F3A97">
        <w:t xml:space="preserve"> </w:t>
      </w:r>
      <w:r w:rsidRPr="00AE185D">
        <w:t>is limited to newly</w:t>
      </w:r>
      <w:r w:rsidR="000F3A97">
        <w:t>-</w:t>
      </w:r>
      <w:r w:rsidRPr="00AE185D">
        <w:t>built detached homes only.</w:t>
      </w:r>
    </w:p>
    <w:p w14:paraId="1369A37B" w14:textId="27476621" w:rsidR="00AE185D" w:rsidRPr="00AE185D" w:rsidRDefault="00AE185D" w:rsidP="00C8314B">
      <w:pPr>
        <w:pStyle w:val="Numberlistlevel1ListNumber"/>
      </w:pPr>
      <w:r w:rsidRPr="00AE185D">
        <w:lastRenderedPageBreak/>
        <w:t>For the FHOG, where a home has previously been sold but not occupied since its construction, the Commissioner may, in limited circumstances, declare the home to be a new home</w:t>
      </w:r>
      <w:r w:rsidR="00001841">
        <w:t xml:space="preserve"> (see </w:t>
      </w:r>
      <w:hyperlink w:anchor="_Commissioner’s_discretion_to" w:history="1">
        <w:r w:rsidR="00001841" w:rsidRPr="00001841">
          <w:rPr>
            <w:rStyle w:val="Hyperlink"/>
          </w:rPr>
          <w:t>Commissioner’s discretion to declare a home to be ‘new’</w:t>
        </w:r>
      </w:hyperlink>
      <w:r w:rsidR="00001841">
        <w:t>)</w:t>
      </w:r>
      <w:r w:rsidRPr="00AE185D">
        <w:t>.</w:t>
      </w:r>
    </w:p>
    <w:p w14:paraId="56B1654C" w14:textId="37E3DC93" w:rsidR="00AE185D" w:rsidRPr="00AE185D" w:rsidRDefault="00AE185D" w:rsidP="00C8314B">
      <w:pPr>
        <w:pStyle w:val="Numberlistlevel1ListNumber"/>
      </w:pPr>
      <w:r w:rsidRPr="00AE185D">
        <w:t>For the FHOG, a ‘substantially renovated’ home may also be considered a new home for the purpose of the home owner assistance schemes in very limited circumstances. Substantial renovations are uncommon and involve the replacement of most or all of a building by an entity registered for GST</w:t>
      </w:r>
      <w:r w:rsidR="00001841">
        <w:t xml:space="preserve"> (see </w:t>
      </w:r>
      <w:hyperlink w:anchor="_Substantially_renovated_homes" w:history="1">
        <w:r w:rsidR="00001841" w:rsidRPr="00001841">
          <w:rPr>
            <w:rStyle w:val="Hyperlink"/>
          </w:rPr>
          <w:t>Substantially renovated homes</w:t>
        </w:r>
      </w:hyperlink>
      <w:r w:rsidR="00001841">
        <w:t>)</w:t>
      </w:r>
      <w:r w:rsidRPr="00AE185D">
        <w:t>.</w:t>
      </w:r>
    </w:p>
    <w:p w14:paraId="6E87F69D" w14:textId="77777777" w:rsidR="00AE185D" w:rsidRPr="00AE185D" w:rsidRDefault="00AE185D" w:rsidP="00AE185D">
      <w:pPr>
        <w:pStyle w:val="Heading2"/>
      </w:pPr>
      <w:r w:rsidRPr="00AE185D">
        <w:t>‘Occupied as a place of residence’</w:t>
      </w:r>
    </w:p>
    <w:p w14:paraId="710CD55A" w14:textId="3B91BDA8" w:rsidR="00AE185D" w:rsidRPr="00AE185D" w:rsidRDefault="00AE185D" w:rsidP="00C8314B">
      <w:pPr>
        <w:pStyle w:val="Numberlistlevel1ListNumber"/>
      </w:pPr>
      <w:r w:rsidRPr="00AE185D">
        <w:t>A home ceases to be a new home when it is first occupied as a place of residence. Unlike the first sale of a home, the Commissioner does not have discretion to declare a home to be a new home once it has been occupied.</w:t>
      </w:r>
    </w:p>
    <w:p w14:paraId="1461C254" w14:textId="77777777" w:rsidR="00AE185D" w:rsidRPr="00AE185D" w:rsidRDefault="00AE185D" w:rsidP="00C8314B">
      <w:pPr>
        <w:pStyle w:val="Numberlistlevel1ListNumber"/>
      </w:pPr>
      <w:r w:rsidRPr="00AE185D">
        <w:t>For the purposes of the home owner assistance schemes, a home will have been previously occupied as a place of residence if a person has lived in the home prior to the commencement of the eligible transaction, or the first execution of the conveyance.</w:t>
      </w:r>
    </w:p>
    <w:p w14:paraId="0568C1E6" w14:textId="2001D391" w:rsidR="00AE185D" w:rsidRPr="00AE185D" w:rsidRDefault="00AE185D" w:rsidP="00C8314B">
      <w:pPr>
        <w:pStyle w:val="Numberlistlevel1ListNumber"/>
      </w:pPr>
      <w:r w:rsidRPr="00AE185D">
        <w:t xml:space="preserve">A person does not have to make the home their principal place of residence to have occupied the home. Also, a home can be occupied by a person </w:t>
      </w:r>
      <w:r w:rsidR="00687508">
        <w:t>even if</w:t>
      </w:r>
      <w:r w:rsidRPr="00AE185D">
        <w:t xml:space="preserve"> the</w:t>
      </w:r>
      <w:r w:rsidR="00687508">
        <w:t>y</w:t>
      </w:r>
      <w:r w:rsidRPr="00AE185D">
        <w:t xml:space="preserve"> have another home elsewhere, or the term of the occupation was only for a short period of time.</w:t>
      </w:r>
    </w:p>
    <w:p w14:paraId="1EE33C92" w14:textId="011E22DE" w:rsidR="00AE185D" w:rsidRPr="00AE185D" w:rsidRDefault="00AE185D" w:rsidP="00C8314B">
      <w:pPr>
        <w:pStyle w:val="Numberlistlevel1ListNumber"/>
      </w:pPr>
      <w:r w:rsidRPr="00AE185D">
        <w:t>An occupant need not be a former owner of the home and could be a tenant, regardless of whether a formal written lease is in place or not. An occupant could also be a guest (or series of guests), occupying the home under a family or temporary arrangement or using the place as holiday accommodation. A building which has been used as any form of residential accommodation is not ‘new’ for home owner assistance scheme purposes.</w:t>
      </w:r>
    </w:p>
    <w:p w14:paraId="0E97605E" w14:textId="31651E5C" w:rsidR="00AE185D" w:rsidRPr="00AE185D" w:rsidRDefault="00B20E04" w:rsidP="00C8314B">
      <w:pPr>
        <w:pStyle w:val="Numberlistlevel1ListNumber"/>
      </w:pPr>
      <w:r>
        <w:t>A</w:t>
      </w:r>
      <w:r w:rsidR="00AE185D" w:rsidRPr="00AE185D">
        <w:t xml:space="preserve"> person who visits a home for non</w:t>
      </w:r>
      <w:r w:rsidR="00AE185D" w:rsidRPr="00AE185D">
        <w:noBreakHyphen/>
        <w:t xml:space="preserve">residential purposes will not generally be considered to have occupied </w:t>
      </w:r>
      <w:r w:rsidRPr="00AE185D">
        <w:t>th</w:t>
      </w:r>
      <w:r>
        <w:t>e</w:t>
      </w:r>
      <w:r w:rsidRPr="00AE185D">
        <w:t xml:space="preserve"> </w:t>
      </w:r>
      <w:r w:rsidR="00AE185D" w:rsidRPr="00AE185D">
        <w:t>home. For example, a painter, electrician or plumber who</w:t>
      </w:r>
      <w:r>
        <w:t xml:space="preserve"> visits</w:t>
      </w:r>
      <w:r w:rsidR="00AE185D" w:rsidRPr="00AE185D">
        <w:t xml:space="preserve"> </w:t>
      </w:r>
      <w:r>
        <w:t>the</w:t>
      </w:r>
      <w:r w:rsidR="00AE185D" w:rsidRPr="00AE185D">
        <w:t xml:space="preserve"> home to perform work will not be taken to have occupied th</w:t>
      </w:r>
      <w:r>
        <w:t>e</w:t>
      </w:r>
      <w:r w:rsidR="00AE185D" w:rsidRPr="00AE185D">
        <w:t xml:space="preserve"> home, even if it takes several weeks to perform </w:t>
      </w:r>
      <w:r w:rsidRPr="00AE185D">
        <w:t>th</w:t>
      </w:r>
      <w:r>
        <w:t>e</w:t>
      </w:r>
      <w:r w:rsidRPr="00AE185D">
        <w:t xml:space="preserve"> </w:t>
      </w:r>
      <w:r w:rsidR="00AE185D" w:rsidRPr="00AE185D">
        <w:t>work.</w:t>
      </w:r>
    </w:p>
    <w:p w14:paraId="6058B9E2" w14:textId="37E59382" w:rsidR="00AE185D" w:rsidRDefault="00B20E04" w:rsidP="00C8314B">
      <w:pPr>
        <w:pStyle w:val="Numberlistlevel1ListNumber"/>
      </w:pPr>
      <w:r>
        <w:t>A</w:t>
      </w:r>
      <w:r w:rsidR="00AE185D" w:rsidRPr="00AE185D">
        <w:t xml:space="preserve"> display home will generally not have been occupied as a place of residence, because a display home is typically used for commercial, rather than residential, purposes.</w:t>
      </w:r>
    </w:p>
    <w:p w14:paraId="46DFF4BC" w14:textId="7D58A31C" w:rsidR="00AE185D" w:rsidRDefault="00AE185D" w:rsidP="00AE185D">
      <w:pPr>
        <w:pStyle w:val="Heading2"/>
      </w:pPr>
      <w:bookmarkStart w:id="1" w:name="_Commissioner’s_discretion_to"/>
      <w:bookmarkEnd w:id="1"/>
      <w:r>
        <w:t>Commissioner’s discretion to declare a home to be ‘new’</w:t>
      </w:r>
    </w:p>
    <w:p w14:paraId="18BC9DC7" w14:textId="777005B4" w:rsidR="00AE185D" w:rsidRPr="00AE185D" w:rsidRDefault="00AE185D" w:rsidP="00C8314B">
      <w:pPr>
        <w:pStyle w:val="Numberlistlevel1ListNumber"/>
      </w:pPr>
      <w:r w:rsidRPr="00AE185D">
        <w:t xml:space="preserve">For the purposes of the home owner assistance schemes, a home will no longer be considered new when it is either sold or occupied, whichever occurs first. However, </w:t>
      </w:r>
      <w:r w:rsidRPr="00F064E5">
        <w:t>for FHOG purposes</w:t>
      </w:r>
      <w:r w:rsidRPr="00AE185D">
        <w:t xml:space="preserve">, a home </w:t>
      </w:r>
      <w:r w:rsidR="000F3A97" w:rsidRPr="00AE185D">
        <w:t>may</w:t>
      </w:r>
      <w:r w:rsidR="000F3A97">
        <w:t> </w:t>
      </w:r>
      <w:r w:rsidRPr="00AE185D">
        <w:t xml:space="preserve">be declared to be a new home despite a prior sale, if the home has not been lived in since </w:t>
      </w:r>
      <w:r w:rsidR="000F3A97" w:rsidRPr="00AE185D">
        <w:t>its</w:t>
      </w:r>
      <w:r w:rsidR="000F3A97">
        <w:t> </w:t>
      </w:r>
      <w:r w:rsidRPr="00AE185D">
        <w:t>construction.</w:t>
      </w:r>
    </w:p>
    <w:p w14:paraId="16FD87BA" w14:textId="1F97BC49" w:rsidR="00AE185D" w:rsidRPr="00AE185D" w:rsidRDefault="00AE185D" w:rsidP="00C8314B">
      <w:pPr>
        <w:pStyle w:val="Numberlistlevel1ListNumber"/>
      </w:pPr>
      <w:r w:rsidRPr="00AE185D">
        <w:t>This discretion provides flexibility in circumstances where a home has the necessary character and appearance of a new home, but cannot technically be considered a new home due to the fact it has been previously sold.</w:t>
      </w:r>
    </w:p>
    <w:p w14:paraId="174CB966" w14:textId="77777777" w:rsidR="00AE185D" w:rsidRPr="00AE185D" w:rsidRDefault="00AE185D" w:rsidP="00C8314B">
      <w:pPr>
        <w:pStyle w:val="Numberlistlevel1ListNumber"/>
      </w:pPr>
      <w:r w:rsidRPr="00AE185D">
        <w:t>For example, a newly built home may be first sold by a developer to an investor and then on</w:t>
      </w:r>
      <w:r w:rsidRPr="00AE185D">
        <w:noBreakHyphen/>
        <w:t>sold to an owner</w:t>
      </w:r>
      <w:r w:rsidRPr="00AE185D">
        <w:noBreakHyphen/>
        <w:t>occupier. In these circumstances, the owner</w:t>
      </w:r>
      <w:r w:rsidRPr="00AE185D">
        <w:noBreakHyphen/>
        <w:t>occupier may apply to have the home declared to be a new home despite the first sale to the investor.</w:t>
      </w:r>
    </w:p>
    <w:p w14:paraId="757134D3" w14:textId="1B1EF398" w:rsidR="00AE185D" w:rsidRPr="00AE185D" w:rsidRDefault="00AE185D" w:rsidP="00C8314B">
      <w:pPr>
        <w:pStyle w:val="Numberlistlevel1ListNumber"/>
      </w:pPr>
      <w:r w:rsidRPr="00AE185D">
        <w:t>The discretion will not be exercised where the home has previously been occupied as a place of residence or in circumstances where declaring the home to be a new home would undermine the integrity of the home owner assistance schemes.</w:t>
      </w:r>
    </w:p>
    <w:p w14:paraId="13047A64" w14:textId="2FC319D8" w:rsidR="00AE185D" w:rsidRPr="00AE185D" w:rsidRDefault="00AE185D" w:rsidP="00C8314B">
      <w:pPr>
        <w:pStyle w:val="Numberlistlevel1ListNumber"/>
      </w:pPr>
      <w:r w:rsidRPr="00AE185D">
        <w:lastRenderedPageBreak/>
        <w:t xml:space="preserve">In addition to the requirement that the home has not been occupied, some factors that may be considered </w:t>
      </w:r>
      <w:r w:rsidR="00A95BA0">
        <w:t>when</w:t>
      </w:r>
      <w:r w:rsidR="00A95BA0" w:rsidRPr="00AE185D">
        <w:t xml:space="preserve"> </w:t>
      </w:r>
      <w:r w:rsidRPr="00AE185D">
        <w:t>determining whether it is appropriate to declare a home to be a new home include:</w:t>
      </w:r>
    </w:p>
    <w:p w14:paraId="2DD80BFF" w14:textId="5CAE3897" w:rsidR="00AE185D" w:rsidRPr="00AE185D" w:rsidRDefault="00AE185D" w:rsidP="00C8314B">
      <w:pPr>
        <w:pStyle w:val="Numberlistlevel2ListNumber2"/>
      </w:pPr>
      <w:r w:rsidRPr="00AE185D">
        <w:t xml:space="preserve">whether the home has retained its character and appearance as a ‘new home’ since it was </w:t>
      </w:r>
      <w:r w:rsidR="000F3A97" w:rsidRPr="00AE185D">
        <w:t>first</w:t>
      </w:r>
      <w:r w:rsidR="000F3A97">
        <w:t> </w:t>
      </w:r>
      <w:r w:rsidRPr="00AE185D">
        <w:t>sold</w:t>
      </w:r>
    </w:p>
    <w:p w14:paraId="5450FBEB" w14:textId="6C36AF8F" w:rsidR="00AE185D" w:rsidRPr="00AE185D" w:rsidRDefault="00AE185D" w:rsidP="00C8314B">
      <w:pPr>
        <w:pStyle w:val="Numberlistlevel2ListNumber2"/>
      </w:pPr>
      <w:r w:rsidRPr="00AE185D">
        <w:t>the length of time that has passed since the first sale, the second sale, and the completion of construction of the home</w:t>
      </w:r>
    </w:p>
    <w:p w14:paraId="41DD4EBF" w14:textId="77777777" w:rsidR="00AE185D" w:rsidRPr="00AE185D" w:rsidRDefault="00AE185D" w:rsidP="00C8314B">
      <w:pPr>
        <w:pStyle w:val="Numberlistlevel2ListNumber2"/>
      </w:pPr>
      <w:r w:rsidRPr="00AE185D">
        <w:t>the circumstances surrounding the transaction, including whether the owner-occupier genuinely believed the home to be a new home.</w:t>
      </w:r>
    </w:p>
    <w:p w14:paraId="6222D033" w14:textId="7910F217" w:rsidR="00AE185D" w:rsidRPr="00AE185D" w:rsidRDefault="00AE185D" w:rsidP="000F3A97">
      <w:pPr>
        <w:pStyle w:val="Numberlistlevel1ListNumber"/>
      </w:pPr>
      <w:r w:rsidRPr="00AE185D">
        <w:t xml:space="preserve">Applicants seeking a declaration must make a written submission to the Territory Revenue Office setting out all of the circumstances of the relevant transaction. This submission should address the factors listed above and be accompanied by a completed form </w:t>
      </w:r>
      <w:r w:rsidR="00A95BA0" w:rsidRPr="001D537A">
        <w:t>F</w:t>
      </w:r>
      <w:r w:rsidR="00A95BA0" w:rsidRPr="001D537A">
        <w:noBreakHyphen/>
        <w:t>HI</w:t>
      </w:r>
      <w:r w:rsidR="00A95BA0" w:rsidRPr="001D537A">
        <w:noBreakHyphen/>
        <w:t>012</w:t>
      </w:r>
      <w:r w:rsidR="00A95BA0">
        <w:t>:</w:t>
      </w:r>
      <w:r w:rsidR="00A95BA0" w:rsidRPr="001D537A">
        <w:t xml:space="preserve"> </w:t>
      </w:r>
      <w:r w:rsidR="000F3A97" w:rsidRPr="000F3A97">
        <w:rPr>
          <w:i/>
        </w:rPr>
        <w:t>First Home Owner Grant (FHOG) and Principal Place of Residence Rebate (PPRR) – Vendor (Individual) Declaration of New Home</w:t>
      </w:r>
      <w:r w:rsidRPr="00AE185D">
        <w:t xml:space="preserve"> or </w:t>
      </w:r>
      <w:r w:rsidR="00A95BA0" w:rsidRPr="001D537A">
        <w:t>F</w:t>
      </w:r>
      <w:r w:rsidR="00A95BA0" w:rsidRPr="001D537A">
        <w:noBreakHyphen/>
        <w:t>HI</w:t>
      </w:r>
      <w:r w:rsidR="00A95BA0" w:rsidRPr="001D537A">
        <w:noBreakHyphen/>
        <w:t>013</w:t>
      </w:r>
      <w:r w:rsidR="000F3A97">
        <w:t>:</w:t>
      </w:r>
      <w:r w:rsidR="00A95BA0" w:rsidRPr="001D537A">
        <w:t xml:space="preserve"> </w:t>
      </w:r>
      <w:r w:rsidR="000F3A97" w:rsidRPr="000F3A97">
        <w:rPr>
          <w:i/>
        </w:rPr>
        <w:t>First Home Owner Grant (FHOG) and Principal Place of Residence Rebate (PPRR) – Vendor (Company) Declaration of New Residence</w:t>
      </w:r>
      <w:r w:rsidRPr="00AE185D">
        <w:t>.</w:t>
      </w:r>
    </w:p>
    <w:p w14:paraId="6C9A140F" w14:textId="77777777" w:rsidR="00305805" w:rsidRDefault="00AE185D" w:rsidP="001D537A">
      <w:pPr>
        <w:pStyle w:val="Example-Heading"/>
        <w:ind w:left="0"/>
      </w:pPr>
      <w:r w:rsidRPr="00AE185D">
        <w:t>Example</w:t>
      </w:r>
    </w:p>
    <w:p w14:paraId="6E0073FD" w14:textId="1A244303" w:rsidR="00AE185D" w:rsidRPr="001D537A" w:rsidRDefault="00C77AFE" w:rsidP="001D537A">
      <w:pPr>
        <w:pStyle w:val="Example-Bodytext"/>
        <w:ind w:left="0"/>
        <w:rPr>
          <w:i/>
        </w:rPr>
      </w:pPr>
      <w:r w:rsidRPr="001D537A">
        <w:rPr>
          <w:i/>
        </w:rPr>
        <w:t xml:space="preserve">This is an example of </w:t>
      </w:r>
      <w:r w:rsidR="00E047FB">
        <w:rPr>
          <w:i/>
        </w:rPr>
        <w:t>a</w:t>
      </w:r>
      <w:r w:rsidRPr="001D537A">
        <w:rPr>
          <w:i/>
        </w:rPr>
        <w:t xml:space="preserve"> circumstance in which</w:t>
      </w:r>
      <w:r w:rsidR="00AE185D" w:rsidRPr="001D537A">
        <w:rPr>
          <w:i/>
        </w:rPr>
        <w:t xml:space="preserve"> </w:t>
      </w:r>
      <w:r w:rsidR="00AE185D" w:rsidRPr="001D537A">
        <w:rPr>
          <w:b/>
          <w:i/>
        </w:rPr>
        <w:t>a previously sold home may be considered a ‘new home’</w:t>
      </w:r>
      <w:r w:rsidRPr="001D537A">
        <w:rPr>
          <w:i/>
        </w:rPr>
        <w:t>.</w:t>
      </w:r>
    </w:p>
    <w:p w14:paraId="226EAA85" w14:textId="77777777" w:rsidR="00C152A6" w:rsidRPr="001D537A" w:rsidRDefault="00C152A6" w:rsidP="001D537A">
      <w:pPr>
        <w:pStyle w:val="Example-Bodytext"/>
        <w:ind w:left="0"/>
      </w:pPr>
      <w:r w:rsidRPr="00C8314B">
        <w:t>Alan, a property investor, contracts to purchase a unit off</w:t>
      </w:r>
      <w:r w:rsidR="00C77AFE">
        <w:t>-the-</w:t>
      </w:r>
      <w:r w:rsidRPr="00C8314B">
        <w:t>plan in a new development project advertised by a builder. Construction begins and is expected to take several years to complete. During construction, there is growth in the housing market and the value of Alan’s (incomplete) unit rises. To take advantage of improved market conditions, Alan enters into a contract to sell the unit to Ben.</w:t>
      </w:r>
    </w:p>
    <w:p w14:paraId="0A9082AB" w14:textId="77777777" w:rsidR="00C152A6" w:rsidRPr="001D537A" w:rsidRDefault="00C152A6" w:rsidP="001D537A">
      <w:pPr>
        <w:pStyle w:val="Example-Bodytext"/>
        <w:ind w:left="0"/>
      </w:pPr>
      <w:r w:rsidRPr="00C8314B">
        <w:t>Construction is completed and titles are first registered to the developer and then transferred to Alan, who completes the on</w:t>
      </w:r>
      <w:r w:rsidR="00C77AFE">
        <w:t>-</w:t>
      </w:r>
      <w:r w:rsidRPr="00C8314B">
        <w:t>sale of the unit to Ben. Ben occupies the unit as his principal place of residence. However, because the sale to Ben is the second sale of the home, the home is not automatically classified as a ‘new home’.</w:t>
      </w:r>
    </w:p>
    <w:p w14:paraId="64F17F22" w14:textId="77777777" w:rsidR="00C152A6" w:rsidRPr="00063FF9" w:rsidRDefault="00C152A6" w:rsidP="001D537A">
      <w:pPr>
        <w:pStyle w:val="Example-Bodytext"/>
        <w:ind w:left="0"/>
      </w:pPr>
      <w:r w:rsidRPr="00C8314B">
        <w:t>In these circumstances, Ben may apply to the Commissioner to have the home declared to be a new home despite the first sale to Alan. As Alan never occupied or tenanted the home, and because the home is newly built, the Commissioner would generally declare the home to be a new home.</w:t>
      </w:r>
    </w:p>
    <w:p w14:paraId="36E0D694" w14:textId="7C2B77DE" w:rsidR="000671D8" w:rsidRDefault="000671D8" w:rsidP="000671D8">
      <w:pPr>
        <w:pStyle w:val="Heading2"/>
      </w:pPr>
      <w:bookmarkStart w:id="2" w:name="_Substantially_renovated_homes"/>
      <w:bookmarkEnd w:id="2"/>
      <w:r>
        <w:t xml:space="preserve">FHOG only – </w:t>
      </w:r>
      <w:r w:rsidRPr="000671D8">
        <w:t>substantially renovated homes</w:t>
      </w:r>
    </w:p>
    <w:p w14:paraId="6A94B844" w14:textId="1E279AA4" w:rsidR="000671D8" w:rsidRPr="000671D8" w:rsidRDefault="005F4B38" w:rsidP="00C8314B">
      <w:pPr>
        <w:pStyle w:val="Numberlistlevel1ListNumber"/>
      </w:pPr>
      <w:r>
        <w:t>A home is</w:t>
      </w:r>
      <w:r w:rsidR="00C77AFE">
        <w:t xml:space="preserve"> considered to be </w:t>
      </w:r>
      <w:r w:rsidR="000671D8" w:rsidRPr="000671D8">
        <w:t>substantially renovated if:</w:t>
      </w:r>
    </w:p>
    <w:p w14:paraId="666DF400" w14:textId="76C80CD0" w:rsidR="000671D8" w:rsidRPr="000671D8" w:rsidRDefault="000671D8" w:rsidP="00E12B05">
      <w:pPr>
        <w:pStyle w:val="Numberlistlevel2ListNumber2"/>
      </w:pPr>
      <w:r w:rsidRPr="000671D8">
        <w:t>the sale is a taxable supply of new residential premises within the meaning of the section 40</w:t>
      </w:r>
      <w:r w:rsidR="00C77AFE">
        <w:noBreakHyphen/>
      </w:r>
      <w:r w:rsidRPr="000671D8">
        <w:t xml:space="preserve">75(1)(b) of the </w:t>
      </w:r>
      <w:r w:rsidRPr="000671D8">
        <w:rPr>
          <w:i/>
        </w:rPr>
        <w:t>A New Tax System (Goods and Services Tax) Act 1999</w:t>
      </w:r>
      <w:r w:rsidRPr="000671D8">
        <w:t xml:space="preserve"> of the Commonwealth</w:t>
      </w:r>
    </w:p>
    <w:p w14:paraId="23368209" w14:textId="73A073C2" w:rsidR="000671D8" w:rsidRPr="000671D8" w:rsidRDefault="000671D8" w:rsidP="00E12B05">
      <w:pPr>
        <w:pStyle w:val="Numberlistlevel2ListNumber2"/>
      </w:pPr>
      <w:r w:rsidRPr="000671D8">
        <w:t>it is the first sale of the home since its substantial renovation</w:t>
      </w:r>
    </w:p>
    <w:p w14:paraId="7D276B88" w14:textId="77777777" w:rsidR="000671D8" w:rsidRPr="000671D8" w:rsidRDefault="000671D8" w:rsidP="00E12B05">
      <w:pPr>
        <w:pStyle w:val="Numberlistlevel2ListNumber2"/>
      </w:pPr>
      <w:r w:rsidRPr="000671D8">
        <w:t>the home has not been previously occupied since that renovation, including by the builder, a tenant or other occupant.</w:t>
      </w:r>
    </w:p>
    <w:p w14:paraId="6C553F8F" w14:textId="3EE66908" w:rsidR="000671D8" w:rsidRPr="000671D8" w:rsidRDefault="00C77AFE" w:rsidP="00E12B05">
      <w:pPr>
        <w:pStyle w:val="Numberlistlevel1ListNumber"/>
      </w:pPr>
      <w:r>
        <w:t>T</w:t>
      </w:r>
      <w:r w:rsidR="000671D8" w:rsidRPr="000671D8">
        <w:t>he sale of a substantially renovated home will only constitute a taxable supply of a new residential premises when it is sold in the course or furtherance of an enterprise by an entity registered for GST purposes (for example, a builder or developer).</w:t>
      </w:r>
    </w:p>
    <w:p w14:paraId="1D74343B" w14:textId="77777777" w:rsidR="000671D8" w:rsidRPr="000671D8" w:rsidRDefault="000671D8" w:rsidP="001D537A">
      <w:pPr>
        <w:pStyle w:val="Numberlistlevel1ListNumber"/>
        <w:keepLines/>
      </w:pPr>
      <w:r w:rsidRPr="000671D8">
        <w:t>‘Substantial renovations’ of a building are generally defined as renovations that affect the building as a whole and in which all, or substantially all, of a building is removed or replaced. The renovations may, but will not necessarily, involve structural alterations such as the removal or replacement of foundations, external walls, interior supporting walls, floors, roof or staircases.</w:t>
      </w:r>
    </w:p>
    <w:p w14:paraId="0E0488D7" w14:textId="28583C3D" w:rsidR="000671D8" w:rsidRPr="000671D8" w:rsidRDefault="000671D8" w:rsidP="00E12B05">
      <w:pPr>
        <w:pStyle w:val="Numberlistlevel1ListNumber"/>
      </w:pPr>
      <w:bookmarkStart w:id="3" w:name="top"/>
      <w:bookmarkEnd w:id="3"/>
      <w:r w:rsidRPr="000671D8">
        <w:lastRenderedPageBreak/>
        <w:t>Where only non-structural renovations are undertaken, they must be significant enough to make the building as a whole ‘as new’.</w:t>
      </w:r>
    </w:p>
    <w:p w14:paraId="5F024591" w14:textId="5C0BABF4" w:rsidR="000671D8" w:rsidRPr="000671D8" w:rsidRDefault="000671D8" w:rsidP="00E12B05">
      <w:pPr>
        <w:pStyle w:val="Numberlistlevel1ListNumber"/>
      </w:pPr>
      <w:r w:rsidRPr="000671D8">
        <w:t>Renovations that affect only part of a building, or impact individual rooms only, will not constitute substantial renovations. Similarly, renovations that are largely cosmetic in nature will not be considered substantial renovations regardless of whether it affects the whole of the building.</w:t>
      </w:r>
    </w:p>
    <w:p w14:paraId="7533C4FB" w14:textId="77777777" w:rsidR="00063FF9" w:rsidRDefault="000671D8" w:rsidP="001D537A">
      <w:pPr>
        <w:pStyle w:val="Example-Heading"/>
        <w:ind w:left="0"/>
      </w:pPr>
      <w:r w:rsidRPr="00063FF9">
        <w:t>Examples</w:t>
      </w:r>
    </w:p>
    <w:p w14:paraId="5E18D44E" w14:textId="46D08788" w:rsidR="00063FF9" w:rsidRPr="001D537A" w:rsidRDefault="00063FF9" w:rsidP="001D537A">
      <w:pPr>
        <w:pStyle w:val="Example-Bodytext"/>
        <w:spacing w:before="240" w:after="200"/>
        <w:ind w:left="0"/>
        <w:rPr>
          <w:rFonts w:asciiTheme="majorHAnsi" w:hAnsiTheme="majorHAnsi"/>
          <w:color w:val="454347"/>
          <w:sz w:val="24"/>
          <w:szCs w:val="24"/>
        </w:rPr>
      </w:pPr>
      <w:r w:rsidRPr="00063FF9">
        <w:rPr>
          <w:rFonts w:asciiTheme="majorHAnsi" w:hAnsiTheme="majorHAnsi"/>
          <w:color w:val="454347"/>
          <w:sz w:val="24"/>
          <w:szCs w:val="24"/>
        </w:rPr>
        <w:t>Example A</w:t>
      </w:r>
    </w:p>
    <w:p w14:paraId="7995AFBD" w14:textId="77777777" w:rsidR="00063FF9" w:rsidRPr="006748FA" w:rsidRDefault="00063FF9" w:rsidP="00063FF9">
      <w:pPr>
        <w:pStyle w:val="Example-Bodytext"/>
        <w:ind w:left="0"/>
        <w:rPr>
          <w:i/>
        </w:rPr>
      </w:pPr>
      <w:r w:rsidRPr="006748FA">
        <w:rPr>
          <w:i/>
        </w:rPr>
        <w:t>Th</w:t>
      </w:r>
      <w:r>
        <w:rPr>
          <w:i/>
        </w:rPr>
        <w:t>is is</w:t>
      </w:r>
      <w:r w:rsidRPr="006748FA">
        <w:rPr>
          <w:i/>
        </w:rPr>
        <w:t xml:space="preserve"> </w:t>
      </w:r>
      <w:r>
        <w:rPr>
          <w:i/>
        </w:rPr>
        <w:t>an</w:t>
      </w:r>
      <w:r w:rsidRPr="006748FA">
        <w:rPr>
          <w:i/>
        </w:rPr>
        <w:t xml:space="preserve"> example</w:t>
      </w:r>
      <w:r>
        <w:rPr>
          <w:i/>
        </w:rPr>
        <w:t xml:space="preserve"> of</w:t>
      </w:r>
      <w:r w:rsidRPr="006748FA">
        <w:rPr>
          <w:i/>
        </w:rPr>
        <w:t xml:space="preserve"> </w:t>
      </w:r>
      <w:r>
        <w:rPr>
          <w:i/>
        </w:rPr>
        <w:t xml:space="preserve">a </w:t>
      </w:r>
      <w:r w:rsidRPr="006748FA">
        <w:rPr>
          <w:i/>
        </w:rPr>
        <w:t xml:space="preserve">circumstance in which </w:t>
      </w:r>
      <w:r w:rsidRPr="006748FA">
        <w:rPr>
          <w:b/>
          <w:i/>
        </w:rPr>
        <w:t>a home may be considered a ‘new home’</w:t>
      </w:r>
      <w:r w:rsidRPr="006748FA">
        <w:rPr>
          <w:i/>
        </w:rPr>
        <w:t>.</w:t>
      </w:r>
    </w:p>
    <w:p w14:paraId="7E83EC14" w14:textId="77777777" w:rsidR="00C77AFE" w:rsidRPr="001D537A" w:rsidRDefault="00C77AFE" w:rsidP="001D537A">
      <w:pPr>
        <w:pStyle w:val="Example-Bodytext"/>
        <w:ind w:left="0"/>
      </w:pPr>
      <w:r w:rsidRPr="00E12B05">
        <w:t>Joe is a builder who purchases houses and renovates them</w:t>
      </w:r>
      <w:r w:rsidR="00063FF9">
        <w:t xml:space="preserve"> for sale. Joe has purchased a four-</w:t>
      </w:r>
      <w:r w:rsidRPr="00E12B05">
        <w:t>bedroom brick house that has suffered significant fire and water damage. Joe replaces the electrical wiring, plumbing, windows and flooring throughout the house. He installs a new kitchen and bathroom, creates an ensuite to the master bedroom, and replaces existing plaster on the interior walls and ceiling with gyprock.</w:t>
      </w:r>
    </w:p>
    <w:p w14:paraId="2604B660" w14:textId="77777777" w:rsidR="00C77AFE" w:rsidRDefault="00C77AFE" w:rsidP="001D537A">
      <w:pPr>
        <w:pStyle w:val="Example-Bodytext"/>
        <w:ind w:left="0"/>
      </w:pPr>
      <w:r w:rsidRPr="00E12B05">
        <w:t>Although there have been no structural changes to the house, the renovations may collectively amount to substantial renovations. If Joe subsequently sells the house as a taxable supply of new residential premises, and it has not been occupied since its substantial renovation, it would be a new home for the purpose of the home owner assistance schemes.</w:t>
      </w:r>
    </w:p>
    <w:p w14:paraId="1DD54523" w14:textId="77777777" w:rsidR="00063FF9" w:rsidRPr="00E86BC2" w:rsidRDefault="00063FF9" w:rsidP="001D537A">
      <w:pPr>
        <w:pStyle w:val="Example-Heading2"/>
      </w:pPr>
      <w:r w:rsidRPr="006748FA">
        <w:t xml:space="preserve">Example </w:t>
      </w:r>
      <w:r>
        <w:t>B</w:t>
      </w:r>
    </w:p>
    <w:p w14:paraId="19CA1567" w14:textId="77777777" w:rsidR="00063FF9" w:rsidRPr="006748FA" w:rsidRDefault="00063FF9" w:rsidP="00063FF9">
      <w:pPr>
        <w:pStyle w:val="Example-Bodytext"/>
        <w:ind w:left="0"/>
        <w:rPr>
          <w:i/>
        </w:rPr>
      </w:pPr>
      <w:r w:rsidRPr="006748FA">
        <w:rPr>
          <w:i/>
        </w:rPr>
        <w:t>Th</w:t>
      </w:r>
      <w:r>
        <w:rPr>
          <w:i/>
        </w:rPr>
        <w:t>is is</w:t>
      </w:r>
      <w:r w:rsidRPr="006748FA">
        <w:rPr>
          <w:i/>
        </w:rPr>
        <w:t xml:space="preserve"> </w:t>
      </w:r>
      <w:r>
        <w:rPr>
          <w:i/>
        </w:rPr>
        <w:t>an</w:t>
      </w:r>
      <w:r w:rsidRPr="006748FA">
        <w:rPr>
          <w:i/>
        </w:rPr>
        <w:t xml:space="preserve"> example</w:t>
      </w:r>
      <w:r>
        <w:rPr>
          <w:i/>
        </w:rPr>
        <w:t xml:space="preserve"> of</w:t>
      </w:r>
      <w:r w:rsidRPr="006748FA">
        <w:rPr>
          <w:i/>
        </w:rPr>
        <w:t xml:space="preserve"> </w:t>
      </w:r>
      <w:r>
        <w:rPr>
          <w:i/>
        </w:rPr>
        <w:t xml:space="preserve">a </w:t>
      </w:r>
      <w:r w:rsidRPr="006748FA">
        <w:rPr>
          <w:i/>
        </w:rPr>
        <w:t xml:space="preserve">circumstance in which </w:t>
      </w:r>
      <w:r w:rsidRPr="006748FA">
        <w:rPr>
          <w:b/>
          <w:i/>
        </w:rPr>
        <w:t>a home may be considered a ‘new home’</w:t>
      </w:r>
      <w:r w:rsidRPr="006748FA">
        <w:rPr>
          <w:i/>
        </w:rPr>
        <w:t>.</w:t>
      </w:r>
    </w:p>
    <w:p w14:paraId="78A3C10B" w14:textId="77777777" w:rsidR="00C77AFE" w:rsidRPr="001D537A" w:rsidRDefault="00C77AFE" w:rsidP="001D537A">
      <w:pPr>
        <w:pStyle w:val="Example-Bodytext"/>
        <w:ind w:left="0"/>
      </w:pPr>
      <w:r w:rsidRPr="00E12B05">
        <w:t>Mary is a developer who purchases an old motel with the intent to turn it into a residential unit complex. Mary removes internal walls between rooms to create two and three bedroom units, replaces all bathrooms and internal fixtures</w:t>
      </w:r>
      <w:r w:rsidR="00063FF9">
        <w:t>,</w:t>
      </w:r>
      <w:r w:rsidRPr="00E12B05">
        <w:t xml:space="preserve"> and refurbishes the internal living areas. She also renders the external brickwork and installs balconies on the units with entry via sliding doors.</w:t>
      </w:r>
    </w:p>
    <w:p w14:paraId="3D31BEC7" w14:textId="77777777" w:rsidR="00C77AFE" w:rsidRDefault="00C77AFE" w:rsidP="001D537A">
      <w:pPr>
        <w:pStyle w:val="Example-Bodytext"/>
        <w:ind w:left="0"/>
      </w:pPr>
      <w:r w:rsidRPr="00E12B05">
        <w:t>Mary then arranges for the units to be strata titled for individual sale. If the units are sold as a taxable supply of new residential premises, and they have not been occupied since their renovation, they would be considered new homes for the purpose of the home owner assistance schemes.</w:t>
      </w:r>
    </w:p>
    <w:p w14:paraId="3870B4D5" w14:textId="77777777" w:rsidR="00063FF9" w:rsidRPr="006748FA" w:rsidRDefault="00063FF9" w:rsidP="00063FF9">
      <w:pPr>
        <w:pStyle w:val="Example-Bodytext"/>
        <w:spacing w:before="240" w:after="200"/>
        <w:ind w:left="0"/>
        <w:rPr>
          <w:rFonts w:asciiTheme="majorHAnsi" w:hAnsiTheme="majorHAnsi"/>
          <w:color w:val="454347"/>
          <w:sz w:val="24"/>
          <w:szCs w:val="24"/>
        </w:rPr>
      </w:pPr>
      <w:r>
        <w:rPr>
          <w:rFonts w:asciiTheme="majorHAnsi" w:hAnsiTheme="majorHAnsi"/>
          <w:color w:val="454347"/>
          <w:sz w:val="24"/>
          <w:szCs w:val="24"/>
        </w:rPr>
        <w:t>Example C</w:t>
      </w:r>
    </w:p>
    <w:p w14:paraId="56D60F5E" w14:textId="77777777" w:rsidR="00063FF9" w:rsidRPr="006748FA" w:rsidRDefault="00063FF9" w:rsidP="00063FF9">
      <w:pPr>
        <w:pStyle w:val="Example-Bodytext"/>
        <w:ind w:left="0"/>
        <w:rPr>
          <w:i/>
        </w:rPr>
      </w:pPr>
      <w:r w:rsidRPr="006748FA">
        <w:rPr>
          <w:i/>
        </w:rPr>
        <w:t>Th</w:t>
      </w:r>
      <w:r>
        <w:rPr>
          <w:i/>
        </w:rPr>
        <w:t>is is an</w:t>
      </w:r>
      <w:r w:rsidRPr="006748FA">
        <w:rPr>
          <w:i/>
        </w:rPr>
        <w:t xml:space="preserve"> example</w:t>
      </w:r>
      <w:r>
        <w:rPr>
          <w:i/>
        </w:rPr>
        <w:t xml:space="preserve"> of a</w:t>
      </w:r>
      <w:r w:rsidRPr="006748FA">
        <w:rPr>
          <w:i/>
        </w:rPr>
        <w:t xml:space="preserve"> circumstance in which </w:t>
      </w:r>
      <w:r w:rsidRPr="006748FA">
        <w:rPr>
          <w:b/>
          <w:i/>
        </w:rPr>
        <w:t xml:space="preserve">a home </w:t>
      </w:r>
      <w:r>
        <w:rPr>
          <w:b/>
          <w:i/>
        </w:rPr>
        <w:t xml:space="preserve">will </w:t>
      </w:r>
      <w:r>
        <w:rPr>
          <w:b/>
        </w:rPr>
        <w:t>not</w:t>
      </w:r>
      <w:r w:rsidRPr="006748FA">
        <w:rPr>
          <w:b/>
          <w:i/>
        </w:rPr>
        <w:t xml:space="preserve"> be considered a ‘new home’</w:t>
      </w:r>
      <w:r w:rsidRPr="006748FA">
        <w:rPr>
          <w:i/>
        </w:rPr>
        <w:t>.</w:t>
      </w:r>
    </w:p>
    <w:p w14:paraId="6D1867A1" w14:textId="77777777" w:rsidR="00063FF9" w:rsidRDefault="00063FF9" w:rsidP="001D537A">
      <w:pPr>
        <w:pStyle w:val="Example-Bodytext"/>
        <w:ind w:left="0"/>
      </w:pPr>
      <w:r>
        <w:t>Sam is a builder who has bought a house with the intention of renovating it for re-sale. Sam engages various sub-contractors to repaint the interior of the house, sand and re-polish the floors and install a new kitchen and bathroom. Although these changes affect most rooms in the house, the work is largely cosmetic and would not constitute substantial renovations.</w:t>
      </w:r>
    </w:p>
    <w:p w14:paraId="5C4C8D90" w14:textId="77777777" w:rsidR="00063FF9" w:rsidRDefault="00063FF9" w:rsidP="00063FF9">
      <w:pPr>
        <w:pStyle w:val="Example-Bodytext"/>
        <w:ind w:left="0"/>
      </w:pPr>
      <w:r>
        <w:t>Regardless of whether Sam is registered for GST, the sale of this house would not be a taxable supply of new residential premises and therefore the house would not be a new home for the purpose of the home owner assistance schemes.</w:t>
      </w:r>
      <w:r>
        <w:br w:type="page"/>
      </w:r>
    </w:p>
    <w:p w14:paraId="7FDFB3BC" w14:textId="77777777" w:rsidR="00063FF9" w:rsidRPr="006748FA" w:rsidRDefault="00063FF9" w:rsidP="00063FF9">
      <w:pPr>
        <w:pStyle w:val="Example-Bodytext"/>
        <w:spacing w:before="240" w:after="200"/>
        <w:ind w:left="0"/>
        <w:rPr>
          <w:rFonts w:asciiTheme="majorHAnsi" w:hAnsiTheme="majorHAnsi"/>
          <w:color w:val="454347"/>
          <w:sz w:val="24"/>
          <w:szCs w:val="24"/>
        </w:rPr>
      </w:pPr>
      <w:r>
        <w:rPr>
          <w:rFonts w:asciiTheme="majorHAnsi" w:hAnsiTheme="majorHAnsi"/>
          <w:color w:val="454347"/>
          <w:sz w:val="24"/>
          <w:szCs w:val="24"/>
        </w:rPr>
        <w:lastRenderedPageBreak/>
        <w:t>Example D</w:t>
      </w:r>
    </w:p>
    <w:p w14:paraId="43FF3F1D" w14:textId="77777777" w:rsidR="00063FF9" w:rsidRPr="006748FA" w:rsidRDefault="00063FF9" w:rsidP="00063FF9">
      <w:pPr>
        <w:pStyle w:val="Example-Bodytext"/>
        <w:ind w:left="0"/>
        <w:rPr>
          <w:i/>
        </w:rPr>
      </w:pPr>
      <w:r w:rsidRPr="006748FA">
        <w:rPr>
          <w:i/>
        </w:rPr>
        <w:t>Th</w:t>
      </w:r>
      <w:r>
        <w:rPr>
          <w:i/>
        </w:rPr>
        <w:t>is is an</w:t>
      </w:r>
      <w:r w:rsidRPr="006748FA">
        <w:rPr>
          <w:i/>
        </w:rPr>
        <w:t xml:space="preserve"> example</w:t>
      </w:r>
      <w:r>
        <w:rPr>
          <w:i/>
        </w:rPr>
        <w:t xml:space="preserve"> of a</w:t>
      </w:r>
      <w:r w:rsidRPr="006748FA">
        <w:rPr>
          <w:i/>
        </w:rPr>
        <w:t xml:space="preserve"> circumstance in which </w:t>
      </w:r>
      <w:r w:rsidRPr="006748FA">
        <w:rPr>
          <w:b/>
          <w:i/>
        </w:rPr>
        <w:t xml:space="preserve">a home </w:t>
      </w:r>
      <w:r>
        <w:rPr>
          <w:b/>
          <w:i/>
        </w:rPr>
        <w:t xml:space="preserve">will </w:t>
      </w:r>
      <w:r>
        <w:rPr>
          <w:b/>
        </w:rPr>
        <w:t>not</w:t>
      </w:r>
      <w:r w:rsidRPr="006748FA">
        <w:rPr>
          <w:b/>
          <w:i/>
        </w:rPr>
        <w:t xml:space="preserve"> be considered a ‘new home’</w:t>
      </w:r>
      <w:r w:rsidRPr="006748FA">
        <w:rPr>
          <w:i/>
        </w:rPr>
        <w:t>.</w:t>
      </w:r>
    </w:p>
    <w:p w14:paraId="32251347" w14:textId="77777777" w:rsidR="00063FF9" w:rsidRPr="001D537A" w:rsidRDefault="00063FF9" w:rsidP="001D537A">
      <w:pPr>
        <w:pStyle w:val="Example-Bodytext"/>
        <w:ind w:left="0"/>
      </w:pPr>
      <w:r w:rsidRPr="00E12B05">
        <w:t>Sarah is an office worker who likes to occasionally buy houses, renovate them, and sell them for a profit. Sarah is not registered for GST.</w:t>
      </w:r>
    </w:p>
    <w:p w14:paraId="5361592B" w14:textId="77777777" w:rsidR="00063FF9" w:rsidRPr="001D537A" w:rsidRDefault="00063FF9" w:rsidP="001D537A">
      <w:pPr>
        <w:pStyle w:val="Example-Bodytext"/>
        <w:ind w:left="0"/>
      </w:pPr>
      <w:r w:rsidRPr="00E12B05">
        <w:t>Sara</w:t>
      </w:r>
      <w:r>
        <w:t>h has bought a dilapidated five-</w:t>
      </w:r>
      <w:r w:rsidRPr="00E12B05">
        <w:t>bedroom house and, over a period of months, replaced all electrical wiring, plumbing, fixtures and flooring. Sarah has also removed interior structural walls to make three large bedrooms, replastered all remaining walls and installed a new kitchen and bathroom.</w:t>
      </w:r>
    </w:p>
    <w:p w14:paraId="58A6A04F" w14:textId="77777777" w:rsidR="00063FF9" w:rsidRPr="00063FF9" w:rsidRDefault="00063FF9" w:rsidP="001D537A">
      <w:pPr>
        <w:pStyle w:val="Example-Bodytext"/>
        <w:ind w:left="0"/>
      </w:pPr>
      <w:r w:rsidRPr="00E12B05">
        <w:t>Regardless of whether the alterations made by Sarah const</w:t>
      </w:r>
      <w:r>
        <w:t>itute substantial renovations, because</w:t>
      </w:r>
      <w:r w:rsidRPr="00E12B05">
        <w:t xml:space="preserve"> she is not registered for GST she is unable to sell the property on completion as a taxable supply of new residential premises. </w:t>
      </w:r>
      <w:r>
        <w:t>Therefore</w:t>
      </w:r>
      <w:r w:rsidRPr="00E12B05">
        <w:t>, the house is not a new home for the purpose of the home owner assistance sc</w:t>
      </w:r>
      <w:r>
        <w:t>hemes.</w:t>
      </w:r>
    </w:p>
    <w:p w14:paraId="576B1A4B" w14:textId="77777777" w:rsidR="00E12B05" w:rsidRDefault="00E12B05" w:rsidP="00E12B05">
      <w:pPr>
        <w:pStyle w:val="Hidden"/>
      </w:pPr>
    </w:p>
    <w:p w14:paraId="01A06D65" w14:textId="206F2986" w:rsidR="000671D8" w:rsidRPr="000671D8" w:rsidRDefault="000671D8" w:rsidP="00E12B05">
      <w:pPr>
        <w:pStyle w:val="Numberlistlevel1ListNumber"/>
      </w:pPr>
      <w:r w:rsidRPr="000671D8">
        <w:t xml:space="preserve">Further information on when the sale of a home constitutes a taxable supply of new residential premises can be found in Goods and Services Tax Ruling </w:t>
      </w:r>
      <w:r w:rsidR="00063FF9" w:rsidRPr="001D537A">
        <w:t>GSTR 2003/3: Goods and services tax: when is a sale of real property a sale of new residential premises?</w:t>
      </w:r>
    </w:p>
    <w:p w14:paraId="02917431" w14:textId="77777777" w:rsidR="000671D8" w:rsidRDefault="000671D8" w:rsidP="000671D8">
      <w:pPr>
        <w:pStyle w:val="Heading2"/>
      </w:pPr>
      <w:r w:rsidRPr="000671D8">
        <w:t>Can a demountable or relocated house be a ‘new home’?</w:t>
      </w:r>
    </w:p>
    <w:p w14:paraId="21232DA2" w14:textId="6398C44E" w:rsidR="000671D8" w:rsidRPr="000671D8" w:rsidRDefault="000671D8" w:rsidP="00E12B05">
      <w:pPr>
        <w:pStyle w:val="Numberlistlevel1ListNumber"/>
      </w:pPr>
      <w:r w:rsidRPr="000671D8">
        <w:t xml:space="preserve">A demountable, transportable or other building can be a new home for the purpose of the home owner assistance schemes provided it meets the criteria above. If it has previously </w:t>
      </w:r>
      <w:r w:rsidR="00063FF9" w:rsidRPr="000671D8">
        <w:t xml:space="preserve">been </w:t>
      </w:r>
      <w:r w:rsidRPr="000671D8">
        <w:t>lived in or sold as a place of residence, it is not a new home, regardless of whether it has been or will be moved to a new location.</w:t>
      </w:r>
    </w:p>
    <w:p w14:paraId="5D9A56CF" w14:textId="77777777" w:rsidR="000671D8" w:rsidRDefault="000671D8" w:rsidP="000671D8">
      <w:pPr>
        <w:pStyle w:val="Heading2"/>
      </w:pPr>
      <w:r>
        <w:t>Evidence required</w:t>
      </w:r>
    </w:p>
    <w:p w14:paraId="0501222D" w14:textId="56CE791D" w:rsidR="000671D8" w:rsidRPr="000671D8" w:rsidRDefault="000671D8" w:rsidP="00E12B05">
      <w:pPr>
        <w:pStyle w:val="Numberlistlevel1ListNumber"/>
      </w:pPr>
      <w:r w:rsidRPr="000671D8">
        <w:t xml:space="preserve">An application for a home owner assistance scheme benefit on the purchase of a new home (including an off-the-plan home) must be accompanied by a statutory declaration completed by the </w:t>
      </w:r>
      <w:r w:rsidR="00A560E0">
        <w:t>v</w:t>
      </w:r>
      <w:r w:rsidRPr="000671D8">
        <w:t>endor (</w:t>
      </w:r>
      <w:r w:rsidR="00A560E0">
        <w:t>s</w:t>
      </w:r>
      <w:r w:rsidR="00A560E0" w:rsidRPr="000671D8">
        <w:t>eller</w:t>
      </w:r>
      <w:r w:rsidRPr="000671D8">
        <w:t>) confirming that the home satisfies the relevant requirements. The</w:t>
      </w:r>
      <w:r w:rsidR="00A560E0">
        <w:t>se</w:t>
      </w:r>
      <w:r w:rsidRPr="000671D8">
        <w:t xml:space="preserve"> forms must be used for this purpose</w:t>
      </w:r>
      <w:r w:rsidR="00A560E0">
        <w:t>:</w:t>
      </w:r>
    </w:p>
    <w:p w14:paraId="1788C169" w14:textId="66FF4FEC" w:rsidR="000671D8" w:rsidRPr="000671D8" w:rsidRDefault="00A560E0" w:rsidP="000F3A97">
      <w:pPr>
        <w:pStyle w:val="Numberlistlevel2ListNumber2"/>
      </w:pPr>
      <w:r w:rsidRPr="001D537A">
        <w:t>F-HI-013</w:t>
      </w:r>
      <w:r w:rsidR="000671D8" w:rsidRPr="000671D8">
        <w:t xml:space="preserve">: </w:t>
      </w:r>
      <w:r w:rsidR="000F3A97" w:rsidRPr="001D537A">
        <w:rPr>
          <w:i/>
        </w:rPr>
        <w:t>First Home Owner Grant (FHOG) and Principal Place of Residence Rebate (PPRR) – Vendor (Company) Declaration of New Residence</w:t>
      </w:r>
      <w:r w:rsidR="000F3A97" w:rsidRPr="000F3A97" w:rsidDel="000F3A97">
        <w:t xml:space="preserve"> </w:t>
      </w:r>
      <w:r>
        <w:t>– i</w:t>
      </w:r>
      <w:r w:rsidRPr="000671D8">
        <w:t xml:space="preserve">f the </w:t>
      </w:r>
      <w:r>
        <w:t>v</w:t>
      </w:r>
      <w:r w:rsidRPr="000671D8">
        <w:t>endor is a company</w:t>
      </w:r>
    </w:p>
    <w:p w14:paraId="7470A14C" w14:textId="4C52745D" w:rsidR="000671D8" w:rsidRPr="000671D8" w:rsidRDefault="00A560E0" w:rsidP="000F3A97">
      <w:pPr>
        <w:pStyle w:val="Numberlistlevel2ListNumber2"/>
      </w:pPr>
      <w:r w:rsidRPr="001D537A">
        <w:t>F-HI-012</w:t>
      </w:r>
      <w:r w:rsidR="000671D8" w:rsidRPr="000671D8">
        <w:t xml:space="preserve">: </w:t>
      </w:r>
      <w:r w:rsidR="000F3A97" w:rsidRPr="001D537A">
        <w:rPr>
          <w:i/>
        </w:rPr>
        <w:t>First Home Owner Grant (FHOG) and Principal Place of Residence Rebate (PPRR) – Vendor (Individual) Declaration of New Home</w:t>
      </w:r>
      <w:r w:rsidR="000F3A97" w:rsidRPr="000F3A97" w:rsidDel="000F3A97">
        <w:t xml:space="preserve"> </w:t>
      </w:r>
      <w:r>
        <w:t>– i</w:t>
      </w:r>
      <w:r w:rsidRPr="000671D8">
        <w:t xml:space="preserve">f the </w:t>
      </w:r>
      <w:r>
        <w:t>v</w:t>
      </w:r>
      <w:r w:rsidRPr="000671D8">
        <w:t>endor is an individual or individuals</w:t>
      </w:r>
      <w:r>
        <w:t>.</w:t>
      </w:r>
    </w:p>
    <w:p w14:paraId="1FE8DDBE" w14:textId="77777777" w:rsidR="000671D8" w:rsidRPr="000671D8" w:rsidRDefault="000671D8" w:rsidP="00E12B05">
      <w:pPr>
        <w:pStyle w:val="Numberlistlevel1ListNumber"/>
      </w:pPr>
      <w:r w:rsidRPr="000671D8">
        <w:t>Failure to provide a properly completed declaration with your application will cause delays in processing the application and may result in your application being rejected.</w:t>
      </w:r>
    </w:p>
    <w:p w14:paraId="438F82B0" w14:textId="173B3A6B" w:rsidR="000671D8" w:rsidRPr="000671D8" w:rsidRDefault="000671D8" w:rsidP="000F3A97">
      <w:pPr>
        <w:pStyle w:val="Numberlistlevel1ListNumber"/>
      </w:pPr>
      <w:r w:rsidRPr="000671D8">
        <w:t xml:space="preserve">Refer to form </w:t>
      </w:r>
      <w:r w:rsidR="00A560E0" w:rsidRPr="001D537A">
        <w:t>F-HI-001</w:t>
      </w:r>
      <w:r w:rsidR="000F3A97">
        <w:t>:</w:t>
      </w:r>
      <w:r w:rsidR="00A560E0" w:rsidRPr="001D537A">
        <w:t xml:space="preserve"> </w:t>
      </w:r>
      <w:r w:rsidR="000F3A97" w:rsidRPr="001D537A">
        <w:rPr>
          <w:i/>
        </w:rPr>
        <w:t>First Home Owner Grant – Guide to the application</w:t>
      </w:r>
      <w:r w:rsidRPr="000671D8">
        <w:t xml:space="preserve"> for additional information</w:t>
      </w:r>
      <w:r w:rsidR="00A560E0">
        <w:t xml:space="preserve"> about what</w:t>
      </w:r>
      <w:r w:rsidRPr="000671D8">
        <w:t xml:space="preserve"> you need to provide with your application.</w:t>
      </w:r>
    </w:p>
    <w:p w14:paraId="73956A68" w14:textId="563CE26D" w:rsidR="000671D8" w:rsidRDefault="000671D8" w:rsidP="000671D8">
      <w:pPr>
        <w:pStyle w:val="Heading1"/>
      </w:pPr>
      <w:r>
        <w:t xml:space="preserve">Commissioner’s </w:t>
      </w:r>
      <w:r w:rsidR="00A560E0">
        <w:t>guidelines</w:t>
      </w:r>
    </w:p>
    <w:p w14:paraId="46201B21" w14:textId="516925F7" w:rsidR="00A560E0" w:rsidRDefault="00A560E0" w:rsidP="00E12B05">
      <w:pPr>
        <w:pStyle w:val="Numberlistlevel1ListNumber"/>
      </w:pPr>
      <w:r>
        <w:t xml:space="preserve">Commissioner’s Guideline </w:t>
      </w:r>
      <w:r w:rsidRPr="006748FA">
        <w:t>CG-GEN-001</w:t>
      </w:r>
      <w:r>
        <w:t xml:space="preserve">: </w:t>
      </w:r>
      <w:r w:rsidRPr="006748FA">
        <w:rPr>
          <w:i/>
        </w:rPr>
        <w:t>Revenue Circulars, Commissioner’s Guidelines and Payroll Tax Rulings: explanation and status</w:t>
      </w:r>
      <w:r>
        <w:t xml:space="preserve">, which sets out information on the revenue publication system, is incorporated into and </w:t>
      </w:r>
      <w:r w:rsidR="000F3A97">
        <w:t xml:space="preserve">to be </w:t>
      </w:r>
      <w:r>
        <w:t>read as one with this guideline. All circulars and guidelines are available on the TRO website.</w:t>
      </w:r>
      <w:r>
        <w:br w:type="page"/>
      </w:r>
    </w:p>
    <w:p w14:paraId="7F50AD02" w14:textId="77777777" w:rsidR="000671D8" w:rsidRDefault="000671D8">
      <w:pPr>
        <w:pStyle w:val="Heading1"/>
      </w:pPr>
      <w:r>
        <w:lastRenderedPageBreak/>
        <w:t>Date of effect</w:t>
      </w:r>
    </w:p>
    <w:p w14:paraId="550A25EE" w14:textId="6E02CE37" w:rsidR="000671D8" w:rsidRDefault="000671D8" w:rsidP="00E12B05">
      <w:pPr>
        <w:pStyle w:val="Numberlistlevel1ListNumber"/>
      </w:pPr>
      <w:r w:rsidRPr="000671D8">
        <w:t xml:space="preserve">This version of the </w:t>
      </w:r>
      <w:r w:rsidR="00A560E0">
        <w:t>g</w:t>
      </w:r>
      <w:r w:rsidRPr="000671D8">
        <w:t xml:space="preserve">uideline </w:t>
      </w:r>
      <w:r w:rsidRPr="00E12B05">
        <w:t>takes</w:t>
      </w:r>
      <w:r w:rsidRPr="000671D8">
        <w:t xml:space="preserve"> effect from 1 July 2022.</w:t>
      </w:r>
    </w:p>
    <w:p w14:paraId="00D50383" w14:textId="77777777" w:rsidR="00923ABF" w:rsidRDefault="00923ABF" w:rsidP="00A560E0">
      <w:pPr>
        <w:spacing w:after="120"/>
        <w:rPr>
          <w:sz w:val="20"/>
          <w:szCs w:val="20"/>
        </w:rPr>
      </w:pPr>
      <w:r>
        <w:rPr>
          <w:noProof/>
          <w:lang w:eastAsia="en-AU"/>
        </w:rPr>
        <w:drawing>
          <wp:inline distT="0" distB="0" distL="0" distR="0" wp14:anchorId="1D939F3B" wp14:editId="43505268">
            <wp:extent cx="1311275" cy="786765"/>
            <wp:effectExtent l="0" t="0" r="317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l="11940"/>
                    <a:stretch/>
                  </pic:blipFill>
                  <pic:spPr bwMode="auto">
                    <a:xfrm>
                      <a:off x="0" y="0"/>
                      <a:ext cx="1311275" cy="786765"/>
                    </a:xfrm>
                    <a:prstGeom prst="rect">
                      <a:avLst/>
                    </a:prstGeom>
                    <a:noFill/>
                    <a:ln>
                      <a:noFill/>
                    </a:ln>
                    <a:extLst>
                      <a:ext uri="{53640926-AAD7-44D8-BBD7-CCE9431645EC}">
                        <a14:shadowObscured xmlns:a14="http://schemas.microsoft.com/office/drawing/2010/main"/>
                      </a:ext>
                    </a:extLst>
                  </pic:spPr>
                </pic:pic>
              </a:graphicData>
            </a:graphic>
          </wp:inline>
        </w:drawing>
      </w:r>
    </w:p>
    <w:p w14:paraId="49B9EDD2" w14:textId="496FD0C9" w:rsidR="00A560E0" w:rsidRPr="00A560E0" w:rsidRDefault="00923ABF" w:rsidP="00A560E0">
      <w:pPr>
        <w:spacing w:after="120"/>
        <w:rPr>
          <w:sz w:val="20"/>
          <w:szCs w:val="20"/>
        </w:rPr>
      </w:pPr>
      <w:r>
        <w:rPr>
          <w:sz w:val="20"/>
          <w:szCs w:val="20"/>
        </w:rPr>
        <w:t>S</w:t>
      </w:r>
      <w:r w:rsidR="00A560E0" w:rsidRPr="00A560E0">
        <w:rPr>
          <w:sz w:val="20"/>
          <w:szCs w:val="20"/>
        </w:rPr>
        <w:t>arah Rummery</w:t>
      </w:r>
    </w:p>
    <w:p w14:paraId="7CE56DAC" w14:textId="77777777" w:rsidR="00A560E0" w:rsidRPr="00A560E0" w:rsidRDefault="00A560E0" w:rsidP="00A560E0">
      <w:pPr>
        <w:spacing w:after="120"/>
        <w:rPr>
          <w:b/>
          <w:sz w:val="20"/>
          <w:szCs w:val="20"/>
        </w:rPr>
      </w:pPr>
      <w:r w:rsidRPr="00A560E0">
        <w:rPr>
          <w:b/>
          <w:sz w:val="20"/>
          <w:szCs w:val="20"/>
        </w:rPr>
        <w:t>COMMISSIONER OF TERRITORY REVENUE</w:t>
      </w:r>
    </w:p>
    <w:p w14:paraId="08AD5E44" w14:textId="77777777" w:rsidR="00A560E0" w:rsidRPr="00A560E0" w:rsidRDefault="00A560E0" w:rsidP="00A560E0">
      <w:pPr>
        <w:spacing w:after="120"/>
        <w:rPr>
          <w:sz w:val="20"/>
          <w:szCs w:val="20"/>
        </w:rPr>
      </w:pPr>
      <w:r w:rsidRPr="00A560E0">
        <w:rPr>
          <w:sz w:val="20"/>
          <w:szCs w:val="20"/>
        </w:rPr>
        <w:t>Date of issue: 1 July 2022</w:t>
      </w:r>
    </w:p>
    <w:tbl>
      <w:tblPr>
        <w:tblW w:w="5000" w:type="pct"/>
        <w:tblBorders>
          <w:top w:val="single" w:sz="4" w:space="0" w:color="333399"/>
          <w:bottom w:val="single" w:sz="4" w:space="0" w:color="333399"/>
          <w:insideH w:val="single" w:sz="4" w:space="0" w:color="333399"/>
        </w:tblBorders>
        <w:tblLayout w:type="fixed"/>
        <w:tblCellMar>
          <w:top w:w="57" w:type="dxa"/>
          <w:left w:w="0" w:type="dxa"/>
          <w:bottom w:w="57" w:type="dxa"/>
          <w:right w:w="0" w:type="dxa"/>
        </w:tblCellMar>
        <w:tblLook w:val="01E0" w:firstRow="1" w:lastRow="1" w:firstColumn="1" w:lastColumn="1" w:noHBand="0" w:noVBand="0"/>
      </w:tblPr>
      <w:tblGrid>
        <w:gridCol w:w="4775"/>
        <w:gridCol w:w="5543"/>
      </w:tblGrid>
      <w:tr w:rsidR="00A560E0" w:rsidRPr="00A560E0" w14:paraId="4AAFC223" w14:textId="77777777" w:rsidTr="006748FA">
        <w:tc>
          <w:tcPr>
            <w:tcW w:w="5000" w:type="pct"/>
            <w:gridSpan w:val="2"/>
          </w:tcPr>
          <w:p w14:paraId="7E061710" w14:textId="77777777" w:rsidR="00A560E0" w:rsidRPr="00A560E0" w:rsidRDefault="00A560E0" w:rsidP="00A560E0">
            <w:pPr>
              <w:spacing w:before="60" w:after="60"/>
              <w:rPr>
                <w:rFonts w:cs="Arial"/>
                <w:sz w:val="20"/>
                <w:szCs w:val="20"/>
              </w:rPr>
            </w:pPr>
            <w:r w:rsidRPr="00A560E0">
              <w:rPr>
                <w:rFonts w:cs="Arial"/>
                <w:sz w:val="20"/>
                <w:szCs w:val="20"/>
              </w:rPr>
              <w:t>For further information, contact the Territory Revenue Office</w:t>
            </w:r>
          </w:p>
        </w:tc>
      </w:tr>
      <w:tr w:rsidR="00A560E0" w:rsidRPr="00A560E0" w14:paraId="01E7E9C5" w14:textId="77777777" w:rsidTr="006748FA">
        <w:tc>
          <w:tcPr>
            <w:tcW w:w="2314" w:type="pct"/>
          </w:tcPr>
          <w:p w14:paraId="53B7A656" w14:textId="77777777" w:rsidR="00A560E0" w:rsidRPr="00A560E0" w:rsidRDefault="00A560E0" w:rsidP="00A560E0">
            <w:pPr>
              <w:spacing w:before="60" w:after="60"/>
              <w:rPr>
                <w:rFonts w:cs="Arial"/>
                <w:sz w:val="20"/>
                <w:szCs w:val="20"/>
              </w:rPr>
            </w:pPr>
            <w:r w:rsidRPr="00A560E0">
              <w:rPr>
                <w:rFonts w:cs="Arial"/>
                <w:sz w:val="20"/>
                <w:szCs w:val="20"/>
              </w:rPr>
              <w:t>GPO Box 1974</w:t>
            </w:r>
          </w:p>
          <w:p w14:paraId="4775011E" w14:textId="77777777" w:rsidR="00A560E0" w:rsidRPr="00A560E0" w:rsidRDefault="00A560E0" w:rsidP="00A560E0">
            <w:pPr>
              <w:spacing w:before="60" w:after="60"/>
              <w:rPr>
                <w:rFonts w:cs="Arial"/>
                <w:sz w:val="20"/>
                <w:szCs w:val="20"/>
              </w:rPr>
            </w:pPr>
            <w:r w:rsidRPr="00A560E0">
              <w:rPr>
                <w:rFonts w:cs="Arial"/>
                <w:sz w:val="20"/>
                <w:szCs w:val="20"/>
              </w:rPr>
              <w:t>Darwin NT 0801</w:t>
            </w:r>
          </w:p>
          <w:p w14:paraId="6EB8A780" w14:textId="77777777" w:rsidR="00A560E0" w:rsidRPr="00A560E0" w:rsidRDefault="00A560E0" w:rsidP="00A560E0">
            <w:pPr>
              <w:spacing w:before="60" w:after="60"/>
              <w:rPr>
                <w:rFonts w:cs="Arial"/>
                <w:sz w:val="20"/>
                <w:szCs w:val="20"/>
              </w:rPr>
            </w:pPr>
            <w:r w:rsidRPr="00A560E0">
              <w:rPr>
                <w:rFonts w:cs="Arial"/>
                <w:sz w:val="20"/>
                <w:szCs w:val="20"/>
              </w:rPr>
              <w:t xml:space="preserve">Email: </w:t>
            </w:r>
            <w:hyperlink r:id="rId10" w:history="1">
              <w:r w:rsidRPr="00A560E0">
                <w:rPr>
                  <w:rFonts w:cs="Arial"/>
                  <w:color w:val="0563C1"/>
                  <w:sz w:val="20"/>
                  <w:szCs w:val="20"/>
                  <w:u w:val="single"/>
                </w:rPr>
                <w:t>ntrevenue@nt.gov.au</w:t>
              </w:r>
            </w:hyperlink>
          </w:p>
        </w:tc>
        <w:tc>
          <w:tcPr>
            <w:tcW w:w="2686" w:type="pct"/>
          </w:tcPr>
          <w:p w14:paraId="3CFEBDE8" w14:textId="77777777" w:rsidR="00A560E0" w:rsidRPr="00A560E0" w:rsidRDefault="00A560E0" w:rsidP="00A560E0">
            <w:pPr>
              <w:spacing w:before="60" w:after="60"/>
              <w:rPr>
                <w:rFonts w:cs="Arial"/>
                <w:sz w:val="20"/>
                <w:szCs w:val="20"/>
              </w:rPr>
            </w:pPr>
            <w:r w:rsidRPr="00A560E0">
              <w:rPr>
                <w:rFonts w:cs="Arial"/>
                <w:sz w:val="20"/>
                <w:szCs w:val="20"/>
              </w:rPr>
              <w:t>Phone: 1300 305 353</w:t>
            </w:r>
          </w:p>
          <w:p w14:paraId="13C8300C" w14:textId="77777777" w:rsidR="00A560E0" w:rsidRPr="00A560E0" w:rsidRDefault="00A560E0" w:rsidP="00A560E0">
            <w:pPr>
              <w:spacing w:before="60" w:after="60"/>
              <w:rPr>
                <w:rFonts w:cs="Arial"/>
                <w:bCs/>
                <w:sz w:val="20"/>
                <w:szCs w:val="20"/>
              </w:rPr>
            </w:pPr>
            <w:r w:rsidRPr="00A560E0">
              <w:rPr>
                <w:rFonts w:cs="Arial"/>
                <w:sz w:val="20"/>
                <w:szCs w:val="20"/>
              </w:rPr>
              <w:t xml:space="preserve">Website: </w:t>
            </w:r>
            <w:hyperlink r:id="rId11" w:history="1">
              <w:r w:rsidRPr="00A560E0">
                <w:rPr>
                  <w:rFonts w:cs="Arial"/>
                  <w:color w:val="0563C1"/>
                  <w:sz w:val="20"/>
                  <w:szCs w:val="20"/>
                  <w:u w:val="single"/>
                </w:rPr>
                <w:t>www.revenue.nt.gov.au</w:t>
              </w:r>
            </w:hyperlink>
          </w:p>
        </w:tc>
      </w:tr>
    </w:tbl>
    <w:p w14:paraId="5BBDD2E3" w14:textId="60FA4D34" w:rsidR="00B14257" w:rsidRPr="00E12B05" w:rsidRDefault="00B14257" w:rsidP="00A560E0">
      <w:pPr>
        <w:pStyle w:val="BodyText1"/>
        <w:rPr>
          <w:sz w:val="20"/>
        </w:rPr>
      </w:pPr>
    </w:p>
    <w:sectPr w:rsidR="00B14257" w:rsidRPr="00E12B05" w:rsidSect="00A567EE">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D9BB4" w14:textId="77777777" w:rsidR="00112D32" w:rsidRDefault="00112D32" w:rsidP="007332FF">
      <w:r>
        <w:separator/>
      </w:r>
    </w:p>
  </w:endnote>
  <w:endnote w:type="continuationSeparator" w:id="0">
    <w:p w14:paraId="0CCBDA97" w14:textId="77777777" w:rsidR="00112D32" w:rsidRDefault="00112D3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CC0DC"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32E1DB7" w14:textId="77777777" w:rsidTr="00D47DC7">
      <w:trPr>
        <w:cantSplit/>
        <w:trHeight w:hRule="exact" w:val="850"/>
      </w:trPr>
      <w:tc>
        <w:tcPr>
          <w:tcW w:w="10318" w:type="dxa"/>
          <w:vAlign w:val="bottom"/>
        </w:tcPr>
        <w:p w14:paraId="231F6EC5"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649E3">
                <w:rPr>
                  <w:rStyle w:val="PageNumber"/>
                  <w:b/>
                </w:rPr>
                <w:t>TREASURY AND FINANCE</w:t>
              </w:r>
            </w:sdtContent>
          </w:sdt>
        </w:p>
        <w:p w14:paraId="07E953E9" w14:textId="77777777" w:rsidR="00D47DC7" w:rsidRPr="00CE6614" w:rsidRDefault="00112D32"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07-01T00:00:00Z">
                <w:dateFormat w:val="d MMMM yyyy"/>
                <w:lid w:val="en-AU"/>
                <w:storeMappedDataAs w:val="dateTime"/>
                <w:calendar w:val="gregorian"/>
              </w:date>
            </w:sdtPr>
            <w:sdtEndPr>
              <w:rPr>
                <w:rStyle w:val="PageNumber"/>
              </w:rPr>
            </w:sdtEndPr>
            <w:sdtContent>
              <w:r w:rsidR="00F649E3">
                <w:rPr>
                  <w:rStyle w:val="PageNumber"/>
                </w:rPr>
                <w:t>1 July 2022</w:t>
              </w:r>
            </w:sdtContent>
          </w:sdt>
          <w:r w:rsidR="00F649E3">
            <w:rPr>
              <w:rStyle w:val="PageNumber"/>
            </w:rPr>
            <w:t xml:space="preserve"> | Version 3</w:t>
          </w:r>
        </w:p>
        <w:p w14:paraId="1D44CB0B" w14:textId="33E707EB"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A4B19">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A4B19">
            <w:rPr>
              <w:rStyle w:val="PageNumber"/>
              <w:noProof/>
            </w:rPr>
            <w:t>6</w:t>
          </w:r>
          <w:r w:rsidRPr="00AC4488">
            <w:rPr>
              <w:rStyle w:val="PageNumber"/>
            </w:rPr>
            <w:fldChar w:fldCharType="end"/>
          </w:r>
        </w:p>
      </w:tc>
    </w:tr>
  </w:tbl>
  <w:p w14:paraId="4B36E293"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5C47B"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4F77F0E7" w14:textId="77777777" w:rsidTr="008921B4">
      <w:trPr>
        <w:cantSplit/>
        <w:trHeight w:hRule="exact" w:val="1134"/>
      </w:trPr>
      <w:tc>
        <w:tcPr>
          <w:tcW w:w="7767" w:type="dxa"/>
          <w:vAlign w:val="bottom"/>
        </w:tcPr>
        <w:p w14:paraId="29BF46E0"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649E3">
                <w:rPr>
                  <w:rStyle w:val="PageNumber"/>
                  <w:b/>
                </w:rPr>
                <w:t>TREASURY AND FINANCE</w:t>
              </w:r>
            </w:sdtContent>
          </w:sdt>
        </w:p>
        <w:p w14:paraId="2A0ECEF4" w14:textId="77777777" w:rsidR="00D47DC7" w:rsidRPr="00CE6614" w:rsidRDefault="00112D32"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7-01T00:00:00Z">
                <w:dateFormat w:val="d MMMM yyyy"/>
                <w:lid w:val="en-AU"/>
                <w:storeMappedDataAs w:val="dateTime"/>
                <w:calendar w:val="gregorian"/>
              </w:date>
            </w:sdtPr>
            <w:sdtEndPr>
              <w:rPr>
                <w:rStyle w:val="PageNumber"/>
              </w:rPr>
            </w:sdtEndPr>
            <w:sdtContent>
              <w:r w:rsidR="00F649E3">
                <w:rPr>
                  <w:rStyle w:val="PageNumber"/>
                </w:rPr>
                <w:t>1 July 2022</w:t>
              </w:r>
            </w:sdtContent>
          </w:sdt>
          <w:r w:rsidR="00F649E3">
            <w:rPr>
              <w:rStyle w:val="PageNumber"/>
            </w:rPr>
            <w:t xml:space="preserve"> | Version 3</w:t>
          </w:r>
        </w:p>
        <w:p w14:paraId="152624C2" w14:textId="34E75B18"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A4B19">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A4B19">
            <w:rPr>
              <w:rStyle w:val="PageNumber"/>
              <w:noProof/>
            </w:rPr>
            <w:t>6</w:t>
          </w:r>
          <w:r w:rsidRPr="00AC4488">
            <w:rPr>
              <w:rStyle w:val="PageNumber"/>
            </w:rPr>
            <w:fldChar w:fldCharType="end"/>
          </w:r>
        </w:p>
      </w:tc>
      <w:tc>
        <w:tcPr>
          <w:tcW w:w="2551" w:type="dxa"/>
          <w:vAlign w:val="bottom"/>
        </w:tcPr>
        <w:p w14:paraId="735CF034" w14:textId="77777777" w:rsidR="0071700C" w:rsidRPr="001E14EB" w:rsidRDefault="0071700C" w:rsidP="0071700C">
          <w:pPr>
            <w:spacing w:after="0"/>
            <w:jc w:val="right"/>
          </w:pPr>
          <w:r>
            <w:rPr>
              <w:noProof/>
              <w:lang w:eastAsia="en-AU"/>
            </w:rPr>
            <w:drawing>
              <wp:inline distT="0" distB="0" distL="0" distR="0" wp14:anchorId="7428DB4F" wp14:editId="5E725651">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761AB0E"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37BB" w14:textId="77777777" w:rsidR="00112D32" w:rsidRDefault="00112D32" w:rsidP="007332FF">
      <w:r>
        <w:separator/>
      </w:r>
    </w:p>
  </w:footnote>
  <w:footnote w:type="continuationSeparator" w:id="0">
    <w:p w14:paraId="6DEA27C8" w14:textId="77777777" w:rsidR="00112D32" w:rsidRDefault="00112D32" w:rsidP="007332FF">
      <w:r>
        <w:continuationSeparator/>
      </w:r>
    </w:p>
  </w:footnote>
  <w:footnote w:id="1">
    <w:p w14:paraId="63663B90" w14:textId="14C7A900" w:rsidR="00AE185D" w:rsidRPr="00AE185D" w:rsidRDefault="00AE185D" w:rsidP="00AE185D">
      <w:pPr>
        <w:pStyle w:val="FootnoteText"/>
        <w:rPr>
          <w:rFonts w:asciiTheme="minorHAnsi" w:hAnsiTheme="minorHAnsi" w:cs="Arial"/>
          <w:sz w:val="18"/>
          <w:szCs w:val="18"/>
        </w:rPr>
      </w:pPr>
      <w:r w:rsidRPr="00AE185D">
        <w:rPr>
          <w:rStyle w:val="FootnoteReference"/>
          <w:rFonts w:asciiTheme="minorHAnsi" w:hAnsiTheme="minorHAnsi" w:cs="Arial"/>
          <w:sz w:val="18"/>
          <w:szCs w:val="18"/>
        </w:rPr>
        <w:footnoteRef/>
      </w:r>
      <w:r w:rsidRPr="00AE185D">
        <w:rPr>
          <w:rFonts w:asciiTheme="minorHAnsi" w:hAnsiTheme="minorHAnsi" w:cs="Arial"/>
          <w:sz w:val="18"/>
          <w:szCs w:val="18"/>
        </w:rPr>
        <w:t xml:space="preserve"> Section 4 of the </w:t>
      </w:r>
      <w:r w:rsidRPr="00AE185D">
        <w:rPr>
          <w:rFonts w:asciiTheme="minorHAnsi" w:hAnsiTheme="minorHAnsi" w:cs="Arial"/>
          <w:i/>
          <w:sz w:val="18"/>
          <w:szCs w:val="18"/>
        </w:rPr>
        <w:t>First Home Owner Grant Act</w:t>
      </w:r>
      <w:r w:rsidR="000F3A97">
        <w:rPr>
          <w:rFonts w:asciiTheme="minorHAnsi" w:hAnsiTheme="minorHAnsi" w:cs="Arial"/>
          <w:i/>
          <w:sz w:val="18"/>
          <w:szCs w:val="18"/>
        </w:rPr>
        <w:t xml:space="preserve"> 2000</w:t>
      </w:r>
      <w:r w:rsidRPr="00AE185D">
        <w:rPr>
          <w:rFonts w:asciiTheme="minorHAnsi" w:hAnsiTheme="minorHAnsi" w:cs="Arial"/>
          <w:i/>
          <w:sz w:val="18"/>
          <w:szCs w:val="18"/>
        </w:rPr>
        <w:t xml:space="preserve"> </w:t>
      </w:r>
      <w:r w:rsidRPr="00AE185D">
        <w:rPr>
          <w:rFonts w:asciiTheme="minorHAnsi" w:hAnsiTheme="minorHAnsi" w:cs="Arial"/>
          <w:sz w:val="18"/>
          <w:szCs w:val="18"/>
        </w:rPr>
        <w:t xml:space="preserve">and section 88(1) (‘home’) of the </w:t>
      </w:r>
      <w:r w:rsidRPr="00AE185D">
        <w:rPr>
          <w:rFonts w:asciiTheme="minorHAnsi" w:hAnsiTheme="minorHAnsi" w:cs="Arial"/>
          <w:i/>
          <w:sz w:val="18"/>
          <w:szCs w:val="18"/>
        </w:rPr>
        <w:t>Stamp Duty Act</w:t>
      </w:r>
      <w:r w:rsidR="000F3A97">
        <w:rPr>
          <w:rFonts w:asciiTheme="minorHAnsi" w:hAnsiTheme="minorHAnsi" w:cs="Arial"/>
          <w:i/>
          <w:sz w:val="18"/>
          <w:szCs w:val="18"/>
        </w:rPr>
        <w:t xml:space="preserve"> 1978</w:t>
      </w:r>
      <w:r w:rsidRPr="00AE185D">
        <w:rPr>
          <w:rFonts w:asciiTheme="minorHAnsi" w:hAnsiTheme="minorHAnsi" w:cs="Arial"/>
          <w:sz w:val="18"/>
          <w:szCs w:val="18"/>
        </w:rPr>
        <w:t>.</w:t>
      </w:r>
    </w:p>
  </w:footnote>
  <w:footnote w:id="2">
    <w:p w14:paraId="6407F0DB" w14:textId="12F46DC4" w:rsidR="00AE185D" w:rsidRDefault="00AE185D" w:rsidP="00AE185D">
      <w:pPr>
        <w:pStyle w:val="FootnoteText"/>
      </w:pPr>
      <w:r w:rsidRPr="00AE185D">
        <w:rPr>
          <w:rStyle w:val="FootnoteReference"/>
          <w:rFonts w:asciiTheme="minorHAnsi" w:hAnsiTheme="minorHAnsi" w:cs="Arial"/>
        </w:rPr>
        <w:footnoteRef/>
      </w:r>
      <w:r w:rsidRPr="00AE185D">
        <w:rPr>
          <w:rFonts w:asciiTheme="minorHAnsi" w:hAnsiTheme="minorHAnsi" w:cs="Arial"/>
        </w:rPr>
        <w:t xml:space="preserve"> </w:t>
      </w:r>
      <w:r w:rsidRPr="00AE185D">
        <w:rPr>
          <w:rFonts w:asciiTheme="minorHAnsi" w:hAnsiTheme="minorHAnsi" w:cs="Arial"/>
          <w:sz w:val="18"/>
          <w:szCs w:val="18"/>
        </w:rPr>
        <w:t xml:space="preserve">Section 4A of the </w:t>
      </w:r>
      <w:r w:rsidRPr="00AE185D">
        <w:rPr>
          <w:rFonts w:asciiTheme="minorHAnsi" w:hAnsiTheme="minorHAnsi" w:cs="Arial"/>
          <w:i/>
          <w:sz w:val="18"/>
          <w:szCs w:val="18"/>
        </w:rPr>
        <w:t>First Home Owner Grant Act</w:t>
      </w:r>
      <w:r w:rsidR="000F3A97">
        <w:rPr>
          <w:rFonts w:asciiTheme="minorHAnsi" w:hAnsiTheme="minorHAnsi" w:cs="Arial"/>
          <w:i/>
          <w:sz w:val="18"/>
          <w:szCs w:val="18"/>
        </w:rPr>
        <w:t xml:space="preserve"> 2000</w:t>
      </w:r>
      <w:r w:rsidRPr="00AE185D">
        <w:rPr>
          <w:rFonts w:asciiTheme="minorHAnsi" w:hAnsiTheme="minorHAnsi" w:cs="Arial"/>
          <w:sz w:val="18"/>
          <w:szCs w:val="18"/>
        </w:rPr>
        <w:t xml:space="preserve"> and section 90C(1) of the </w:t>
      </w:r>
      <w:r w:rsidRPr="00AE185D">
        <w:rPr>
          <w:rFonts w:asciiTheme="minorHAnsi" w:hAnsiTheme="minorHAnsi" w:cs="Arial"/>
          <w:i/>
          <w:sz w:val="18"/>
          <w:szCs w:val="18"/>
        </w:rPr>
        <w:t>Stamp Duty Act</w:t>
      </w:r>
      <w:r w:rsidR="000F3A97">
        <w:rPr>
          <w:rFonts w:asciiTheme="minorHAnsi" w:hAnsiTheme="minorHAnsi" w:cs="Arial"/>
          <w:i/>
          <w:sz w:val="18"/>
          <w:szCs w:val="18"/>
        </w:rPr>
        <w:t xml:space="preserve"> 1978</w:t>
      </w:r>
      <w:r w:rsidRPr="00AE185D">
        <w:rPr>
          <w:rFonts w:asciiTheme="minorHAnsi" w:hAnsiTheme="minorHAnsi"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7A03" w14:textId="77777777" w:rsidR="00983000" w:rsidRPr="00162207" w:rsidRDefault="00112D32"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E12B05">
          <w:t>CG-HI-011: What is a ‘new home’?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lang w:eastAsia="en-AU"/>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57CB2C28" w14:textId="77777777" w:rsidR="00E54F9E" w:rsidRDefault="00E12B05" w:rsidP="00435082">
        <w:pPr>
          <w:pStyle w:val="Title"/>
        </w:pPr>
        <w:r w:rsidRPr="00E12B05">
          <w:rPr>
            <w:noProof/>
            <w:lang w:eastAsia="en-AU"/>
          </w:rPr>
          <w:t>CG-HI-011: What is a ‘new home’?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942170"/>
    <w:multiLevelType w:val="multilevel"/>
    <w:tmpl w:val="8B9C796C"/>
    <w:lvl w:ilvl="0">
      <w:start w:val="1"/>
      <w:numFmt w:val="decimal"/>
      <w:pStyle w:val="Numberlistlevel1ListNumber"/>
      <w:lvlText w:val="%1."/>
      <w:lvlJc w:val="left"/>
      <w:pPr>
        <w:ind w:left="425" w:hanging="425"/>
      </w:pPr>
      <w:rPr>
        <w:rFonts w:hint="default"/>
      </w:rPr>
    </w:lvl>
    <w:lvl w:ilvl="1">
      <w:start w:val="1"/>
      <w:numFmt w:val="lowerLetter"/>
      <w:pStyle w:val="Numberlistlevel2ListNumber2"/>
      <w:lvlText w:val="%2."/>
      <w:lvlJc w:val="left"/>
      <w:pPr>
        <w:ind w:left="850" w:hanging="425"/>
      </w:pPr>
      <w:rPr>
        <w:rFonts w:hint="default"/>
      </w:rPr>
    </w:lvl>
    <w:lvl w:ilvl="2">
      <w:start w:val="1"/>
      <w:numFmt w:val="lowerRoman"/>
      <w:pStyle w:val="Numberlistlevel3ListNumber3"/>
      <w:lvlText w:val="%3."/>
      <w:lvlJc w:val="left"/>
      <w:pPr>
        <w:ind w:left="1275" w:hanging="425"/>
      </w:pPr>
      <w:rPr>
        <w:rFonts w:hint="default"/>
      </w:rPr>
    </w:lvl>
    <w:lvl w:ilvl="3">
      <w:start w:val="1"/>
      <w:numFmt w:val="decimal"/>
      <w:pStyle w:val="Numberlistlevel4ListNumber4"/>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2366A3B"/>
    <w:multiLevelType w:val="hybridMultilevel"/>
    <w:tmpl w:val="5908EA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3"/>
  </w:num>
  <w:num w:numId="3">
    <w:abstractNumId w:val="36"/>
  </w:num>
  <w:num w:numId="4">
    <w:abstractNumId w:val="24"/>
  </w:num>
  <w:num w:numId="5">
    <w:abstractNumId w:val="17"/>
  </w:num>
  <w:num w:numId="6">
    <w:abstractNumId w:val="8"/>
  </w:num>
  <w:num w:numId="7">
    <w:abstractNumId w:val="26"/>
  </w:num>
  <w:num w:numId="8">
    <w:abstractNumId w:val="16"/>
  </w:num>
  <w:num w:numId="9">
    <w:abstractNumId w:val="12"/>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0">
    <w:abstractNumId w:val="32"/>
  </w:num>
  <w:num w:numId="11">
    <w:abstractNumId w:val="12"/>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9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1"/>
  <w:stylePaneSortMethod w:val="0000"/>
  <w:documentProtection w:edit="readOnly" w:enforcement="0"/>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5D"/>
    <w:rsid w:val="00001841"/>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3FF9"/>
    <w:rsid w:val="0006635A"/>
    <w:rsid w:val="000671D8"/>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3A97"/>
    <w:rsid w:val="000F604F"/>
    <w:rsid w:val="00104E7F"/>
    <w:rsid w:val="00112D32"/>
    <w:rsid w:val="001137EC"/>
    <w:rsid w:val="001152F5"/>
    <w:rsid w:val="00117743"/>
    <w:rsid w:val="00117F5B"/>
    <w:rsid w:val="0012060C"/>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37A"/>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1A2F"/>
    <w:rsid w:val="002D3A57"/>
    <w:rsid w:val="002D6524"/>
    <w:rsid w:val="002D7D05"/>
    <w:rsid w:val="002E20C8"/>
    <w:rsid w:val="002E4290"/>
    <w:rsid w:val="002E66A6"/>
    <w:rsid w:val="002F0DB1"/>
    <w:rsid w:val="002F2885"/>
    <w:rsid w:val="002F45A1"/>
    <w:rsid w:val="0030203D"/>
    <w:rsid w:val="003037F9"/>
    <w:rsid w:val="00305805"/>
    <w:rsid w:val="0030583E"/>
    <w:rsid w:val="00306A1C"/>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4F2A"/>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06"/>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5BC3"/>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B6F1F"/>
    <w:rsid w:val="005C2833"/>
    <w:rsid w:val="005E144D"/>
    <w:rsid w:val="005E1500"/>
    <w:rsid w:val="005E3A43"/>
    <w:rsid w:val="005F0B17"/>
    <w:rsid w:val="005F4B38"/>
    <w:rsid w:val="005F6602"/>
    <w:rsid w:val="005F77C7"/>
    <w:rsid w:val="00620675"/>
    <w:rsid w:val="00622910"/>
    <w:rsid w:val="006254B6"/>
    <w:rsid w:val="00627FC8"/>
    <w:rsid w:val="006433C3"/>
    <w:rsid w:val="00650F5B"/>
    <w:rsid w:val="006670D7"/>
    <w:rsid w:val="006719EA"/>
    <w:rsid w:val="00671E99"/>
    <w:rsid w:val="00671F13"/>
    <w:rsid w:val="0067400A"/>
    <w:rsid w:val="006847AD"/>
    <w:rsid w:val="00687508"/>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1A77"/>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05ED"/>
    <w:rsid w:val="00881C48"/>
    <w:rsid w:val="00885B80"/>
    <w:rsid w:val="00885C30"/>
    <w:rsid w:val="00885E9B"/>
    <w:rsid w:val="0089368E"/>
    <w:rsid w:val="00893C96"/>
    <w:rsid w:val="0089500A"/>
    <w:rsid w:val="00897C94"/>
    <w:rsid w:val="008A4B30"/>
    <w:rsid w:val="008A7C12"/>
    <w:rsid w:val="008B03CE"/>
    <w:rsid w:val="008B529E"/>
    <w:rsid w:val="008B59B8"/>
    <w:rsid w:val="008C17FB"/>
    <w:rsid w:val="008C70BB"/>
    <w:rsid w:val="008D1B00"/>
    <w:rsid w:val="008D57B8"/>
    <w:rsid w:val="008E03FC"/>
    <w:rsid w:val="008E510B"/>
    <w:rsid w:val="00902B13"/>
    <w:rsid w:val="00911941"/>
    <w:rsid w:val="0092024D"/>
    <w:rsid w:val="00923ABF"/>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2704F"/>
    <w:rsid w:val="00A31AE8"/>
    <w:rsid w:val="00A3739D"/>
    <w:rsid w:val="00A37DDA"/>
    <w:rsid w:val="00A45005"/>
    <w:rsid w:val="00A560E0"/>
    <w:rsid w:val="00A567EE"/>
    <w:rsid w:val="00A70DD8"/>
    <w:rsid w:val="00A76790"/>
    <w:rsid w:val="00A85D0C"/>
    <w:rsid w:val="00A925EC"/>
    <w:rsid w:val="00A929AA"/>
    <w:rsid w:val="00A92B6B"/>
    <w:rsid w:val="00A95BA0"/>
    <w:rsid w:val="00AA4B19"/>
    <w:rsid w:val="00AA541E"/>
    <w:rsid w:val="00AD0DA4"/>
    <w:rsid w:val="00AD24B9"/>
    <w:rsid w:val="00AD4169"/>
    <w:rsid w:val="00AE185D"/>
    <w:rsid w:val="00AE25C6"/>
    <w:rsid w:val="00AE306C"/>
    <w:rsid w:val="00AE3182"/>
    <w:rsid w:val="00AF28C1"/>
    <w:rsid w:val="00B02EF1"/>
    <w:rsid w:val="00B07C97"/>
    <w:rsid w:val="00B11C67"/>
    <w:rsid w:val="00B14257"/>
    <w:rsid w:val="00B15754"/>
    <w:rsid w:val="00B16002"/>
    <w:rsid w:val="00B2046E"/>
    <w:rsid w:val="00B20E04"/>
    <w:rsid w:val="00B20E8B"/>
    <w:rsid w:val="00B257E1"/>
    <w:rsid w:val="00B2599A"/>
    <w:rsid w:val="00B27AC4"/>
    <w:rsid w:val="00B32812"/>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0C8D"/>
    <w:rsid w:val="00BB2239"/>
    <w:rsid w:val="00BB2AE7"/>
    <w:rsid w:val="00BB6464"/>
    <w:rsid w:val="00BB7F55"/>
    <w:rsid w:val="00BC1BB8"/>
    <w:rsid w:val="00BD7FE1"/>
    <w:rsid w:val="00BE37CA"/>
    <w:rsid w:val="00BE6144"/>
    <w:rsid w:val="00BE635A"/>
    <w:rsid w:val="00BF17E9"/>
    <w:rsid w:val="00BF2ABB"/>
    <w:rsid w:val="00BF5099"/>
    <w:rsid w:val="00C10B5E"/>
    <w:rsid w:val="00C10F10"/>
    <w:rsid w:val="00C152A6"/>
    <w:rsid w:val="00C15D4D"/>
    <w:rsid w:val="00C175DC"/>
    <w:rsid w:val="00C30171"/>
    <w:rsid w:val="00C309D8"/>
    <w:rsid w:val="00C41C04"/>
    <w:rsid w:val="00C43519"/>
    <w:rsid w:val="00C45263"/>
    <w:rsid w:val="00C51537"/>
    <w:rsid w:val="00C52BC3"/>
    <w:rsid w:val="00C61AFA"/>
    <w:rsid w:val="00C61D64"/>
    <w:rsid w:val="00C62099"/>
    <w:rsid w:val="00C62A34"/>
    <w:rsid w:val="00C64EA3"/>
    <w:rsid w:val="00C72867"/>
    <w:rsid w:val="00C75E81"/>
    <w:rsid w:val="00C77AFE"/>
    <w:rsid w:val="00C8314B"/>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7FB"/>
    <w:rsid w:val="00E04CC0"/>
    <w:rsid w:val="00E12B05"/>
    <w:rsid w:val="00E15816"/>
    <w:rsid w:val="00E160D5"/>
    <w:rsid w:val="00E239FF"/>
    <w:rsid w:val="00E27D7B"/>
    <w:rsid w:val="00E30556"/>
    <w:rsid w:val="00E30981"/>
    <w:rsid w:val="00E33136"/>
    <w:rsid w:val="00E34D7C"/>
    <w:rsid w:val="00E3723D"/>
    <w:rsid w:val="00E44C89"/>
    <w:rsid w:val="00E457A6"/>
    <w:rsid w:val="00E54F9E"/>
    <w:rsid w:val="00E563B8"/>
    <w:rsid w:val="00E61BA2"/>
    <w:rsid w:val="00E63864"/>
    <w:rsid w:val="00E6403F"/>
    <w:rsid w:val="00E75451"/>
    <w:rsid w:val="00E75EA9"/>
    <w:rsid w:val="00E76AD6"/>
    <w:rsid w:val="00E76CE6"/>
    <w:rsid w:val="00E770C4"/>
    <w:rsid w:val="00E84C5A"/>
    <w:rsid w:val="00E861DB"/>
    <w:rsid w:val="00E86BC2"/>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064E5"/>
    <w:rsid w:val="00F30AE1"/>
    <w:rsid w:val="00F5696E"/>
    <w:rsid w:val="00F60EFF"/>
    <w:rsid w:val="00F649E3"/>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66AB0"/>
  <w15:docId w15:val="{C3B17B64-5C6C-46FD-9270-A35E23A6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FF9"/>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AE185D"/>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Text">
    <w:name w:val="Text"/>
    <w:rsid w:val="00AE185D"/>
    <w:pPr>
      <w:numPr>
        <w:numId w:val="11"/>
      </w:numPr>
    </w:pPr>
  </w:style>
  <w:style w:type="paragraph" w:styleId="FootnoteText">
    <w:name w:val="footnote text"/>
    <w:basedOn w:val="Normal"/>
    <w:link w:val="FootnoteTextChar"/>
    <w:semiHidden/>
    <w:rsid w:val="00AE185D"/>
    <w:pPr>
      <w:spacing w:after="0"/>
    </w:pPr>
    <w:rPr>
      <w:rFonts w:ascii="Times New Roman" w:eastAsia="Times New Roman" w:hAnsi="Times New Roman"/>
      <w:sz w:val="20"/>
      <w:szCs w:val="20"/>
      <w:lang w:eastAsia="en-AU"/>
    </w:rPr>
  </w:style>
  <w:style w:type="character" w:customStyle="1" w:styleId="FootnoteTextChar">
    <w:name w:val="Footnote Text Char"/>
    <w:basedOn w:val="DefaultParagraphFont"/>
    <w:link w:val="FootnoteText"/>
    <w:semiHidden/>
    <w:rsid w:val="00AE185D"/>
    <w:rPr>
      <w:rFonts w:ascii="Times New Roman" w:eastAsia="Times New Roman" w:hAnsi="Times New Roman"/>
      <w:sz w:val="20"/>
      <w:szCs w:val="20"/>
      <w:lang w:eastAsia="en-AU"/>
    </w:rPr>
  </w:style>
  <w:style w:type="character" w:styleId="FootnoteReference">
    <w:name w:val="footnote reference"/>
    <w:semiHidden/>
    <w:rsid w:val="00AE185D"/>
    <w:rPr>
      <w:vertAlign w:val="superscript"/>
    </w:rPr>
  </w:style>
  <w:style w:type="character" w:styleId="CommentReference">
    <w:name w:val="annotation reference"/>
    <w:basedOn w:val="DefaultParagraphFont"/>
    <w:uiPriority w:val="99"/>
    <w:semiHidden/>
    <w:unhideWhenUsed/>
    <w:rsid w:val="00AE185D"/>
    <w:rPr>
      <w:sz w:val="16"/>
      <w:szCs w:val="16"/>
    </w:rPr>
  </w:style>
  <w:style w:type="paragraph" w:styleId="CommentText">
    <w:name w:val="annotation text"/>
    <w:basedOn w:val="Normal"/>
    <w:link w:val="CommentTextChar"/>
    <w:uiPriority w:val="99"/>
    <w:semiHidden/>
    <w:unhideWhenUsed/>
    <w:rsid w:val="00AE185D"/>
    <w:rPr>
      <w:sz w:val="20"/>
      <w:szCs w:val="20"/>
    </w:rPr>
  </w:style>
  <w:style w:type="character" w:customStyle="1" w:styleId="CommentTextChar">
    <w:name w:val="Comment Text Char"/>
    <w:basedOn w:val="DefaultParagraphFont"/>
    <w:link w:val="CommentText"/>
    <w:uiPriority w:val="99"/>
    <w:semiHidden/>
    <w:rsid w:val="00AE185D"/>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AE185D"/>
    <w:rPr>
      <w:b/>
      <w:bCs/>
    </w:rPr>
  </w:style>
  <w:style w:type="character" w:customStyle="1" w:styleId="CommentSubjectChar">
    <w:name w:val="Comment Subject Char"/>
    <w:basedOn w:val="CommentTextChar"/>
    <w:link w:val="CommentSubject"/>
    <w:uiPriority w:val="99"/>
    <w:semiHidden/>
    <w:rsid w:val="00AE185D"/>
    <w:rPr>
      <w:rFonts w:ascii="Lato" w:hAnsi="Lato"/>
      <w:b/>
      <w:bCs/>
      <w:sz w:val="20"/>
      <w:szCs w:val="20"/>
    </w:rPr>
  </w:style>
  <w:style w:type="character" w:customStyle="1" w:styleId="BlockTextChar">
    <w:name w:val="Block Text Char"/>
    <w:basedOn w:val="DefaultParagraphFont"/>
    <w:link w:val="BlockText"/>
    <w:rsid w:val="000671D8"/>
    <w:rPr>
      <w:rFonts w:ascii="Lato" w:eastAsiaTheme="minorEastAsia" w:hAnsi="Lato"/>
      <w:iCs/>
    </w:rPr>
  </w:style>
  <w:style w:type="character" w:styleId="FollowedHyperlink">
    <w:name w:val="FollowedHyperlink"/>
    <w:basedOn w:val="DefaultParagraphFont"/>
    <w:uiPriority w:val="99"/>
    <w:semiHidden/>
    <w:unhideWhenUsed/>
    <w:rsid w:val="00E563B8"/>
    <w:rPr>
      <w:color w:val="8C4799" w:themeColor="followedHyperlink"/>
      <w:u w:val="single"/>
    </w:rPr>
  </w:style>
  <w:style w:type="paragraph" w:customStyle="1" w:styleId="Numberlistlevel1ListNumber">
    <w:name w:val="Number list level 1  (List Number)"/>
    <w:basedOn w:val="Normal"/>
    <w:rsid w:val="00C8314B"/>
    <w:pPr>
      <w:numPr>
        <w:numId w:val="12"/>
      </w:numPr>
      <w:spacing w:after="120"/>
    </w:pPr>
  </w:style>
  <w:style w:type="paragraph" w:customStyle="1" w:styleId="Numberlistlevel2ListNumber2">
    <w:name w:val="Number list level 2  (List Number 2)"/>
    <w:basedOn w:val="Normal"/>
    <w:rsid w:val="00C8314B"/>
    <w:pPr>
      <w:numPr>
        <w:ilvl w:val="1"/>
        <w:numId w:val="12"/>
      </w:numPr>
      <w:spacing w:after="120"/>
    </w:pPr>
  </w:style>
  <w:style w:type="paragraph" w:customStyle="1" w:styleId="Numberlistlevel3ListNumber3">
    <w:name w:val="Number list level 3  (List Number 3)"/>
    <w:basedOn w:val="Normal"/>
    <w:rsid w:val="00C8314B"/>
    <w:pPr>
      <w:numPr>
        <w:ilvl w:val="2"/>
        <w:numId w:val="12"/>
      </w:numPr>
      <w:spacing w:after="120"/>
    </w:pPr>
  </w:style>
  <w:style w:type="paragraph" w:customStyle="1" w:styleId="Numberlistlevel4ListNumber4">
    <w:name w:val="Number list level 4  (List Number 4)"/>
    <w:basedOn w:val="Normal"/>
    <w:rsid w:val="00C8314B"/>
    <w:pPr>
      <w:numPr>
        <w:ilvl w:val="3"/>
        <w:numId w:val="12"/>
      </w:numPr>
      <w:spacing w:after="120"/>
    </w:pPr>
  </w:style>
  <w:style w:type="paragraph" w:customStyle="1" w:styleId="BodyText1">
    <w:name w:val="Body Text1"/>
    <w:basedOn w:val="BodyText"/>
    <w:qFormat/>
    <w:rsid w:val="00C8314B"/>
    <w:pPr>
      <w:spacing w:before="40" w:after="80"/>
    </w:pPr>
    <w:rPr>
      <w:szCs w:val="20"/>
      <w:lang w:eastAsia="en-AU"/>
    </w:rPr>
  </w:style>
  <w:style w:type="paragraph" w:customStyle="1" w:styleId="Example-Heading">
    <w:name w:val="Example - Heading"/>
    <w:basedOn w:val="Heading3"/>
    <w:next w:val="Normal"/>
    <w:qFormat/>
    <w:rsid w:val="00C152A6"/>
    <w:pPr>
      <w:pBdr>
        <w:top w:val="single" w:sz="4" w:space="4" w:color="auto"/>
        <w:left w:val="single" w:sz="4" w:space="4" w:color="auto"/>
        <w:bottom w:val="single" w:sz="4" w:space="4" w:color="auto"/>
        <w:right w:val="single" w:sz="4" w:space="4" w:color="auto"/>
      </w:pBdr>
      <w:shd w:val="clear" w:color="auto" w:fill="E5DFEC"/>
      <w:ind w:left="851"/>
      <w:outlineLvl w:val="9"/>
    </w:pPr>
  </w:style>
  <w:style w:type="paragraph" w:customStyle="1" w:styleId="Example-Bodytext">
    <w:name w:val="Example - Body text"/>
    <w:basedOn w:val="BodyText"/>
    <w:qFormat/>
    <w:rsid w:val="00C152A6"/>
    <w:pPr>
      <w:pBdr>
        <w:top w:val="single" w:sz="4" w:space="4" w:color="auto"/>
        <w:left w:val="single" w:sz="4" w:space="4" w:color="auto"/>
        <w:bottom w:val="single" w:sz="4" w:space="4" w:color="auto"/>
        <w:right w:val="single" w:sz="4" w:space="4" w:color="auto"/>
      </w:pBdr>
      <w:shd w:val="clear" w:color="auto" w:fill="E5DFEC"/>
      <w:ind w:left="425"/>
    </w:pPr>
  </w:style>
  <w:style w:type="paragraph" w:customStyle="1" w:styleId="Example-Heading2">
    <w:name w:val="Example - Heading 2"/>
    <w:basedOn w:val="Example-Bodytext"/>
    <w:qFormat/>
    <w:rsid w:val="00063FF9"/>
    <w:pPr>
      <w:spacing w:before="240" w:after="200"/>
      <w:ind w:left="0"/>
    </w:pPr>
    <w:rPr>
      <w:rFonts w:asciiTheme="majorHAnsi" w:hAnsiTheme="majorHAnsi"/>
      <w:color w:val="45434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venu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trevenue@nt.gov.au"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B41E31-D3EB-421E-A558-C5C40AE5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4</TotalTime>
  <Pages>6</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CG-HI-011: What is a ‘new home’?</vt:lpstr>
    </vt:vector>
  </TitlesOfParts>
  <Company>TREASURY AND FINANCE</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CG-HI-011: What is a ‘new home’?</dc:title>
  <dc:creator>Department of Treasury and Finance</dc:creator>
  <cp:lastModifiedBy>Jessica Symonds</cp:lastModifiedBy>
  <cp:revision>6</cp:revision>
  <cp:lastPrinted>2019-07-29T01:45:00Z</cp:lastPrinted>
  <dcterms:created xsi:type="dcterms:W3CDTF">2022-06-30T01:04:00Z</dcterms:created>
  <dcterms:modified xsi:type="dcterms:W3CDTF">2022-06-30T07:22:00Z</dcterms:modified>
</cp:coreProperties>
</file>