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468" w:rsidRDefault="00CD3468" w:rsidP="00C27A0A">
      <w:pPr>
        <w:pStyle w:val="HeadingOne"/>
      </w:pPr>
      <w:permStart w:id="1781990112" w:edGrp="everyone"/>
      <w:permEnd w:id="1781990112"/>
    </w:p>
    <w:p w:rsidR="00CD3468" w:rsidRDefault="00CD3468" w:rsidP="00C27A0A">
      <w:pPr>
        <w:pStyle w:val="HeadingOne"/>
      </w:pPr>
    </w:p>
    <w:p w:rsidR="00CD3468" w:rsidRDefault="00CD3468" w:rsidP="00C27A0A">
      <w:pPr>
        <w:pStyle w:val="HeadingOne"/>
      </w:pPr>
    </w:p>
    <w:p w:rsidR="00CD3468" w:rsidRDefault="00CD3468" w:rsidP="00C27A0A">
      <w:pPr>
        <w:pStyle w:val="HeadingOne"/>
      </w:pPr>
      <w:r>
        <w:t>TERRITORY REVENUE OFFICE</w:t>
      </w:r>
    </w:p>
    <w:p w:rsidR="002546CB" w:rsidRPr="00C27A0A" w:rsidRDefault="00DE64A9" w:rsidP="00C27A0A">
      <w:pPr>
        <w:pStyle w:val="HeadingOne"/>
      </w:pPr>
      <w:r>
        <w:t>COMMISSIONER’S GUIDELINE</w:t>
      </w:r>
    </w:p>
    <w:p w:rsidR="00C27A0A" w:rsidRPr="00C27A0A" w:rsidRDefault="00E548D8" w:rsidP="00C27A0A">
      <w:pPr>
        <w:pStyle w:val="HeadingOne"/>
      </w:pPr>
      <w:r>
        <w:t>CG-HI-010: Purchasing a home subject to an existing lease</w:t>
      </w:r>
    </w:p>
    <w:p w:rsidR="00C27A0A" w:rsidRDefault="00C27A0A" w:rsidP="00C27A0A">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30"/>
        <w:gridCol w:w="1848"/>
        <w:gridCol w:w="1710"/>
        <w:gridCol w:w="1710"/>
      </w:tblGrid>
      <w:tr w:rsidR="00F65356" w:rsidRPr="00921603" w:rsidTr="00921603">
        <w:trPr>
          <w:jc w:val="center"/>
        </w:trPr>
        <w:tc>
          <w:tcPr>
            <w:tcW w:w="1030" w:type="dxa"/>
            <w:vMerge w:val="restart"/>
            <w:shd w:val="clear" w:color="auto" w:fill="auto"/>
          </w:tcPr>
          <w:p w:rsidR="00F65356" w:rsidRPr="00921603" w:rsidRDefault="00F65356" w:rsidP="00921603">
            <w:pPr>
              <w:jc w:val="center"/>
              <w:rPr>
                <w:b/>
                <w:sz w:val="18"/>
                <w:szCs w:val="18"/>
              </w:rPr>
            </w:pPr>
            <w:r w:rsidRPr="00921603">
              <w:rPr>
                <w:b/>
                <w:sz w:val="18"/>
                <w:szCs w:val="18"/>
              </w:rPr>
              <w:t>Version</w:t>
            </w:r>
          </w:p>
        </w:tc>
        <w:tc>
          <w:tcPr>
            <w:tcW w:w="1848" w:type="dxa"/>
            <w:vMerge w:val="restart"/>
            <w:tcBorders>
              <w:right w:val="single" w:sz="4" w:space="0" w:color="auto"/>
            </w:tcBorders>
            <w:shd w:val="clear" w:color="auto" w:fill="auto"/>
          </w:tcPr>
          <w:p w:rsidR="00F65356" w:rsidRPr="00921603" w:rsidRDefault="00F65356" w:rsidP="00921603">
            <w:pPr>
              <w:jc w:val="center"/>
              <w:rPr>
                <w:b/>
                <w:sz w:val="18"/>
                <w:szCs w:val="18"/>
              </w:rPr>
            </w:pPr>
            <w:r w:rsidRPr="00921603">
              <w:rPr>
                <w:b/>
                <w:sz w:val="18"/>
                <w:szCs w:val="18"/>
              </w:rPr>
              <w:t>Issued</w:t>
            </w:r>
          </w:p>
        </w:tc>
        <w:tc>
          <w:tcPr>
            <w:tcW w:w="3420" w:type="dxa"/>
            <w:gridSpan w:val="2"/>
            <w:tcBorders>
              <w:top w:val="single" w:sz="4" w:space="0" w:color="auto"/>
              <w:left w:val="single" w:sz="4" w:space="0" w:color="auto"/>
              <w:bottom w:val="nil"/>
              <w:right w:val="single" w:sz="4" w:space="0" w:color="auto"/>
            </w:tcBorders>
            <w:shd w:val="clear" w:color="auto" w:fill="auto"/>
          </w:tcPr>
          <w:p w:rsidR="00F65356" w:rsidRPr="00921603" w:rsidRDefault="00F65356" w:rsidP="00921603">
            <w:pPr>
              <w:jc w:val="center"/>
              <w:rPr>
                <w:b/>
                <w:sz w:val="18"/>
                <w:szCs w:val="18"/>
              </w:rPr>
            </w:pPr>
            <w:r w:rsidRPr="00921603">
              <w:rPr>
                <w:b/>
                <w:sz w:val="18"/>
                <w:szCs w:val="18"/>
              </w:rPr>
              <w:t>Dates of Effect</w:t>
            </w:r>
          </w:p>
        </w:tc>
      </w:tr>
      <w:tr w:rsidR="00F65356" w:rsidRPr="00921603" w:rsidTr="00921603">
        <w:trPr>
          <w:jc w:val="center"/>
        </w:trPr>
        <w:tc>
          <w:tcPr>
            <w:tcW w:w="1030" w:type="dxa"/>
            <w:vMerge/>
            <w:shd w:val="clear" w:color="auto" w:fill="auto"/>
          </w:tcPr>
          <w:p w:rsidR="00F65356" w:rsidRPr="00921603" w:rsidRDefault="00F65356" w:rsidP="00921603">
            <w:pPr>
              <w:jc w:val="center"/>
              <w:rPr>
                <w:sz w:val="18"/>
                <w:szCs w:val="18"/>
              </w:rPr>
            </w:pPr>
          </w:p>
        </w:tc>
        <w:tc>
          <w:tcPr>
            <w:tcW w:w="1848" w:type="dxa"/>
            <w:vMerge/>
            <w:tcBorders>
              <w:right w:val="single" w:sz="4" w:space="0" w:color="auto"/>
            </w:tcBorders>
            <w:shd w:val="clear" w:color="auto" w:fill="auto"/>
          </w:tcPr>
          <w:p w:rsidR="00F65356" w:rsidRPr="00921603" w:rsidRDefault="00F65356" w:rsidP="00921603">
            <w:pPr>
              <w:jc w:val="center"/>
              <w:rPr>
                <w:sz w:val="18"/>
                <w:szCs w:val="18"/>
              </w:rPr>
            </w:pPr>
          </w:p>
        </w:tc>
        <w:tc>
          <w:tcPr>
            <w:tcW w:w="1710" w:type="dxa"/>
            <w:tcBorders>
              <w:top w:val="nil"/>
              <w:left w:val="single" w:sz="4" w:space="0" w:color="auto"/>
              <w:bottom w:val="single" w:sz="4" w:space="0" w:color="auto"/>
              <w:right w:val="nil"/>
            </w:tcBorders>
            <w:shd w:val="clear" w:color="auto" w:fill="auto"/>
          </w:tcPr>
          <w:p w:rsidR="00F65356" w:rsidRPr="00921603" w:rsidRDefault="00F65356" w:rsidP="00AD2225">
            <w:pPr>
              <w:rPr>
                <w:b/>
                <w:sz w:val="18"/>
                <w:szCs w:val="18"/>
              </w:rPr>
            </w:pPr>
            <w:r w:rsidRPr="00921603">
              <w:rPr>
                <w:b/>
                <w:sz w:val="18"/>
                <w:szCs w:val="18"/>
              </w:rPr>
              <w:t>From:</w:t>
            </w:r>
          </w:p>
        </w:tc>
        <w:tc>
          <w:tcPr>
            <w:tcW w:w="1710" w:type="dxa"/>
            <w:tcBorders>
              <w:top w:val="nil"/>
              <w:left w:val="nil"/>
              <w:bottom w:val="single" w:sz="4" w:space="0" w:color="auto"/>
              <w:right w:val="single" w:sz="4" w:space="0" w:color="auto"/>
            </w:tcBorders>
            <w:shd w:val="clear" w:color="auto" w:fill="auto"/>
          </w:tcPr>
          <w:p w:rsidR="00F65356" w:rsidRPr="00921603" w:rsidRDefault="00F65356" w:rsidP="00AD2225">
            <w:pPr>
              <w:rPr>
                <w:b/>
                <w:sz w:val="18"/>
                <w:szCs w:val="18"/>
              </w:rPr>
            </w:pPr>
            <w:r w:rsidRPr="00921603">
              <w:rPr>
                <w:b/>
                <w:sz w:val="18"/>
                <w:szCs w:val="18"/>
              </w:rPr>
              <w:t>To: Current</w:t>
            </w:r>
          </w:p>
        </w:tc>
      </w:tr>
      <w:tr w:rsidR="00E548D8" w:rsidRPr="00921603" w:rsidTr="00921603">
        <w:trPr>
          <w:jc w:val="center"/>
        </w:trPr>
        <w:tc>
          <w:tcPr>
            <w:tcW w:w="1030" w:type="dxa"/>
            <w:shd w:val="clear" w:color="auto" w:fill="auto"/>
          </w:tcPr>
          <w:p w:rsidR="00E548D8" w:rsidRPr="00921603" w:rsidRDefault="00E548D8" w:rsidP="00921603">
            <w:pPr>
              <w:jc w:val="center"/>
              <w:rPr>
                <w:sz w:val="18"/>
                <w:szCs w:val="18"/>
              </w:rPr>
            </w:pPr>
            <w:r w:rsidRPr="00921603">
              <w:rPr>
                <w:sz w:val="18"/>
                <w:szCs w:val="18"/>
              </w:rPr>
              <w:t>1</w:t>
            </w:r>
          </w:p>
        </w:tc>
        <w:tc>
          <w:tcPr>
            <w:tcW w:w="1848" w:type="dxa"/>
            <w:shd w:val="clear" w:color="auto" w:fill="auto"/>
          </w:tcPr>
          <w:p w:rsidR="00E548D8" w:rsidRPr="00921603" w:rsidRDefault="00E548D8" w:rsidP="00921603">
            <w:pPr>
              <w:jc w:val="center"/>
              <w:rPr>
                <w:sz w:val="18"/>
                <w:szCs w:val="18"/>
              </w:rPr>
            </w:pPr>
            <w:r w:rsidRPr="00921603">
              <w:rPr>
                <w:sz w:val="18"/>
                <w:szCs w:val="18"/>
              </w:rPr>
              <w:t>28 August 2009</w:t>
            </w:r>
          </w:p>
        </w:tc>
        <w:tc>
          <w:tcPr>
            <w:tcW w:w="1710" w:type="dxa"/>
            <w:tcBorders>
              <w:top w:val="single" w:sz="4" w:space="0" w:color="auto"/>
              <w:bottom w:val="single" w:sz="4" w:space="0" w:color="auto"/>
            </w:tcBorders>
            <w:shd w:val="clear" w:color="auto" w:fill="auto"/>
          </w:tcPr>
          <w:p w:rsidR="00E548D8" w:rsidRPr="00921603" w:rsidRDefault="00E548D8" w:rsidP="00921603">
            <w:pPr>
              <w:jc w:val="center"/>
              <w:rPr>
                <w:sz w:val="18"/>
                <w:szCs w:val="18"/>
              </w:rPr>
            </w:pPr>
            <w:r w:rsidRPr="00921603">
              <w:rPr>
                <w:sz w:val="18"/>
                <w:szCs w:val="18"/>
              </w:rPr>
              <w:t>28 August 2009</w:t>
            </w:r>
          </w:p>
        </w:tc>
        <w:tc>
          <w:tcPr>
            <w:tcW w:w="1710" w:type="dxa"/>
            <w:tcBorders>
              <w:top w:val="single" w:sz="4" w:space="0" w:color="auto"/>
              <w:bottom w:val="single" w:sz="4" w:space="0" w:color="auto"/>
            </w:tcBorders>
            <w:shd w:val="clear" w:color="auto" w:fill="auto"/>
          </w:tcPr>
          <w:p w:rsidR="00E548D8" w:rsidRPr="00921603" w:rsidRDefault="00E548D8" w:rsidP="00921603">
            <w:pPr>
              <w:jc w:val="center"/>
              <w:rPr>
                <w:sz w:val="18"/>
                <w:szCs w:val="18"/>
              </w:rPr>
            </w:pPr>
            <w:r w:rsidRPr="00921603">
              <w:rPr>
                <w:sz w:val="18"/>
                <w:szCs w:val="18"/>
              </w:rPr>
              <w:t>3 May 2010</w:t>
            </w:r>
          </w:p>
        </w:tc>
      </w:tr>
      <w:tr w:rsidR="00E548D8" w:rsidRPr="00921603" w:rsidTr="00921603">
        <w:trPr>
          <w:jc w:val="center"/>
        </w:trPr>
        <w:tc>
          <w:tcPr>
            <w:tcW w:w="1030" w:type="dxa"/>
            <w:shd w:val="clear" w:color="auto" w:fill="auto"/>
          </w:tcPr>
          <w:p w:rsidR="00E548D8" w:rsidRPr="00921603" w:rsidRDefault="00E548D8" w:rsidP="00921603">
            <w:pPr>
              <w:jc w:val="center"/>
              <w:rPr>
                <w:sz w:val="18"/>
                <w:szCs w:val="18"/>
              </w:rPr>
            </w:pPr>
            <w:r w:rsidRPr="00921603">
              <w:rPr>
                <w:sz w:val="18"/>
                <w:szCs w:val="18"/>
              </w:rPr>
              <w:t>2</w:t>
            </w:r>
          </w:p>
        </w:tc>
        <w:tc>
          <w:tcPr>
            <w:tcW w:w="1848" w:type="dxa"/>
            <w:shd w:val="clear" w:color="auto" w:fill="auto"/>
          </w:tcPr>
          <w:p w:rsidR="00E548D8" w:rsidRPr="00921603" w:rsidRDefault="00E548D8" w:rsidP="00921603">
            <w:pPr>
              <w:jc w:val="center"/>
              <w:rPr>
                <w:sz w:val="18"/>
                <w:szCs w:val="18"/>
              </w:rPr>
            </w:pPr>
            <w:r w:rsidRPr="00921603">
              <w:rPr>
                <w:sz w:val="18"/>
                <w:szCs w:val="18"/>
              </w:rPr>
              <w:t>11 May 2010</w:t>
            </w:r>
          </w:p>
        </w:tc>
        <w:tc>
          <w:tcPr>
            <w:tcW w:w="1710" w:type="dxa"/>
            <w:tcBorders>
              <w:top w:val="single" w:sz="4" w:space="0" w:color="auto"/>
            </w:tcBorders>
            <w:shd w:val="clear" w:color="auto" w:fill="auto"/>
          </w:tcPr>
          <w:p w:rsidR="00E548D8" w:rsidRPr="00921603" w:rsidRDefault="00E548D8" w:rsidP="00921603">
            <w:pPr>
              <w:jc w:val="center"/>
              <w:rPr>
                <w:sz w:val="18"/>
                <w:szCs w:val="18"/>
              </w:rPr>
            </w:pPr>
            <w:r w:rsidRPr="00921603">
              <w:rPr>
                <w:sz w:val="18"/>
                <w:szCs w:val="18"/>
              </w:rPr>
              <w:t>4 May 2010</w:t>
            </w:r>
          </w:p>
        </w:tc>
        <w:tc>
          <w:tcPr>
            <w:tcW w:w="1710" w:type="dxa"/>
            <w:tcBorders>
              <w:top w:val="single" w:sz="4" w:space="0" w:color="auto"/>
            </w:tcBorders>
            <w:shd w:val="clear" w:color="auto" w:fill="auto"/>
          </w:tcPr>
          <w:p w:rsidR="00E548D8" w:rsidRPr="00921603" w:rsidRDefault="00E548D8" w:rsidP="00921603">
            <w:pPr>
              <w:jc w:val="center"/>
              <w:rPr>
                <w:sz w:val="18"/>
                <w:szCs w:val="18"/>
              </w:rPr>
            </w:pPr>
            <w:r w:rsidRPr="00921603">
              <w:rPr>
                <w:sz w:val="18"/>
                <w:szCs w:val="18"/>
              </w:rPr>
              <w:t>2 May 2011</w:t>
            </w:r>
          </w:p>
        </w:tc>
      </w:tr>
      <w:tr w:rsidR="00E548D8" w:rsidRPr="00921603" w:rsidTr="00921603">
        <w:trPr>
          <w:jc w:val="center"/>
        </w:trPr>
        <w:tc>
          <w:tcPr>
            <w:tcW w:w="1030" w:type="dxa"/>
            <w:shd w:val="clear" w:color="auto" w:fill="auto"/>
          </w:tcPr>
          <w:p w:rsidR="00E548D8" w:rsidRPr="00921603" w:rsidRDefault="00E548D8" w:rsidP="00921603">
            <w:pPr>
              <w:jc w:val="center"/>
              <w:rPr>
                <w:sz w:val="18"/>
                <w:szCs w:val="18"/>
              </w:rPr>
            </w:pPr>
            <w:r w:rsidRPr="00921603">
              <w:rPr>
                <w:sz w:val="18"/>
                <w:szCs w:val="18"/>
              </w:rPr>
              <w:t>3</w:t>
            </w:r>
          </w:p>
        </w:tc>
        <w:tc>
          <w:tcPr>
            <w:tcW w:w="1848" w:type="dxa"/>
            <w:shd w:val="clear" w:color="auto" w:fill="auto"/>
          </w:tcPr>
          <w:p w:rsidR="00E548D8" w:rsidRPr="00921603" w:rsidRDefault="00E548D8" w:rsidP="00921603">
            <w:pPr>
              <w:jc w:val="center"/>
              <w:rPr>
                <w:sz w:val="18"/>
                <w:szCs w:val="18"/>
              </w:rPr>
            </w:pPr>
            <w:r w:rsidRPr="00921603">
              <w:rPr>
                <w:sz w:val="18"/>
                <w:szCs w:val="18"/>
              </w:rPr>
              <w:t>3 May 2011</w:t>
            </w:r>
          </w:p>
        </w:tc>
        <w:tc>
          <w:tcPr>
            <w:tcW w:w="1710" w:type="dxa"/>
            <w:tcBorders>
              <w:top w:val="single" w:sz="4" w:space="0" w:color="auto"/>
              <w:bottom w:val="single" w:sz="4" w:space="0" w:color="auto"/>
            </w:tcBorders>
            <w:shd w:val="clear" w:color="auto" w:fill="auto"/>
          </w:tcPr>
          <w:p w:rsidR="00E548D8" w:rsidRPr="00921603" w:rsidRDefault="00E548D8" w:rsidP="00921603">
            <w:pPr>
              <w:jc w:val="center"/>
              <w:rPr>
                <w:sz w:val="18"/>
                <w:szCs w:val="18"/>
              </w:rPr>
            </w:pPr>
            <w:r w:rsidRPr="00921603">
              <w:rPr>
                <w:sz w:val="18"/>
                <w:szCs w:val="18"/>
              </w:rPr>
              <w:t>3 May 2011</w:t>
            </w:r>
          </w:p>
        </w:tc>
        <w:tc>
          <w:tcPr>
            <w:tcW w:w="1710" w:type="dxa"/>
            <w:tcBorders>
              <w:top w:val="single" w:sz="4" w:space="0" w:color="auto"/>
              <w:bottom w:val="single" w:sz="4" w:space="0" w:color="auto"/>
            </w:tcBorders>
            <w:shd w:val="clear" w:color="auto" w:fill="auto"/>
          </w:tcPr>
          <w:p w:rsidR="00E548D8" w:rsidRPr="00921603" w:rsidRDefault="00986D6E" w:rsidP="00921603">
            <w:pPr>
              <w:jc w:val="center"/>
              <w:rPr>
                <w:sz w:val="18"/>
                <w:szCs w:val="18"/>
              </w:rPr>
            </w:pPr>
            <w:r>
              <w:rPr>
                <w:sz w:val="18"/>
                <w:szCs w:val="18"/>
              </w:rPr>
              <w:t>3</w:t>
            </w:r>
            <w:r w:rsidR="00C36340">
              <w:rPr>
                <w:sz w:val="18"/>
                <w:szCs w:val="18"/>
              </w:rPr>
              <w:t xml:space="preserve"> December 2012</w:t>
            </w:r>
          </w:p>
        </w:tc>
      </w:tr>
      <w:tr w:rsidR="000C4D13" w:rsidRPr="00921603" w:rsidTr="008D6099">
        <w:trPr>
          <w:jc w:val="center"/>
        </w:trPr>
        <w:tc>
          <w:tcPr>
            <w:tcW w:w="1030" w:type="dxa"/>
            <w:shd w:val="clear" w:color="auto" w:fill="auto"/>
          </w:tcPr>
          <w:p w:rsidR="000C4D13" w:rsidRPr="00921603" w:rsidRDefault="000C4D13" w:rsidP="00921603">
            <w:pPr>
              <w:jc w:val="center"/>
              <w:rPr>
                <w:sz w:val="18"/>
                <w:szCs w:val="18"/>
              </w:rPr>
            </w:pPr>
            <w:r w:rsidRPr="00921603">
              <w:rPr>
                <w:sz w:val="18"/>
                <w:szCs w:val="18"/>
              </w:rPr>
              <w:t>4</w:t>
            </w:r>
          </w:p>
        </w:tc>
        <w:tc>
          <w:tcPr>
            <w:tcW w:w="1848" w:type="dxa"/>
            <w:shd w:val="clear" w:color="auto" w:fill="auto"/>
          </w:tcPr>
          <w:p w:rsidR="000C4D13" w:rsidRPr="00921603" w:rsidRDefault="00E96D94" w:rsidP="00921603">
            <w:pPr>
              <w:jc w:val="center"/>
              <w:rPr>
                <w:sz w:val="18"/>
                <w:szCs w:val="18"/>
              </w:rPr>
            </w:pPr>
            <w:r>
              <w:rPr>
                <w:sz w:val="18"/>
                <w:szCs w:val="18"/>
              </w:rPr>
              <w:t>6</w:t>
            </w:r>
            <w:r w:rsidR="009454C3">
              <w:rPr>
                <w:sz w:val="18"/>
                <w:szCs w:val="18"/>
              </w:rPr>
              <w:t xml:space="preserve"> </w:t>
            </w:r>
            <w:r w:rsidR="00C36340">
              <w:rPr>
                <w:sz w:val="18"/>
                <w:szCs w:val="18"/>
              </w:rPr>
              <w:t>December 2012</w:t>
            </w:r>
          </w:p>
        </w:tc>
        <w:tc>
          <w:tcPr>
            <w:tcW w:w="1710" w:type="dxa"/>
            <w:tcBorders>
              <w:top w:val="single" w:sz="4" w:space="0" w:color="auto"/>
              <w:bottom w:val="single" w:sz="4" w:space="0" w:color="auto"/>
            </w:tcBorders>
            <w:shd w:val="clear" w:color="auto" w:fill="auto"/>
          </w:tcPr>
          <w:p w:rsidR="000C4D13" w:rsidRPr="00921603" w:rsidRDefault="009454C3" w:rsidP="00921603">
            <w:pPr>
              <w:jc w:val="center"/>
              <w:rPr>
                <w:sz w:val="18"/>
                <w:szCs w:val="18"/>
              </w:rPr>
            </w:pPr>
            <w:r>
              <w:rPr>
                <w:sz w:val="18"/>
                <w:szCs w:val="18"/>
              </w:rPr>
              <w:t>4</w:t>
            </w:r>
            <w:r w:rsidR="00C36340">
              <w:rPr>
                <w:sz w:val="18"/>
                <w:szCs w:val="18"/>
              </w:rPr>
              <w:t xml:space="preserve"> December 2012</w:t>
            </w:r>
          </w:p>
        </w:tc>
        <w:tc>
          <w:tcPr>
            <w:tcW w:w="1710" w:type="dxa"/>
            <w:tcBorders>
              <w:top w:val="single" w:sz="4" w:space="0" w:color="auto"/>
              <w:bottom w:val="single" w:sz="4" w:space="0" w:color="auto"/>
            </w:tcBorders>
            <w:shd w:val="clear" w:color="auto" w:fill="auto"/>
          </w:tcPr>
          <w:p w:rsidR="000C4D13" w:rsidRPr="00921603" w:rsidRDefault="00753B30" w:rsidP="00921603">
            <w:pPr>
              <w:jc w:val="center"/>
              <w:rPr>
                <w:sz w:val="18"/>
                <w:szCs w:val="18"/>
              </w:rPr>
            </w:pPr>
            <w:r>
              <w:rPr>
                <w:sz w:val="18"/>
                <w:szCs w:val="18"/>
              </w:rPr>
              <w:t>27 April 2015</w:t>
            </w:r>
          </w:p>
        </w:tc>
      </w:tr>
      <w:tr w:rsidR="00753B30" w:rsidRPr="00921603" w:rsidTr="00077381">
        <w:trPr>
          <w:jc w:val="center"/>
        </w:trPr>
        <w:tc>
          <w:tcPr>
            <w:tcW w:w="1030" w:type="dxa"/>
            <w:shd w:val="clear" w:color="auto" w:fill="auto"/>
          </w:tcPr>
          <w:p w:rsidR="00753B30" w:rsidRPr="00921603" w:rsidRDefault="00753B30" w:rsidP="00921603">
            <w:pPr>
              <w:jc w:val="center"/>
              <w:rPr>
                <w:sz w:val="18"/>
                <w:szCs w:val="18"/>
              </w:rPr>
            </w:pPr>
            <w:r>
              <w:rPr>
                <w:sz w:val="18"/>
                <w:szCs w:val="18"/>
              </w:rPr>
              <w:t>5</w:t>
            </w:r>
          </w:p>
        </w:tc>
        <w:tc>
          <w:tcPr>
            <w:tcW w:w="1848" w:type="dxa"/>
            <w:shd w:val="clear" w:color="auto" w:fill="auto"/>
          </w:tcPr>
          <w:p w:rsidR="00753B30" w:rsidRDefault="00753B30" w:rsidP="00921603">
            <w:pPr>
              <w:jc w:val="center"/>
              <w:rPr>
                <w:sz w:val="18"/>
                <w:szCs w:val="18"/>
              </w:rPr>
            </w:pPr>
            <w:r>
              <w:rPr>
                <w:sz w:val="18"/>
                <w:szCs w:val="18"/>
              </w:rPr>
              <w:t>28 April 2015</w:t>
            </w:r>
          </w:p>
        </w:tc>
        <w:tc>
          <w:tcPr>
            <w:tcW w:w="1710" w:type="dxa"/>
            <w:tcBorders>
              <w:top w:val="single" w:sz="4" w:space="0" w:color="auto"/>
              <w:bottom w:val="single" w:sz="4" w:space="0" w:color="auto"/>
            </w:tcBorders>
            <w:shd w:val="clear" w:color="auto" w:fill="auto"/>
          </w:tcPr>
          <w:p w:rsidR="00753B30" w:rsidRDefault="00753B30" w:rsidP="00921603">
            <w:pPr>
              <w:jc w:val="center"/>
              <w:rPr>
                <w:sz w:val="18"/>
                <w:szCs w:val="18"/>
              </w:rPr>
            </w:pPr>
            <w:r>
              <w:rPr>
                <w:sz w:val="18"/>
                <w:szCs w:val="18"/>
              </w:rPr>
              <w:t>28 April 2015</w:t>
            </w:r>
          </w:p>
        </w:tc>
        <w:tc>
          <w:tcPr>
            <w:tcW w:w="1710" w:type="dxa"/>
            <w:tcBorders>
              <w:top w:val="single" w:sz="4" w:space="0" w:color="auto"/>
              <w:bottom w:val="single" w:sz="4" w:space="0" w:color="auto"/>
            </w:tcBorders>
            <w:shd w:val="clear" w:color="auto" w:fill="auto"/>
          </w:tcPr>
          <w:p w:rsidR="00753B30" w:rsidRPr="00921603" w:rsidDel="00753B30" w:rsidRDefault="00077381" w:rsidP="00921603">
            <w:pPr>
              <w:jc w:val="center"/>
              <w:rPr>
                <w:sz w:val="18"/>
                <w:szCs w:val="18"/>
              </w:rPr>
            </w:pPr>
            <w:r>
              <w:rPr>
                <w:sz w:val="18"/>
                <w:szCs w:val="18"/>
              </w:rPr>
              <w:t>23 May 2016</w:t>
            </w:r>
          </w:p>
        </w:tc>
      </w:tr>
      <w:tr w:rsidR="006B64D9" w:rsidRPr="00921603" w:rsidTr="00921603">
        <w:trPr>
          <w:jc w:val="center"/>
        </w:trPr>
        <w:tc>
          <w:tcPr>
            <w:tcW w:w="1030" w:type="dxa"/>
            <w:shd w:val="clear" w:color="auto" w:fill="auto"/>
          </w:tcPr>
          <w:p w:rsidR="006B64D9" w:rsidRDefault="006B64D9" w:rsidP="00921603">
            <w:pPr>
              <w:jc w:val="center"/>
              <w:rPr>
                <w:sz w:val="18"/>
                <w:szCs w:val="18"/>
              </w:rPr>
            </w:pPr>
            <w:r>
              <w:rPr>
                <w:sz w:val="18"/>
                <w:szCs w:val="18"/>
              </w:rPr>
              <w:t>6</w:t>
            </w:r>
          </w:p>
        </w:tc>
        <w:tc>
          <w:tcPr>
            <w:tcW w:w="1848" w:type="dxa"/>
            <w:shd w:val="clear" w:color="auto" w:fill="auto"/>
          </w:tcPr>
          <w:p w:rsidR="006B64D9" w:rsidRDefault="00077381" w:rsidP="00921603">
            <w:pPr>
              <w:jc w:val="center"/>
              <w:rPr>
                <w:sz w:val="18"/>
                <w:szCs w:val="18"/>
              </w:rPr>
            </w:pPr>
            <w:r>
              <w:rPr>
                <w:sz w:val="18"/>
                <w:szCs w:val="18"/>
              </w:rPr>
              <w:t>24 May 2016</w:t>
            </w:r>
          </w:p>
        </w:tc>
        <w:tc>
          <w:tcPr>
            <w:tcW w:w="1710" w:type="dxa"/>
            <w:tcBorders>
              <w:top w:val="single" w:sz="4" w:space="0" w:color="auto"/>
            </w:tcBorders>
            <w:shd w:val="clear" w:color="auto" w:fill="auto"/>
          </w:tcPr>
          <w:p w:rsidR="006B64D9" w:rsidRDefault="00077381" w:rsidP="00921603">
            <w:pPr>
              <w:jc w:val="center"/>
              <w:rPr>
                <w:sz w:val="18"/>
                <w:szCs w:val="18"/>
              </w:rPr>
            </w:pPr>
            <w:r>
              <w:rPr>
                <w:sz w:val="18"/>
                <w:szCs w:val="18"/>
              </w:rPr>
              <w:t>24 May 2016</w:t>
            </w:r>
          </w:p>
        </w:tc>
        <w:tc>
          <w:tcPr>
            <w:tcW w:w="1710" w:type="dxa"/>
            <w:tcBorders>
              <w:top w:val="single" w:sz="4" w:space="0" w:color="auto"/>
            </w:tcBorders>
            <w:shd w:val="clear" w:color="auto" w:fill="auto"/>
          </w:tcPr>
          <w:p w:rsidR="006B64D9" w:rsidDel="006B64D9" w:rsidRDefault="006B64D9" w:rsidP="00921603">
            <w:pPr>
              <w:jc w:val="center"/>
              <w:rPr>
                <w:sz w:val="18"/>
                <w:szCs w:val="18"/>
              </w:rPr>
            </w:pPr>
            <w:r>
              <w:rPr>
                <w:sz w:val="18"/>
                <w:szCs w:val="18"/>
              </w:rPr>
              <w:t>Current</w:t>
            </w:r>
          </w:p>
        </w:tc>
      </w:tr>
    </w:tbl>
    <w:p w:rsidR="00E548D8" w:rsidRDefault="00E548D8" w:rsidP="00E548D8">
      <w:pPr>
        <w:pStyle w:val="Heading2"/>
        <w:spacing w:after="120"/>
        <w:rPr>
          <w:bCs/>
          <w:szCs w:val="24"/>
        </w:rPr>
      </w:pPr>
    </w:p>
    <w:p w:rsidR="00E548D8" w:rsidRPr="00E1666A" w:rsidRDefault="00E548D8" w:rsidP="00E548D8">
      <w:pPr>
        <w:pStyle w:val="HeadingTwo"/>
      </w:pPr>
      <w:r w:rsidRPr="00E1666A">
        <w:t>Purpose</w:t>
      </w:r>
    </w:p>
    <w:p w:rsidR="00E548D8" w:rsidRDefault="00E548D8" w:rsidP="00E548D8">
      <w:pPr>
        <w:pStyle w:val="BlockText"/>
      </w:pPr>
      <w:r w:rsidRPr="00EC6F9E">
        <w:t xml:space="preserve">This Guideline explains </w:t>
      </w:r>
      <w:r>
        <w:t xml:space="preserve">a person’s eligibility for the </w:t>
      </w:r>
      <w:r w:rsidRPr="00EC6F9E">
        <w:t>first home owner grant (FHOG)</w:t>
      </w:r>
      <w:r w:rsidR="00497E22">
        <w:t xml:space="preserve"> and</w:t>
      </w:r>
      <w:r>
        <w:t xml:space="preserve"> </w:t>
      </w:r>
      <w:r w:rsidRPr="00EC6F9E">
        <w:t>the stamp duty</w:t>
      </w:r>
      <w:r w:rsidR="00EF3EAD">
        <w:t xml:space="preserve"> first home owner </w:t>
      </w:r>
      <w:r w:rsidR="00B771CA">
        <w:t>discount</w:t>
      </w:r>
      <w:r w:rsidR="00EF3EAD">
        <w:t xml:space="preserve"> (FHO</w:t>
      </w:r>
      <w:r w:rsidR="00B771CA">
        <w:t>D</w:t>
      </w:r>
      <w:r w:rsidR="00EF3EAD">
        <w:t>) and</w:t>
      </w:r>
      <w:r>
        <w:t xml:space="preserve"> senior, pensioner and carer concession (SPCC) </w:t>
      </w:r>
      <w:r w:rsidR="00497E22">
        <w:t>(c</w:t>
      </w:r>
      <w:r>
        <w:t xml:space="preserve">ollectively ‘the home incentive schemes’) </w:t>
      </w:r>
      <w:r w:rsidRPr="00EC6F9E">
        <w:t>whe</w:t>
      </w:r>
      <w:r>
        <w:t xml:space="preserve">n purchasing </w:t>
      </w:r>
      <w:r w:rsidRPr="00EC6F9E">
        <w:t>a home subject to an existing lease</w:t>
      </w:r>
      <w:r>
        <w:t>.</w:t>
      </w:r>
    </w:p>
    <w:p w:rsidR="006A0B3E" w:rsidRDefault="006A0B3E" w:rsidP="00E548D8">
      <w:pPr>
        <w:pStyle w:val="BlockText"/>
      </w:pPr>
      <w:r w:rsidRPr="006A0B3E">
        <w:t>Of note is that from 4 December 2012, the</w:t>
      </w:r>
      <w:r w:rsidR="00497E22">
        <w:t xml:space="preserve"> stamp duty principal place of residence rebate</w:t>
      </w:r>
      <w:r w:rsidRPr="006A0B3E">
        <w:t xml:space="preserve"> </w:t>
      </w:r>
      <w:r w:rsidR="00EF3EAD">
        <w:t xml:space="preserve">(PPRR) </w:t>
      </w:r>
      <w:r w:rsidRPr="006A0B3E">
        <w:t xml:space="preserve">is </w:t>
      </w:r>
      <w:r w:rsidR="00EF3EAD">
        <w:t>not</w:t>
      </w:r>
      <w:r w:rsidR="00EF3EAD" w:rsidRPr="006A0B3E">
        <w:t xml:space="preserve"> </w:t>
      </w:r>
      <w:r w:rsidRPr="006A0B3E">
        <w:t xml:space="preserve">available for the purchase of </w:t>
      </w:r>
      <w:r>
        <w:t>a ‘new home’</w:t>
      </w:r>
      <w:r w:rsidRPr="006A0B3E">
        <w:t xml:space="preserve"> or vacant land on which a </w:t>
      </w:r>
      <w:r>
        <w:t>‘</w:t>
      </w:r>
      <w:r w:rsidRPr="006A0B3E">
        <w:t>new home</w:t>
      </w:r>
      <w:r>
        <w:t>’</w:t>
      </w:r>
      <w:r w:rsidRPr="006A0B3E">
        <w:t xml:space="preserve"> will be built</w:t>
      </w:r>
      <w:r w:rsidR="00EF3EAD">
        <w:t xml:space="preserve"> if that home has been occupied by a person other than the purchaser</w:t>
      </w:r>
      <w:r w:rsidRPr="006A0B3E">
        <w:t>. Accordingly, if the home has been leased then the PPRR will not be available.  Refer</w:t>
      </w:r>
      <w:r>
        <w:t xml:space="preserve"> to Commissioner’s Guideline </w:t>
      </w:r>
      <w:hyperlink r:id="rId10" w:tooltip="Web link to CG-HI-011" w:history="1">
        <w:r w:rsidRPr="000A0353">
          <w:rPr>
            <w:rStyle w:val="Hyperlink"/>
          </w:rPr>
          <w:t>CG-HI-011</w:t>
        </w:r>
      </w:hyperlink>
      <w:r w:rsidRPr="000A0353">
        <w:t xml:space="preserve">: </w:t>
      </w:r>
      <w:r w:rsidRPr="000A0353">
        <w:rPr>
          <w:i/>
        </w:rPr>
        <w:t>What is a new home</w:t>
      </w:r>
      <w:r>
        <w:t xml:space="preserve"> for further information.</w:t>
      </w:r>
      <w:r w:rsidR="00EF3EAD">
        <w:t xml:space="preserve"> </w:t>
      </w:r>
    </w:p>
    <w:p w:rsidR="00E548D8" w:rsidRDefault="00E548D8" w:rsidP="00E548D8">
      <w:pPr>
        <w:pStyle w:val="HeadingTwo"/>
      </w:pPr>
      <w:r>
        <w:t>What is a lease?</w:t>
      </w:r>
    </w:p>
    <w:p w:rsidR="00E548D8" w:rsidRDefault="00E548D8" w:rsidP="00E548D8">
      <w:pPr>
        <w:pStyle w:val="BlockText"/>
      </w:pPr>
      <w:r w:rsidRPr="00EC6F9E">
        <w:t>A lease is an agreement under which the owner gives up possession and use</w:t>
      </w:r>
      <w:r>
        <w:t xml:space="preserve"> </w:t>
      </w:r>
      <w:r w:rsidRPr="00EC6F9E">
        <w:t>of their property for valuable consideration for a definite period</w:t>
      </w:r>
      <w:r>
        <w:t xml:space="preserve">. At </w:t>
      </w:r>
      <w:r w:rsidRPr="00EC6F9E">
        <w:t xml:space="preserve">the end of </w:t>
      </w:r>
      <w:r>
        <w:t>the term, t</w:t>
      </w:r>
      <w:r w:rsidRPr="00EC6F9E">
        <w:t>he owner has an abso</w:t>
      </w:r>
      <w:r>
        <w:t xml:space="preserve">lute right to take control and occupation </w:t>
      </w:r>
      <w:r w:rsidRPr="00EC6F9E">
        <w:t>of the property</w:t>
      </w:r>
      <w:r>
        <w:t>.</w:t>
      </w:r>
    </w:p>
    <w:p w:rsidR="00E548D8" w:rsidRPr="00733450" w:rsidRDefault="00E548D8" w:rsidP="00E548D8">
      <w:pPr>
        <w:pStyle w:val="HeadingTwo"/>
      </w:pPr>
      <w:r>
        <w:t>Objective of the home incentive schemes</w:t>
      </w:r>
    </w:p>
    <w:p w:rsidR="00E548D8" w:rsidRDefault="00E548D8" w:rsidP="00E548D8">
      <w:pPr>
        <w:pStyle w:val="BlockText"/>
      </w:pPr>
      <w:r w:rsidRPr="00462558">
        <w:t xml:space="preserve">The </w:t>
      </w:r>
      <w:r>
        <w:t xml:space="preserve">object </w:t>
      </w:r>
      <w:r w:rsidRPr="00462558">
        <w:t>of the home incentive schemes</w:t>
      </w:r>
      <w:r>
        <w:t xml:space="preserve"> </w:t>
      </w:r>
      <w:r w:rsidRPr="00462558">
        <w:t>is to encourage home ownership by providing assistance in the form of a grant for the purchase or construction of a home or a reduction of the stamp duty payable on the purchase of land on which there is or will be a home</w:t>
      </w:r>
      <w:r>
        <w:t>. For this purpose, it is a requirement that the home be occupied as the person’s principal place of residence within a reasonable period after the purchase or construction of the home is completed.</w:t>
      </w:r>
    </w:p>
    <w:p w:rsidR="00E548D8" w:rsidRPr="00DE541C" w:rsidRDefault="00E548D8" w:rsidP="00E548D8">
      <w:pPr>
        <w:pStyle w:val="HeadingTwo"/>
      </w:pPr>
      <w:r w:rsidRPr="00DE541C">
        <w:t xml:space="preserve">Eligibility for </w:t>
      </w:r>
      <w:r>
        <w:t>the home incentive schemes</w:t>
      </w:r>
    </w:p>
    <w:p w:rsidR="00E548D8" w:rsidRDefault="00E548D8" w:rsidP="00E548D8">
      <w:pPr>
        <w:pStyle w:val="BlockText"/>
      </w:pPr>
      <w:r>
        <w:t>For the purchase of a home, applicants must:</w:t>
      </w:r>
    </w:p>
    <w:p w:rsidR="00E548D8" w:rsidRDefault="00E548D8" w:rsidP="00E548D8">
      <w:pPr>
        <w:pStyle w:val="BlockText"/>
        <w:numPr>
          <w:ilvl w:val="1"/>
          <w:numId w:val="3"/>
        </w:numPr>
      </w:pPr>
      <w:r>
        <w:t>have a</w:t>
      </w:r>
      <w:r w:rsidRPr="009A1870">
        <w:t xml:space="preserve"> right</w:t>
      </w:r>
      <w:r>
        <w:t xml:space="preserve"> to take possession of the home within 12 months after the settlement date (i.e. the date the purchasers became the owner of the property); and </w:t>
      </w:r>
    </w:p>
    <w:p w:rsidR="00E548D8" w:rsidRDefault="00753B30" w:rsidP="00E548D8">
      <w:pPr>
        <w:pStyle w:val="BlockText"/>
        <w:numPr>
          <w:ilvl w:val="1"/>
          <w:numId w:val="3"/>
        </w:numPr>
      </w:pPr>
      <w:r>
        <w:lastRenderedPageBreak/>
        <w:t xml:space="preserve">at least one applicant must </w:t>
      </w:r>
      <w:r w:rsidR="00E548D8">
        <w:t>commence occupation of the home as their principal place of residence for a continuous period of at least six months within 12 months after that date</w:t>
      </w:r>
      <w:r>
        <w:t xml:space="preserve"> (for the SPCC, the occupying applicant must be at least 60 years old or the holder of a Northern Territory Pensioner and Carer Concession card)</w:t>
      </w:r>
      <w:r w:rsidR="00E548D8">
        <w:t>.</w:t>
      </w:r>
      <w:r w:rsidR="00E548D8" w:rsidRPr="00D004FA">
        <w:rPr>
          <w:rStyle w:val="FootnoteReference"/>
        </w:rPr>
        <w:footnoteReference w:id="1"/>
      </w:r>
    </w:p>
    <w:p w:rsidR="00E548D8" w:rsidRPr="00E548D8" w:rsidRDefault="00E548D8" w:rsidP="00E548D8">
      <w:pPr>
        <w:pStyle w:val="BlockText"/>
        <w:rPr>
          <w:szCs w:val="22"/>
        </w:rPr>
      </w:pPr>
      <w:r>
        <w:t>The Commissioner may extend the period for taking possession of the home or land, extend the period for commencing occupation of the home, shorten the period for continuous occupation of the home or exempt a</w:t>
      </w:r>
      <w:r w:rsidR="00753B30">
        <w:t>ll</w:t>
      </w:r>
      <w:r>
        <w:t xml:space="preserve"> applicant from the occupancy requirements.</w:t>
      </w:r>
      <w:r>
        <w:rPr>
          <w:rStyle w:val="FootnoteReference"/>
          <w:i/>
        </w:rPr>
        <w:footnoteReference w:id="2"/>
      </w:r>
      <w:r w:rsidR="0081474C">
        <w:br/>
      </w:r>
      <w:r>
        <w:t xml:space="preserve">For further details, refer to Commissioner’s Guideline </w:t>
      </w:r>
      <w:hyperlink r:id="rId11" w:tooltip="Web link to CG-HI-003" w:history="1">
        <w:r w:rsidRPr="00E548D8">
          <w:rPr>
            <w:rStyle w:val="Hyperlink"/>
            <w:szCs w:val="22"/>
          </w:rPr>
          <w:t>CG-HI-003</w:t>
        </w:r>
      </w:hyperlink>
      <w:r w:rsidRPr="00E548D8">
        <w:rPr>
          <w:szCs w:val="22"/>
        </w:rPr>
        <w:t xml:space="preserve">: </w:t>
      </w:r>
      <w:r w:rsidRPr="00E548D8">
        <w:rPr>
          <w:i/>
          <w:szCs w:val="22"/>
        </w:rPr>
        <w:t>Commissioner’s discretion to exempt or vary compliance with the eligibility criteria</w:t>
      </w:r>
      <w:r w:rsidRPr="00E548D8">
        <w:rPr>
          <w:szCs w:val="22"/>
        </w:rPr>
        <w:t>.</w:t>
      </w:r>
    </w:p>
    <w:p w:rsidR="00E548D8" w:rsidRPr="00DF48E3" w:rsidRDefault="00E548D8" w:rsidP="00E548D8">
      <w:pPr>
        <w:pStyle w:val="HeadingThree"/>
      </w:pPr>
      <w:r w:rsidRPr="00DF48E3">
        <w:t xml:space="preserve">Implications of </w:t>
      </w:r>
      <w:r>
        <w:t>acquiring</w:t>
      </w:r>
      <w:r w:rsidRPr="00DF48E3">
        <w:t xml:space="preserve"> a </w:t>
      </w:r>
      <w:r w:rsidRPr="00416ED6">
        <w:t>home</w:t>
      </w:r>
      <w:r w:rsidRPr="00DF48E3">
        <w:t xml:space="preserve"> subject to an existing lease</w:t>
      </w:r>
    </w:p>
    <w:p w:rsidR="00E548D8" w:rsidRDefault="00E548D8" w:rsidP="00E548D8">
      <w:pPr>
        <w:pStyle w:val="BlockText"/>
      </w:pPr>
      <w:r>
        <w:t>The purchase of a home subject to an existing lease can affect the eligibility of the purchaser for the home incentive schemes and the time for commencing occupation of the home as follows.</w:t>
      </w:r>
    </w:p>
    <w:p w:rsidR="00E548D8" w:rsidRDefault="00E548D8" w:rsidP="00E548D8">
      <w:pPr>
        <w:pStyle w:val="HeadingFour"/>
      </w:pPr>
      <w:r>
        <w:t>Lease for 12 months or more</w:t>
      </w:r>
    </w:p>
    <w:p w:rsidR="00E548D8" w:rsidRDefault="00E548D8" w:rsidP="00E548D8">
      <w:pPr>
        <w:pStyle w:val="BlockText"/>
      </w:pPr>
      <w:r>
        <w:t xml:space="preserve">If a home is purchased subject to </w:t>
      </w:r>
      <w:r w:rsidRPr="00434F31">
        <w:t xml:space="preserve">an existing lease </w:t>
      </w:r>
      <w:r>
        <w:t>with an unexpired term of 12 months or more,</w:t>
      </w:r>
      <w:r w:rsidRPr="002C6C4B">
        <w:t xml:space="preserve"> the purchaser is not eligible </w:t>
      </w:r>
      <w:r>
        <w:t>under</w:t>
      </w:r>
      <w:r w:rsidRPr="002C6C4B">
        <w:t xml:space="preserve"> </w:t>
      </w:r>
      <w:r>
        <w:t>the home incentive schemes. This is because the purchaser</w:t>
      </w:r>
      <w:r>
        <w:rPr>
          <w:b/>
        </w:rPr>
        <w:t xml:space="preserve"> </w:t>
      </w:r>
      <w:r w:rsidRPr="002C6C4B">
        <w:t>do</w:t>
      </w:r>
      <w:r>
        <w:t xml:space="preserve">es </w:t>
      </w:r>
      <w:r w:rsidRPr="002C6C4B">
        <w:t>n</w:t>
      </w:r>
      <w:r>
        <w:t>o</w:t>
      </w:r>
      <w:r w:rsidRPr="002C6C4B">
        <w:t xml:space="preserve">t have </w:t>
      </w:r>
      <w:r>
        <w:t xml:space="preserve">a </w:t>
      </w:r>
      <w:r w:rsidRPr="002C6C4B">
        <w:t xml:space="preserve">right to </w:t>
      </w:r>
      <w:r>
        <w:t xml:space="preserve">take occupation of the home within the required 12 month period after the settlement date unless the lease is terminated earlier or the Commissioner extends the period for commencing occupation.  </w:t>
      </w:r>
    </w:p>
    <w:p w:rsidR="00E548D8" w:rsidRDefault="00E548D8" w:rsidP="00E548D8">
      <w:pPr>
        <w:pStyle w:val="BlockText"/>
      </w:pPr>
      <w:r>
        <w:t>As the home incentive schemes contemplate purchasers occupying the home as their principal place of residence within a reasonable period after purchasing it, an extension to take possession of the home would only be granted in very limited circumstances where it is purchased subject to a lease of 12 months or more.</w:t>
      </w:r>
    </w:p>
    <w:p w:rsidR="002B67E3" w:rsidRDefault="00E548D8" w:rsidP="008C5EE9">
      <w:pPr>
        <w:pStyle w:val="ExampleBox"/>
        <w:jc w:val="both"/>
      </w:pPr>
      <w:r w:rsidRPr="00E548D8">
        <w:t>Bill and Mary entered into a contract on 1 April 2011</w:t>
      </w:r>
      <w:r w:rsidR="00CD3468">
        <w:t>,</w:t>
      </w:r>
      <w:r w:rsidRPr="00E548D8">
        <w:t xml:space="preserve"> to purchase a home that was subject to an existing lease that expires on 1 December 2012. Settlement (the date that Bill and Mary became the owners of the home) occurred on 1 July 2011.</w:t>
      </w:r>
    </w:p>
    <w:p w:rsidR="00E548D8" w:rsidRDefault="00E548D8" w:rsidP="008C5EE9">
      <w:pPr>
        <w:pStyle w:val="ExampleBox"/>
        <w:jc w:val="both"/>
      </w:pPr>
      <w:r w:rsidRPr="00E548D8">
        <w:t>Bill and Mary are not eligible for the home incentive schemes as they cannot commence occupation within the required 12 month period after the settlement date unless the lease is terminated earlier or the Commissioner extends the period for taking possession of the home.</w:t>
      </w:r>
    </w:p>
    <w:p w:rsidR="00E548D8" w:rsidRDefault="00E548D8" w:rsidP="0081474C">
      <w:pPr>
        <w:pStyle w:val="HeadingFour"/>
      </w:pPr>
      <w:r>
        <w:t>Lease for less than 12 m</w:t>
      </w:r>
      <w:r w:rsidRPr="002B67E3">
        <w:t>o</w:t>
      </w:r>
      <w:r>
        <w:t xml:space="preserve">nths </w:t>
      </w:r>
    </w:p>
    <w:p w:rsidR="00E548D8" w:rsidRDefault="00E548D8" w:rsidP="00E548D8">
      <w:pPr>
        <w:pStyle w:val="BlockText"/>
      </w:pPr>
      <w:r>
        <w:t>Where a home is purchased subject to an existing lease, with an unexpired term of less</w:t>
      </w:r>
      <w:r w:rsidRPr="004509CD">
        <w:rPr>
          <w:b/>
        </w:rPr>
        <w:t xml:space="preserve"> </w:t>
      </w:r>
      <w:r>
        <w:t>than 12 months after the settlement date, the purchaser must commence occupation of the home within 12 months after the date the lease expires or is terminated. This is unless the period for commencing occupation is extended by the Commissioner.</w:t>
      </w:r>
    </w:p>
    <w:p w:rsidR="002B67E3" w:rsidRPr="00190127" w:rsidRDefault="002B67E3" w:rsidP="008C5EE9">
      <w:pPr>
        <w:pStyle w:val="ExampleBox"/>
        <w:jc w:val="both"/>
      </w:pPr>
      <w:r w:rsidRPr="00190127">
        <w:t>Bill and Mary entered into a contract on 1 May 201</w:t>
      </w:r>
      <w:r>
        <w:t>1</w:t>
      </w:r>
      <w:r w:rsidR="00CD3468">
        <w:t>,</w:t>
      </w:r>
      <w:r w:rsidRPr="00190127">
        <w:t xml:space="preserve"> to purchase a home that was subject to an existing lease that expires on 30 September 201</w:t>
      </w:r>
      <w:r>
        <w:t>1</w:t>
      </w:r>
      <w:r w:rsidRPr="00190127">
        <w:t>. Settlement occurred on 1 June 201</w:t>
      </w:r>
      <w:r>
        <w:t>1</w:t>
      </w:r>
      <w:r w:rsidRPr="00190127">
        <w:t xml:space="preserve">. </w:t>
      </w:r>
    </w:p>
    <w:p w:rsidR="00E548D8" w:rsidRDefault="002B67E3" w:rsidP="008C5EE9">
      <w:pPr>
        <w:pStyle w:val="ExampleBox"/>
        <w:jc w:val="both"/>
      </w:pPr>
      <w:r w:rsidRPr="00190127">
        <w:t xml:space="preserve">Bill and Mary are eligible for </w:t>
      </w:r>
      <w:r>
        <w:t>one of the</w:t>
      </w:r>
      <w:r w:rsidRPr="00190127">
        <w:t xml:space="preserve"> home incentive scheme</w:t>
      </w:r>
      <w:r>
        <w:t>s</w:t>
      </w:r>
      <w:r w:rsidRPr="00190127">
        <w:t xml:space="preserve"> provided they commence occupation of the home within 12 months after the expiry of the lease on 30 September 201</w:t>
      </w:r>
      <w:r>
        <w:t>1</w:t>
      </w:r>
      <w:r w:rsidRPr="00190127">
        <w:t xml:space="preserve">. </w:t>
      </w:r>
      <w:r>
        <w:t>T</w:t>
      </w:r>
      <w:r w:rsidRPr="00190127">
        <w:t xml:space="preserve">hey </w:t>
      </w:r>
      <w:r>
        <w:t xml:space="preserve">have a right to take possession of the home on 1 October 2011 and </w:t>
      </w:r>
      <w:r w:rsidRPr="00190127">
        <w:t xml:space="preserve">must commence occupation of the home as their principal place of residence before </w:t>
      </w:r>
      <w:r>
        <w:t xml:space="preserve">1 October </w:t>
      </w:r>
      <w:r w:rsidRPr="00190127">
        <w:t>201</w:t>
      </w:r>
      <w:r>
        <w:t>2</w:t>
      </w:r>
      <w:r w:rsidRPr="00190127">
        <w:t xml:space="preserve"> unless that date is extended by the Commissioner.</w:t>
      </w:r>
    </w:p>
    <w:p w:rsidR="00E548D8" w:rsidRDefault="00E548D8" w:rsidP="0081474C">
      <w:pPr>
        <w:pStyle w:val="HeadingThree"/>
        <w:rPr>
          <w:u w:val="single"/>
        </w:rPr>
      </w:pPr>
      <w:r>
        <w:lastRenderedPageBreak/>
        <w:t>Home purchased with vacant possession</w:t>
      </w:r>
    </w:p>
    <w:p w:rsidR="00E548D8" w:rsidRDefault="00E548D8" w:rsidP="002B67E3">
      <w:pPr>
        <w:pStyle w:val="BlockText"/>
      </w:pPr>
      <w:r w:rsidRPr="0010589A">
        <w:t xml:space="preserve">For completeness, if </w:t>
      </w:r>
      <w:r>
        <w:t>a home</w:t>
      </w:r>
      <w:r w:rsidRPr="0010589A">
        <w:t xml:space="preserve"> is purchased with vacant possession</w:t>
      </w:r>
      <w:r>
        <w:t xml:space="preserve"> (i.e. not subject to a lease)</w:t>
      </w:r>
      <w:r w:rsidRPr="0010589A">
        <w:t>, the purchaser has until 12 months after the settlement date to commence occupation of the home.</w:t>
      </w:r>
    </w:p>
    <w:p w:rsidR="002B67E3" w:rsidRDefault="002B67E3" w:rsidP="008C5EE9">
      <w:pPr>
        <w:pStyle w:val="ExampleBox"/>
        <w:jc w:val="both"/>
      </w:pPr>
      <w:r w:rsidRPr="00190127">
        <w:t>Bill and Mary entered into a contract on 1 May 201</w:t>
      </w:r>
      <w:r>
        <w:t>1</w:t>
      </w:r>
      <w:r w:rsidR="00CD3468">
        <w:t>,</w:t>
      </w:r>
      <w:r w:rsidRPr="00190127">
        <w:t xml:space="preserve"> to purchase a home. Settlement occurred with vacant possession on 1 June 201</w:t>
      </w:r>
      <w:r>
        <w:t>1</w:t>
      </w:r>
      <w:r w:rsidRPr="00190127">
        <w:t xml:space="preserve">. Bill </w:t>
      </w:r>
      <w:r w:rsidR="00753B30">
        <w:t>or</w:t>
      </w:r>
      <w:r w:rsidR="00753B30" w:rsidRPr="00190127">
        <w:t xml:space="preserve"> </w:t>
      </w:r>
      <w:r w:rsidRPr="00190127">
        <w:t>Mary must commence occupation of the home as their principal place of residence b</w:t>
      </w:r>
      <w:r>
        <w:t>efore</w:t>
      </w:r>
      <w:r w:rsidRPr="00190127">
        <w:t xml:space="preserve"> </w:t>
      </w:r>
      <w:r>
        <w:t>1</w:t>
      </w:r>
      <w:r w:rsidRPr="00190127">
        <w:t> June 201</w:t>
      </w:r>
      <w:r>
        <w:t>2</w:t>
      </w:r>
      <w:r w:rsidR="00CD3468">
        <w:t>,</w:t>
      </w:r>
      <w:r w:rsidRPr="00190127">
        <w:t xml:space="preserve"> unless that date is extended by the Commissioner</w:t>
      </w:r>
      <w:r w:rsidR="008C5EE9">
        <w:t>.</w:t>
      </w:r>
    </w:p>
    <w:p w:rsidR="006034B6" w:rsidRDefault="00513926" w:rsidP="006034B6">
      <w:pPr>
        <w:pStyle w:val="HeadingTwo"/>
      </w:pPr>
      <w:r>
        <w:t>Commissioner’s Guidelines</w:t>
      </w:r>
    </w:p>
    <w:p w:rsidR="00513926" w:rsidRPr="002D6D82" w:rsidRDefault="00513926" w:rsidP="00513926">
      <w:pPr>
        <w:pStyle w:val="BlockText"/>
      </w:pPr>
      <w:r w:rsidRPr="002D6D82">
        <w:t>Co</w:t>
      </w:r>
      <w:r>
        <w:t>mmissioner’s Guideline</w:t>
      </w:r>
      <w:r w:rsidR="00CD3468">
        <w:rPr>
          <w:rStyle w:val="Hyperlink"/>
        </w:rPr>
        <w:t xml:space="preserve"> </w:t>
      </w:r>
      <w:hyperlink r:id="rId12" w:history="1">
        <w:r w:rsidR="00CD3468" w:rsidRPr="00CD3468">
          <w:rPr>
            <w:rStyle w:val="Hyperlink"/>
          </w:rPr>
          <w:t>CG-GEN-001</w:t>
        </w:r>
      </w:hyperlink>
      <w:r w:rsidRPr="002D6D82">
        <w:t>, which sets out information on the revenue publication system, is incorporated into and is to be read as one with this Guideline.</w:t>
      </w:r>
      <w:r>
        <w:t xml:space="preserve"> </w:t>
      </w:r>
      <w:r w:rsidRPr="00987211">
        <w:t xml:space="preserve">All Circulars and Guidelines are available from </w:t>
      </w:r>
      <w:r w:rsidR="00196C1B">
        <w:t xml:space="preserve">the </w:t>
      </w:r>
      <w:r w:rsidRPr="00987211">
        <w:t>TRO website.</w:t>
      </w:r>
    </w:p>
    <w:p w:rsidR="00F65356" w:rsidRDefault="00F65356" w:rsidP="00F65356">
      <w:pPr>
        <w:pStyle w:val="HeadingTwo"/>
      </w:pPr>
      <w:r>
        <w:t>Date of effect</w:t>
      </w:r>
    </w:p>
    <w:p w:rsidR="00F65356" w:rsidRDefault="00F65356" w:rsidP="00E96D94">
      <w:pPr>
        <w:pStyle w:val="BlockText"/>
        <w:tabs>
          <w:tab w:val="clear" w:pos="567"/>
        </w:tabs>
      </w:pPr>
      <w:r>
        <w:t>This version of the Gu</w:t>
      </w:r>
      <w:r w:rsidR="002B67E3">
        <w:t>ideline takes effect from</w:t>
      </w:r>
      <w:r w:rsidR="00C36340">
        <w:t xml:space="preserve"> </w:t>
      </w:r>
      <w:r w:rsidR="00077381">
        <w:t>24 May 2016</w:t>
      </w:r>
      <w:r w:rsidR="002B67E3">
        <w:t>.</w:t>
      </w:r>
    </w:p>
    <w:p w:rsidR="006034B6" w:rsidRDefault="006034B6" w:rsidP="006034B6"/>
    <w:p w:rsidR="002B67E3" w:rsidRDefault="002B67E3" w:rsidP="006034B6"/>
    <w:p w:rsidR="00364D5F" w:rsidRDefault="005534D1" w:rsidP="006034B6">
      <w:r>
        <w:rPr>
          <w:noProof/>
        </w:rPr>
        <w:drawing>
          <wp:inline distT="0" distB="0" distL="0" distR="0" wp14:anchorId="0857CDFD" wp14:editId="2B86163D">
            <wp:extent cx="1847850" cy="352425"/>
            <wp:effectExtent l="0" t="0" r="0" b="9525"/>
            <wp:docPr id="1" name="Picture 4" descr="Grant Parsons electronic signature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nt Parsons electronic signature4.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7850" cy="352425"/>
                    </a:xfrm>
                    <a:prstGeom prst="rect">
                      <a:avLst/>
                    </a:prstGeom>
                    <a:noFill/>
                    <a:ln>
                      <a:noFill/>
                    </a:ln>
                  </pic:spPr>
                </pic:pic>
              </a:graphicData>
            </a:graphic>
          </wp:inline>
        </w:drawing>
      </w:r>
    </w:p>
    <w:p w:rsidR="00713810" w:rsidRDefault="00713810" w:rsidP="006034B6"/>
    <w:p w:rsidR="00713810" w:rsidRDefault="00FA2CBB" w:rsidP="006034B6">
      <w:r>
        <w:t>Grant Parsons</w:t>
      </w:r>
    </w:p>
    <w:p w:rsidR="006034B6" w:rsidRPr="00713810" w:rsidRDefault="00713810" w:rsidP="006034B6">
      <w:pPr>
        <w:rPr>
          <w:b/>
        </w:rPr>
      </w:pPr>
      <w:r w:rsidRPr="00713810">
        <w:rPr>
          <w:b/>
        </w:rPr>
        <w:t>COMMISSIONER OF TERRITORY REVENUE</w:t>
      </w:r>
    </w:p>
    <w:p w:rsidR="006034B6" w:rsidRDefault="006034B6" w:rsidP="006034B6"/>
    <w:p w:rsidR="006034B6" w:rsidRDefault="006034B6" w:rsidP="006034B6">
      <w:r>
        <w:t>Date of Issue:</w:t>
      </w:r>
      <w:r w:rsidR="00F92AC6">
        <w:t xml:space="preserve"> </w:t>
      </w:r>
      <w:r w:rsidR="00C36340">
        <w:t xml:space="preserve"> </w:t>
      </w:r>
      <w:r w:rsidR="00077381">
        <w:t>24 May 2016</w:t>
      </w:r>
    </w:p>
    <w:p w:rsidR="006034B6" w:rsidRDefault="006034B6" w:rsidP="006034B6"/>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927"/>
        <w:gridCol w:w="4927"/>
      </w:tblGrid>
      <w:tr w:rsidR="006034B6" w:rsidRPr="00921603" w:rsidTr="00921603">
        <w:tc>
          <w:tcPr>
            <w:tcW w:w="9854" w:type="dxa"/>
            <w:gridSpan w:val="2"/>
            <w:shd w:val="clear" w:color="auto" w:fill="auto"/>
          </w:tcPr>
          <w:p w:rsidR="006034B6" w:rsidRPr="00921603" w:rsidRDefault="006034B6" w:rsidP="006034B6">
            <w:pPr>
              <w:rPr>
                <w:sz w:val="20"/>
              </w:rPr>
            </w:pPr>
            <w:r w:rsidRPr="00921603">
              <w:rPr>
                <w:sz w:val="20"/>
              </w:rPr>
              <w:t>For further information please contact the Territory Revenue Office:</w:t>
            </w:r>
          </w:p>
        </w:tc>
      </w:tr>
      <w:tr w:rsidR="006034B6" w:rsidRPr="00921603" w:rsidTr="00921603">
        <w:tc>
          <w:tcPr>
            <w:tcW w:w="4927" w:type="dxa"/>
            <w:shd w:val="clear" w:color="auto" w:fill="auto"/>
          </w:tcPr>
          <w:p w:rsidR="006034B6" w:rsidRPr="00921603" w:rsidRDefault="006034B6" w:rsidP="006034B6">
            <w:pPr>
              <w:rPr>
                <w:sz w:val="20"/>
              </w:rPr>
            </w:pPr>
            <w:r w:rsidRPr="00921603">
              <w:rPr>
                <w:sz w:val="20"/>
              </w:rPr>
              <w:t>GPO Box 1</w:t>
            </w:r>
            <w:r w:rsidR="00FA333E">
              <w:rPr>
                <w:sz w:val="20"/>
              </w:rPr>
              <w:t>97</w:t>
            </w:r>
            <w:bookmarkStart w:id="0" w:name="_GoBack"/>
            <w:bookmarkEnd w:id="0"/>
            <w:r w:rsidRPr="00921603">
              <w:rPr>
                <w:sz w:val="20"/>
              </w:rPr>
              <w:t>4</w:t>
            </w:r>
          </w:p>
          <w:p w:rsidR="006034B6" w:rsidRPr="00921603" w:rsidRDefault="006034B6" w:rsidP="006034B6">
            <w:pPr>
              <w:rPr>
                <w:sz w:val="20"/>
              </w:rPr>
            </w:pPr>
            <w:smartTag w:uri="urn:schemas-microsoft-com:office:smarttags" w:element="place">
              <w:smartTag w:uri="urn:schemas-microsoft-com:office:smarttags" w:element="City">
                <w:r w:rsidRPr="00921603">
                  <w:rPr>
                    <w:sz w:val="20"/>
                  </w:rPr>
                  <w:t>Darwin</w:t>
                </w:r>
              </w:smartTag>
              <w:r w:rsidRPr="00921603">
                <w:rPr>
                  <w:sz w:val="20"/>
                </w:rPr>
                <w:t xml:space="preserve">  </w:t>
              </w:r>
              <w:smartTag w:uri="urn:schemas-microsoft-com:office:smarttags" w:element="State">
                <w:r w:rsidRPr="00921603">
                  <w:rPr>
                    <w:sz w:val="20"/>
                  </w:rPr>
                  <w:t>NT</w:t>
                </w:r>
              </w:smartTag>
            </w:smartTag>
            <w:r w:rsidRPr="00921603">
              <w:rPr>
                <w:sz w:val="20"/>
              </w:rPr>
              <w:t xml:space="preserve">  0801</w:t>
            </w:r>
          </w:p>
          <w:p w:rsidR="006034B6" w:rsidRPr="00921603" w:rsidRDefault="006034B6" w:rsidP="00921603">
            <w:pPr>
              <w:pStyle w:val="BlockText"/>
              <w:numPr>
                <w:ilvl w:val="0"/>
                <w:numId w:val="0"/>
              </w:numPr>
              <w:rPr>
                <w:sz w:val="20"/>
              </w:rPr>
            </w:pPr>
            <w:r w:rsidRPr="00921603">
              <w:rPr>
                <w:sz w:val="20"/>
              </w:rPr>
              <w:t xml:space="preserve">Email: </w:t>
            </w:r>
            <w:hyperlink r:id="rId14" w:history="1">
              <w:r w:rsidR="009F3F33">
                <w:rPr>
                  <w:rStyle w:val="Hyperlink"/>
                  <w:sz w:val="20"/>
                </w:rPr>
                <w:t>ntrevenue</w:t>
              </w:r>
              <w:r w:rsidR="00513926" w:rsidRPr="00921603">
                <w:rPr>
                  <w:rStyle w:val="Hyperlink"/>
                  <w:sz w:val="20"/>
                </w:rPr>
                <w:t>@nt.gov.au</w:t>
              </w:r>
            </w:hyperlink>
          </w:p>
        </w:tc>
        <w:tc>
          <w:tcPr>
            <w:tcW w:w="4927" w:type="dxa"/>
            <w:shd w:val="clear" w:color="auto" w:fill="auto"/>
          </w:tcPr>
          <w:p w:rsidR="006034B6" w:rsidRPr="00921603" w:rsidRDefault="006034B6" w:rsidP="006034B6">
            <w:pPr>
              <w:rPr>
                <w:sz w:val="20"/>
              </w:rPr>
            </w:pPr>
            <w:r w:rsidRPr="00921603">
              <w:rPr>
                <w:sz w:val="20"/>
              </w:rPr>
              <w:t>Phone: 1300 305 353</w:t>
            </w:r>
          </w:p>
          <w:p w:rsidR="006034B6" w:rsidRPr="00921603" w:rsidRDefault="006034B6" w:rsidP="006034B6">
            <w:pPr>
              <w:rPr>
                <w:sz w:val="20"/>
              </w:rPr>
            </w:pPr>
            <w:r w:rsidRPr="00921603">
              <w:rPr>
                <w:sz w:val="20"/>
              </w:rPr>
              <w:t xml:space="preserve">Website: </w:t>
            </w:r>
            <w:hyperlink r:id="rId15" w:history="1">
              <w:r w:rsidRPr="00921603">
                <w:rPr>
                  <w:rStyle w:val="Hyperlink"/>
                  <w:sz w:val="20"/>
                </w:rPr>
                <w:t>www.revenue.nt.gov.au</w:t>
              </w:r>
            </w:hyperlink>
          </w:p>
        </w:tc>
      </w:tr>
    </w:tbl>
    <w:p w:rsidR="006034B6" w:rsidRPr="00364D5F" w:rsidRDefault="006034B6" w:rsidP="00364D5F">
      <w:pPr>
        <w:tabs>
          <w:tab w:val="left" w:pos="3090"/>
        </w:tabs>
      </w:pPr>
    </w:p>
    <w:sectPr w:rsidR="006034B6" w:rsidRPr="00364D5F" w:rsidSect="00F65356">
      <w:headerReference w:type="even" r:id="rId16"/>
      <w:headerReference w:type="default" r:id="rId17"/>
      <w:footerReference w:type="default" r:id="rId18"/>
      <w:headerReference w:type="first" r:id="rId19"/>
      <w:footerReference w:type="first" r:id="rId20"/>
      <w:pgSz w:w="11906" w:h="16838"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AF8" w:rsidRDefault="00B60AF8">
      <w:r>
        <w:separator/>
      </w:r>
    </w:p>
  </w:endnote>
  <w:endnote w:type="continuationSeparator" w:id="0">
    <w:p w:rsidR="00B60AF8" w:rsidRDefault="00B6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4E1" w:rsidRDefault="00EF44E1" w:rsidP="00364D5F">
    <w:pPr>
      <w:pStyle w:val="Footer"/>
      <w:tabs>
        <w:tab w:val="clear" w:pos="4153"/>
        <w:tab w:val="clear" w:pos="8306"/>
        <w:tab w:val="right" w:pos="9720"/>
      </w:tabs>
      <w:rPr>
        <w:sz w:val="16"/>
        <w:szCs w:val="16"/>
      </w:rPr>
    </w:pPr>
  </w:p>
  <w:p w:rsidR="00EF44E1" w:rsidRPr="00364D5F" w:rsidRDefault="00EF44E1"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FA333E">
      <w:rPr>
        <w:noProof/>
        <w:sz w:val="16"/>
        <w:szCs w:val="16"/>
      </w:rPr>
      <w:t>3</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FA333E">
      <w:rPr>
        <w:noProof/>
        <w:sz w:val="16"/>
        <w:szCs w:val="16"/>
      </w:rPr>
      <w:t>3</w:t>
    </w:r>
    <w:r w:rsidRPr="006034B6">
      <w:rPr>
        <w:sz w:val="16"/>
        <w:szCs w:val="16"/>
      </w:rPr>
      <w:fldChar w:fldCharType="end"/>
    </w:r>
    <w:r>
      <w:rPr>
        <w:sz w:val="16"/>
        <w:szCs w:val="16"/>
      </w:rPr>
      <w:tab/>
      <w:t>CG-HI-010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4E1" w:rsidRDefault="00EF44E1" w:rsidP="00364D5F">
    <w:pPr>
      <w:pStyle w:val="Footer"/>
      <w:tabs>
        <w:tab w:val="clear" w:pos="4153"/>
        <w:tab w:val="clear" w:pos="8306"/>
        <w:tab w:val="right" w:pos="9720"/>
      </w:tabs>
      <w:rPr>
        <w:sz w:val="16"/>
        <w:szCs w:val="16"/>
      </w:rPr>
    </w:pPr>
  </w:p>
  <w:p w:rsidR="00EF44E1" w:rsidRPr="006034B6" w:rsidRDefault="00EF44E1"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FA333E">
      <w:rPr>
        <w:noProof/>
        <w:sz w:val="16"/>
        <w:szCs w:val="16"/>
      </w:rPr>
      <w:t>1</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FA333E">
      <w:rPr>
        <w:noProof/>
        <w:sz w:val="16"/>
        <w:szCs w:val="16"/>
      </w:rPr>
      <w:t>3</w:t>
    </w:r>
    <w:r w:rsidRPr="006034B6">
      <w:rPr>
        <w:sz w:val="16"/>
        <w:szCs w:val="16"/>
      </w:rPr>
      <w:fldChar w:fldCharType="end"/>
    </w:r>
    <w:r>
      <w:rPr>
        <w:sz w:val="16"/>
        <w:szCs w:val="16"/>
      </w:rPr>
      <w:tab/>
      <w:t>CG-HI-010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AF8" w:rsidRDefault="00B60AF8">
      <w:r>
        <w:separator/>
      </w:r>
    </w:p>
  </w:footnote>
  <w:footnote w:type="continuationSeparator" w:id="0">
    <w:p w:rsidR="00B60AF8" w:rsidRDefault="00B60AF8">
      <w:r>
        <w:continuationSeparator/>
      </w:r>
    </w:p>
  </w:footnote>
  <w:footnote w:id="1">
    <w:p w:rsidR="00EF44E1" w:rsidRPr="00DE3ADA" w:rsidRDefault="00EF44E1" w:rsidP="00E548D8">
      <w:pPr>
        <w:pStyle w:val="FootnoteText"/>
        <w:rPr>
          <w:rFonts w:ascii="Arial" w:hAnsi="Arial" w:cs="Arial"/>
          <w:sz w:val="18"/>
          <w:szCs w:val="18"/>
        </w:rPr>
      </w:pPr>
      <w:r w:rsidRPr="00DE3ADA">
        <w:rPr>
          <w:rStyle w:val="FootnoteReference"/>
          <w:sz w:val="18"/>
          <w:szCs w:val="18"/>
        </w:rPr>
        <w:footnoteRef/>
      </w:r>
      <w:r>
        <w:rPr>
          <w:rFonts w:ascii="Arial" w:hAnsi="Arial" w:cs="Arial"/>
          <w:sz w:val="18"/>
          <w:szCs w:val="18"/>
        </w:rPr>
        <w:t xml:space="preserve"> Sections 5(3), </w:t>
      </w:r>
      <w:r w:rsidRPr="00DE3ADA">
        <w:rPr>
          <w:rFonts w:ascii="Arial" w:hAnsi="Arial" w:cs="Arial"/>
          <w:sz w:val="18"/>
          <w:szCs w:val="18"/>
        </w:rPr>
        <w:t>12 and 13(6) of the</w:t>
      </w:r>
      <w:r w:rsidRPr="00DE3ADA">
        <w:rPr>
          <w:rFonts w:ascii="Arial" w:hAnsi="Arial" w:cs="Arial"/>
          <w:i/>
          <w:sz w:val="18"/>
          <w:szCs w:val="18"/>
        </w:rPr>
        <w:t xml:space="preserve"> First Home Owner Grant Act </w:t>
      </w:r>
      <w:r w:rsidRPr="00DE3ADA">
        <w:rPr>
          <w:rFonts w:ascii="Arial" w:hAnsi="Arial" w:cs="Arial"/>
          <w:sz w:val="18"/>
          <w:szCs w:val="18"/>
        </w:rPr>
        <w:t>(FHOG</w:t>
      </w:r>
      <w:r w:rsidR="00354C4C">
        <w:rPr>
          <w:rFonts w:ascii="Arial" w:hAnsi="Arial" w:cs="Arial"/>
          <w:sz w:val="18"/>
          <w:szCs w:val="18"/>
        </w:rPr>
        <w:t>A</w:t>
      </w:r>
      <w:r w:rsidRPr="00DE3ADA">
        <w:rPr>
          <w:rFonts w:ascii="Arial" w:hAnsi="Arial" w:cs="Arial"/>
          <w:sz w:val="18"/>
          <w:szCs w:val="18"/>
        </w:rPr>
        <w:t>)</w:t>
      </w:r>
      <w:r w:rsidRPr="00DE3ADA">
        <w:rPr>
          <w:rFonts w:ascii="Arial" w:hAnsi="Arial" w:cs="Arial"/>
          <w:i/>
          <w:sz w:val="18"/>
          <w:szCs w:val="18"/>
        </w:rPr>
        <w:t>;</w:t>
      </w:r>
      <w:r w:rsidRPr="00DE3ADA">
        <w:rPr>
          <w:rFonts w:ascii="Arial" w:hAnsi="Arial" w:cs="Arial"/>
          <w:sz w:val="18"/>
          <w:szCs w:val="18"/>
        </w:rPr>
        <w:t xml:space="preserve"> sections 89A(1)(g) and (i) </w:t>
      </w:r>
      <w:r>
        <w:rPr>
          <w:rFonts w:ascii="Arial" w:hAnsi="Arial" w:cs="Arial"/>
          <w:sz w:val="18"/>
          <w:szCs w:val="18"/>
        </w:rPr>
        <w:t xml:space="preserve">of the </w:t>
      </w:r>
      <w:r w:rsidRPr="00DE3ADA">
        <w:rPr>
          <w:rFonts w:ascii="Arial" w:hAnsi="Arial" w:cs="Arial"/>
          <w:i/>
          <w:sz w:val="18"/>
          <w:szCs w:val="18"/>
        </w:rPr>
        <w:t>Stamp Duty Act</w:t>
      </w:r>
      <w:r w:rsidRPr="00DE3ADA">
        <w:rPr>
          <w:rFonts w:ascii="Arial" w:hAnsi="Arial" w:cs="Arial"/>
          <w:sz w:val="18"/>
          <w:szCs w:val="18"/>
        </w:rPr>
        <w:t xml:space="preserve"> (SDA)</w:t>
      </w:r>
      <w:r>
        <w:rPr>
          <w:rFonts w:ascii="Arial" w:hAnsi="Arial" w:cs="Arial"/>
          <w:sz w:val="18"/>
          <w:szCs w:val="18"/>
        </w:rPr>
        <w:t xml:space="preserve"> </w:t>
      </w:r>
      <w:r w:rsidRPr="00DE3ADA">
        <w:rPr>
          <w:rFonts w:ascii="Arial" w:hAnsi="Arial" w:cs="Arial"/>
          <w:sz w:val="18"/>
          <w:szCs w:val="18"/>
        </w:rPr>
        <w:t>and ‘period of occupancy’ and ‘prescribed period’ at section 88(1)</w:t>
      </w:r>
      <w:r>
        <w:rPr>
          <w:rFonts w:ascii="Arial" w:hAnsi="Arial" w:cs="Arial"/>
          <w:sz w:val="18"/>
          <w:szCs w:val="18"/>
        </w:rPr>
        <w:t xml:space="preserve"> </w:t>
      </w:r>
      <w:r w:rsidRPr="00DE3ADA">
        <w:rPr>
          <w:rFonts w:ascii="Arial" w:hAnsi="Arial" w:cs="Arial"/>
          <w:sz w:val="18"/>
          <w:szCs w:val="18"/>
        </w:rPr>
        <w:t>of the</w:t>
      </w:r>
      <w:r>
        <w:rPr>
          <w:rFonts w:ascii="Arial" w:hAnsi="Arial" w:cs="Arial"/>
          <w:sz w:val="18"/>
          <w:szCs w:val="18"/>
        </w:rPr>
        <w:t xml:space="preserve"> SDA.</w:t>
      </w:r>
      <w:r w:rsidRPr="00DE3ADA">
        <w:rPr>
          <w:rFonts w:ascii="Arial" w:hAnsi="Arial" w:cs="Arial"/>
          <w:sz w:val="18"/>
          <w:szCs w:val="18"/>
        </w:rPr>
        <w:t xml:space="preserve"> </w:t>
      </w:r>
    </w:p>
  </w:footnote>
  <w:footnote w:id="2">
    <w:p w:rsidR="00EF44E1" w:rsidRPr="00197DE7" w:rsidRDefault="00EF44E1" w:rsidP="00E548D8">
      <w:pPr>
        <w:pStyle w:val="FootnoteText"/>
        <w:rPr>
          <w:rFonts w:ascii="Arial" w:hAnsi="Arial" w:cs="Arial"/>
          <w:sz w:val="18"/>
          <w:szCs w:val="18"/>
        </w:rPr>
      </w:pPr>
      <w:r>
        <w:rPr>
          <w:rStyle w:val="FootnoteReference"/>
        </w:rPr>
        <w:footnoteRef/>
      </w:r>
      <w:r>
        <w:t xml:space="preserve"> </w:t>
      </w:r>
      <w:r w:rsidRPr="00197DE7">
        <w:rPr>
          <w:rFonts w:ascii="Arial" w:hAnsi="Arial" w:cs="Arial"/>
          <w:sz w:val="18"/>
          <w:szCs w:val="18"/>
        </w:rPr>
        <w:t>See sections 5(3) and 12</w:t>
      </w:r>
      <w:r>
        <w:rPr>
          <w:rFonts w:ascii="Arial" w:hAnsi="Arial" w:cs="Arial"/>
          <w:sz w:val="18"/>
          <w:szCs w:val="18"/>
        </w:rPr>
        <w:t xml:space="preserve"> </w:t>
      </w:r>
      <w:r w:rsidRPr="00197DE7">
        <w:rPr>
          <w:rFonts w:ascii="Arial" w:hAnsi="Arial" w:cs="Arial"/>
          <w:sz w:val="18"/>
          <w:szCs w:val="18"/>
        </w:rPr>
        <w:t>of the FHOGA and sections 89</w:t>
      </w:r>
      <w:r>
        <w:rPr>
          <w:rFonts w:ascii="Arial" w:hAnsi="Arial" w:cs="Arial"/>
          <w:sz w:val="18"/>
          <w:szCs w:val="18"/>
        </w:rPr>
        <w:t>A(11) and (11A)</w:t>
      </w:r>
      <w:r w:rsidRPr="00197DE7">
        <w:rPr>
          <w:rFonts w:ascii="Arial" w:hAnsi="Arial" w:cs="Arial"/>
          <w:sz w:val="18"/>
          <w:szCs w:val="18"/>
        </w:rPr>
        <w:t xml:space="preserve"> of the SDA.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4E1" w:rsidRDefault="00EF44E1" w:rsidP="00763A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44E1" w:rsidRDefault="00EF44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4E1" w:rsidRPr="003765CD" w:rsidRDefault="00EF44E1" w:rsidP="0019571B">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4E1" w:rsidRDefault="005534D1">
    <w:pPr>
      <w:pStyle w:val="Header"/>
    </w:pPr>
    <w:r>
      <w:rPr>
        <w:noProof/>
      </w:rPr>
      <w:drawing>
        <wp:anchor distT="0" distB="0" distL="114300" distR="114300" simplePos="0" relativeHeight="251657728" behindDoc="1" locked="0" layoutInCell="0" allowOverlap="1">
          <wp:simplePos x="0" y="0"/>
          <wp:positionH relativeFrom="page">
            <wp:posOffset>180340</wp:posOffset>
          </wp:positionH>
          <wp:positionV relativeFrom="page">
            <wp:posOffset>180340</wp:posOffset>
          </wp:positionV>
          <wp:extent cx="7188200" cy="895350"/>
          <wp:effectExtent l="0" t="0" r="0" b="0"/>
          <wp:wrapNone/>
          <wp:docPr id="5" name="Picture 5" descr="NTG logo and department nam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G logo and department nam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8200" cy="895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74482B0"/>
    <w:lvl w:ilvl="0">
      <w:start w:val="1"/>
      <w:numFmt w:val="decimal"/>
      <w:pStyle w:val="ListNumber"/>
      <w:lvlText w:val="%1."/>
      <w:lvlJc w:val="left"/>
      <w:pPr>
        <w:tabs>
          <w:tab w:val="num" w:pos="360"/>
        </w:tabs>
        <w:ind w:left="360" w:hanging="360"/>
      </w:pPr>
    </w:lvl>
  </w:abstractNum>
  <w:abstractNum w:abstractNumId="1" w15:restartNumberingAfterBreak="0">
    <w:nsid w:val="02D310B8"/>
    <w:multiLevelType w:val="multilevel"/>
    <w:tmpl w:val="6DA248D0"/>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593059"/>
    <w:multiLevelType w:val="multilevel"/>
    <w:tmpl w:val="88F6EEB2"/>
    <w:numStyleLink w:val="Text"/>
  </w:abstractNum>
  <w:abstractNum w:abstractNumId="3" w15:restartNumberingAfterBreak="0">
    <w:nsid w:val="1E903CE7"/>
    <w:multiLevelType w:val="multilevel"/>
    <w:tmpl w:val="88F6EEB2"/>
    <w:styleLink w:val="Text"/>
    <w:lvl w:ilvl="0">
      <w:start w:val="1"/>
      <w:numFmt w:val="decimal"/>
      <w:pStyle w:val="BlockText"/>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336E4576"/>
    <w:multiLevelType w:val="hybridMultilevel"/>
    <w:tmpl w:val="62BEA7FA"/>
    <w:lvl w:ilvl="0" w:tplc="1334F0D8">
      <w:start w:val="1"/>
      <w:numFmt w:val="decimal"/>
      <w:lvlText w:val="%1)"/>
      <w:lvlJc w:val="left"/>
      <w:pPr>
        <w:tabs>
          <w:tab w:val="num" w:pos="397"/>
        </w:tabs>
        <w:ind w:left="397" w:hanging="397"/>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3F0D1A6E"/>
    <w:multiLevelType w:val="multilevel"/>
    <w:tmpl w:val="74F6A72C"/>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39B51DF"/>
    <w:multiLevelType w:val="multilevel"/>
    <w:tmpl w:val="0C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7" w15:restartNumberingAfterBreak="0">
    <w:nsid w:val="4A167D1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294591F"/>
    <w:multiLevelType w:val="multilevel"/>
    <w:tmpl w:val="88F6EEB2"/>
    <w:numStyleLink w:val="Text"/>
  </w:abstractNum>
  <w:num w:numId="1">
    <w:abstractNumId w:val="8"/>
  </w:num>
  <w:num w:numId="2">
    <w:abstractNumId w:val="5"/>
  </w:num>
  <w:num w:numId="3">
    <w:abstractNumId w:val="3"/>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268"/>
          </w:tabs>
          <w:ind w:left="2268"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
    <w:abstractNumId w:val="1"/>
  </w:num>
  <w:num w:numId="5">
    <w:abstractNumId w:val="2"/>
  </w:num>
  <w:num w:numId="6">
    <w:abstractNumId w:val="6"/>
  </w:num>
  <w:num w:numId="7">
    <w:abstractNumId w:val="7"/>
  </w:num>
  <w:num w:numId="8">
    <w:abstractNumId w:val="0"/>
  </w:num>
  <w:num w:numId="9">
    <w:abstractNumId w:val="4"/>
  </w:num>
  <w:num w:numId="10">
    <w:abstractNumId w:val="3"/>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268"/>
          </w:tabs>
          <w:ind w:left="2268"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bGc1gY5mUj5XlV8+jFsLUdoHdIc1Zd+e9ZfNkTKSm4dS59qH4H6Cp8yCSfeZ/LGFocGOISTbIM0yf9vDDfsWSg==" w:salt="yZfMABRQTSevYGSZZ6zNP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22D"/>
    <w:rsid w:val="000060BF"/>
    <w:rsid w:val="000064CB"/>
    <w:rsid w:val="000104AB"/>
    <w:rsid w:val="00010EEA"/>
    <w:rsid w:val="0002150C"/>
    <w:rsid w:val="00022413"/>
    <w:rsid w:val="00023645"/>
    <w:rsid w:val="00025614"/>
    <w:rsid w:val="000302C0"/>
    <w:rsid w:val="000333C6"/>
    <w:rsid w:val="000376B2"/>
    <w:rsid w:val="000424F1"/>
    <w:rsid w:val="00042BC9"/>
    <w:rsid w:val="00045CCE"/>
    <w:rsid w:val="00046838"/>
    <w:rsid w:val="0005160E"/>
    <w:rsid w:val="00054E58"/>
    <w:rsid w:val="00055A15"/>
    <w:rsid w:val="00055F6E"/>
    <w:rsid w:val="000567BE"/>
    <w:rsid w:val="0005747B"/>
    <w:rsid w:val="00063A93"/>
    <w:rsid w:val="00063EAC"/>
    <w:rsid w:val="00067AE5"/>
    <w:rsid w:val="00070001"/>
    <w:rsid w:val="000755D7"/>
    <w:rsid w:val="00077381"/>
    <w:rsid w:val="00081963"/>
    <w:rsid w:val="00081984"/>
    <w:rsid w:val="000917B2"/>
    <w:rsid w:val="00094D2B"/>
    <w:rsid w:val="000968BE"/>
    <w:rsid w:val="000A0353"/>
    <w:rsid w:val="000A058E"/>
    <w:rsid w:val="000A1789"/>
    <w:rsid w:val="000A57FE"/>
    <w:rsid w:val="000A5BAB"/>
    <w:rsid w:val="000A5FAF"/>
    <w:rsid w:val="000A7ABD"/>
    <w:rsid w:val="000B1FE4"/>
    <w:rsid w:val="000C0DD5"/>
    <w:rsid w:val="000C2C04"/>
    <w:rsid w:val="000C3AD0"/>
    <w:rsid w:val="000C4D13"/>
    <w:rsid w:val="000C5DAB"/>
    <w:rsid w:val="000D21B9"/>
    <w:rsid w:val="000D4683"/>
    <w:rsid w:val="000D760C"/>
    <w:rsid w:val="000E26E6"/>
    <w:rsid w:val="000E4D8E"/>
    <w:rsid w:val="000F7515"/>
    <w:rsid w:val="00112237"/>
    <w:rsid w:val="001171EA"/>
    <w:rsid w:val="00117E21"/>
    <w:rsid w:val="00117F5D"/>
    <w:rsid w:val="00120400"/>
    <w:rsid w:val="0012101B"/>
    <w:rsid w:val="0012610A"/>
    <w:rsid w:val="001271FF"/>
    <w:rsid w:val="001300AE"/>
    <w:rsid w:val="0013250A"/>
    <w:rsid w:val="00134634"/>
    <w:rsid w:val="00135C96"/>
    <w:rsid w:val="001364CD"/>
    <w:rsid w:val="001407E2"/>
    <w:rsid w:val="001422DD"/>
    <w:rsid w:val="001521B6"/>
    <w:rsid w:val="00153959"/>
    <w:rsid w:val="00153AFD"/>
    <w:rsid w:val="001545F9"/>
    <w:rsid w:val="001579C2"/>
    <w:rsid w:val="00160881"/>
    <w:rsid w:val="0016262C"/>
    <w:rsid w:val="00164258"/>
    <w:rsid w:val="00164A3A"/>
    <w:rsid w:val="00166509"/>
    <w:rsid w:val="00174828"/>
    <w:rsid w:val="00176573"/>
    <w:rsid w:val="0018229E"/>
    <w:rsid w:val="00184056"/>
    <w:rsid w:val="00184984"/>
    <w:rsid w:val="00184B7C"/>
    <w:rsid w:val="00187674"/>
    <w:rsid w:val="00192F6F"/>
    <w:rsid w:val="0019571B"/>
    <w:rsid w:val="00196C1B"/>
    <w:rsid w:val="001971A1"/>
    <w:rsid w:val="0019771F"/>
    <w:rsid w:val="001A6196"/>
    <w:rsid w:val="001B71AE"/>
    <w:rsid w:val="001B7AC7"/>
    <w:rsid w:val="001C0084"/>
    <w:rsid w:val="001C422C"/>
    <w:rsid w:val="001C4568"/>
    <w:rsid w:val="001D27E9"/>
    <w:rsid w:val="001D4089"/>
    <w:rsid w:val="001D5A9F"/>
    <w:rsid w:val="001D6742"/>
    <w:rsid w:val="001D69E9"/>
    <w:rsid w:val="001D7DC4"/>
    <w:rsid w:val="001E3578"/>
    <w:rsid w:val="001E6135"/>
    <w:rsid w:val="001F4991"/>
    <w:rsid w:val="001F5273"/>
    <w:rsid w:val="001F60FE"/>
    <w:rsid w:val="001F6B23"/>
    <w:rsid w:val="001F7B6E"/>
    <w:rsid w:val="0020232B"/>
    <w:rsid w:val="00204372"/>
    <w:rsid w:val="002048E7"/>
    <w:rsid w:val="00207E37"/>
    <w:rsid w:val="00210686"/>
    <w:rsid w:val="002115E6"/>
    <w:rsid w:val="00211ADE"/>
    <w:rsid w:val="00215A9D"/>
    <w:rsid w:val="0021684D"/>
    <w:rsid w:val="00220E1E"/>
    <w:rsid w:val="00221114"/>
    <w:rsid w:val="0022361B"/>
    <w:rsid w:val="00224644"/>
    <w:rsid w:val="0022584E"/>
    <w:rsid w:val="002306CE"/>
    <w:rsid w:val="0023083D"/>
    <w:rsid w:val="002374AC"/>
    <w:rsid w:val="00237B7C"/>
    <w:rsid w:val="00242910"/>
    <w:rsid w:val="002440CC"/>
    <w:rsid w:val="0024555A"/>
    <w:rsid w:val="002466CE"/>
    <w:rsid w:val="002524C0"/>
    <w:rsid w:val="002526A8"/>
    <w:rsid w:val="00252EA3"/>
    <w:rsid w:val="0025439F"/>
    <w:rsid w:val="002545A4"/>
    <w:rsid w:val="002546CB"/>
    <w:rsid w:val="002548C6"/>
    <w:rsid w:val="002555DE"/>
    <w:rsid w:val="00271740"/>
    <w:rsid w:val="0027710E"/>
    <w:rsid w:val="002863EF"/>
    <w:rsid w:val="00295BEF"/>
    <w:rsid w:val="00297E74"/>
    <w:rsid w:val="002A03A5"/>
    <w:rsid w:val="002A3775"/>
    <w:rsid w:val="002A5567"/>
    <w:rsid w:val="002A5623"/>
    <w:rsid w:val="002A7D1F"/>
    <w:rsid w:val="002B14CF"/>
    <w:rsid w:val="002B1738"/>
    <w:rsid w:val="002B67E3"/>
    <w:rsid w:val="002C0322"/>
    <w:rsid w:val="002C0386"/>
    <w:rsid w:val="002C1DA7"/>
    <w:rsid w:val="002C267D"/>
    <w:rsid w:val="002D4686"/>
    <w:rsid w:val="002D6B9D"/>
    <w:rsid w:val="002D7B81"/>
    <w:rsid w:val="002E1CE1"/>
    <w:rsid w:val="00301586"/>
    <w:rsid w:val="00307F79"/>
    <w:rsid w:val="00311AB6"/>
    <w:rsid w:val="00314B99"/>
    <w:rsid w:val="00314C98"/>
    <w:rsid w:val="00314E75"/>
    <w:rsid w:val="003151D2"/>
    <w:rsid w:val="00323FDD"/>
    <w:rsid w:val="00327C11"/>
    <w:rsid w:val="00330CA3"/>
    <w:rsid w:val="00332D45"/>
    <w:rsid w:val="00340212"/>
    <w:rsid w:val="00343BDF"/>
    <w:rsid w:val="003455BA"/>
    <w:rsid w:val="003458E7"/>
    <w:rsid w:val="00350C52"/>
    <w:rsid w:val="00350DA3"/>
    <w:rsid w:val="0035373D"/>
    <w:rsid w:val="00354185"/>
    <w:rsid w:val="00354627"/>
    <w:rsid w:val="00354C4C"/>
    <w:rsid w:val="00355A73"/>
    <w:rsid w:val="00355AD3"/>
    <w:rsid w:val="003566B4"/>
    <w:rsid w:val="003627B1"/>
    <w:rsid w:val="003649F0"/>
    <w:rsid w:val="00364D5F"/>
    <w:rsid w:val="00365875"/>
    <w:rsid w:val="003659AD"/>
    <w:rsid w:val="00371470"/>
    <w:rsid w:val="00371523"/>
    <w:rsid w:val="00371DC6"/>
    <w:rsid w:val="00371E1A"/>
    <w:rsid w:val="003765CD"/>
    <w:rsid w:val="00385103"/>
    <w:rsid w:val="00386424"/>
    <w:rsid w:val="00386D5A"/>
    <w:rsid w:val="0038749B"/>
    <w:rsid w:val="00393DD6"/>
    <w:rsid w:val="00394D70"/>
    <w:rsid w:val="0039737A"/>
    <w:rsid w:val="003A2D9B"/>
    <w:rsid w:val="003A525E"/>
    <w:rsid w:val="003A7455"/>
    <w:rsid w:val="003B21D5"/>
    <w:rsid w:val="003B4A50"/>
    <w:rsid w:val="003B4C4C"/>
    <w:rsid w:val="003B680A"/>
    <w:rsid w:val="003C1073"/>
    <w:rsid w:val="003C6832"/>
    <w:rsid w:val="003D0F41"/>
    <w:rsid w:val="003D26A8"/>
    <w:rsid w:val="003D3D24"/>
    <w:rsid w:val="003D400C"/>
    <w:rsid w:val="003D5245"/>
    <w:rsid w:val="003E23F6"/>
    <w:rsid w:val="003E5274"/>
    <w:rsid w:val="003E62DE"/>
    <w:rsid w:val="003F5E2C"/>
    <w:rsid w:val="003F70DD"/>
    <w:rsid w:val="003F7195"/>
    <w:rsid w:val="003F73D3"/>
    <w:rsid w:val="003F7433"/>
    <w:rsid w:val="003F7BDE"/>
    <w:rsid w:val="00401F0A"/>
    <w:rsid w:val="004050CF"/>
    <w:rsid w:val="0041111B"/>
    <w:rsid w:val="004124F6"/>
    <w:rsid w:val="00412F76"/>
    <w:rsid w:val="004130A1"/>
    <w:rsid w:val="0041454C"/>
    <w:rsid w:val="004154A9"/>
    <w:rsid w:val="0041637D"/>
    <w:rsid w:val="0041795D"/>
    <w:rsid w:val="00424DCE"/>
    <w:rsid w:val="004302A2"/>
    <w:rsid w:val="00430725"/>
    <w:rsid w:val="00431E0A"/>
    <w:rsid w:val="00432945"/>
    <w:rsid w:val="00434F1E"/>
    <w:rsid w:val="004362E6"/>
    <w:rsid w:val="004379E6"/>
    <w:rsid w:val="004407DC"/>
    <w:rsid w:val="0045415A"/>
    <w:rsid w:val="0045697A"/>
    <w:rsid w:val="00456CDA"/>
    <w:rsid w:val="004572A6"/>
    <w:rsid w:val="00461243"/>
    <w:rsid w:val="00463743"/>
    <w:rsid w:val="004646F7"/>
    <w:rsid w:val="00465AB2"/>
    <w:rsid w:val="00466FB5"/>
    <w:rsid w:val="00470036"/>
    <w:rsid w:val="004707BC"/>
    <w:rsid w:val="004726D4"/>
    <w:rsid w:val="00473F14"/>
    <w:rsid w:val="004742EA"/>
    <w:rsid w:val="004743B6"/>
    <w:rsid w:val="00474B80"/>
    <w:rsid w:val="00476314"/>
    <w:rsid w:val="00481F7B"/>
    <w:rsid w:val="00482184"/>
    <w:rsid w:val="00482C30"/>
    <w:rsid w:val="00490396"/>
    <w:rsid w:val="0049040E"/>
    <w:rsid w:val="004909A0"/>
    <w:rsid w:val="00492379"/>
    <w:rsid w:val="004941E5"/>
    <w:rsid w:val="00494D6F"/>
    <w:rsid w:val="00497E22"/>
    <w:rsid w:val="004A5CE6"/>
    <w:rsid w:val="004A60E1"/>
    <w:rsid w:val="004B003D"/>
    <w:rsid w:val="004B2AF3"/>
    <w:rsid w:val="004B39EB"/>
    <w:rsid w:val="004B4B9D"/>
    <w:rsid w:val="004C0D46"/>
    <w:rsid w:val="004C12DE"/>
    <w:rsid w:val="004C392F"/>
    <w:rsid w:val="004C52E0"/>
    <w:rsid w:val="004C5782"/>
    <w:rsid w:val="004C5891"/>
    <w:rsid w:val="004C6027"/>
    <w:rsid w:val="004D04AA"/>
    <w:rsid w:val="004D3B44"/>
    <w:rsid w:val="004D766D"/>
    <w:rsid w:val="004E09CA"/>
    <w:rsid w:val="004E391B"/>
    <w:rsid w:val="004E502F"/>
    <w:rsid w:val="004E5F24"/>
    <w:rsid w:val="004E69E8"/>
    <w:rsid w:val="004F103E"/>
    <w:rsid w:val="00500BE6"/>
    <w:rsid w:val="0050534D"/>
    <w:rsid w:val="0051194C"/>
    <w:rsid w:val="00513926"/>
    <w:rsid w:val="00516D27"/>
    <w:rsid w:val="00517382"/>
    <w:rsid w:val="005205CA"/>
    <w:rsid w:val="00520F76"/>
    <w:rsid w:val="00522191"/>
    <w:rsid w:val="00525881"/>
    <w:rsid w:val="0052614B"/>
    <w:rsid w:val="0052675D"/>
    <w:rsid w:val="00526B7A"/>
    <w:rsid w:val="00530165"/>
    <w:rsid w:val="005302CE"/>
    <w:rsid w:val="00532754"/>
    <w:rsid w:val="00536F37"/>
    <w:rsid w:val="00537837"/>
    <w:rsid w:val="005400EA"/>
    <w:rsid w:val="005419BC"/>
    <w:rsid w:val="005428F8"/>
    <w:rsid w:val="00542966"/>
    <w:rsid w:val="00545D20"/>
    <w:rsid w:val="005475C0"/>
    <w:rsid w:val="00547681"/>
    <w:rsid w:val="00551CBC"/>
    <w:rsid w:val="005534D1"/>
    <w:rsid w:val="00555249"/>
    <w:rsid w:val="0056224B"/>
    <w:rsid w:val="005628C3"/>
    <w:rsid w:val="00566890"/>
    <w:rsid w:val="005707AB"/>
    <w:rsid w:val="00572003"/>
    <w:rsid w:val="00572867"/>
    <w:rsid w:val="00573A16"/>
    <w:rsid w:val="0058140E"/>
    <w:rsid w:val="00581D64"/>
    <w:rsid w:val="00582D7B"/>
    <w:rsid w:val="005855C5"/>
    <w:rsid w:val="0058646E"/>
    <w:rsid w:val="00587446"/>
    <w:rsid w:val="00596353"/>
    <w:rsid w:val="00596B7E"/>
    <w:rsid w:val="005A0101"/>
    <w:rsid w:val="005A6A98"/>
    <w:rsid w:val="005A6EAB"/>
    <w:rsid w:val="005B03D6"/>
    <w:rsid w:val="005B3B6D"/>
    <w:rsid w:val="005B419B"/>
    <w:rsid w:val="005B43D5"/>
    <w:rsid w:val="005B4B9A"/>
    <w:rsid w:val="005B5511"/>
    <w:rsid w:val="005D0992"/>
    <w:rsid w:val="005D4468"/>
    <w:rsid w:val="005D54FC"/>
    <w:rsid w:val="005E258F"/>
    <w:rsid w:val="005E5A0B"/>
    <w:rsid w:val="005E722D"/>
    <w:rsid w:val="005F0CAA"/>
    <w:rsid w:val="005F1765"/>
    <w:rsid w:val="005F21D9"/>
    <w:rsid w:val="006023B8"/>
    <w:rsid w:val="0060284F"/>
    <w:rsid w:val="006034B6"/>
    <w:rsid w:val="00605813"/>
    <w:rsid w:val="00605CAB"/>
    <w:rsid w:val="006102F8"/>
    <w:rsid w:val="00612FBB"/>
    <w:rsid w:val="0061625F"/>
    <w:rsid w:val="006226DC"/>
    <w:rsid w:val="00622D95"/>
    <w:rsid w:val="00623756"/>
    <w:rsid w:val="00624CDA"/>
    <w:rsid w:val="00626B28"/>
    <w:rsid w:val="00630FFB"/>
    <w:rsid w:val="006318B7"/>
    <w:rsid w:val="00632A1A"/>
    <w:rsid w:val="00634CF3"/>
    <w:rsid w:val="00635C62"/>
    <w:rsid w:val="00635F78"/>
    <w:rsid w:val="0064361F"/>
    <w:rsid w:val="00645230"/>
    <w:rsid w:val="00645F0D"/>
    <w:rsid w:val="006501B7"/>
    <w:rsid w:val="00654280"/>
    <w:rsid w:val="006552F7"/>
    <w:rsid w:val="006573B1"/>
    <w:rsid w:val="006575EA"/>
    <w:rsid w:val="0066709F"/>
    <w:rsid w:val="00680AD0"/>
    <w:rsid w:val="006831AE"/>
    <w:rsid w:val="0069461E"/>
    <w:rsid w:val="006A0B3E"/>
    <w:rsid w:val="006A21A5"/>
    <w:rsid w:val="006A30C4"/>
    <w:rsid w:val="006A356D"/>
    <w:rsid w:val="006B002A"/>
    <w:rsid w:val="006B0776"/>
    <w:rsid w:val="006B19DB"/>
    <w:rsid w:val="006B3D13"/>
    <w:rsid w:val="006B455C"/>
    <w:rsid w:val="006B605D"/>
    <w:rsid w:val="006B64D9"/>
    <w:rsid w:val="006B7698"/>
    <w:rsid w:val="006C05D0"/>
    <w:rsid w:val="006C1229"/>
    <w:rsid w:val="006C12B1"/>
    <w:rsid w:val="006C360A"/>
    <w:rsid w:val="006D0C05"/>
    <w:rsid w:val="006D19A1"/>
    <w:rsid w:val="006D34E1"/>
    <w:rsid w:val="006D7D4A"/>
    <w:rsid w:val="006E03DB"/>
    <w:rsid w:val="006E0735"/>
    <w:rsid w:val="006E32F6"/>
    <w:rsid w:val="006E3A88"/>
    <w:rsid w:val="006E3FC6"/>
    <w:rsid w:val="006E79AA"/>
    <w:rsid w:val="006F1AB6"/>
    <w:rsid w:val="006F56AA"/>
    <w:rsid w:val="006F5C85"/>
    <w:rsid w:val="00700C9F"/>
    <w:rsid w:val="00703666"/>
    <w:rsid w:val="0070603B"/>
    <w:rsid w:val="00706F00"/>
    <w:rsid w:val="00713810"/>
    <w:rsid w:val="00713E0D"/>
    <w:rsid w:val="00720153"/>
    <w:rsid w:val="00724967"/>
    <w:rsid w:val="00731530"/>
    <w:rsid w:val="00736DB7"/>
    <w:rsid w:val="0074419C"/>
    <w:rsid w:val="007445E4"/>
    <w:rsid w:val="007501B1"/>
    <w:rsid w:val="0075176D"/>
    <w:rsid w:val="0075179B"/>
    <w:rsid w:val="00753B30"/>
    <w:rsid w:val="007553B7"/>
    <w:rsid w:val="00755BFC"/>
    <w:rsid w:val="007572CE"/>
    <w:rsid w:val="00757465"/>
    <w:rsid w:val="00761932"/>
    <w:rsid w:val="00762067"/>
    <w:rsid w:val="00762918"/>
    <w:rsid w:val="00762969"/>
    <w:rsid w:val="00763A20"/>
    <w:rsid w:val="00767E45"/>
    <w:rsid w:val="007719DE"/>
    <w:rsid w:val="007735E7"/>
    <w:rsid w:val="00773B36"/>
    <w:rsid w:val="00777491"/>
    <w:rsid w:val="00780551"/>
    <w:rsid w:val="00780F8C"/>
    <w:rsid w:val="007817A1"/>
    <w:rsid w:val="007829AE"/>
    <w:rsid w:val="00784A94"/>
    <w:rsid w:val="00787076"/>
    <w:rsid w:val="00791ACA"/>
    <w:rsid w:val="00797A22"/>
    <w:rsid w:val="007A07E8"/>
    <w:rsid w:val="007A442B"/>
    <w:rsid w:val="007A553D"/>
    <w:rsid w:val="007B1307"/>
    <w:rsid w:val="007B51DD"/>
    <w:rsid w:val="007B7CC0"/>
    <w:rsid w:val="007C0E96"/>
    <w:rsid w:val="007C1D40"/>
    <w:rsid w:val="007C4B87"/>
    <w:rsid w:val="007C62CA"/>
    <w:rsid w:val="007C71F4"/>
    <w:rsid w:val="007D0CEB"/>
    <w:rsid w:val="007D290F"/>
    <w:rsid w:val="007D34CA"/>
    <w:rsid w:val="007D40A4"/>
    <w:rsid w:val="007D4D03"/>
    <w:rsid w:val="007D5830"/>
    <w:rsid w:val="007D7071"/>
    <w:rsid w:val="007E4470"/>
    <w:rsid w:val="007E6321"/>
    <w:rsid w:val="007E6726"/>
    <w:rsid w:val="007F0790"/>
    <w:rsid w:val="007F10F3"/>
    <w:rsid w:val="007F23CE"/>
    <w:rsid w:val="007F3D47"/>
    <w:rsid w:val="007F43C6"/>
    <w:rsid w:val="007F458D"/>
    <w:rsid w:val="007F5FDB"/>
    <w:rsid w:val="007F658A"/>
    <w:rsid w:val="007F78D8"/>
    <w:rsid w:val="008049A2"/>
    <w:rsid w:val="00807DD2"/>
    <w:rsid w:val="0081131C"/>
    <w:rsid w:val="00812432"/>
    <w:rsid w:val="0081474C"/>
    <w:rsid w:val="00821BA6"/>
    <w:rsid w:val="00824BAA"/>
    <w:rsid w:val="00824DF7"/>
    <w:rsid w:val="00827A50"/>
    <w:rsid w:val="00832060"/>
    <w:rsid w:val="008323D0"/>
    <w:rsid w:val="00832DC1"/>
    <w:rsid w:val="0084462A"/>
    <w:rsid w:val="008525BF"/>
    <w:rsid w:val="00854345"/>
    <w:rsid w:val="00854514"/>
    <w:rsid w:val="00855DA8"/>
    <w:rsid w:val="008618DE"/>
    <w:rsid w:val="008642D5"/>
    <w:rsid w:val="00864645"/>
    <w:rsid w:val="00865384"/>
    <w:rsid w:val="00866773"/>
    <w:rsid w:val="00874692"/>
    <w:rsid w:val="00875635"/>
    <w:rsid w:val="00880CC9"/>
    <w:rsid w:val="0088327C"/>
    <w:rsid w:val="0088762D"/>
    <w:rsid w:val="008877ED"/>
    <w:rsid w:val="00890996"/>
    <w:rsid w:val="00890DB6"/>
    <w:rsid w:val="008933D8"/>
    <w:rsid w:val="008A0085"/>
    <w:rsid w:val="008A0833"/>
    <w:rsid w:val="008A0912"/>
    <w:rsid w:val="008A0DC2"/>
    <w:rsid w:val="008A3E60"/>
    <w:rsid w:val="008A43A5"/>
    <w:rsid w:val="008A7265"/>
    <w:rsid w:val="008B23E9"/>
    <w:rsid w:val="008B3039"/>
    <w:rsid w:val="008C0559"/>
    <w:rsid w:val="008C1207"/>
    <w:rsid w:val="008C3763"/>
    <w:rsid w:val="008C5EE9"/>
    <w:rsid w:val="008D038F"/>
    <w:rsid w:val="008D0BA9"/>
    <w:rsid w:val="008D2392"/>
    <w:rsid w:val="008D5BB0"/>
    <w:rsid w:val="008D6099"/>
    <w:rsid w:val="008D7117"/>
    <w:rsid w:val="008E0911"/>
    <w:rsid w:val="008E1DC7"/>
    <w:rsid w:val="008E5AC0"/>
    <w:rsid w:val="008E6244"/>
    <w:rsid w:val="008F2A38"/>
    <w:rsid w:val="008F3E64"/>
    <w:rsid w:val="008F5DAC"/>
    <w:rsid w:val="008F7654"/>
    <w:rsid w:val="0090131A"/>
    <w:rsid w:val="00902884"/>
    <w:rsid w:val="00903EAE"/>
    <w:rsid w:val="009069DD"/>
    <w:rsid w:val="0091589D"/>
    <w:rsid w:val="00921603"/>
    <w:rsid w:val="009312EE"/>
    <w:rsid w:val="00931A46"/>
    <w:rsid w:val="009329EC"/>
    <w:rsid w:val="009342C0"/>
    <w:rsid w:val="00944373"/>
    <w:rsid w:val="00944463"/>
    <w:rsid w:val="0094548B"/>
    <w:rsid w:val="009454C3"/>
    <w:rsid w:val="00945A49"/>
    <w:rsid w:val="00947358"/>
    <w:rsid w:val="00951504"/>
    <w:rsid w:val="00955AC5"/>
    <w:rsid w:val="00956834"/>
    <w:rsid w:val="0096299F"/>
    <w:rsid w:val="00966B8B"/>
    <w:rsid w:val="00971B1A"/>
    <w:rsid w:val="00972562"/>
    <w:rsid w:val="0097383F"/>
    <w:rsid w:val="00981A37"/>
    <w:rsid w:val="00981DD0"/>
    <w:rsid w:val="00985C07"/>
    <w:rsid w:val="00986D6E"/>
    <w:rsid w:val="009912B8"/>
    <w:rsid w:val="00993121"/>
    <w:rsid w:val="0099370B"/>
    <w:rsid w:val="00993BA5"/>
    <w:rsid w:val="009A4C0F"/>
    <w:rsid w:val="009A5957"/>
    <w:rsid w:val="009A5B4C"/>
    <w:rsid w:val="009A75A0"/>
    <w:rsid w:val="009B08B2"/>
    <w:rsid w:val="009B13A1"/>
    <w:rsid w:val="009B1546"/>
    <w:rsid w:val="009B1644"/>
    <w:rsid w:val="009C414E"/>
    <w:rsid w:val="009D0425"/>
    <w:rsid w:val="009D1CC1"/>
    <w:rsid w:val="009D385D"/>
    <w:rsid w:val="009D5D56"/>
    <w:rsid w:val="009D5DA2"/>
    <w:rsid w:val="009E0273"/>
    <w:rsid w:val="009E1CE4"/>
    <w:rsid w:val="009E2103"/>
    <w:rsid w:val="009E21DC"/>
    <w:rsid w:val="009E7450"/>
    <w:rsid w:val="009F372D"/>
    <w:rsid w:val="009F3A74"/>
    <w:rsid w:val="009F3F33"/>
    <w:rsid w:val="009F48CB"/>
    <w:rsid w:val="009F5A99"/>
    <w:rsid w:val="009F6DAD"/>
    <w:rsid w:val="009F73C1"/>
    <w:rsid w:val="009F759A"/>
    <w:rsid w:val="00A00C96"/>
    <w:rsid w:val="00A00F49"/>
    <w:rsid w:val="00A00FF6"/>
    <w:rsid w:val="00A03DF6"/>
    <w:rsid w:val="00A047F2"/>
    <w:rsid w:val="00A06FB0"/>
    <w:rsid w:val="00A10398"/>
    <w:rsid w:val="00A10DB1"/>
    <w:rsid w:val="00A15B51"/>
    <w:rsid w:val="00A16927"/>
    <w:rsid w:val="00A2194D"/>
    <w:rsid w:val="00A23E15"/>
    <w:rsid w:val="00A255CB"/>
    <w:rsid w:val="00A27062"/>
    <w:rsid w:val="00A271E9"/>
    <w:rsid w:val="00A3089F"/>
    <w:rsid w:val="00A30A6C"/>
    <w:rsid w:val="00A36699"/>
    <w:rsid w:val="00A45774"/>
    <w:rsid w:val="00A47EC0"/>
    <w:rsid w:val="00A50E17"/>
    <w:rsid w:val="00A537CF"/>
    <w:rsid w:val="00A5494C"/>
    <w:rsid w:val="00A55ECC"/>
    <w:rsid w:val="00A57A39"/>
    <w:rsid w:val="00A60570"/>
    <w:rsid w:val="00A608B1"/>
    <w:rsid w:val="00A641DF"/>
    <w:rsid w:val="00A65BF5"/>
    <w:rsid w:val="00A7187B"/>
    <w:rsid w:val="00A728DB"/>
    <w:rsid w:val="00A73C0C"/>
    <w:rsid w:val="00A8134F"/>
    <w:rsid w:val="00A81BDC"/>
    <w:rsid w:val="00A82727"/>
    <w:rsid w:val="00A8454A"/>
    <w:rsid w:val="00A84B88"/>
    <w:rsid w:val="00A94CD2"/>
    <w:rsid w:val="00A968CE"/>
    <w:rsid w:val="00A97043"/>
    <w:rsid w:val="00A97CCB"/>
    <w:rsid w:val="00AA04C3"/>
    <w:rsid w:val="00AA0714"/>
    <w:rsid w:val="00AA548A"/>
    <w:rsid w:val="00AA6273"/>
    <w:rsid w:val="00AA632B"/>
    <w:rsid w:val="00AA7082"/>
    <w:rsid w:val="00AB1281"/>
    <w:rsid w:val="00AB22EA"/>
    <w:rsid w:val="00AB3949"/>
    <w:rsid w:val="00AB3EA7"/>
    <w:rsid w:val="00AB4AB1"/>
    <w:rsid w:val="00AB5CE5"/>
    <w:rsid w:val="00AC0479"/>
    <w:rsid w:val="00AC5873"/>
    <w:rsid w:val="00AC6677"/>
    <w:rsid w:val="00AD2225"/>
    <w:rsid w:val="00AD5CC0"/>
    <w:rsid w:val="00AD5EAB"/>
    <w:rsid w:val="00AD5EAF"/>
    <w:rsid w:val="00AE0B75"/>
    <w:rsid w:val="00AE2154"/>
    <w:rsid w:val="00AF2DB3"/>
    <w:rsid w:val="00AF35EB"/>
    <w:rsid w:val="00AF42F0"/>
    <w:rsid w:val="00AF5B58"/>
    <w:rsid w:val="00B0128A"/>
    <w:rsid w:val="00B01BD5"/>
    <w:rsid w:val="00B02AB8"/>
    <w:rsid w:val="00B03943"/>
    <w:rsid w:val="00B11074"/>
    <w:rsid w:val="00B142D1"/>
    <w:rsid w:val="00B14E33"/>
    <w:rsid w:val="00B1670C"/>
    <w:rsid w:val="00B16B84"/>
    <w:rsid w:val="00B17B7E"/>
    <w:rsid w:val="00B21D03"/>
    <w:rsid w:val="00B23100"/>
    <w:rsid w:val="00B35C7E"/>
    <w:rsid w:val="00B407CC"/>
    <w:rsid w:val="00B5270D"/>
    <w:rsid w:val="00B54F76"/>
    <w:rsid w:val="00B555A0"/>
    <w:rsid w:val="00B60AF8"/>
    <w:rsid w:val="00B60FD0"/>
    <w:rsid w:val="00B621B6"/>
    <w:rsid w:val="00B63555"/>
    <w:rsid w:val="00B71990"/>
    <w:rsid w:val="00B71D61"/>
    <w:rsid w:val="00B771CA"/>
    <w:rsid w:val="00B828A5"/>
    <w:rsid w:val="00B82C46"/>
    <w:rsid w:val="00B85594"/>
    <w:rsid w:val="00B921A2"/>
    <w:rsid w:val="00B9773C"/>
    <w:rsid w:val="00BA093E"/>
    <w:rsid w:val="00BA0D70"/>
    <w:rsid w:val="00BA24A6"/>
    <w:rsid w:val="00BA263D"/>
    <w:rsid w:val="00BA2971"/>
    <w:rsid w:val="00BA3777"/>
    <w:rsid w:val="00BA48FA"/>
    <w:rsid w:val="00BA4ABE"/>
    <w:rsid w:val="00BA63DE"/>
    <w:rsid w:val="00BA6FAF"/>
    <w:rsid w:val="00BB0A32"/>
    <w:rsid w:val="00BB0B06"/>
    <w:rsid w:val="00BB2188"/>
    <w:rsid w:val="00BC0077"/>
    <w:rsid w:val="00BC590E"/>
    <w:rsid w:val="00BD047B"/>
    <w:rsid w:val="00BD2B44"/>
    <w:rsid w:val="00BD2C00"/>
    <w:rsid w:val="00BE1391"/>
    <w:rsid w:val="00BE71B8"/>
    <w:rsid w:val="00BE7723"/>
    <w:rsid w:val="00BE7D5F"/>
    <w:rsid w:val="00BF25BF"/>
    <w:rsid w:val="00BF59C3"/>
    <w:rsid w:val="00BF618D"/>
    <w:rsid w:val="00BF79D3"/>
    <w:rsid w:val="00BF7C7C"/>
    <w:rsid w:val="00C02729"/>
    <w:rsid w:val="00C03D88"/>
    <w:rsid w:val="00C03F77"/>
    <w:rsid w:val="00C04FF1"/>
    <w:rsid w:val="00C1093F"/>
    <w:rsid w:val="00C12329"/>
    <w:rsid w:val="00C21CAC"/>
    <w:rsid w:val="00C23AEC"/>
    <w:rsid w:val="00C23F02"/>
    <w:rsid w:val="00C24755"/>
    <w:rsid w:val="00C2528A"/>
    <w:rsid w:val="00C254DF"/>
    <w:rsid w:val="00C26AF2"/>
    <w:rsid w:val="00C27A0A"/>
    <w:rsid w:val="00C30D67"/>
    <w:rsid w:val="00C319F4"/>
    <w:rsid w:val="00C32D2A"/>
    <w:rsid w:val="00C335F2"/>
    <w:rsid w:val="00C33F90"/>
    <w:rsid w:val="00C35B2A"/>
    <w:rsid w:val="00C36340"/>
    <w:rsid w:val="00C368C0"/>
    <w:rsid w:val="00C37B99"/>
    <w:rsid w:val="00C37DC4"/>
    <w:rsid w:val="00C432A7"/>
    <w:rsid w:val="00C44F7F"/>
    <w:rsid w:val="00C45C9C"/>
    <w:rsid w:val="00C45FB9"/>
    <w:rsid w:val="00C47288"/>
    <w:rsid w:val="00C51229"/>
    <w:rsid w:val="00C55095"/>
    <w:rsid w:val="00C613A4"/>
    <w:rsid w:val="00C63A22"/>
    <w:rsid w:val="00C666F3"/>
    <w:rsid w:val="00C67A86"/>
    <w:rsid w:val="00C7536A"/>
    <w:rsid w:val="00C75F63"/>
    <w:rsid w:val="00C7642D"/>
    <w:rsid w:val="00C80B4A"/>
    <w:rsid w:val="00C83BA4"/>
    <w:rsid w:val="00C8698C"/>
    <w:rsid w:val="00C90E10"/>
    <w:rsid w:val="00C914DE"/>
    <w:rsid w:val="00C92230"/>
    <w:rsid w:val="00C93068"/>
    <w:rsid w:val="00C93DBA"/>
    <w:rsid w:val="00C973DA"/>
    <w:rsid w:val="00CA4134"/>
    <w:rsid w:val="00CA44FC"/>
    <w:rsid w:val="00CA7A00"/>
    <w:rsid w:val="00CB5202"/>
    <w:rsid w:val="00CB556E"/>
    <w:rsid w:val="00CB6136"/>
    <w:rsid w:val="00CB634F"/>
    <w:rsid w:val="00CB7F80"/>
    <w:rsid w:val="00CC1325"/>
    <w:rsid w:val="00CC1B04"/>
    <w:rsid w:val="00CD3468"/>
    <w:rsid w:val="00CD3BEC"/>
    <w:rsid w:val="00CD41B4"/>
    <w:rsid w:val="00CD472A"/>
    <w:rsid w:val="00CD5754"/>
    <w:rsid w:val="00CD6756"/>
    <w:rsid w:val="00CE0218"/>
    <w:rsid w:val="00CE2985"/>
    <w:rsid w:val="00CF094D"/>
    <w:rsid w:val="00CF1679"/>
    <w:rsid w:val="00CF26C4"/>
    <w:rsid w:val="00CF3458"/>
    <w:rsid w:val="00CF76E8"/>
    <w:rsid w:val="00CF7CE4"/>
    <w:rsid w:val="00D00D00"/>
    <w:rsid w:val="00D01D91"/>
    <w:rsid w:val="00D01EDD"/>
    <w:rsid w:val="00D10561"/>
    <w:rsid w:val="00D1271C"/>
    <w:rsid w:val="00D1311C"/>
    <w:rsid w:val="00D14B39"/>
    <w:rsid w:val="00D15DC7"/>
    <w:rsid w:val="00D2734D"/>
    <w:rsid w:val="00D40FB2"/>
    <w:rsid w:val="00D426E7"/>
    <w:rsid w:val="00D44B5C"/>
    <w:rsid w:val="00D4588E"/>
    <w:rsid w:val="00D4597F"/>
    <w:rsid w:val="00D46D7A"/>
    <w:rsid w:val="00D47F5D"/>
    <w:rsid w:val="00D52970"/>
    <w:rsid w:val="00D54990"/>
    <w:rsid w:val="00D54F29"/>
    <w:rsid w:val="00D61191"/>
    <w:rsid w:val="00D63C57"/>
    <w:rsid w:val="00D65C30"/>
    <w:rsid w:val="00D6670A"/>
    <w:rsid w:val="00D71F16"/>
    <w:rsid w:val="00D73CD8"/>
    <w:rsid w:val="00D81604"/>
    <w:rsid w:val="00D90F1C"/>
    <w:rsid w:val="00D91A6D"/>
    <w:rsid w:val="00D91D80"/>
    <w:rsid w:val="00D94CCC"/>
    <w:rsid w:val="00D95631"/>
    <w:rsid w:val="00D9777E"/>
    <w:rsid w:val="00D97E0B"/>
    <w:rsid w:val="00D97F9A"/>
    <w:rsid w:val="00DA0588"/>
    <w:rsid w:val="00DA3638"/>
    <w:rsid w:val="00DA4644"/>
    <w:rsid w:val="00DA73FE"/>
    <w:rsid w:val="00DB3E79"/>
    <w:rsid w:val="00DB70C4"/>
    <w:rsid w:val="00DB7968"/>
    <w:rsid w:val="00DB7D4C"/>
    <w:rsid w:val="00DC178F"/>
    <w:rsid w:val="00DC332A"/>
    <w:rsid w:val="00DC3F21"/>
    <w:rsid w:val="00DC3F78"/>
    <w:rsid w:val="00DC41DE"/>
    <w:rsid w:val="00DD2AC4"/>
    <w:rsid w:val="00DD3F35"/>
    <w:rsid w:val="00DE2A7B"/>
    <w:rsid w:val="00DE64A9"/>
    <w:rsid w:val="00DF40ED"/>
    <w:rsid w:val="00E00AD7"/>
    <w:rsid w:val="00E01CEC"/>
    <w:rsid w:val="00E0391A"/>
    <w:rsid w:val="00E03A9E"/>
    <w:rsid w:val="00E07172"/>
    <w:rsid w:val="00E120D0"/>
    <w:rsid w:val="00E229A3"/>
    <w:rsid w:val="00E26BA3"/>
    <w:rsid w:val="00E33ABF"/>
    <w:rsid w:val="00E50EEB"/>
    <w:rsid w:val="00E51BC9"/>
    <w:rsid w:val="00E548D8"/>
    <w:rsid w:val="00E55AAB"/>
    <w:rsid w:val="00E564E8"/>
    <w:rsid w:val="00E65FE2"/>
    <w:rsid w:val="00E71056"/>
    <w:rsid w:val="00E718BD"/>
    <w:rsid w:val="00E722AF"/>
    <w:rsid w:val="00E80CEE"/>
    <w:rsid w:val="00E82C12"/>
    <w:rsid w:val="00E95529"/>
    <w:rsid w:val="00E96D94"/>
    <w:rsid w:val="00EA01AC"/>
    <w:rsid w:val="00EA0B33"/>
    <w:rsid w:val="00EA100C"/>
    <w:rsid w:val="00EA5777"/>
    <w:rsid w:val="00EA5786"/>
    <w:rsid w:val="00EB4DF2"/>
    <w:rsid w:val="00EB5C29"/>
    <w:rsid w:val="00EC10FD"/>
    <w:rsid w:val="00EC1254"/>
    <w:rsid w:val="00EC14FC"/>
    <w:rsid w:val="00EC4686"/>
    <w:rsid w:val="00ED07DF"/>
    <w:rsid w:val="00ED0B9A"/>
    <w:rsid w:val="00ED0D88"/>
    <w:rsid w:val="00ED3D74"/>
    <w:rsid w:val="00ED7B90"/>
    <w:rsid w:val="00EE1282"/>
    <w:rsid w:val="00EE2D47"/>
    <w:rsid w:val="00EE37D3"/>
    <w:rsid w:val="00EF0350"/>
    <w:rsid w:val="00EF0F77"/>
    <w:rsid w:val="00EF3EAD"/>
    <w:rsid w:val="00EF44E1"/>
    <w:rsid w:val="00F00E4D"/>
    <w:rsid w:val="00F07436"/>
    <w:rsid w:val="00F078AC"/>
    <w:rsid w:val="00F10AF7"/>
    <w:rsid w:val="00F12497"/>
    <w:rsid w:val="00F21E75"/>
    <w:rsid w:val="00F266D3"/>
    <w:rsid w:val="00F26C6C"/>
    <w:rsid w:val="00F26E96"/>
    <w:rsid w:val="00F2739F"/>
    <w:rsid w:val="00F30797"/>
    <w:rsid w:val="00F35A52"/>
    <w:rsid w:val="00F41CD5"/>
    <w:rsid w:val="00F43570"/>
    <w:rsid w:val="00F45A80"/>
    <w:rsid w:val="00F462C9"/>
    <w:rsid w:val="00F4720B"/>
    <w:rsid w:val="00F53BD0"/>
    <w:rsid w:val="00F54766"/>
    <w:rsid w:val="00F56D50"/>
    <w:rsid w:val="00F65356"/>
    <w:rsid w:val="00F65883"/>
    <w:rsid w:val="00F775A7"/>
    <w:rsid w:val="00F81AB7"/>
    <w:rsid w:val="00F83718"/>
    <w:rsid w:val="00F84042"/>
    <w:rsid w:val="00F849E1"/>
    <w:rsid w:val="00F85133"/>
    <w:rsid w:val="00F9092C"/>
    <w:rsid w:val="00F92AC6"/>
    <w:rsid w:val="00F93BC7"/>
    <w:rsid w:val="00F94421"/>
    <w:rsid w:val="00F946ED"/>
    <w:rsid w:val="00F965BC"/>
    <w:rsid w:val="00FA2A4F"/>
    <w:rsid w:val="00FA2CBB"/>
    <w:rsid w:val="00FA2CCF"/>
    <w:rsid w:val="00FA333E"/>
    <w:rsid w:val="00FA3740"/>
    <w:rsid w:val="00FA3A1B"/>
    <w:rsid w:val="00FB0857"/>
    <w:rsid w:val="00FB13A9"/>
    <w:rsid w:val="00FB265C"/>
    <w:rsid w:val="00FB556D"/>
    <w:rsid w:val="00FC033B"/>
    <w:rsid w:val="00FC0B62"/>
    <w:rsid w:val="00FC2011"/>
    <w:rsid w:val="00FC2B90"/>
    <w:rsid w:val="00FC4A2E"/>
    <w:rsid w:val="00FC6726"/>
    <w:rsid w:val="00FD4385"/>
    <w:rsid w:val="00FD5FBD"/>
    <w:rsid w:val="00FE2CB7"/>
    <w:rsid w:val="00FE4969"/>
    <w:rsid w:val="00FE5B14"/>
    <w:rsid w:val="00FF07C1"/>
    <w:rsid w:val="00FF2B51"/>
    <w:rsid w:val="00FF45F4"/>
    <w:rsid w:val="00FF5EC5"/>
    <w:rsid w:val="00FF6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214261FF"/>
  <w15:docId w15:val="{56541681-93ED-4A44-8421-A7A24799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A0A"/>
    <w:rPr>
      <w:rFonts w:ascii="Arial" w:hAnsi="Arial" w:cs="Arial"/>
      <w:sz w:val="22"/>
    </w:rPr>
  </w:style>
  <w:style w:type="paragraph" w:styleId="Heading1">
    <w:name w:val="heading 1"/>
    <w:basedOn w:val="Normal"/>
    <w:next w:val="Normal"/>
    <w:link w:val="Heading1Char"/>
    <w:qFormat/>
    <w:rsid w:val="00BD2B44"/>
    <w:pPr>
      <w:tabs>
        <w:tab w:val="center" w:pos="4153"/>
      </w:tabs>
      <w:spacing w:line="240" w:lineRule="exact"/>
      <w:ind w:right="-680"/>
      <w:jc w:val="right"/>
      <w:outlineLvl w:val="0"/>
    </w:pPr>
    <w:rPr>
      <w:rFonts w:cs="Times New Roman"/>
      <w:sz w:val="18"/>
      <w:szCs w:val="18"/>
    </w:rPr>
  </w:style>
  <w:style w:type="paragraph" w:styleId="Heading2">
    <w:name w:val="heading 2"/>
    <w:basedOn w:val="Heading1"/>
    <w:next w:val="Normal"/>
    <w:link w:val="Heading2Char"/>
    <w:qFormat/>
    <w:rsid w:val="00BD2B44"/>
    <w:pPr>
      <w:outlineLvl w:val="1"/>
    </w:pPr>
    <w:rPr>
      <w:b/>
    </w:rPr>
  </w:style>
  <w:style w:type="paragraph" w:styleId="Heading4">
    <w:name w:val="heading 4"/>
    <w:basedOn w:val="Normal"/>
    <w:next w:val="Normal"/>
    <w:qFormat/>
    <w:rsid w:val="00890996"/>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90996"/>
    <w:pPr>
      <w:spacing w:before="240" w:after="60"/>
      <w:outlineLvl w:val="4"/>
    </w:pPr>
    <w:rPr>
      <w:b/>
      <w:bCs/>
      <w:i/>
      <w:iCs/>
      <w:sz w:val="26"/>
      <w:szCs w:val="26"/>
    </w:rPr>
  </w:style>
  <w:style w:type="paragraph" w:styleId="Heading6">
    <w:name w:val="heading 6"/>
    <w:basedOn w:val="Normal"/>
    <w:next w:val="Normal"/>
    <w:qFormat/>
    <w:rsid w:val="00890996"/>
    <w:p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890996"/>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890996"/>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890996"/>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84B7C"/>
    <w:pPr>
      <w:tabs>
        <w:tab w:val="center" w:pos="4153"/>
        <w:tab w:val="right" w:pos="8306"/>
      </w:tabs>
    </w:pPr>
  </w:style>
  <w:style w:type="paragraph" w:styleId="Header">
    <w:name w:val="header"/>
    <w:basedOn w:val="Normal"/>
    <w:link w:val="HeaderChar"/>
    <w:uiPriority w:val="99"/>
    <w:rsid w:val="00184B7C"/>
    <w:pPr>
      <w:tabs>
        <w:tab w:val="center" w:pos="4153"/>
        <w:tab w:val="right" w:pos="8306"/>
      </w:tabs>
    </w:pPr>
  </w:style>
  <w:style w:type="paragraph" w:styleId="BalloonText">
    <w:name w:val="Balloon Text"/>
    <w:basedOn w:val="Normal"/>
    <w:semiHidden/>
    <w:rsid w:val="00CB5202"/>
    <w:rPr>
      <w:rFonts w:ascii="Tahoma" w:hAnsi="Tahoma" w:cs="Tahoma"/>
      <w:sz w:val="16"/>
      <w:szCs w:val="16"/>
    </w:rPr>
  </w:style>
  <w:style w:type="paragraph" w:customStyle="1" w:styleId="NTTHeaderInfo">
    <w:name w:val="NTT Header Info"/>
    <w:rsid w:val="00713E0D"/>
    <w:pPr>
      <w:spacing w:line="240" w:lineRule="exact"/>
      <w:jc w:val="right"/>
    </w:pPr>
    <w:rPr>
      <w:rFonts w:ascii="Arial" w:hAnsi="Arial"/>
      <w:sz w:val="18"/>
      <w:szCs w:val="18"/>
    </w:rPr>
  </w:style>
  <w:style w:type="character" w:customStyle="1" w:styleId="Heading1Char">
    <w:name w:val="Heading 1 Char"/>
    <w:link w:val="Heading1"/>
    <w:rsid w:val="00BD2B44"/>
    <w:rPr>
      <w:rFonts w:ascii="Arial" w:hAnsi="Arial"/>
      <w:sz w:val="18"/>
      <w:szCs w:val="18"/>
      <w:lang w:val="en-AU" w:eastAsia="en-AU" w:bidi="ar-SA"/>
    </w:rPr>
  </w:style>
  <w:style w:type="character" w:customStyle="1" w:styleId="Heading2Char">
    <w:name w:val="Heading 2 Char"/>
    <w:link w:val="Heading2"/>
    <w:rsid w:val="00BD2B44"/>
    <w:rPr>
      <w:rFonts w:ascii="Arial" w:hAnsi="Arial"/>
      <w:b/>
      <w:sz w:val="18"/>
      <w:szCs w:val="18"/>
      <w:lang w:val="en-AU" w:eastAsia="en-AU" w:bidi="ar-SA"/>
    </w:rPr>
  </w:style>
  <w:style w:type="paragraph" w:customStyle="1" w:styleId="NTTBodyText">
    <w:name w:val="NTT Body Text"/>
    <w:rsid w:val="00E51BC9"/>
    <w:pPr>
      <w:spacing w:after="120" w:line="300" w:lineRule="exact"/>
    </w:pPr>
    <w:rPr>
      <w:rFonts w:ascii="Arial" w:hAnsi="Arial"/>
      <w:sz w:val="22"/>
      <w:szCs w:val="24"/>
    </w:rPr>
  </w:style>
  <w:style w:type="character" w:styleId="PageNumber">
    <w:name w:val="page number"/>
    <w:basedOn w:val="DefaultParagraphFont"/>
    <w:rsid w:val="0019571B"/>
  </w:style>
  <w:style w:type="paragraph" w:customStyle="1" w:styleId="NTTBodyTextTitle">
    <w:name w:val="NTT Body Text Title"/>
    <w:basedOn w:val="NTTBodyText"/>
    <w:rsid w:val="001D7DC4"/>
    <w:rPr>
      <w:b/>
      <w:bCs/>
    </w:rPr>
  </w:style>
  <w:style w:type="table" w:styleId="TableGrid">
    <w:name w:val="Table Grid"/>
    <w:basedOn w:val="TableNormal"/>
    <w:rsid w:val="00C27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One">
    <w:name w:val="Heading One"/>
    <w:basedOn w:val="Normal"/>
    <w:rsid w:val="00364D5F"/>
    <w:pPr>
      <w:spacing w:after="120"/>
      <w:jc w:val="center"/>
    </w:pPr>
    <w:rPr>
      <w:rFonts w:cs="Times New Roman"/>
      <w:b/>
      <w:bCs/>
      <w:sz w:val="32"/>
    </w:rPr>
  </w:style>
  <w:style w:type="paragraph" w:customStyle="1" w:styleId="HeadingTwo">
    <w:name w:val="Heading Two"/>
    <w:basedOn w:val="Normal"/>
    <w:rsid w:val="002B67E3"/>
    <w:pPr>
      <w:keepNext/>
      <w:pBdr>
        <w:bottom w:val="single" w:sz="4" w:space="1" w:color="auto"/>
      </w:pBdr>
      <w:spacing w:before="360" w:after="120"/>
    </w:pPr>
    <w:rPr>
      <w:rFonts w:cs="Times New Roman"/>
      <w:b/>
      <w:bCs/>
    </w:rPr>
  </w:style>
  <w:style w:type="numbering" w:customStyle="1" w:styleId="Text">
    <w:name w:val="Text"/>
    <w:rsid w:val="00545D20"/>
    <w:pPr>
      <w:numPr>
        <w:numId w:val="11"/>
      </w:numPr>
    </w:pPr>
  </w:style>
  <w:style w:type="character" w:styleId="Hyperlink">
    <w:name w:val="Hyperlink"/>
    <w:rsid w:val="00545D20"/>
    <w:rPr>
      <w:color w:val="0000FF"/>
      <w:u w:val="single"/>
    </w:rPr>
  </w:style>
  <w:style w:type="paragraph" w:styleId="BlockText">
    <w:name w:val="Block Text"/>
    <w:basedOn w:val="ListNumber"/>
    <w:rsid w:val="00F65356"/>
    <w:pPr>
      <w:numPr>
        <w:numId w:val="3"/>
      </w:numPr>
      <w:spacing w:after="120"/>
      <w:jc w:val="both"/>
    </w:pPr>
  </w:style>
  <w:style w:type="paragraph" w:customStyle="1" w:styleId="HeadingThree">
    <w:name w:val="Heading Three"/>
    <w:basedOn w:val="HeadingTwo"/>
    <w:rsid w:val="00545D20"/>
    <w:pPr>
      <w:pBdr>
        <w:bottom w:val="none" w:sz="0" w:space="0" w:color="auto"/>
      </w:pBdr>
    </w:pPr>
    <w:rPr>
      <w:i/>
      <w:iCs/>
    </w:rPr>
  </w:style>
  <w:style w:type="paragraph" w:customStyle="1" w:styleId="HeadingFour">
    <w:name w:val="Heading Four"/>
    <w:basedOn w:val="HeadingThree"/>
    <w:rsid w:val="006034B6"/>
    <w:rPr>
      <w:b w:val="0"/>
      <w:bCs w:val="0"/>
      <w:u w:val="single"/>
    </w:rPr>
  </w:style>
  <w:style w:type="paragraph" w:styleId="BodyText2">
    <w:name w:val="Body Text 2"/>
    <w:basedOn w:val="Normal"/>
    <w:rsid w:val="00513926"/>
    <w:pPr>
      <w:spacing w:after="120"/>
      <w:jc w:val="both"/>
    </w:pPr>
    <w:rPr>
      <w:rFonts w:ascii="Tahoma" w:hAnsi="Tahoma" w:cs="Times New Roman"/>
      <w:b/>
    </w:rPr>
  </w:style>
  <w:style w:type="paragraph" w:styleId="ListNumber">
    <w:name w:val="List Number"/>
    <w:basedOn w:val="Normal"/>
    <w:rsid w:val="00890996"/>
    <w:pPr>
      <w:numPr>
        <w:numId w:val="8"/>
      </w:numPr>
    </w:pPr>
  </w:style>
  <w:style w:type="paragraph" w:customStyle="1" w:styleId="ExampleBox">
    <w:name w:val="Example Box"/>
    <w:rsid w:val="002B67E3"/>
    <w:pPr>
      <w:pBdr>
        <w:top w:val="single" w:sz="4" w:space="1" w:color="auto"/>
        <w:left w:val="single" w:sz="4" w:space="4" w:color="auto"/>
        <w:bottom w:val="single" w:sz="4" w:space="1" w:color="auto"/>
        <w:right w:val="single" w:sz="4" w:space="4" w:color="auto"/>
      </w:pBdr>
      <w:shd w:val="clear" w:color="auto" w:fill="F3F3F3"/>
      <w:spacing w:before="240" w:after="240"/>
    </w:pPr>
    <w:rPr>
      <w:rFonts w:ascii="Arial" w:hAnsi="Arial"/>
      <w:sz w:val="22"/>
    </w:rPr>
  </w:style>
  <w:style w:type="paragraph" w:customStyle="1" w:styleId="Subheading1">
    <w:name w:val="Subheading 1"/>
    <w:basedOn w:val="Normal"/>
    <w:rsid w:val="00E548D8"/>
    <w:pPr>
      <w:spacing w:before="360" w:line="300" w:lineRule="exact"/>
    </w:pPr>
    <w:rPr>
      <w:rFonts w:cs="Times New Roman"/>
      <w:sz w:val="28"/>
      <w:szCs w:val="28"/>
    </w:rPr>
  </w:style>
  <w:style w:type="paragraph" w:styleId="FootnoteText">
    <w:name w:val="footnote text"/>
    <w:basedOn w:val="Normal"/>
    <w:semiHidden/>
    <w:rsid w:val="00E548D8"/>
    <w:rPr>
      <w:rFonts w:ascii="Times New Roman" w:hAnsi="Times New Roman" w:cs="Times New Roman"/>
      <w:sz w:val="20"/>
    </w:rPr>
  </w:style>
  <w:style w:type="character" w:styleId="FootnoteReference">
    <w:name w:val="footnote reference"/>
    <w:semiHidden/>
    <w:rsid w:val="00E548D8"/>
    <w:rPr>
      <w:vertAlign w:val="superscript"/>
    </w:rPr>
  </w:style>
  <w:style w:type="paragraph" w:customStyle="1" w:styleId="BodyTextArial12pt">
    <w:name w:val="Body Text Arial 12pt"/>
    <w:basedOn w:val="Normal"/>
    <w:link w:val="BodyTextArial12ptCharChar"/>
    <w:rsid w:val="00E548D8"/>
    <w:pPr>
      <w:spacing w:after="120"/>
      <w:jc w:val="both"/>
    </w:pPr>
    <w:rPr>
      <w:snapToGrid w:val="0"/>
      <w:color w:val="000000"/>
      <w:sz w:val="24"/>
      <w:szCs w:val="24"/>
      <w:lang w:eastAsia="en-US"/>
    </w:rPr>
  </w:style>
  <w:style w:type="character" w:customStyle="1" w:styleId="BodyTextArial12ptCharChar">
    <w:name w:val="Body Text Arial 12pt Char Char"/>
    <w:link w:val="BodyTextArial12pt"/>
    <w:rsid w:val="00E548D8"/>
    <w:rPr>
      <w:rFonts w:ascii="Arial" w:hAnsi="Arial" w:cs="Arial"/>
      <w:snapToGrid w:val="0"/>
      <w:color w:val="000000"/>
      <w:sz w:val="24"/>
      <w:szCs w:val="24"/>
      <w:lang w:val="en-AU" w:eastAsia="en-US" w:bidi="ar-SA"/>
    </w:rPr>
  </w:style>
  <w:style w:type="character" w:styleId="CommentReference">
    <w:name w:val="annotation reference"/>
    <w:rsid w:val="008E0911"/>
    <w:rPr>
      <w:sz w:val="16"/>
      <w:szCs w:val="16"/>
    </w:rPr>
  </w:style>
  <w:style w:type="paragraph" w:styleId="CommentText">
    <w:name w:val="annotation text"/>
    <w:basedOn w:val="Normal"/>
    <w:link w:val="CommentTextChar"/>
    <w:rsid w:val="008E0911"/>
    <w:rPr>
      <w:rFonts w:cs="Times New Roman"/>
      <w:sz w:val="20"/>
      <w:lang w:val="x-none" w:eastAsia="x-none"/>
    </w:rPr>
  </w:style>
  <w:style w:type="character" w:customStyle="1" w:styleId="CommentTextChar">
    <w:name w:val="Comment Text Char"/>
    <w:link w:val="CommentText"/>
    <w:rsid w:val="008E0911"/>
    <w:rPr>
      <w:rFonts w:ascii="Arial" w:hAnsi="Arial" w:cs="Arial"/>
    </w:rPr>
  </w:style>
  <w:style w:type="paragraph" w:styleId="CommentSubject">
    <w:name w:val="annotation subject"/>
    <w:basedOn w:val="CommentText"/>
    <w:next w:val="CommentText"/>
    <w:link w:val="CommentSubjectChar"/>
    <w:rsid w:val="008E0911"/>
    <w:rPr>
      <w:b/>
      <w:bCs/>
    </w:rPr>
  </w:style>
  <w:style w:type="character" w:customStyle="1" w:styleId="CommentSubjectChar">
    <w:name w:val="Comment Subject Char"/>
    <w:link w:val="CommentSubject"/>
    <w:rsid w:val="008E0911"/>
    <w:rPr>
      <w:rFonts w:ascii="Arial" w:hAnsi="Arial" w:cs="Arial"/>
      <w:b/>
      <w:bCs/>
    </w:rPr>
  </w:style>
  <w:style w:type="character" w:customStyle="1" w:styleId="HeaderChar">
    <w:name w:val="Header Char"/>
    <w:link w:val="Header"/>
    <w:uiPriority w:val="99"/>
    <w:rsid w:val="00CD3468"/>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treasury.nt.gov.au/PMS/Publications/TaxesRoyaltiesGrants/GeneralAdmin/CG-GEN-001.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easury.nt.gov.au/PMS/Publications/TaxesRoyaltiesGrants/HomeOwnerIncent/CG-HI-003.pdf" TargetMode="External"/><Relationship Id="rId5" Type="http://schemas.openxmlformats.org/officeDocument/2006/relationships/styles" Target="styles.xml"/><Relationship Id="rId15" Type="http://schemas.openxmlformats.org/officeDocument/2006/relationships/hyperlink" Target="http://www.revenue.nt.gov.au" TargetMode="External"/><Relationship Id="rId10" Type="http://schemas.openxmlformats.org/officeDocument/2006/relationships/hyperlink" Target="http://www.treasury.nt.gov.au/PMS/Publications/TaxesRoyaltiesGrants/HomeOwnerIncent/CG-HI-011.pdf"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trevenue.ntt@nt.gov.au"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_x0020_Type_x0020_Topic xmlns="378e824e-6e02-4c0d-8321-dd86fba681ee" xsi:nil="true"/>
    <Main_x0020_Category xmlns="378e824e-6e02-4c0d-8321-dd86fba681ee">6</Main_x0020_Category>
    <Tax_x0020_Type xmlns="378e824e-6e02-4c0d-8321-dd86fba681ee">Home Incentives (HI)</Tax_x0020_Type>
    <Publication_x0020_Title xmlns="378e824e-6e02-4c0d-8321-dd86fba681ee">Purchasing a home subject to an existing lease</Publication_x0020_Title>
    <Details xmlns="378e824e-6e02-4c0d-8321-dd86fba681ee" xsi:nil="true"/>
    <Identifier xmlns="378e824e-6e02-4c0d-8321-dd86fba681ee">CG-HI-010</Identifier>
    <Publication_x0020_Type xmlns="378e824e-6e02-4c0d-8321-dd86fba681ee">Commissioner's Guidelines (CG)</Publication_x0020_Type>
    <Sub_x0020_Sub_x0020_Category xmlns="378e824e-6e02-4c0d-8321-dd86fba681ee" xsi:nil="true"/>
    <Release_x0020_Date xmlns="378e824e-6e02-4c0d-8321-dd86fba681ee">2016-05-23T14:30:00+00:00</Release_x0020_Date>
    <Sub_x0020_Category xmlns="378e824e-6e02-4c0d-8321-dd86fba681ee">22</Sub_x0020_Category>
    <Notify xmlns="378e824e-6e02-4c0d-8321-dd86fba681ee">false</Notif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25D4F8-463E-4725-A5CD-E90C745D6FEA}">
  <ds:schemaRefs>
    <ds:schemaRef ds:uri="http://schemas.microsoft.com/office/2006/metadata/properties"/>
    <ds:schemaRef ds:uri="http://schemas.microsoft.com/office/infopath/2007/PartnerControls"/>
    <ds:schemaRef ds:uri="378e824e-6e02-4c0d-8321-dd86fba681ee"/>
  </ds:schemaRefs>
</ds:datastoreItem>
</file>

<file path=customXml/itemProps2.xml><?xml version="1.0" encoding="utf-8"?>
<ds:datastoreItem xmlns:ds="http://schemas.openxmlformats.org/officeDocument/2006/customXml" ds:itemID="{4A4CBB31-CEA5-46D7-9582-62AF34FCBBB2}">
  <ds:schemaRefs>
    <ds:schemaRef ds:uri="http://schemas.microsoft.com/sharepoint/v3/contenttype/forms"/>
  </ds:schemaRefs>
</ds:datastoreItem>
</file>

<file path=customXml/itemProps3.xml><?xml version="1.0" encoding="utf-8"?>
<ds:datastoreItem xmlns:ds="http://schemas.openxmlformats.org/officeDocument/2006/customXml" ds:itemID="{9B604873-37A4-4B25-A6BB-344F7BFBF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1037</Words>
  <Characters>5912</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Our Ref:</vt:lpstr>
    </vt:vector>
  </TitlesOfParts>
  <Company>Northern Territory Government</Company>
  <LinksUpToDate>false</LinksUpToDate>
  <CharactersWithSpaces>6936</CharactersWithSpaces>
  <SharedDoc>false</SharedDoc>
  <HLinks>
    <vt:vector size="30" baseType="variant">
      <vt:variant>
        <vt:i4>5242895</vt:i4>
      </vt:variant>
      <vt:variant>
        <vt:i4>12</vt:i4>
      </vt:variant>
      <vt:variant>
        <vt:i4>0</vt:i4>
      </vt:variant>
      <vt:variant>
        <vt:i4>5</vt:i4>
      </vt:variant>
      <vt:variant>
        <vt:lpwstr>http://www.revenue.nt.gov.au/</vt:lpwstr>
      </vt:variant>
      <vt:variant>
        <vt:lpwstr/>
      </vt:variant>
      <vt:variant>
        <vt:i4>7143509</vt:i4>
      </vt:variant>
      <vt:variant>
        <vt:i4>9</vt:i4>
      </vt:variant>
      <vt:variant>
        <vt:i4>0</vt:i4>
      </vt:variant>
      <vt:variant>
        <vt:i4>5</vt:i4>
      </vt:variant>
      <vt:variant>
        <vt:lpwstr>mailto:ntrevenue.ntt@nt.gov.au</vt:lpwstr>
      </vt:variant>
      <vt:variant>
        <vt:lpwstr/>
      </vt:variant>
      <vt:variant>
        <vt:i4>2883638</vt:i4>
      </vt:variant>
      <vt:variant>
        <vt:i4>6</vt:i4>
      </vt:variant>
      <vt:variant>
        <vt:i4>0</vt:i4>
      </vt:variant>
      <vt:variant>
        <vt:i4>5</vt:i4>
      </vt:variant>
      <vt:variant>
        <vt:lpwstr>http://www.treasury.nt.gov.au/PMS/Publications/TaxesRoyaltiesGrants/GeneralAdmin/CG-GEN-001.pdf</vt:lpwstr>
      </vt:variant>
      <vt:variant>
        <vt:lpwstr/>
      </vt:variant>
      <vt:variant>
        <vt:i4>5767233</vt:i4>
      </vt:variant>
      <vt:variant>
        <vt:i4>3</vt:i4>
      </vt:variant>
      <vt:variant>
        <vt:i4>0</vt:i4>
      </vt:variant>
      <vt:variant>
        <vt:i4>5</vt:i4>
      </vt:variant>
      <vt:variant>
        <vt:lpwstr>http://www.treasury.nt.gov.au/PMS/Publications/TaxesRoyaltiesGrants/HomeOwnerIncent/CG-HI-003.pdf</vt:lpwstr>
      </vt:variant>
      <vt:variant>
        <vt:lpwstr/>
      </vt:variant>
      <vt:variant>
        <vt:i4>5832771</vt:i4>
      </vt:variant>
      <vt:variant>
        <vt:i4>0</vt:i4>
      </vt:variant>
      <vt:variant>
        <vt:i4>0</vt:i4>
      </vt:variant>
      <vt:variant>
        <vt:i4>5</vt:i4>
      </vt:variant>
      <vt:variant>
        <vt:lpwstr>http://www.treasury.nt.gov.au/PMS/Publications/TaxesRoyaltiesGrants/HomeOwnerIncent/CG-HI-011.pdf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 a home subject to an existing lease</dc:title>
  <dc:creator>sschu</dc:creator>
  <cp:lastModifiedBy>Jessica Symonds</cp:lastModifiedBy>
  <cp:revision>7</cp:revision>
  <cp:lastPrinted>2015-04-24T03:28:00Z</cp:lastPrinted>
  <dcterms:created xsi:type="dcterms:W3CDTF">2016-02-26T03:55:00Z</dcterms:created>
  <dcterms:modified xsi:type="dcterms:W3CDTF">2021-09-10T07:27:00Z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