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3D" w:rsidRDefault="00BB4C3D" w:rsidP="00C27A0A">
      <w:pPr>
        <w:pStyle w:val="HeadingOne"/>
      </w:pPr>
    </w:p>
    <w:p w:rsidR="00BB4C3D" w:rsidRDefault="00BB4C3D" w:rsidP="00C27A0A">
      <w:pPr>
        <w:pStyle w:val="HeadingOne"/>
      </w:pPr>
    </w:p>
    <w:p w:rsidR="00BB4C3D" w:rsidRDefault="00BB4C3D" w:rsidP="00C27A0A">
      <w:pPr>
        <w:pStyle w:val="HeadingOne"/>
      </w:pPr>
      <w:r>
        <w:t>TERRITORY REVENUE OFFICE</w:t>
      </w:r>
    </w:p>
    <w:p w:rsidR="002546CB" w:rsidRPr="00C27A0A" w:rsidRDefault="00DE64A9" w:rsidP="00C27A0A">
      <w:pPr>
        <w:pStyle w:val="HeadingOne"/>
      </w:pPr>
      <w:r>
        <w:t>COMMISSIONER’S GUIDELINE</w:t>
      </w:r>
    </w:p>
    <w:p w:rsidR="00C27A0A" w:rsidRDefault="00513926" w:rsidP="00FE2364">
      <w:pPr>
        <w:pStyle w:val="HeadingOne"/>
      </w:pPr>
      <w:r>
        <w:t>CG</w:t>
      </w:r>
      <w:r w:rsidR="00C27A0A" w:rsidRPr="00C27A0A">
        <w:t>-</w:t>
      </w:r>
      <w:r w:rsidR="00FE2364">
        <w:t>HI-008: Separated Spouses</w:t>
      </w:r>
    </w:p>
    <w:p w:rsidR="00FE2364" w:rsidRDefault="00FE2364" w:rsidP="00FE2364">
      <w:pPr>
        <w:pStyle w:val="HeadingOne"/>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8801C6" w:rsidTr="008801C6">
        <w:trPr>
          <w:jc w:val="center"/>
        </w:trPr>
        <w:tc>
          <w:tcPr>
            <w:tcW w:w="1030" w:type="dxa"/>
            <w:vMerge w:val="restart"/>
            <w:shd w:val="clear" w:color="auto" w:fill="auto"/>
          </w:tcPr>
          <w:p w:rsidR="00F65356" w:rsidRPr="008801C6" w:rsidRDefault="00F65356" w:rsidP="008801C6">
            <w:pPr>
              <w:jc w:val="center"/>
              <w:rPr>
                <w:b/>
                <w:sz w:val="18"/>
                <w:szCs w:val="18"/>
              </w:rPr>
            </w:pPr>
            <w:r w:rsidRPr="008801C6">
              <w:rPr>
                <w:b/>
                <w:sz w:val="18"/>
                <w:szCs w:val="18"/>
              </w:rPr>
              <w:t>Version</w:t>
            </w:r>
          </w:p>
        </w:tc>
        <w:tc>
          <w:tcPr>
            <w:tcW w:w="1848" w:type="dxa"/>
            <w:vMerge w:val="restart"/>
            <w:tcBorders>
              <w:right w:val="single" w:sz="4" w:space="0" w:color="auto"/>
            </w:tcBorders>
            <w:shd w:val="clear" w:color="auto" w:fill="auto"/>
          </w:tcPr>
          <w:p w:rsidR="00F65356" w:rsidRPr="008801C6" w:rsidRDefault="00F65356" w:rsidP="008801C6">
            <w:pPr>
              <w:jc w:val="center"/>
              <w:rPr>
                <w:b/>
                <w:sz w:val="18"/>
                <w:szCs w:val="18"/>
              </w:rPr>
            </w:pPr>
            <w:r w:rsidRPr="008801C6">
              <w:rPr>
                <w:b/>
                <w:sz w:val="18"/>
                <w:szCs w:val="18"/>
              </w:rPr>
              <w:t>Issued</w:t>
            </w:r>
          </w:p>
        </w:tc>
        <w:tc>
          <w:tcPr>
            <w:tcW w:w="3552" w:type="dxa"/>
            <w:gridSpan w:val="2"/>
            <w:tcBorders>
              <w:top w:val="single" w:sz="4" w:space="0" w:color="auto"/>
              <w:left w:val="single" w:sz="4" w:space="0" w:color="auto"/>
              <w:bottom w:val="nil"/>
              <w:right w:val="single" w:sz="4" w:space="0" w:color="auto"/>
            </w:tcBorders>
            <w:shd w:val="clear" w:color="auto" w:fill="auto"/>
          </w:tcPr>
          <w:p w:rsidR="00F65356" w:rsidRPr="008801C6" w:rsidRDefault="00F65356" w:rsidP="008801C6">
            <w:pPr>
              <w:jc w:val="center"/>
              <w:rPr>
                <w:b/>
                <w:sz w:val="18"/>
                <w:szCs w:val="18"/>
              </w:rPr>
            </w:pPr>
            <w:r w:rsidRPr="008801C6">
              <w:rPr>
                <w:b/>
                <w:sz w:val="18"/>
                <w:szCs w:val="18"/>
              </w:rPr>
              <w:t>Dates of Effect</w:t>
            </w:r>
          </w:p>
        </w:tc>
      </w:tr>
      <w:tr w:rsidR="00F65356" w:rsidRPr="008801C6" w:rsidTr="008801C6">
        <w:trPr>
          <w:jc w:val="center"/>
        </w:trPr>
        <w:tc>
          <w:tcPr>
            <w:tcW w:w="1030" w:type="dxa"/>
            <w:vMerge/>
            <w:shd w:val="clear" w:color="auto" w:fill="auto"/>
          </w:tcPr>
          <w:p w:rsidR="00F65356" w:rsidRPr="008801C6" w:rsidRDefault="00F65356" w:rsidP="008801C6">
            <w:pPr>
              <w:jc w:val="center"/>
              <w:rPr>
                <w:sz w:val="18"/>
                <w:szCs w:val="18"/>
              </w:rPr>
            </w:pPr>
          </w:p>
        </w:tc>
        <w:tc>
          <w:tcPr>
            <w:tcW w:w="1848" w:type="dxa"/>
            <w:vMerge/>
            <w:tcBorders>
              <w:right w:val="single" w:sz="4" w:space="0" w:color="auto"/>
            </w:tcBorders>
            <w:shd w:val="clear" w:color="auto" w:fill="auto"/>
          </w:tcPr>
          <w:p w:rsidR="00F65356" w:rsidRPr="008801C6" w:rsidRDefault="00F65356" w:rsidP="008801C6">
            <w:pPr>
              <w:jc w:val="center"/>
              <w:rPr>
                <w:sz w:val="18"/>
                <w:szCs w:val="18"/>
              </w:rPr>
            </w:pPr>
          </w:p>
        </w:tc>
        <w:tc>
          <w:tcPr>
            <w:tcW w:w="1710" w:type="dxa"/>
            <w:tcBorders>
              <w:top w:val="nil"/>
              <w:left w:val="single" w:sz="4" w:space="0" w:color="auto"/>
              <w:bottom w:val="single" w:sz="4" w:space="0" w:color="auto"/>
              <w:right w:val="nil"/>
            </w:tcBorders>
            <w:shd w:val="clear" w:color="auto" w:fill="auto"/>
          </w:tcPr>
          <w:p w:rsidR="00F65356" w:rsidRPr="008801C6" w:rsidRDefault="00F65356" w:rsidP="00AD2225">
            <w:pPr>
              <w:rPr>
                <w:b/>
                <w:sz w:val="18"/>
                <w:szCs w:val="18"/>
              </w:rPr>
            </w:pPr>
            <w:r w:rsidRPr="008801C6">
              <w:rPr>
                <w:b/>
                <w:sz w:val="18"/>
                <w:szCs w:val="18"/>
              </w:rPr>
              <w:t>From:</w:t>
            </w:r>
          </w:p>
        </w:tc>
        <w:tc>
          <w:tcPr>
            <w:tcW w:w="1842" w:type="dxa"/>
            <w:tcBorders>
              <w:top w:val="nil"/>
              <w:left w:val="nil"/>
              <w:bottom w:val="single" w:sz="4" w:space="0" w:color="auto"/>
              <w:right w:val="single" w:sz="4" w:space="0" w:color="auto"/>
            </w:tcBorders>
            <w:shd w:val="clear" w:color="auto" w:fill="auto"/>
          </w:tcPr>
          <w:p w:rsidR="00F65356" w:rsidRPr="008801C6" w:rsidRDefault="00F65356" w:rsidP="00AD2225">
            <w:pPr>
              <w:rPr>
                <w:b/>
                <w:sz w:val="18"/>
                <w:szCs w:val="18"/>
              </w:rPr>
            </w:pPr>
            <w:r w:rsidRPr="008801C6">
              <w:rPr>
                <w:b/>
                <w:sz w:val="18"/>
                <w:szCs w:val="18"/>
              </w:rPr>
              <w:t>To: Current</w:t>
            </w:r>
          </w:p>
        </w:tc>
      </w:tr>
      <w:tr w:rsidR="00FE2364" w:rsidRPr="008801C6" w:rsidTr="008801C6">
        <w:trPr>
          <w:jc w:val="center"/>
        </w:trPr>
        <w:tc>
          <w:tcPr>
            <w:tcW w:w="1030" w:type="dxa"/>
            <w:shd w:val="clear" w:color="auto" w:fill="auto"/>
          </w:tcPr>
          <w:p w:rsidR="00FE2364" w:rsidRPr="008801C6" w:rsidRDefault="00FE2364" w:rsidP="008801C6">
            <w:pPr>
              <w:jc w:val="center"/>
              <w:rPr>
                <w:sz w:val="18"/>
                <w:szCs w:val="18"/>
              </w:rPr>
            </w:pPr>
            <w:r w:rsidRPr="008801C6">
              <w:rPr>
                <w:sz w:val="18"/>
                <w:szCs w:val="18"/>
              </w:rPr>
              <w:t>1</w:t>
            </w:r>
          </w:p>
        </w:tc>
        <w:tc>
          <w:tcPr>
            <w:tcW w:w="1848" w:type="dxa"/>
            <w:shd w:val="clear" w:color="auto" w:fill="auto"/>
          </w:tcPr>
          <w:p w:rsidR="00FE2364" w:rsidRPr="008801C6" w:rsidRDefault="00FE2364" w:rsidP="00FE2364">
            <w:pPr>
              <w:rPr>
                <w:sz w:val="18"/>
                <w:szCs w:val="18"/>
              </w:rPr>
            </w:pPr>
            <w:r w:rsidRPr="008801C6">
              <w:rPr>
                <w:sz w:val="18"/>
                <w:szCs w:val="18"/>
              </w:rPr>
              <w:t>28 August 2007</w:t>
            </w:r>
          </w:p>
        </w:tc>
        <w:tc>
          <w:tcPr>
            <w:tcW w:w="1710" w:type="dxa"/>
            <w:tcBorders>
              <w:top w:val="single" w:sz="4" w:space="0" w:color="auto"/>
              <w:bottom w:val="single" w:sz="4" w:space="0" w:color="auto"/>
            </w:tcBorders>
            <w:shd w:val="clear" w:color="auto" w:fill="auto"/>
          </w:tcPr>
          <w:p w:rsidR="00FE2364" w:rsidRPr="008801C6" w:rsidRDefault="00FE2364" w:rsidP="00FE2364">
            <w:pPr>
              <w:rPr>
                <w:sz w:val="18"/>
                <w:szCs w:val="18"/>
              </w:rPr>
            </w:pPr>
            <w:r w:rsidRPr="008801C6">
              <w:rPr>
                <w:sz w:val="18"/>
                <w:szCs w:val="18"/>
              </w:rPr>
              <w:t>28 August 2007</w:t>
            </w:r>
          </w:p>
        </w:tc>
        <w:tc>
          <w:tcPr>
            <w:tcW w:w="1842" w:type="dxa"/>
            <w:tcBorders>
              <w:top w:val="single" w:sz="4" w:space="0" w:color="auto"/>
              <w:bottom w:val="single" w:sz="4" w:space="0" w:color="auto"/>
            </w:tcBorders>
            <w:shd w:val="clear" w:color="auto" w:fill="auto"/>
          </w:tcPr>
          <w:p w:rsidR="00FE2364" w:rsidRPr="008801C6" w:rsidRDefault="00FE2364" w:rsidP="00FE2364">
            <w:pPr>
              <w:rPr>
                <w:sz w:val="18"/>
                <w:szCs w:val="18"/>
              </w:rPr>
            </w:pPr>
            <w:r w:rsidRPr="008801C6">
              <w:rPr>
                <w:sz w:val="18"/>
                <w:szCs w:val="18"/>
              </w:rPr>
              <w:t>31 December 2007</w:t>
            </w:r>
          </w:p>
        </w:tc>
      </w:tr>
      <w:tr w:rsidR="00FE2364" w:rsidRPr="008801C6" w:rsidTr="00D1494C">
        <w:trPr>
          <w:jc w:val="center"/>
        </w:trPr>
        <w:tc>
          <w:tcPr>
            <w:tcW w:w="1030" w:type="dxa"/>
            <w:shd w:val="clear" w:color="auto" w:fill="auto"/>
          </w:tcPr>
          <w:p w:rsidR="00FE2364" w:rsidRPr="008801C6" w:rsidRDefault="00FE2364" w:rsidP="008801C6">
            <w:pPr>
              <w:jc w:val="center"/>
              <w:rPr>
                <w:sz w:val="18"/>
                <w:szCs w:val="18"/>
              </w:rPr>
            </w:pPr>
            <w:r w:rsidRPr="008801C6">
              <w:rPr>
                <w:sz w:val="18"/>
                <w:szCs w:val="18"/>
              </w:rPr>
              <w:t>2</w:t>
            </w:r>
          </w:p>
        </w:tc>
        <w:tc>
          <w:tcPr>
            <w:tcW w:w="1848" w:type="dxa"/>
            <w:shd w:val="clear" w:color="auto" w:fill="auto"/>
          </w:tcPr>
          <w:p w:rsidR="00FE2364" w:rsidRPr="008801C6" w:rsidRDefault="00FE2364" w:rsidP="00FE2364">
            <w:pPr>
              <w:rPr>
                <w:sz w:val="18"/>
                <w:szCs w:val="18"/>
              </w:rPr>
            </w:pPr>
            <w:r w:rsidRPr="008801C6">
              <w:rPr>
                <w:sz w:val="18"/>
                <w:szCs w:val="18"/>
              </w:rPr>
              <w:t>2 January 2008</w:t>
            </w:r>
          </w:p>
        </w:tc>
        <w:tc>
          <w:tcPr>
            <w:tcW w:w="1710" w:type="dxa"/>
            <w:tcBorders>
              <w:top w:val="single" w:sz="4" w:space="0" w:color="auto"/>
              <w:bottom w:val="single" w:sz="4" w:space="0" w:color="auto"/>
            </w:tcBorders>
            <w:shd w:val="clear" w:color="auto" w:fill="auto"/>
          </w:tcPr>
          <w:p w:rsidR="00FE2364" w:rsidRPr="008801C6" w:rsidRDefault="00FE2364" w:rsidP="00FE2364">
            <w:pPr>
              <w:rPr>
                <w:sz w:val="18"/>
                <w:szCs w:val="18"/>
              </w:rPr>
            </w:pPr>
            <w:r w:rsidRPr="008801C6">
              <w:rPr>
                <w:sz w:val="18"/>
                <w:szCs w:val="18"/>
              </w:rPr>
              <w:t>1 January 2008</w:t>
            </w:r>
          </w:p>
        </w:tc>
        <w:tc>
          <w:tcPr>
            <w:tcW w:w="1842" w:type="dxa"/>
            <w:tcBorders>
              <w:top w:val="single" w:sz="4" w:space="0" w:color="auto"/>
              <w:bottom w:val="single" w:sz="4" w:space="0" w:color="auto"/>
            </w:tcBorders>
            <w:shd w:val="clear" w:color="auto" w:fill="auto"/>
          </w:tcPr>
          <w:p w:rsidR="00FE2364" w:rsidRPr="008801C6" w:rsidRDefault="00190C46" w:rsidP="00C82082">
            <w:pPr>
              <w:rPr>
                <w:sz w:val="18"/>
                <w:szCs w:val="18"/>
              </w:rPr>
            </w:pPr>
            <w:r>
              <w:rPr>
                <w:sz w:val="18"/>
                <w:szCs w:val="18"/>
              </w:rPr>
              <w:t>3</w:t>
            </w:r>
            <w:r w:rsidR="00D1494C">
              <w:rPr>
                <w:sz w:val="18"/>
                <w:szCs w:val="18"/>
              </w:rPr>
              <w:t xml:space="preserve"> December 2012</w:t>
            </w:r>
          </w:p>
        </w:tc>
      </w:tr>
      <w:tr w:rsidR="00D1494C" w:rsidRPr="008801C6" w:rsidTr="00DB1BA7">
        <w:trPr>
          <w:jc w:val="center"/>
        </w:trPr>
        <w:tc>
          <w:tcPr>
            <w:tcW w:w="1030" w:type="dxa"/>
            <w:shd w:val="clear" w:color="auto" w:fill="auto"/>
          </w:tcPr>
          <w:p w:rsidR="00D1494C" w:rsidRPr="008801C6" w:rsidRDefault="00D1494C" w:rsidP="008801C6">
            <w:pPr>
              <w:jc w:val="center"/>
              <w:rPr>
                <w:sz w:val="18"/>
                <w:szCs w:val="18"/>
              </w:rPr>
            </w:pPr>
            <w:r>
              <w:rPr>
                <w:sz w:val="18"/>
                <w:szCs w:val="18"/>
              </w:rPr>
              <w:t>3</w:t>
            </w:r>
          </w:p>
        </w:tc>
        <w:tc>
          <w:tcPr>
            <w:tcW w:w="1848" w:type="dxa"/>
            <w:shd w:val="clear" w:color="auto" w:fill="auto"/>
          </w:tcPr>
          <w:p w:rsidR="00D1494C" w:rsidRPr="008801C6" w:rsidRDefault="00E5630B" w:rsidP="00FE2364">
            <w:pPr>
              <w:rPr>
                <w:sz w:val="18"/>
                <w:szCs w:val="18"/>
              </w:rPr>
            </w:pPr>
            <w:r>
              <w:rPr>
                <w:sz w:val="18"/>
                <w:szCs w:val="18"/>
              </w:rPr>
              <w:t>6</w:t>
            </w:r>
            <w:r w:rsidR="00D1494C">
              <w:rPr>
                <w:sz w:val="18"/>
                <w:szCs w:val="18"/>
              </w:rPr>
              <w:t xml:space="preserve"> December 2012</w:t>
            </w:r>
          </w:p>
        </w:tc>
        <w:tc>
          <w:tcPr>
            <w:tcW w:w="1710" w:type="dxa"/>
            <w:tcBorders>
              <w:top w:val="single" w:sz="4" w:space="0" w:color="auto"/>
              <w:bottom w:val="single" w:sz="4" w:space="0" w:color="auto"/>
            </w:tcBorders>
            <w:shd w:val="clear" w:color="auto" w:fill="auto"/>
          </w:tcPr>
          <w:p w:rsidR="00D1494C" w:rsidRPr="008801C6" w:rsidRDefault="00C82082" w:rsidP="00FE2364">
            <w:pPr>
              <w:rPr>
                <w:sz w:val="18"/>
                <w:szCs w:val="18"/>
              </w:rPr>
            </w:pPr>
            <w:r>
              <w:rPr>
                <w:sz w:val="18"/>
                <w:szCs w:val="18"/>
              </w:rPr>
              <w:t>4</w:t>
            </w:r>
            <w:r w:rsidR="00D1494C">
              <w:rPr>
                <w:sz w:val="18"/>
                <w:szCs w:val="18"/>
              </w:rPr>
              <w:t xml:space="preserve"> December 2012</w:t>
            </w:r>
          </w:p>
        </w:tc>
        <w:tc>
          <w:tcPr>
            <w:tcW w:w="1842" w:type="dxa"/>
            <w:tcBorders>
              <w:top w:val="single" w:sz="4" w:space="0" w:color="auto"/>
              <w:bottom w:val="single" w:sz="4" w:space="0" w:color="auto"/>
            </w:tcBorders>
            <w:shd w:val="clear" w:color="auto" w:fill="auto"/>
          </w:tcPr>
          <w:p w:rsidR="00D1494C" w:rsidRPr="008801C6" w:rsidRDefault="00DB1BA7" w:rsidP="00DB1BA7">
            <w:pPr>
              <w:rPr>
                <w:sz w:val="18"/>
                <w:szCs w:val="18"/>
              </w:rPr>
            </w:pPr>
            <w:r>
              <w:rPr>
                <w:sz w:val="18"/>
                <w:szCs w:val="18"/>
              </w:rPr>
              <w:t>23 May 2016</w:t>
            </w:r>
          </w:p>
        </w:tc>
      </w:tr>
      <w:tr w:rsidR="00A709AE" w:rsidRPr="008801C6" w:rsidTr="008801C6">
        <w:trPr>
          <w:jc w:val="center"/>
        </w:trPr>
        <w:tc>
          <w:tcPr>
            <w:tcW w:w="1030" w:type="dxa"/>
            <w:shd w:val="clear" w:color="auto" w:fill="auto"/>
          </w:tcPr>
          <w:p w:rsidR="00A709AE" w:rsidRDefault="00A709AE" w:rsidP="008801C6">
            <w:pPr>
              <w:jc w:val="center"/>
              <w:rPr>
                <w:sz w:val="18"/>
                <w:szCs w:val="18"/>
              </w:rPr>
            </w:pPr>
            <w:r>
              <w:rPr>
                <w:sz w:val="18"/>
                <w:szCs w:val="18"/>
              </w:rPr>
              <w:t>4</w:t>
            </w:r>
          </w:p>
        </w:tc>
        <w:tc>
          <w:tcPr>
            <w:tcW w:w="1848" w:type="dxa"/>
            <w:shd w:val="clear" w:color="auto" w:fill="auto"/>
          </w:tcPr>
          <w:p w:rsidR="00A709AE" w:rsidRDefault="00DB1BA7" w:rsidP="00FE2364">
            <w:pPr>
              <w:rPr>
                <w:sz w:val="18"/>
                <w:szCs w:val="18"/>
              </w:rPr>
            </w:pPr>
            <w:r>
              <w:rPr>
                <w:sz w:val="18"/>
                <w:szCs w:val="18"/>
              </w:rPr>
              <w:t>24 May 2016</w:t>
            </w:r>
          </w:p>
        </w:tc>
        <w:tc>
          <w:tcPr>
            <w:tcW w:w="1710" w:type="dxa"/>
            <w:tcBorders>
              <w:top w:val="single" w:sz="4" w:space="0" w:color="auto"/>
            </w:tcBorders>
            <w:shd w:val="clear" w:color="auto" w:fill="auto"/>
          </w:tcPr>
          <w:p w:rsidR="00A709AE" w:rsidRDefault="00DB1BA7" w:rsidP="00FE2364">
            <w:pPr>
              <w:rPr>
                <w:sz w:val="18"/>
                <w:szCs w:val="18"/>
              </w:rPr>
            </w:pPr>
            <w:r>
              <w:rPr>
                <w:sz w:val="18"/>
                <w:szCs w:val="18"/>
              </w:rPr>
              <w:t>24 May 2016</w:t>
            </w:r>
          </w:p>
        </w:tc>
        <w:tc>
          <w:tcPr>
            <w:tcW w:w="1842" w:type="dxa"/>
            <w:tcBorders>
              <w:top w:val="single" w:sz="4" w:space="0" w:color="auto"/>
            </w:tcBorders>
            <w:shd w:val="clear" w:color="auto" w:fill="auto"/>
          </w:tcPr>
          <w:p w:rsidR="00A709AE" w:rsidRDefault="00A709AE" w:rsidP="00FE2364">
            <w:pPr>
              <w:rPr>
                <w:sz w:val="18"/>
                <w:szCs w:val="18"/>
              </w:rPr>
            </w:pPr>
            <w:r>
              <w:rPr>
                <w:sz w:val="18"/>
                <w:szCs w:val="18"/>
              </w:rPr>
              <w:t>Current</w:t>
            </w:r>
          </w:p>
        </w:tc>
      </w:tr>
    </w:tbl>
    <w:p w:rsidR="00C27A0A" w:rsidRDefault="00C27A0A" w:rsidP="00C27A0A">
      <w:pPr>
        <w:rPr>
          <w:szCs w:val="22"/>
        </w:rPr>
      </w:pPr>
    </w:p>
    <w:p w:rsidR="00FE2364" w:rsidRDefault="00FE2364" w:rsidP="00FE2364">
      <w:pPr>
        <w:pStyle w:val="HeadingTwo"/>
      </w:pPr>
      <w:r>
        <w:t>Purpose</w:t>
      </w:r>
    </w:p>
    <w:p w:rsidR="00FE2364" w:rsidRPr="009E7956" w:rsidRDefault="00FE2364" w:rsidP="00FE2364">
      <w:pPr>
        <w:pStyle w:val="BlockText"/>
      </w:pPr>
      <w:r w:rsidRPr="009E7956">
        <w:t>This Guideline explains the factors considered by the Territory Revenue Office (TRO) in exercising its discretion to disregard the marriage of separated spouses for the purpose of determining their eligibility for the first home owner grant (FHOG)</w:t>
      </w:r>
      <w:r w:rsidR="00A709AE">
        <w:t xml:space="preserve"> and the stamp duty first home owner </w:t>
      </w:r>
      <w:r w:rsidR="007B143E">
        <w:t>discount</w:t>
      </w:r>
      <w:r w:rsidR="00A709AE">
        <w:t xml:space="preserve"> (FHO</w:t>
      </w:r>
      <w:r w:rsidR="007B143E">
        <w:t>D</w:t>
      </w:r>
      <w:r w:rsidR="00A709AE">
        <w:t>) (collectively, ‘the home incentive schemes’)</w:t>
      </w:r>
      <w:r w:rsidR="00D40D37">
        <w:t>.</w:t>
      </w:r>
    </w:p>
    <w:p w:rsidR="00FE2364" w:rsidRPr="00E1666A" w:rsidRDefault="00FE2364" w:rsidP="00FE2364">
      <w:pPr>
        <w:pStyle w:val="HeadingTwo"/>
      </w:pPr>
      <w:r w:rsidRPr="00E1666A">
        <w:t>Background</w:t>
      </w:r>
    </w:p>
    <w:p w:rsidR="00FE2364" w:rsidRPr="00FE2364" w:rsidRDefault="00FE2364" w:rsidP="00FE2364">
      <w:pPr>
        <w:pStyle w:val="BlockText"/>
      </w:pPr>
      <w:r w:rsidRPr="00FE2364">
        <w:t xml:space="preserve">People are spouses if they are validly married under the </w:t>
      </w:r>
      <w:r w:rsidRPr="009E7956">
        <w:rPr>
          <w:i/>
          <w:sz w:val="23"/>
          <w:szCs w:val="23"/>
        </w:rPr>
        <w:t>Marriage Act 1961</w:t>
      </w:r>
      <w:r w:rsidRPr="00FE2364">
        <w:t xml:space="preserve"> (Cth). Two people are in a de facto relationship if they are not married but have a marriage-like relationship or, if they are either Aboriginal or Torres Strait Islander, they are married according to the customs and traditions of the particular community of Aboriginals or Torres Strait Islanders with which either person identifie</w:t>
      </w:r>
      <w:r w:rsidR="0060636A">
        <w:t>s (see Commissioner’s Guideline</w:t>
      </w:r>
      <w:r w:rsidR="0060636A">
        <w:br/>
      </w:r>
      <w:hyperlink r:id="rId10" w:tooltip="Web link to CG-HI-004" w:history="1">
        <w:r w:rsidRPr="0060636A">
          <w:rPr>
            <w:rStyle w:val="Hyperlink"/>
          </w:rPr>
          <w:t>CG-HI-004</w:t>
        </w:r>
      </w:hyperlink>
      <w:r w:rsidRPr="00FE2364">
        <w:t xml:space="preserve">: </w:t>
      </w:r>
      <w:r w:rsidRPr="009E7956">
        <w:rPr>
          <w:i/>
          <w:sz w:val="23"/>
          <w:szCs w:val="23"/>
        </w:rPr>
        <w:t>De facto relationships</w:t>
      </w:r>
      <w:r w:rsidRPr="00FE2364">
        <w:t xml:space="preserve">). </w:t>
      </w:r>
    </w:p>
    <w:p w:rsidR="00FE2364" w:rsidRPr="009E7956" w:rsidRDefault="00D40D37" w:rsidP="00FE2364">
      <w:pPr>
        <w:pStyle w:val="BlockText"/>
      </w:pPr>
      <w:r>
        <w:t>T</w:t>
      </w:r>
      <w:r w:rsidR="00FE2364" w:rsidRPr="009E7956">
        <w:t xml:space="preserve">he eligibility criteria of the FHOG </w:t>
      </w:r>
      <w:r>
        <w:t>stipulates</w:t>
      </w:r>
      <w:r w:rsidRPr="009E7956">
        <w:t xml:space="preserve"> </w:t>
      </w:r>
      <w:r w:rsidR="00FE2364" w:rsidRPr="009E7956">
        <w:t>that the applicant and their spouse or de facto partner must not have previously:</w:t>
      </w:r>
    </w:p>
    <w:p w:rsidR="00FE2364" w:rsidRPr="009E7956" w:rsidRDefault="00FE2364" w:rsidP="00B86C5E">
      <w:pPr>
        <w:pStyle w:val="BlockText"/>
        <w:numPr>
          <w:ilvl w:val="1"/>
          <w:numId w:val="3"/>
        </w:numPr>
      </w:pPr>
      <w:r w:rsidRPr="009E7956">
        <w:t>held a relevant property interest in residential property before 1 July 2000; or</w:t>
      </w:r>
    </w:p>
    <w:p w:rsidR="00FE2364" w:rsidRPr="009E7956" w:rsidRDefault="00FE2364" w:rsidP="00B86C5E">
      <w:pPr>
        <w:pStyle w:val="BlockText"/>
        <w:numPr>
          <w:ilvl w:val="1"/>
          <w:numId w:val="3"/>
        </w:numPr>
      </w:pPr>
      <w:r w:rsidRPr="009E7956">
        <w:t>held a relevant interest</w:t>
      </w:r>
      <w:r w:rsidRPr="009E7956">
        <w:rPr>
          <w:rStyle w:val="FootnoteReference"/>
          <w:sz w:val="23"/>
          <w:szCs w:val="23"/>
        </w:rPr>
        <w:footnoteReference w:id="1"/>
      </w:r>
      <w:r w:rsidRPr="009E7956">
        <w:t xml:space="preserve"> in a residential property after 1 July 2000 where either of them has occupied the property as their place of residence;</w:t>
      </w:r>
      <w:r w:rsidRPr="009E7956">
        <w:rPr>
          <w:rStyle w:val="FootnoteReference"/>
          <w:sz w:val="23"/>
          <w:szCs w:val="23"/>
        </w:rPr>
        <w:footnoteReference w:id="2"/>
      </w:r>
      <w:r w:rsidRPr="009E7956">
        <w:t xml:space="preserve"> or</w:t>
      </w:r>
    </w:p>
    <w:p w:rsidR="00FE2364" w:rsidRPr="009E7956" w:rsidRDefault="00FE2364" w:rsidP="00FE2364">
      <w:pPr>
        <w:pStyle w:val="BlockText"/>
        <w:numPr>
          <w:ilvl w:val="1"/>
          <w:numId w:val="3"/>
        </w:numPr>
      </w:pPr>
      <w:r w:rsidRPr="009E7956">
        <w:t>received and retained the FHOG.</w:t>
      </w:r>
      <w:r w:rsidRPr="009E7956">
        <w:rPr>
          <w:rStyle w:val="FootnoteReference"/>
          <w:sz w:val="23"/>
          <w:szCs w:val="23"/>
        </w:rPr>
        <w:footnoteReference w:id="3"/>
      </w:r>
      <w:r w:rsidRPr="009E7956">
        <w:t xml:space="preserve"> </w:t>
      </w:r>
    </w:p>
    <w:p w:rsidR="00A709AE" w:rsidRDefault="00A709AE" w:rsidP="00FE2364">
      <w:pPr>
        <w:pStyle w:val="BlockText"/>
      </w:pPr>
      <w:r>
        <w:t>The eligibility criteria for the FHO</w:t>
      </w:r>
      <w:r w:rsidR="007B143E">
        <w:t>D</w:t>
      </w:r>
      <w:r>
        <w:t xml:space="preserve"> stipulates that the applicant and their spouse or de facto partner must not have previously held a relevant interest in residential property in Australia, regardless of when it was purchased or whether it was occupied as their place of residence. </w:t>
      </w:r>
    </w:p>
    <w:p w:rsidR="00FE2364" w:rsidRPr="009E7956" w:rsidRDefault="00FE2364" w:rsidP="00FE2364">
      <w:pPr>
        <w:pStyle w:val="BlockText"/>
      </w:pPr>
      <w:r w:rsidRPr="009E7956">
        <w:t xml:space="preserve">The criteria </w:t>
      </w:r>
      <w:r w:rsidR="00A709AE">
        <w:t xml:space="preserve">in paragraphs 3 and 4 </w:t>
      </w:r>
      <w:r w:rsidRPr="009E7956">
        <w:t xml:space="preserve">also apply to a spouse or de facto partner whether or not they are an applicant for the </w:t>
      </w:r>
      <w:r w:rsidR="00A709AE">
        <w:t>home incentive scheme</w:t>
      </w:r>
      <w:r w:rsidRPr="009E7956">
        <w:t xml:space="preserve">. </w:t>
      </w:r>
    </w:p>
    <w:p w:rsidR="00FE2364" w:rsidRPr="009E7956" w:rsidRDefault="00FE2364" w:rsidP="00FE2364">
      <w:pPr>
        <w:pStyle w:val="BlockText"/>
      </w:pPr>
      <w:r w:rsidRPr="009E7956">
        <w:t xml:space="preserve">If these criteria are not satisfied, the applicant is ineligible for the </w:t>
      </w:r>
      <w:r w:rsidR="00A709AE">
        <w:t>home incentive scheme</w:t>
      </w:r>
      <w:r w:rsidRPr="009E7956">
        <w:t>.</w:t>
      </w:r>
    </w:p>
    <w:p w:rsidR="00FE2364" w:rsidRPr="00AB0C62" w:rsidRDefault="00FE2364" w:rsidP="00AB0C62">
      <w:pPr>
        <w:pStyle w:val="BlockText"/>
      </w:pPr>
      <w:r w:rsidRPr="00AB0C62">
        <w:t xml:space="preserve">For more information on the eligibility criteria, refer to </w:t>
      </w:r>
      <w:r w:rsidR="0011496A">
        <w:t xml:space="preserve">the </w:t>
      </w:r>
      <w:r w:rsidR="00A709AE">
        <w:t>g</w:t>
      </w:r>
      <w:r w:rsidR="0011496A">
        <w:t xml:space="preserve">uide and </w:t>
      </w:r>
      <w:r w:rsidR="00A709AE">
        <w:t>a</w:t>
      </w:r>
      <w:r w:rsidR="0011496A">
        <w:t xml:space="preserve">Application </w:t>
      </w:r>
      <w:r w:rsidR="00A709AE">
        <w:t>f</w:t>
      </w:r>
      <w:r w:rsidR="0011496A">
        <w:t>orm</w:t>
      </w:r>
      <w:r w:rsidR="00A709AE">
        <w:t xml:space="preserve"> for the FHOG</w:t>
      </w:r>
      <w:r w:rsidR="0011496A">
        <w:t xml:space="preserve"> </w:t>
      </w:r>
      <w:r w:rsidR="00A709AE">
        <w:t>(</w:t>
      </w:r>
      <w:hyperlink r:id="rId11" w:tooltip="Web link to F-HI-001" w:history="1">
        <w:r w:rsidR="0011496A" w:rsidRPr="0011496A">
          <w:rPr>
            <w:rStyle w:val="Hyperlink"/>
          </w:rPr>
          <w:t>F-HI-001</w:t>
        </w:r>
      </w:hyperlink>
      <w:r w:rsidR="00A709AE">
        <w:t>) and FHO</w:t>
      </w:r>
      <w:r w:rsidR="007B143E">
        <w:t>D</w:t>
      </w:r>
      <w:r w:rsidR="00A709AE">
        <w:t xml:space="preserve"> (F-HI-014)</w:t>
      </w:r>
      <w:r w:rsidR="00D1494C">
        <w:t>.</w:t>
      </w:r>
    </w:p>
    <w:p w:rsidR="00FE2364" w:rsidRDefault="00FE2364" w:rsidP="00FE2364">
      <w:pPr>
        <w:pStyle w:val="Heading2"/>
        <w:rPr>
          <w:bCs/>
          <w:szCs w:val="24"/>
        </w:rPr>
      </w:pPr>
    </w:p>
    <w:p w:rsidR="00FE2364" w:rsidRPr="00E1666A" w:rsidRDefault="00FE2364" w:rsidP="000045F6">
      <w:pPr>
        <w:pStyle w:val="HeadingTwo"/>
      </w:pPr>
      <w:r w:rsidRPr="00E1666A">
        <w:t>Married persons remain spou</w:t>
      </w:r>
      <w:r w:rsidRPr="00C6587B">
        <w:t>s</w:t>
      </w:r>
      <w:r w:rsidRPr="00E1666A">
        <w:t>es despite separation</w:t>
      </w:r>
    </w:p>
    <w:p w:rsidR="00FE2364" w:rsidRPr="009E7956" w:rsidRDefault="00FE2364" w:rsidP="00FE2364">
      <w:pPr>
        <w:pStyle w:val="BlockText"/>
      </w:pPr>
      <w:r w:rsidRPr="009E7956">
        <w:t xml:space="preserve">People who are married remain spouses until the marriage is legally dissolved. An applicant must include their spouse’s details in their application despite the fact they may have separated and have no intention of resuming cohabitation.  </w:t>
      </w:r>
    </w:p>
    <w:p w:rsidR="00FE2364" w:rsidRPr="00E1666A" w:rsidRDefault="00FE2364" w:rsidP="000045F6">
      <w:pPr>
        <w:pStyle w:val="HeadingTwo"/>
      </w:pPr>
      <w:r w:rsidRPr="00E1666A">
        <w:t xml:space="preserve">Discretion to disregard a marriage </w:t>
      </w:r>
    </w:p>
    <w:p w:rsidR="00FE2364" w:rsidRPr="009E7956" w:rsidRDefault="00FE2364" w:rsidP="00FE2364">
      <w:pPr>
        <w:pStyle w:val="BlockText"/>
      </w:pPr>
      <w:r w:rsidRPr="009E7956">
        <w:t>The requirement to include a spouse’s details in an application can have unintended consequences where the parties are separated, but not divorced. The following provides an example of this scenario.</w:t>
      </w:r>
    </w:p>
    <w:p w:rsidR="00FE2364" w:rsidRPr="009E7956" w:rsidRDefault="00FE2364" w:rsidP="008A5E84">
      <w:pPr>
        <w:pStyle w:val="ExampleBox"/>
        <w:jc w:val="both"/>
      </w:pPr>
      <w:r w:rsidRPr="009E7956">
        <w:t>Bill and Joan are married but have separated with no intention of resuming cohabitation. Neither has previously owned a home.</w:t>
      </w:r>
    </w:p>
    <w:p w:rsidR="00FE2364" w:rsidRPr="009E7956" w:rsidRDefault="00FE2364" w:rsidP="008A5E84">
      <w:pPr>
        <w:pStyle w:val="ExampleBox"/>
        <w:jc w:val="both"/>
      </w:pPr>
      <w:r w:rsidRPr="009E7956">
        <w:t xml:space="preserve">If Bill purchased a home, subject to satisfying the remaining criteria, he may be eligible for </w:t>
      </w:r>
      <w:r w:rsidR="006376B8">
        <w:t>a</w:t>
      </w:r>
      <w:r w:rsidRPr="009E7956">
        <w:t xml:space="preserve"> </w:t>
      </w:r>
      <w:r w:rsidR="00A709AE">
        <w:t>home incentive scheme</w:t>
      </w:r>
      <w:r w:rsidRPr="009E7956">
        <w:t xml:space="preserve">. However, </w:t>
      </w:r>
      <w:r w:rsidR="008A5E84">
        <w:t xml:space="preserve">if </w:t>
      </w:r>
      <w:r w:rsidR="00A709AE">
        <w:t>Joan then</w:t>
      </w:r>
      <w:r w:rsidR="008A5E84">
        <w:t xml:space="preserve"> buys her first home, </w:t>
      </w:r>
      <w:r w:rsidR="00A709AE">
        <w:t>Bill’s</w:t>
      </w:r>
      <w:r w:rsidRPr="009E7956">
        <w:t xml:space="preserve"> ownership would disqualify </w:t>
      </w:r>
      <w:r w:rsidR="00A709AE">
        <w:t>her</w:t>
      </w:r>
      <w:r w:rsidR="00A709AE" w:rsidRPr="009E7956">
        <w:t xml:space="preserve"> </w:t>
      </w:r>
      <w:r w:rsidRPr="009E7956">
        <w:t xml:space="preserve">from receiving </w:t>
      </w:r>
      <w:r w:rsidR="006376B8">
        <w:t>the benefit of a home incentive scheme as</w:t>
      </w:r>
      <w:r w:rsidRPr="009E7956">
        <w:t xml:space="preserve"> their marriage </w:t>
      </w:r>
      <w:r w:rsidR="006376B8">
        <w:t>i</w:t>
      </w:r>
      <w:r w:rsidRPr="009E7956">
        <w:t xml:space="preserve">s </w:t>
      </w:r>
      <w:r w:rsidR="006376B8">
        <w:t xml:space="preserve">not </w:t>
      </w:r>
      <w:r w:rsidRPr="009E7956">
        <w:t>legally dissolved.</w:t>
      </w:r>
    </w:p>
    <w:p w:rsidR="00FE2364" w:rsidRPr="009E7956" w:rsidRDefault="00FE2364" w:rsidP="000045F6">
      <w:pPr>
        <w:pStyle w:val="BlockText"/>
        <w:spacing w:before="240"/>
      </w:pPr>
      <w:r w:rsidRPr="009E7956">
        <w:t xml:space="preserve">To </w:t>
      </w:r>
      <w:r w:rsidR="008A5E84">
        <w:t>address</w:t>
      </w:r>
      <w:r w:rsidRPr="009E7956">
        <w:t xml:space="preserve"> this inequity, TRO has the discretion to disregard an applicant’s spouse for the purposes of determining the applicant’s eligibility for the grant, if satisfied that the parties have genuinely separated and have no intention of resuming cohabitation.</w:t>
      </w:r>
      <w:r w:rsidRPr="009E7956">
        <w:rPr>
          <w:rStyle w:val="FootnoteReference"/>
          <w:sz w:val="23"/>
          <w:szCs w:val="23"/>
        </w:rPr>
        <w:footnoteReference w:id="4"/>
      </w:r>
      <w:r w:rsidRPr="009E7956">
        <w:t xml:space="preserve"> The discretion can only be exercised by TRO at the time of determining the application. Furthermore, the onus is on the applicant to satisfy TRO that they are separated from their husband or wife and have no intention of resuming cohabitation.</w:t>
      </w:r>
    </w:p>
    <w:p w:rsidR="00FE2364" w:rsidRPr="00E1666A" w:rsidRDefault="00FE2364" w:rsidP="00C6587B">
      <w:pPr>
        <w:pStyle w:val="HeadingFour"/>
      </w:pPr>
      <w:r w:rsidRPr="00E1666A">
        <w:t>Legal test of separation</w:t>
      </w:r>
    </w:p>
    <w:p w:rsidR="00FE2364" w:rsidRPr="009E7956" w:rsidRDefault="00FE2364" w:rsidP="00FE2364">
      <w:pPr>
        <w:pStyle w:val="BlockText"/>
      </w:pPr>
      <w:r w:rsidRPr="009E7956">
        <w:t xml:space="preserve">The phrase ‘married but not cohabiting with the person to whom the applicant is married’ has its ordinary meaning in the context of the breakdown of a marriage. It is directed at the effective severance of the marital relationship, rather than directed at the physical separation of the spouses from living together in a particular dwelling. </w:t>
      </w:r>
    </w:p>
    <w:p w:rsidR="00FE2364" w:rsidRDefault="00FE2364" w:rsidP="00FE2364">
      <w:pPr>
        <w:pStyle w:val="BlockText"/>
      </w:pPr>
      <w:r w:rsidRPr="009E7956">
        <w:t>Accordingly, physical separation of the parties to a marriage is neither necessary nor a sufficient condition to establish that they are not cohabiting for the purposes of the</w:t>
      </w:r>
      <w:r w:rsidR="008A5E84">
        <w:t xml:space="preserve"> FHOG</w:t>
      </w:r>
      <w:r w:rsidRPr="009E7956">
        <w:t>. For example, married persons often do not regard themselves as separated in a marital sense, even though they are living apart for a period of time. An example of this is where a member of the Australian Defence Force is separated from their spouse due to an international assignment.</w:t>
      </w:r>
    </w:p>
    <w:p w:rsidR="0011496A" w:rsidRPr="009E7956" w:rsidRDefault="0011496A" w:rsidP="000045F6">
      <w:pPr>
        <w:pStyle w:val="HeadingFour"/>
      </w:pPr>
      <w:r>
        <w:t xml:space="preserve">Three elements of </w:t>
      </w:r>
      <w:r w:rsidR="000045F6">
        <w:t>separation</w:t>
      </w:r>
    </w:p>
    <w:p w:rsidR="00FE2364" w:rsidRPr="009E7956" w:rsidRDefault="00FE2364" w:rsidP="000045F6">
      <w:pPr>
        <w:pStyle w:val="BlockText"/>
      </w:pPr>
      <w:r w:rsidRPr="009E7956">
        <w:t>Before exercising the discretion to disregard a marriage, TRO must be satisfied that the following three elements exist to establish that married persons are not cohabiting</w:t>
      </w:r>
      <w:r w:rsidR="0011496A">
        <w:t>:</w:t>
      </w:r>
    </w:p>
    <w:p w:rsidR="00FE2364" w:rsidRPr="009E7956" w:rsidRDefault="00FE2364" w:rsidP="0060636A">
      <w:pPr>
        <w:pStyle w:val="BlockText"/>
        <w:numPr>
          <w:ilvl w:val="1"/>
          <w:numId w:val="3"/>
        </w:numPr>
      </w:pPr>
      <w:r w:rsidRPr="009E7956">
        <w:t>An intention on the part of at least one of the married persons to sever or to not resume the marital relationship.</w:t>
      </w:r>
    </w:p>
    <w:p w:rsidR="00FE2364" w:rsidRPr="009E7956" w:rsidRDefault="00FE2364" w:rsidP="0060636A">
      <w:pPr>
        <w:pStyle w:val="BlockText"/>
        <w:numPr>
          <w:ilvl w:val="1"/>
          <w:numId w:val="3"/>
        </w:numPr>
      </w:pPr>
      <w:r w:rsidRPr="009E7956">
        <w:t>Action upon that intention.</w:t>
      </w:r>
    </w:p>
    <w:p w:rsidR="00FE2364" w:rsidRPr="009E7956" w:rsidRDefault="00FE2364" w:rsidP="0060636A">
      <w:pPr>
        <w:pStyle w:val="BlockText"/>
        <w:numPr>
          <w:ilvl w:val="1"/>
          <w:numId w:val="3"/>
        </w:numPr>
      </w:pPr>
      <w:r w:rsidRPr="009E7956">
        <w:t>Unequivocal communication of that intention to the other person.</w:t>
      </w:r>
    </w:p>
    <w:p w:rsidR="00FE2364" w:rsidRPr="009E7956" w:rsidRDefault="00FE2364" w:rsidP="00FE2364">
      <w:pPr>
        <w:pStyle w:val="BlockText"/>
      </w:pPr>
      <w:r w:rsidRPr="009E7956">
        <w:t>TRO will compare and contrast the relationship that existed in the period prior to the time of the alleged breakdown of marriage with that which remains afterwards.</w:t>
      </w:r>
    </w:p>
    <w:p w:rsidR="00FE2364" w:rsidRPr="00E1666A" w:rsidRDefault="00FE2364" w:rsidP="000045F6">
      <w:pPr>
        <w:pStyle w:val="HeadingThree"/>
      </w:pPr>
      <w:r w:rsidRPr="00E1666A">
        <w:lastRenderedPageBreak/>
        <w:t>Matters considered to determine whether separation has occurred</w:t>
      </w:r>
    </w:p>
    <w:p w:rsidR="00FE2364" w:rsidRPr="009E7956" w:rsidRDefault="00FE2364" w:rsidP="00FE2364">
      <w:pPr>
        <w:pStyle w:val="BlockText"/>
      </w:pPr>
      <w:r w:rsidRPr="009E7956">
        <w:t xml:space="preserve">To determine whether people are not cohabiting at the material time, TRO must take into account all the circumstances and facets of their relationship, using the diversity of relationships between married couples as a reference point, which may include unconventional relationships. </w:t>
      </w:r>
    </w:p>
    <w:p w:rsidR="00FE2364" w:rsidRPr="009E7956" w:rsidRDefault="00FE2364" w:rsidP="00FE2364">
      <w:pPr>
        <w:pStyle w:val="BlockText"/>
      </w:pPr>
      <w:r w:rsidRPr="009E7956">
        <w:t>TRO must look at the composite picture obtained without isolating or over-emphasising individual factors, such as the financial aspects of the relationship, and taking into account the scope for differences in current attitudes and activities to determine whether those people have ceased cohabitating.</w:t>
      </w:r>
    </w:p>
    <w:p w:rsidR="00FE2364" w:rsidRPr="009E7956" w:rsidRDefault="00FE2364" w:rsidP="00FE2364">
      <w:pPr>
        <w:pStyle w:val="BlockText"/>
      </w:pPr>
      <w:r w:rsidRPr="009E7956">
        <w:t xml:space="preserve">Generally, TRO will have regard to the following six broad categories in determining whether a married couple has ceased cohabitation. However, TRO will have regard to all the material facts of each case, treating the six categories set out below only as indicators. </w:t>
      </w:r>
    </w:p>
    <w:p w:rsidR="00FE2364" w:rsidRPr="009E7956" w:rsidRDefault="00FE2364" w:rsidP="0060636A">
      <w:pPr>
        <w:pStyle w:val="BlockText"/>
        <w:numPr>
          <w:ilvl w:val="1"/>
          <w:numId w:val="3"/>
        </w:numPr>
      </w:pPr>
      <w:r w:rsidRPr="009E7956">
        <w:t>The financial arrangements between the parties.</w:t>
      </w:r>
    </w:p>
    <w:p w:rsidR="00FE2364" w:rsidRPr="009E7956" w:rsidRDefault="00FE2364" w:rsidP="0060636A">
      <w:pPr>
        <w:pStyle w:val="BlockText"/>
        <w:numPr>
          <w:ilvl w:val="1"/>
          <w:numId w:val="3"/>
        </w:numPr>
      </w:pPr>
      <w:r w:rsidRPr="009E7956">
        <w:t>The arrangements put in place for the care of children.</w:t>
      </w:r>
    </w:p>
    <w:p w:rsidR="00FE2364" w:rsidRPr="009E7956" w:rsidRDefault="00FE2364" w:rsidP="0060636A">
      <w:pPr>
        <w:pStyle w:val="BlockText"/>
        <w:numPr>
          <w:ilvl w:val="1"/>
          <w:numId w:val="3"/>
        </w:numPr>
      </w:pPr>
      <w:r w:rsidRPr="009E7956">
        <w:t>Any sexual relationship that may exist between the parties.</w:t>
      </w:r>
    </w:p>
    <w:p w:rsidR="00FE2364" w:rsidRPr="009E7956" w:rsidRDefault="00FE2364" w:rsidP="0060636A">
      <w:pPr>
        <w:pStyle w:val="BlockText"/>
        <w:numPr>
          <w:ilvl w:val="1"/>
          <w:numId w:val="3"/>
        </w:numPr>
      </w:pPr>
      <w:r w:rsidRPr="009E7956">
        <w:t>The accommodation and domestic arrangements between the parties.</w:t>
      </w:r>
    </w:p>
    <w:p w:rsidR="00FE2364" w:rsidRPr="009E7956" w:rsidRDefault="00FE2364" w:rsidP="0060636A">
      <w:pPr>
        <w:pStyle w:val="BlockText"/>
        <w:numPr>
          <w:ilvl w:val="1"/>
          <w:numId w:val="3"/>
        </w:numPr>
      </w:pPr>
      <w:r w:rsidRPr="009E7956">
        <w:t>The social relationship between the parties.</w:t>
      </w:r>
    </w:p>
    <w:p w:rsidR="00FE2364" w:rsidRPr="009E7956" w:rsidRDefault="00FE2364" w:rsidP="0060636A">
      <w:pPr>
        <w:pStyle w:val="BlockText"/>
        <w:numPr>
          <w:ilvl w:val="1"/>
          <w:numId w:val="3"/>
        </w:numPr>
      </w:pPr>
      <w:r w:rsidRPr="009E7956">
        <w:t>The commitment between the parties.</w:t>
      </w:r>
    </w:p>
    <w:p w:rsidR="00FE2364" w:rsidRPr="009E7956" w:rsidRDefault="00FE2364" w:rsidP="00FE2364">
      <w:pPr>
        <w:pStyle w:val="BlockText"/>
      </w:pPr>
      <w:r w:rsidRPr="009E7956">
        <w:t>T</w:t>
      </w:r>
      <w:r w:rsidR="008A5E84">
        <w:t>RO’s</w:t>
      </w:r>
      <w:r w:rsidRPr="009E7956">
        <w:t xml:space="preserve"> decision will not be made by treating these categories as a ‘check list’ and commenting on each item on the list.</w:t>
      </w:r>
    </w:p>
    <w:p w:rsidR="00FE2364" w:rsidRPr="0060636A" w:rsidRDefault="00FE2364" w:rsidP="0060636A">
      <w:pPr>
        <w:pStyle w:val="BlockText"/>
      </w:pPr>
      <w:r w:rsidRPr="0060636A">
        <w:t xml:space="preserve">The specific matters that TRO will take into account under these six broad categories and the type of information required to be provided is the same as that set out in Commissioner’s Guideline </w:t>
      </w:r>
      <w:hyperlink r:id="rId12" w:tooltip="Web link to CG-HI-004" w:history="1">
        <w:r w:rsidRPr="0060636A">
          <w:rPr>
            <w:rStyle w:val="Hyperlink"/>
          </w:rPr>
          <w:t>CG-HI-004</w:t>
        </w:r>
      </w:hyperlink>
      <w:r w:rsidRPr="0060636A">
        <w:t xml:space="preserve">: </w:t>
      </w:r>
      <w:r w:rsidRPr="009E7956">
        <w:rPr>
          <w:i/>
          <w:sz w:val="23"/>
          <w:szCs w:val="23"/>
        </w:rPr>
        <w:t>De facto relationships</w:t>
      </w:r>
      <w:r w:rsidRPr="0060636A">
        <w:t xml:space="preserve"> (pages 3 to 6)</w:t>
      </w:r>
      <w:r w:rsidR="00861502">
        <w:t>,</w:t>
      </w:r>
      <w:r w:rsidRPr="0060636A">
        <w:t xml:space="preserve"> as the same characteristics are used to determine whether a relationship is ‘marriage-like’.</w:t>
      </w:r>
    </w:p>
    <w:p w:rsidR="00FE2364" w:rsidRPr="00360104" w:rsidRDefault="00FE2364" w:rsidP="000045F6">
      <w:pPr>
        <w:pStyle w:val="HeadingThree"/>
      </w:pPr>
      <w:r w:rsidRPr="00E1666A">
        <w:t>Separated parties living under the same roof</w:t>
      </w:r>
    </w:p>
    <w:p w:rsidR="00FE2364" w:rsidRPr="009E7956" w:rsidRDefault="00FE2364" w:rsidP="00FE2364">
      <w:pPr>
        <w:pStyle w:val="BlockText"/>
      </w:pPr>
      <w:r w:rsidRPr="009E7956">
        <w:t>Where it is claimed that the applicant and their spouse have separated, but continue to live under one roof, there will be some difficulty in establishing when the separation commenced or even that it has occurred at all.</w:t>
      </w:r>
    </w:p>
    <w:p w:rsidR="00FE2364" w:rsidRPr="009E7956" w:rsidRDefault="00FE2364" w:rsidP="00FE2364">
      <w:pPr>
        <w:pStyle w:val="BlockText"/>
      </w:pPr>
      <w:r w:rsidRPr="009E7956">
        <w:t xml:space="preserve">It is important to note that separation (or non-cohabitation) commences when the </w:t>
      </w:r>
      <w:r w:rsidR="00C6587B">
        <w:t>‘</w:t>
      </w:r>
      <w:r w:rsidRPr="009E7956">
        <w:t xml:space="preserve">three elements </w:t>
      </w:r>
      <w:r w:rsidR="0011496A">
        <w:t>of sep</w:t>
      </w:r>
      <w:r w:rsidR="000045F6">
        <w:t>a</w:t>
      </w:r>
      <w:r w:rsidR="0011496A">
        <w:t xml:space="preserve">ration’ </w:t>
      </w:r>
      <w:r w:rsidR="00C6587B">
        <w:t xml:space="preserve">(see </w:t>
      </w:r>
      <w:r w:rsidR="0011496A">
        <w:t xml:space="preserve">page 2) </w:t>
      </w:r>
      <w:r w:rsidRPr="009E7956">
        <w:t>are in existence. Consequently, separation cannot begin until all elements are present.</w:t>
      </w:r>
    </w:p>
    <w:p w:rsidR="00FE2364" w:rsidRPr="009E7956" w:rsidRDefault="00FE2364" w:rsidP="00FE2364">
      <w:pPr>
        <w:pStyle w:val="BlockText"/>
      </w:pPr>
      <w:r w:rsidRPr="009E7956">
        <w:t xml:space="preserve">In these cases, the onus is on the applicant to satisfy TRO that the </w:t>
      </w:r>
      <w:r w:rsidR="00C6587B">
        <w:t>‘</w:t>
      </w:r>
      <w:r w:rsidRPr="009E7956">
        <w:t>three elements of separation</w:t>
      </w:r>
      <w:r w:rsidR="00C6587B">
        <w:t>’</w:t>
      </w:r>
      <w:r w:rsidRPr="009E7956">
        <w:t xml:space="preserve"> exist. </w:t>
      </w:r>
    </w:p>
    <w:p w:rsidR="00FE2364" w:rsidRPr="00E1666A" w:rsidRDefault="00FE2364" w:rsidP="0060636A">
      <w:pPr>
        <w:pStyle w:val="HeadingTwo"/>
      </w:pPr>
      <w:r w:rsidRPr="00E1666A">
        <w:t>Applications</w:t>
      </w:r>
    </w:p>
    <w:p w:rsidR="00FE2364" w:rsidRPr="009E7956" w:rsidRDefault="00FE2364" w:rsidP="00FE2364">
      <w:pPr>
        <w:pStyle w:val="BlockText"/>
      </w:pPr>
      <w:r w:rsidRPr="009E7956">
        <w:t>Applications for the exercise of the discretion to disregard a marriage must be made to TRO at the time of appl</w:t>
      </w:r>
      <w:r w:rsidR="00861502">
        <w:t>ying</w:t>
      </w:r>
      <w:r w:rsidRPr="009E7956">
        <w:t xml:space="preserve"> for the </w:t>
      </w:r>
      <w:r w:rsidR="006376B8">
        <w:t>home incentive scheme</w:t>
      </w:r>
      <w:r w:rsidRPr="009E7956">
        <w:t>. The application must be in the form of a statutory declaration addressing the matters referred to above. In addition, the statutory declaration must also include:</w:t>
      </w:r>
    </w:p>
    <w:p w:rsidR="00FE2364" w:rsidRPr="009E7956" w:rsidRDefault="00FE2364" w:rsidP="0060636A">
      <w:pPr>
        <w:pStyle w:val="BlockText"/>
        <w:numPr>
          <w:ilvl w:val="1"/>
          <w:numId w:val="3"/>
        </w:numPr>
      </w:pPr>
      <w:r w:rsidRPr="009E7956">
        <w:t xml:space="preserve">the full name and date of birth of the applicant’s spouse; </w:t>
      </w:r>
    </w:p>
    <w:p w:rsidR="00FE2364" w:rsidRPr="009E7956" w:rsidRDefault="00FE2364" w:rsidP="0060636A">
      <w:pPr>
        <w:pStyle w:val="BlockText"/>
        <w:numPr>
          <w:ilvl w:val="1"/>
          <w:numId w:val="3"/>
        </w:numPr>
      </w:pPr>
      <w:r w:rsidRPr="009E7956">
        <w:t xml:space="preserve">the date they were married; </w:t>
      </w:r>
    </w:p>
    <w:p w:rsidR="00FE2364" w:rsidRPr="009E7956" w:rsidRDefault="00FE2364" w:rsidP="0060636A">
      <w:pPr>
        <w:pStyle w:val="BlockText"/>
        <w:numPr>
          <w:ilvl w:val="1"/>
          <w:numId w:val="3"/>
        </w:numPr>
      </w:pPr>
      <w:r w:rsidRPr="009E7956">
        <w:t>the date they separated;</w:t>
      </w:r>
    </w:p>
    <w:p w:rsidR="00FE2364" w:rsidRPr="009E7956" w:rsidRDefault="00FE2364" w:rsidP="0060636A">
      <w:pPr>
        <w:pStyle w:val="BlockText"/>
        <w:numPr>
          <w:ilvl w:val="1"/>
          <w:numId w:val="3"/>
        </w:numPr>
      </w:pPr>
      <w:r w:rsidRPr="009E7956">
        <w:t>their spouse’s current address (if known); and</w:t>
      </w:r>
    </w:p>
    <w:p w:rsidR="00FE2364" w:rsidRPr="009E7956" w:rsidRDefault="00FE2364" w:rsidP="0060636A">
      <w:pPr>
        <w:pStyle w:val="BlockText"/>
        <w:numPr>
          <w:ilvl w:val="1"/>
          <w:numId w:val="3"/>
        </w:numPr>
      </w:pPr>
      <w:r w:rsidRPr="009E7956">
        <w:t>a statement to the effect that the applicant and their spouse have ceased cohabiting and have no intention of resuming cohabitation.</w:t>
      </w:r>
    </w:p>
    <w:p w:rsidR="00FE2364" w:rsidRPr="009E7956" w:rsidRDefault="00FE2364" w:rsidP="00FE2364">
      <w:pPr>
        <w:pStyle w:val="BlockText"/>
      </w:pPr>
      <w:r w:rsidRPr="009E7956">
        <w:lastRenderedPageBreak/>
        <w:t>The application should be supported by all relevant evidence that supports the applicant’s declaration, particularly where the parties are still living under the same roof. This may include declarations from third parties, evidence of commencement of divorce or maintenance proceedings or recognition of the parties’ separation by government agencies, such as Centrelink.</w:t>
      </w:r>
    </w:p>
    <w:p w:rsidR="00FE2364" w:rsidRPr="009E7956" w:rsidRDefault="00FE2364" w:rsidP="00FE2364">
      <w:pPr>
        <w:pStyle w:val="BlockText"/>
      </w:pPr>
      <w:r w:rsidRPr="009E7956">
        <w:t>Applicants who lodge a FHOG application through an approved agent (such as a bank) may seek a determination from TRO prior to lodging their application. In these circumstances, a copy of the completed application form must be lodged with TRO.</w:t>
      </w:r>
    </w:p>
    <w:p w:rsidR="00FE2364" w:rsidRPr="009E7956" w:rsidRDefault="00FE2364" w:rsidP="00FE2364">
      <w:pPr>
        <w:pStyle w:val="BlockText"/>
      </w:pPr>
      <w:r w:rsidRPr="009E7956">
        <w:t xml:space="preserve">In completing the application for the </w:t>
      </w:r>
      <w:r w:rsidR="006376B8">
        <w:t>home incentive scheme</w:t>
      </w:r>
      <w:r w:rsidRPr="009E7956">
        <w:t xml:space="preserve">, applicants must include their spouse’s details, but are not required to obtain a separate declaration from their spouse unless TRO does not exercise its discretion to disregard the marriage. </w:t>
      </w:r>
    </w:p>
    <w:p w:rsidR="00FE2364" w:rsidRPr="00E1666A" w:rsidRDefault="00FE2364" w:rsidP="0060636A">
      <w:pPr>
        <w:pStyle w:val="HeadingThree"/>
      </w:pPr>
      <w:r w:rsidRPr="00E1666A">
        <w:t xml:space="preserve">Factors considered by TRO </w:t>
      </w:r>
    </w:p>
    <w:p w:rsidR="00FE2364" w:rsidRPr="009E7956" w:rsidRDefault="00FE2364" w:rsidP="00FE2364">
      <w:pPr>
        <w:pStyle w:val="BlockText"/>
      </w:pPr>
      <w:r w:rsidRPr="009E7956">
        <w:t>TRO will have regard to the statutory declaration of the applicant and supporting evidence. It may also conduct inquiries with other parties, including the applicant’s spouse, to satisfy itself that the parties have genuinely separated and have no intention of resuming cohabitation.</w:t>
      </w:r>
    </w:p>
    <w:p w:rsidR="00FE2364" w:rsidRPr="009E7956" w:rsidRDefault="00FE2364" w:rsidP="00FE2364">
      <w:pPr>
        <w:pStyle w:val="BlockText"/>
      </w:pPr>
      <w:r w:rsidRPr="009E7956">
        <w:t>Factors that may influence TRO’s decision include, but are not limited to the following</w:t>
      </w:r>
      <w:r w:rsidR="00C6587B">
        <w:t>:</w:t>
      </w:r>
    </w:p>
    <w:p w:rsidR="00FE2364" w:rsidRPr="009E7956" w:rsidRDefault="00FE2364" w:rsidP="0060636A">
      <w:pPr>
        <w:pStyle w:val="BlockText"/>
        <w:numPr>
          <w:ilvl w:val="1"/>
          <w:numId w:val="3"/>
        </w:numPr>
      </w:pPr>
      <w:r w:rsidRPr="009E7956">
        <w:t>Whether the parties are living apart and the period of separation. The longer the period, the more likely it will be regarded as a genuine separation with little prospect of cohabitation recommencing.</w:t>
      </w:r>
    </w:p>
    <w:p w:rsidR="00FE2364" w:rsidRPr="009E7956" w:rsidRDefault="00FE2364" w:rsidP="0060636A">
      <w:pPr>
        <w:pStyle w:val="BlockText"/>
        <w:numPr>
          <w:ilvl w:val="1"/>
          <w:numId w:val="3"/>
        </w:numPr>
      </w:pPr>
      <w:r w:rsidRPr="009E7956">
        <w:t>Where the parties are living under the same roof, whether that situation is intended to be temporary, long-term or even permanent. For example, a temporary arrangement could occur where one of the parties is looking for other accommodation or where the parties are in the process of disentangling their financial commitments.</w:t>
      </w:r>
    </w:p>
    <w:p w:rsidR="00FE2364" w:rsidRPr="009E7956" w:rsidRDefault="00FE2364" w:rsidP="0060636A">
      <w:pPr>
        <w:pStyle w:val="BlockText"/>
        <w:numPr>
          <w:ilvl w:val="1"/>
          <w:numId w:val="3"/>
        </w:numPr>
      </w:pPr>
      <w:r w:rsidRPr="009E7956">
        <w:t xml:space="preserve">Whether the parties have previously separated, but resumed cohabitation. </w:t>
      </w:r>
    </w:p>
    <w:p w:rsidR="00FE2364" w:rsidRPr="009E7956" w:rsidRDefault="00FE2364" w:rsidP="0060636A">
      <w:pPr>
        <w:pStyle w:val="BlockText"/>
        <w:numPr>
          <w:ilvl w:val="1"/>
          <w:numId w:val="3"/>
        </w:numPr>
      </w:pPr>
      <w:r w:rsidRPr="009E7956">
        <w:t xml:space="preserve">Whether the parties have commenced proceedings, including instructing their legal representative, to dissolve the marriage or to settle property and maintenance arrangements. </w:t>
      </w:r>
    </w:p>
    <w:p w:rsidR="00FE2364" w:rsidRPr="009E7956" w:rsidRDefault="00FE2364" w:rsidP="0060636A">
      <w:pPr>
        <w:pStyle w:val="BlockText"/>
        <w:numPr>
          <w:ilvl w:val="1"/>
          <w:numId w:val="3"/>
        </w:numPr>
      </w:pPr>
      <w:r w:rsidRPr="009E7956">
        <w:t xml:space="preserve">Whether the spouse of the applicant is ineligible for the </w:t>
      </w:r>
      <w:r w:rsidR="006376B8">
        <w:t>home incentive scheme</w:t>
      </w:r>
      <w:r w:rsidRPr="009E7956">
        <w:t xml:space="preserve">. In these circumstances, having regard to other factors, TRO would need to be satisfied that the separation is not a ‘sham’ to obtain the benefit of the </w:t>
      </w:r>
      <w:r w:rsidR="006376B8">
        <w:t>home incentive scheme</w:t>
      </w:r>
      <w:r w:rsidRPr="009E7956">
        <w:t>.</w:t>
      </w:r>
    </w:p>
    <w:p w:rsidR="00FE2364" w:rsidRPr="009E7956" w:rsidRDefault="00FE2364" w:rsidP="0060636A">
      <w:pPr>
        <w:pStyle w:val="BlockText"/>
        <w:numPr>
          <w:ilvl w:val="1"/>
          <w:numId w:val="3"/>
        </w:numPr>
      </w:pPr>
      <w:r w:rsidRPr="009E7956">
        <w:t xml:space="preserve">Whether the separation has been recognised by a government agency such as Centrelink. </w:t>
      </w:r>
    </w:p>
    <w:p w:rsidR="006034B6" w:rsidRDefault="00513926" w:rsidP="006034B6">
      <w:pPr>
        <w:pStyle w:val="HeadingTwo"/>
      </w:pPr>
      <w:r>
        <w:t>Commissioner’s Guidelines</w:t>
      </w:r>
    </w:p>
    <w:p w:rsidR="00206981" w:rsidRPr="002D6D82" w:rsidRDefault="00513926" w:rsidP="00206981">
      <w:pPr>
        <w:pStyle w:val="BlockText"/>
      </w:pPr>
      <w:r w:rsidRPr="002D6D82">
        <w:t>Co</w:t>
      </w:r>
      <w:r>
        <w:t>mmissioner’s Guideline</w:t>
      </w:r>
      <w:r w:rsidR="00BB4C3D">
        <w:t xml:space="preserve"> </w:t>
      </w:r>
      <w:hyperlink r:id="rId13" w:tooltip="Web link to CG-GEN-001" w:history="1">
        <w:r w:rsidR="00BB4C3D" w:rsidRPr="00BB4C3D">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65356" w:rsidP="00F65356">
      <w:pPr>
        <w:pStyle w:val="HeadingTwo"/>
      </w:pPr>
      <w:r>
        <w:t>Date of effect</w:t>
      </w:r>
    </w:p>
    <w:p w:rsidR="0060636A" w:rsidRPr="009E7956" w:rsidRDefault="0060636A" w:rsidP="0060636A">
      <w:pPr>
        <w:pStyle w:val="BlockText"/>
      </w:pPr>
      <w:r w:rsidRPr="009E7956">
        <w:t xml:space="preserve">This version of the Guideline takes effect from </w:t>
      </w:r>
      <w:r w:rsidR="00DB1BA7">
        <w:t>24 May 2016</w:t>
      </w:r>
      <w:r w:rsidRPr="009E7956">
        <w:t>.</w:t>
      </w:r>
    </w:p>
    <w:p w:rsidR="0060636A" w:rsidRDefault="0060636A" w:rsidP="0060636A">
      <w:pPr>
        <w:jc w:val="both"/>
        <w:rPr>
          <w:sz w:val="24"/>
          <w:szCs w:val="24"/>
        </w:rPr>
      </w:pPr>
    </w:p>
    <w:p w:rsidR="0060636A" w:rsidRPr="002D6D82" w:rsidRDefault="002126D2" w:rsidP="0060636A">
      <w:pPr>
        <w:jc w:val="both"/>
        <w:rPr>
          <w:sz w:val="24"/>
          <w:szCs w:val="24"/>
        </w:rPr>
      </w:pPr>
      <w:r>
        <w:rPr>
          <w:noProof/>
          <w:sz w:val="24"/>
          <w:szCs w:val="24"/>
        </w:rPr>
        <w:drawing>
          <wp:inline distT="0" distB="0" distL="0" distR="0">
            <wp:extent cx="1866900" cy="352425"/>
            <wp:effectExtent l="0" t="0" r="0" b="9525"/>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rsidR="0060636A" w:rsidRDefault="0060636A" w:rsidP="0060636A">
      <w:pPr>
        <w:jc w:val="both"/>
        <w:rPr>
          <w:sz w:val="24"/>
          <w:szCs w:val="24"/>
        </w:rPr>
      </w:pPr>
    </w:p>
    <w:p w:rsidR="0060636A" w:rsidRPr="009E7956" w:rsidRDefault="00D1494C" w:rsidP="0060636A">
      <w:pPr>
        <w:spacing w:after="120"/>
        <w:jc w:val="both"/>
        <w:rPr>
          <w:sz w:val="23"/>
          <w:szCs w:val="23"/>
        </w:rPr>
      </w:pPr>
      <w:r>
        <w:rPr>
          <w:sz w:val="23"/>
          <w:szCs w:val="23"/>
        </w:rPr>
        <w:t>Grant Parsons</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60636A">
        <w:t xml:space="preserve">  </w:t>
      </w:r>
      <w:r w:rsidR="00DB1BA7">
        <w:t>24 May 2016</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8801C6" w:rsidTr="008801C6">
        <w:tc>
          <w:tcPr>
            <w:tcW w:w="9854" w:type="dxa"/>
            <w:gridSpan w:val="2"/>
            <w:shd w:val="clear" w:color="auto" w:fill="auto"/>
          </w:tcPr>
          <w:p w:rsidR="006034B6" w:rsidRPr="008801C6" w:rsidRDefault="006034B6" w:rsidP="006034B6">
            <w:pPr>
              <w:rPr>
                <w:sz w:val="20"/>
              </w:rPr>
            </w:pPr>
            <w:r w:rsidRPr="008801C6">
              <w:rPr>
                <w:sz w:val="20"/>
              </w:rPr>
              <w:lastRenderedPageBreak/>
              <w:t>For further information please contact the Territory Revenue Office:</w:t>
            </w:r>
          </w:p>
        </w:tc>
      </w:tr>
      <w:tr w:rsidR="006034B6" w:rsidRPr="008801C6" w:rsidTr="008801C6">
        <w:tc>
          <w:tcPr>
            <w:tcW w:w="4927" w:type="dxa"/>
            <w:shd w:val="clear" w:color="auto" w:fill="auto"/>
          </w:tcPr>
          <w:p w:rsidR="006034B6" w:rsidRPr="008801C6" w:rsidRDefault="006034B6" w:rsidP="006034B6">
            <w:pPr>
              <w:rPr>
                <w:sz w:val="20"/>
              </w:rPr>
            </w:pPr>
            <w:r w:rsidRPr="008801C6">
              <w:rPr>
                <w:sz w:val="20"/>
              </w:rPr>
              <w:t>GPO Box 1</w:t>
            </w:r>
            <w:r w:rsidR="00897AAE">
              <w:rPr>
                <w:sz w:val="20"/>
              </w:rPr>
              <w:t>97</w:t>
            </w:r>
            <w:bookmarkStart w:id="0" w:name="_GoBack"/>
            <w:bookmarkEnd w:id="0"/>
            <w:r w:rsidRPr="008801C6">
              <w:rPr>
                <w:sz w:val="20"/>
              </w:rPr>
              <w:t>4</w:t>
            </w:r>
          </w:p>
          <w:p w:rsidR="006034B6" w:rsidRPr="008801C6" w:rsidRDefault="006034B6" w:rsidP="006034B6">
            <w:pPr>
              <w:rPr>
                <w:sz w:val="20"/>
              </w:rPr>
            </w:pPr>
            <w:smartTag w:uri="urn:schemas-microsoft-com:office:smarttags" w:element="place">
              <w:smartTag w:uri="urn:schemas-microsoft-com:office:smarttags" w:element="City">
                <w:r w:rsidRPr="008801C6">
                  <w:rPr>
                    <w:sz w:val="20"/>
                  </w:rPr>
                  <w:t>Darwin</w:t>
                </w:r>
              </w:smartTag>
              <w:r w:rsidRPr="008801C6">
                <w:rPr>
                  <w:sz w:val="20"/>
                </w:rPr>
                <w:t xml:space="preserve">  </w:t>
              </w:r>
              <w:smartTag w:uri="urn:schemas-microsoft-com:office:smarttags" w:element="State">
                <w:r w:rsidRPr="008801C6">
                  <w:rPr>
                    <w:sz w:val="20"/>
                  </w:rPr>
                  <w:t>NT</w:t>
                </w:r>
              </w:smartTag>
            </w:smartTag>
            <w:r w:rsidRPr="008801C6">
              <w:rPr>
                <w:sz w:val="20"/>
              </w:rPr>
              <w:t xml:space="preserve">  0801</w:t>
            </w:r>
          </w:p>
          <w:p w:rsidR="006034B6" w:rsidRPr="008801C6" w:rsidRDefault="006034B6" w:rsidP="008801C6">
            <w:pPr>
              <w:pStyle w:val="BlockText"/>
              <w:numPr>
                <w:ilvl w:val="0"/>
                <w:numId w:val="0"/>
              </w:numPr>
              <w:rPr>
                <w:sz w:val="20"/>
              </w:rPr>
            </w:pPr>
            <w:r w:rsidRPr="008801C6">
              <w:rPr>
                <w:sz w:val="20"/>
              </w:rPr>
              <w:t xml:space="preserve">Email: </w:t>
            </w:r>
            <w:hyperlink r:id="rId15" w:history="1">
              <w:r w:rsidR="003566E6" w:rsidRPr="00D614C7">
                <w:rPr>
                  <w:rStyle w:val="Hyperlink"/>
                  <w:sz w:val="20"/>
                </w:rPr>
                <w:t>ntrevenue@nt.gov.au</w:t>
              </w:r>
            </w:hyperlink>
          </w:p>
        </w:tc>
        <w:tc>
          <w:tcPr>
            <w:tcW w:w="4927" w:type="dxa"/>
            <w:shd w:val="clear" w:color="auto" w:fill="auto"/>
          </w:tcPr>
          <w:p w:rsidR="006034B6" w:rsidRPr="008801C6" w:rsidRDefault="006034B6" w:rsidP="006034B6">
            <w:pPr>
              <w:rPr>
                <w:sz w:val="20"/>
              </w:rPr>
            </w:pPr>
            <w:r w:rsidRPr="008801C6">
              <w:rPr>
                <w:sz w:val="20"/>
              </w:rPr>
              <w:t>Phone: 1300 305 353</w:t>
            </w:r>
          </w:p>
          <w:p w:rsidR="006034B6" w:rsidRPr="008801C6" w:rsidRDefault="006034B6" w:rsidP="006034B6">
            <w:pPr>
              <w:rPr>
                <w:sz w:val="20"/>
              </w:rPr>
            </w:pPr>
            <w:r w:rsidRPr="008801C6">
              <w:rPr>
                <w:sz w:val="20"/>
              </w:rPr>
              <w:t xml:space="preserve">Website: </w:t>
            </w:r>
            <w:hyperlink r:id="rId16" w:tooltip="Link to TRO website" w:history="1">
              <w:r w:rsidRPr="008801C6">
                <w:rPr>
                  <w:rStyle w:val="Hyperlink"/>
                  <w:sz w:val="20"/>
                </w:rPr>
                <w:t>www.revenue.nt.gov.au</w:t>
              </w:r>
            </w:hyperlink>
          </w:p>
        </w:tc>
      </w:tr>
    </w:tbl>
    <w:p w:rsidR="006034B6" w:rsidRPr="0060636A" w:rsidRDefault="006034B6" w:rsidP="00364D5F">
      <w:pPr>
        <w:tabs>
          <w:tab w:val="left" w:pos="3090"/>
        </w:tabs>
        <w:rPr>
          <w:sz w:val="2"/>
          <w:szCs w:val="2"/>
        </w:rPr>
      </w:pPr>
    </w:p>
    <w:sectPr w:rsidR="006034B6" w:rsidRPr="0060636A" w:rsidSect="00F65356">
      <w:headerReference w:type="even" r:id="rId17"/>
      <w:headerReference w:type="default" r:id="rId18"/>
      <w:footerReference w:type="default" r:id="rId19"/>
      <w:headerReference w:type="first" r:id="rId20"/>
      <w:footerReference w:type="first" r:id="rId21"/>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19" w:rsidRDefault="00B44C19">
      <w:r>
        <w:separator/>
      </w:r>
    </w:p>
  </w:endnote>
  <w:endnote w:type="continuationSeparator" w:id="0">
    <w:p w:rsidR="00B44C19" w:rsidRDefault="00B4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0E" w:rsidRDefault="00AA030E" w:rsidP="00364D5F">
    <w:pPr>
      <w:pStyle w:val="Footer"/>
      <w:tabs>
        <w:tab w:val="clear" w:pos="4153"/>
        <w:tab w:val="clear" w:pos="8306"/>
        <w:tab w:val="right" w:pos="9720"/>
      </w:tabs>
      <w:rPr>
        <w:sz w:val="16"/>
        <w:szCs w:val="16"/>
      </w:rPr>
    </w:pPr>
  </w:p>
  <w:p w:rsidR="00AA030E" w:rsidRPr="00364D5F" w:rsidRDefault="00AA030E"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97AAE">
      <w:rPr>
        <w:noProof/>
        <w:sz w:val="16"/>
        <w:szCs w:val="16"/>
      </w:rPr>
      <w:t>4</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97AAE">
      <w:rPr>
        <w:noProof/>
        <w:sz w:val="16"/>
        <w:szCs w:val="16"/>
      </w:rPr>
      <w:t>5</w:t>
    </w:r>
    <w:r w:rsidRPr="006034B6">
      <w:rPr>
        <w:sz w:val="16"/>
        <w:szCs w:val="16"/>
      </w:rPr>
      <w:fldChar w:fldCharType="end"/>
    </w:r>
    <w:r>
      <w:rPr>
        <w:sz w:val="16"/>
        <w:szCs w:val="16"/>
      </w:rPr>
      <w:tab/>
      <w:t>CG-HI-008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0E" w:rsidRDefault="00AA030E" w:rsidP="00364D5F">
    <w:pPr>
      <w:pStyle w:val="Footer"/>
      <w:tabs>
        <w:tab w:val="clear" w:pos="4153"/>
        <w:tab w:val="clear" w:pos="8306"/>
        <w:tab w:val="right" w:pos="9720"/>
      </w:tabs>
      <w:rPr>
        <w:sz w:val="16"/>
        <w:szCs w:val="16"/>
      </w:rPr>
    </w:pPr>
  </w:p>
  <w:p w:rsidR="00AA030E" w:rsidRPr="006034B6" w:rsidRDefault="00AA030E"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97AAE">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97AAE">
      <w:rPr>
        <w:noProof/>
        <w:sz w:val="16"/>
        <w:szCs w:val="16"/>
      </w:rPr>
      <w:t>5</w:t>
    </w:r>
    <w:r w:rsidRPr="006034B6">
      <w:rPr>
        <w:sz w:val="16"/>
        <w:szCs w:val="16"/>
      </w:rPr>
      <w:fldChar w:fldCharType="end"/>
    </w:r>
    <w:r>
      <w:rPr>
        <w:sz w:val="16"/>
        <w:szCs w:val="16"/>
      </w:rPr>
      <w:tab/>
      <w:t>CG-HI-008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19" w:rsidRDefault="00B44C19">
      <w:r>
        <w:separator/>
      </w:r>
    </w:p>
  </w:footnote>
  <w:footnote w:type="continuationSeparator" w:id="0">
    <w:p w:rsidR="00B44C19" w:rsidRDefault="00B44C19">
      <w:r>
        <w:continuationSeparator/>
      </w:r>
    </w:p>
  </w:footnote>
  <w:footnote w:id="1">
    <w:p w:rsidR="00AA030E" w:rsidRPr="003A4160" w:rsidRDefault="00AA030E" w:rsidP="00FE2364">
      <w:pPr>
        <w:pStyle w:val="FootnoteText"/>
        <w:rPr>
          <w:rFonts w:ascii="Arial" w:hAnsi="Arial"/>
          <w:sz w:val="18"/>
          <w:szCs w:val="18"/>
        </w:rPr>
      </w:pPr>
      <w:r w:rsidRPr="003A4160">
        <w:rPr>
          <w:rStyle w:val="FootnoteReference"/>
          <w:rFonts w:ascii="Arial" w:hAnsi="Arial"/>
          <w:sz w:val="18"/>
          <w:szCs w:val="18"/>
        </w:rPr>
        <w:footnoteRef/>
      </w:r>
      <w:r w:rsidRPr="003A4160">
        <w:rPr>
          <w:rFonts w:ascii="Arial" w:hAnsi="Arial"/>
          <w:sz w:val="18"/>
          <w:szCs w:val="18"/>
        </w:rPr>
        <w:t xml:space="preserve"> </w:t>
      </w:r>
      <w:r w:rsidRPr="003A4160">
        <w:rPr>
          <w:rFonts w:ascii="Arial" w:hAnsi="Arial" w:cs="Arial"/>
          <w:sz w:val="18"/>
          <w:szCs w:val="18"/>
        </w:rPr>
        <w:t xml:space="preserve">Sections 5(2), (3) and (4) of the </w:t>
      </w:r>
      <w:r w:rsidRPr="003A4160">
        <w:rPr>
          <w:rFonts w:ascii="Arial" w:hAnsi="Arial" w:cs="Arial"/>
          <w:i/>
          <w:sz w:val="18"/>
          <w:szCs w:val="18"/>
        </w:rPr>
        <w:t xml:space="preserve">First Home Owner Grant Act </w:t>
      </w:r>
      <w:r w:rsidR="00C82082">
        <w:rPr>
          <w:rFonts w:ascii="Arial" w:hAnsi="Arial" w:cs="Arial"/>
          <w:sz w:val="18"/>
          <w:szCs w:val="18"/>
        </w:rPr>
        <w:t xml:space="preserve">(FHOGA) </w:t>
      </w:r>
      <w:r w:rsidRPr="00C82082">
        <w:rPr>
          <w:rFonts w:ascii="Arial" w:hAnsi="Arial" w:cs="Arial"/>
          <w:sz w:val="18"/>
          <w:szCs w:val="18"/>
        </w:rPr>
        <w:t>for the</w:t>
      </w:r>
      <w:r w:rsidRPr="003A4160">
        <w:rPr>
          <w:rFonts w:ascii="Arial" w:hAnsi="Arial" w:cs="Arial"/>
          <w:sz w:val="18"/>
          <w:szCs w:val="18"/>
        </w:rPr>
        <w:t xml:space="preserve"> meaning of ‘relevant interest’.</w:t>
      </w:r>
    </w:p>
  </w:footnote>
  <w:footnote w:id="2">
    <w:p w:rsidR="00AA030E" w:rsidRPr="007F1174" w:rsidRDefault="00AA030E" w:rsidP="00FE2364">
      <w:pPr>
        <w:pStyle w:val="FootnoteText"/>
        <w:rPr>
          <w:rFonts w:ascii="Arial" w:hAnsi="Arial" w:cs="Arial"/>
        </w:rPr>
      </w:pPr>
      <w:r w:rsidRPr="003A4160">
        <w:rPr>
          <w:rStyle w:val="FootnoteReference"/>
          <w:rFonts w:ascii="Arial" w:hAnsi="Arial" w:cs="Arial"/>
          <w:sz w:val="18"/>
          <w:szCs w:val="18"/>
        </w:rPr>
        <w:footnoteRef/>
      </w:r>
      <w:r w:rsidRPr="003A4160">
        <w:rPr>
          <w:rFonts w:ascii="Arial" w:hAnsi="Arial" w:cs="Arial"/>
          <w:sz w:val="18"/>
          <w:szCs w:val="18"/>
        </w:rPr>
        <w:t xml:space="preserve"> Section 11 of the </w:t>
      </w:r>
      <w:r w:rsidR="00C82082" w:rsidRPr="007F1174">
        <w:rPr>
          <w:rFonts w:ascii="Arial" w:hAnsi="Arial" w:cs="Arial"/>
          <w:sz w:val="18"/>
          <w:szCs w:val="18"/>
        </w:rPr>
        <w:t>FHOGA</w:t>
      </w:r>
      <w:r w:rsidRPr="007F1174">
        <w:rPr>
          <w:rFonts w:ascii="Arial" w:hAnsi="Arial" w:cs="Arial"/>
          <w:sz w:val="18"/>
          <w:szCs w:val="18"/>
        </w:rPr>
        <w:t>.</w:t>
      </w:r>
    </w:p>
  </w:footnote>
  <w:footnote w:id="3">
    <w:p w:rsidR="00AA030E" w:rsidRPr="007F1174" w:rsidRDefault="00AA030E" w:rsidP="00FE2364">
      <w:pPr>
        <w:pStyle w:val="FootnoteText"/>
        <w:tabs>
          <w:tab w:val="left" w:pos="142"/>
        </w:tabs>
        <w:jc w:val="both"/>
        <w:rPr>
          <w:rFonts w:ascii="Arial" w:hAnsi="Arial" w:cs="Arial"/>
          <w:sz w:val="18"/>
          <w:szCs w:val="18"/>
        </w:rPr>
      </w:pPr>
      <w:r w:rsidRPr="007F1174">
        <w:rPr>
          <w:rStyle w:val="FootnoteReference"/>
          <w:rFonts w:ascii="Arial" w:hAnsi="Arial" w:cs="Arial"/>
          <w:sz w:val="18"/>
          <w:szCs w:val="18"/>
        </w:rPr>
        <w:footnoteRef/>
      </w:r>
      <w:r w:rsidRPr="007F1174">
        <w:rPr>
          <w:rFonts w:ascii="Arial" w:hAnsi="Arial" w:cs="Arial"/>
          <w:sz w:val="18"/>
          <w:szCs w:val="18"/>
        </w:rPr>
        <w:t xml:space="preserve"> Section 10 of the </w:t>
      </w:r>
      <w:r w:rsidR="00C82082" w:rsidRPr="007F1174">
        <w:rPr>
          <w:rFonts w:ascii="Arial" w:hAnsi="Arial" w:cs="Arial"/>
          <w:sz w:val="18"/>
          <w:szCs w:val="18"/>
        </w:rPr>
        <w:t>FHOGA</w:t>
      </w:r>
      <w:r w:rsidR="00D40D37" w:rsidRPr="007F1174">
        <w:rPr>
          <w:rFonts w:ascii="Arial" w:hAnsi="Arial" w:cs="Arial"/>
          <w:sz w:val="18"/>
          <w:szCs w:val="18"/>
        </w:rPr>
        <w:t>.</w:t>
      </w:r>
    </w:p>
  </w:footnote>
  <w:footnote w:id="4">
    <w:p w:rsidR="00AA030E" w:rsidRPr="007F1174" w:rsidRDefault="00AA030E" w:rsidP="00FE2364">
      <w:pPr>
        <w:pStyle w:val="FootnoteText"/>
      </w:pPr>
      <w:r w:rsidRPr="003A4160">
        <w:rPr>
          <w:rStyle w:val="FootnoteReference"/>
          <w:rFonts w:ascii="Arial" w:hAnsi="Arial" w:cs="Arial"/>
          <w:sz w:val="18"/>
          <w:szCs w:val="18"/>
        </w:rPr>
        <w:footnoteRef/>
      </w:r>
      <w:r w:rsidRPr="003A4160">
        <w:rPr>
          <w:rFonts w:ascii="Arial" w:hAnsi="Arial" w:cs="Arial"/>
          <w:sz w:val="18"/>
          <w:szCs w:val="18"/>
        </w:rPr>
        <w:t xml:space="preserve"> Section 6 of the </w:t>
      </w:r>
      <w:r w:rsidR="00C82082" w:rsidRPr="007F1174">
        <w:rPr>
          <w:rFonts w:ascii="Arial" w:hAnsi="Arial" w:cs="Arial"/>
          <w:sz w:val="18"/>
          <w:szCs w:val="18"/>
        </w:rPr>
        <w:t>FHOGA.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0E" w:rsidRDefault="00AA030E"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030E" w:rsidRDefault="00AA0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0E" w:rsidRPr="003765CD" w:rsidRDefault="00AA030E"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3D" w:rsidRDefault="002126D2">
    <w:pPr>
      <w:pStyle w:val="Header"/>
    </w:pPr>
    <w:r>
      <w:rPr>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88200" cy="895350"/>
          <wp:effectExtent l="0" t="0" r="0" b="0"/>
          <wp:wrapNone/>
          <wp:docPr id="5"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895350"/>
                  </a:xfrm>
                  <a:prstGeom prst="rect">
                    <a:avLst/>
                  </a:prstGeom>
                  <a:noFill/>
                </pic:spPr>
              </pic:pic>
            </a:graphicData>
          </a:graphic>
          <wp14:sizeRelH relativeFrom="page">
            <wp14:pctWidth>0</wp14:pctWidth>
          </wp14:sizeRelH>
          <wp14:sizeRelV relativeFrom="page">
            <wp14:pctHeight>0</wp14:pctHeight>
          </wp14:sizeRelV>
        </wp:anchor>
      </w:drawing>
    </w:r>
  </w:p>
  <w:p w:rsidR="00AA030E" w:rsidRDefault="00AA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8D0625"/>
    <w:multiLevelType w:val="hybridMultilevel"/>
    <w:tmpl w:val="FDE6F1BA"/>
    <w:lvl w:ilvl="0" w:tplc="C4966800">
      <w:start w:val="1"/>
      <w:numFmt w:val="decimal"/>
      <w:lvlText w:val="%1)"/>
      <w:lvlJc w:val="left"/>
      <w:pPr>
        <w:tabs>
          <w:tab w:val="num" w:pos="2550"/>
        </w:tabs>
        <w:ind w:left="2550" w:hanging="720"/>
      </w:pPr>
      <w:rPr>
        <w:rFonts w:hint="default"/>
      </w:rPr>
    </w:lvl>
    <w:lvl w:ilvl="1" w:tplc="07386A30">
      <w:start w:val="1"/>
      <w:numFmt w:val="lowerLetter"/>
      <w:lvlText w:val="%2."/>
      <w:lvlJc w:val="left"/>
      <w:pPr>
        <w:tabs>
          <w:tab w:val="num" w:pos="2910"/>
        </w:tabs>
        <w:ind w:left="2910" w:hanging="360"/>
      </w:pPr>
      <w:rPr>
        <w:rFonts w:hint="default"/>
      </w:rPr>
    </w:lvl>
    <w:lvl w:ilvl="2" w:tplc="0C09001B" w:tentative="1">
      <w:start w:val="1"/>
      <w:numFmt w:val="lowerRoman"/>
      <w:lvlText w:val="%3."/>
      <w:lvlJc w:val="right"/>
      <w:pPr>
        <w:tabs>
          <w:tab w:val="num" w:pos="3630"/>
        </w:tabs>
        <w:ind w:left="3630" w:hanging="180"/>
      </w:pPr>
    </w:lvl>
    <w:lvl w:ilvl="3" w:tplc="0C09000F" w:tentative="1">
      <w:start w:val="1"/>
      <w:numFmt w:val="decimal"/>
      <w:lvlText w:val="%4."/>
      <w:lvlJc w:val="left"/>
      <w:pPr>
        <w:tabs>
          <w:tab w:val="num" w:pos="4350"/>
        </w:tabs>
        <w:ind w:left="4350" w:hanging="360"/>
      </w:pPr>
    </w:lvl>
    <w:lvl w:ilvl="4" w:tplc="0C090019" w:tentative="1">
      <w:start w:val="1"/>
      <w:numFmt w:val="lowerLetter"/>
      <w:lvlText w:val="%5."/>
      <w:lvlJc w:val="left"/>
      <w:pPr>
        <w:tabs>
          <w:tab w:val="num" w:pos="5070"/>
        </w:tabs>
        <w:ind w:left="5070" w:hanging="360"/>
      </w:pPr>
    </w:lvl>
    <w:lvl w:ilvl="5" w:tplc="0C09001B" w:tentative="1">
      <w:start w:val="1"/>
      <w:numFmt w:val="lowerRoman"/>
      <w:lvlText w:val="%6."/>
      <w:lvlJc w:val="right"/>
      <w:pPr>
        <w:tabs>
          <w:tab w:val="num" w:pos="5790"/>
        </w:tabs>
        <w:ind w:left="5790" w:hanging="180"/>
      </w:pPr>
    </w:lvl>
    <w:lvl w:ilvl="6" w:tplc="0C09000F" w:tentative="1">
      <w:start w:val="1"/>
      <w:numFmt w:val="decimal"/>
      <w:lvlText w:val="%7."/>
      <w:lvlJc w:val="left"/>
      <w:pPr>
        <w:tabs>
          <w:tab w:val="num" w:pos="6510"/>
        </w:tabs>
        <w:ind w:left="6510" w:hanging="360"/>
      </w:pPr>
    </w:lvl>
    <w:lvl w:ilvl="7" w:tplc="0C090019" w:tentative="1">
      <w:start w:val="1"/>
      <w:numFmt w:val="lowerLetter"/>
      <w:lvlText w:val="%8."/>
      <w:lvlJc w:val="left"/>
      <w:pPr>
        <w:tabs>
          <w:tab w:val="num" w:pos="7230"/>
        </w:tabs>
        <w:ind w:left="7230" w:hanging="360"/>
      </w:pPr>
    </w:lvl>
    <w:lvl w:ilvl="8" w:tplc="0C09001B" w:tentative="1">
      <w:start w:val="1"/>
      <w:numFmt w:val="lowerRoman"/>
      <w:lvlText w:val="%9."/>
      <w:lvlJc w:val="right"/>
      <w:pPr>
        <w:tabs>
          <w:tab w:val="num" w:pos="7950"/>
        </w:tabs>
        <w:ind w:left="7950" w:hanging="180"/>
      </w:pPr>
    </w:lvl>
  </w:abstractNum>
  <w:abstractNum w:abstractNumId="3" w15:restartNumberingAfterBreak="0">
    <w:nsid w:val="0D593059"/>
    <w:multiLevelType w:val="multilevel"/>
    <w:tmpl w:val="88F6EEB2"/>
    <w:numStyleLink w:val="Text"/>
  </w:abstractNum>
  <w:abstractNum w:abstractNumId="4"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50B415E"/>
    <w:multiLevelType w:val="hybridMultilevel"/>
    <w:tmpl w:val="6AF6C1B6"/>
    <w:lvl w:ilvl="0" w:tplc="4E4AF44A">
      <w:start w:val="1"/>
      <w:numFmt w:val="decimal"/>
      <w:pStyle w:val="NumberedE"/>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2E7E5181"/>
    <w:multiLevelType w:val="hybridMultilevel"/>
    <w:tmpl w:val="FA2AE8D2"/>
    <w:lvl w:ilvl="0" w:tplc="C4966800">
      <w:start w:val="1"/>
      <w:numFmt w:val="decimal"/>
      <w:lvlText w:val="%1)"/>
      <w:lvlJc w:val="left"/>
      <w:pPr>
        <w:tabs>
          <w:tab w:val="num" w:pos="2550"/>
        </w:tabs>
        <w:ind w:left="2550" w:hanging="720"/>
      </w:pPr>
      <w:rPr>
        <w:rFonts w:hint="default"/>
      </w:rPr>
    </w:lvl>
    <w:lvl w:ilvl="1" w:tplc="0C090019" w:tentative="1">
      <w:start w:val="1"/>
      <w:numFmt w:val="lowerLetter"/>
      <w:lvlText w:val="%2."/>
      <w:lvlJc w:val="left"/>
      <w:pPr>
        <w:tabs>
          <w:tab w:val="num" w:pos="2910"/>
        </w:tabs>
        <w:ind w:left="2910" w:hanging="360"/>
      </w:pPr>
    </w:lvl>
    <w:lvl w:ilvl="2" w:tplc="0C09001B" w:tentative="1">
      <w:start w:val="1"/>
      <w:numFmt w:val="lowerRoman"/>
      <w:lvlText w:val="%3."/>
      <w:lvlJc w:val="right"/>
      <w:pPr>
        <w:tabs>
          <w:tab w:val="num" w:pos="3630"/>
        </w:tabs>
        <w:ind w:left="3630" w:hanging="180"/>
      </w:pPr>
    </w:lvl>
    <w:lvl w:ilvl="3" w:tplc="0C09000F" w:tentative="1">
      <w:start w:val="1"/>
      <w:numFmt w:val="decimal"/>
      <w:lvlText w:val="%4."/>
      <w:lvlJc w:val="left"/>
      <w:pPr>
        <w:tabs>
          <w:tab w:val="num" w:pos="4350"/>
        </w:tabs>
        <w:ind w:left="4350" w:hanging="360"/>
      </w:pPr>
    </w:lvl>
    <w:lvl w:ilvl="4" w:tplc="0C090019" w:tentative="1">
      <w:start w:val="1"/>
      <w:numFmt w:val="lowerLetter"/>
      <w:lvlText w:val="%5."/>
      <w:lvlJc w:val="left"/>
      <w:pPr>
        <w:tabs>
          <w:tab w:val="num" w:pos="5070"/>
        </w:tabs>
        <w:ind w:left="5070" w:hanging="360"/>
      </w:pPr>
    </w:lvl>
    <w:lvl w:ilvl="5" w:tplc="0C09001B" w:tentative="1">
      <w:start w:val="1"/>
      <w:numFmt w:val="lowerRoman"/>
      <w:lvlText w:val="%6."/>
      <w:lvlJc w:val="right"/>
      <w:pPr>
        <w:tabs>
          <w:tab w:val="num" w:pos="5790"/>
        </w:tabs>
        <w:ind w:left="5790" w:hanging="180"/>
      </w:pPr>
    </w:lvl>
    <w:lvl w:ilvl="6" w:tplc="0C09000F" w:tentative="1">
      <w:start w:val="1"/>
      <w:numFmt w:val="decimal"/>
      <w:lvlText w:val="%7."/>
      <w:lvlJc w:val="left"/>
      <w:pPr>
        <w:tabs>
          <w:tab w:val="num" w:pos="6510"/>
        </w:tabs>
        <w:ind w:left="6510" w:hanging="360"/>
      </w:pPr>
    </w:lvl>
    <w:lvl w:ilvl="7" w:tplc="0C090019" w:tentative="1">
      <w:start w:val="1"/>
      <w:numFmt w:val="lowerLetter"/>
      <w:lvlText w:val="%8."/>
      <w:lvlJc w:val="left"/>
      <w:pPr>
        <w:tabs>
          <w:tab w:val="num" w:pos="7230"/>
        </w:tabs>
        <w:ind w:left="7230" w:hanging="360"/>
      </w:pPr>
    </w:lvl>
    <w:lvl w:ilvl="8" w:tplc="0C09001B" w:tentative="1">
      <w:start w:val="1"/>
      <w:numFmt w:val="lowerRoman"/>
      <w:lvlText w:val="%9."/>
      <w:lvlJc w:val="right"/>
      <w:pPr>
        <w:tabs>
          <w:tab w:val="num" w:pos="7950"/>
        </w:tabs>
        <w:ind w:left="7950" w:hanging="180"/>
      </w:pPr>
    </w:lvl>
  </w:abstractNum>
  <w:abstractNum w:abstractNumId="8" w15:restartNumberingAfterBreak="0">
    <w:nsid w:val="2F3E0932"/>
    <w:multiLevelType w:val="hybridMultilevel"/>
    <w:tmpl w:val="C70CA4D4"/>
    <w:lvl w:ilvl="0" w:tplc="C4966800">
      <w:start w:val="1"/>
      <w:numFmt w:val="decimal"/>
      <w:lvlText w:val="%1)"/>
      <w:lvlJc w:val="left"/>
      <w:pPr>
        <w:tabs>
          <w:tab w:val="num" w:pos="3117"/>
        </w:tabs>
        <w:ind w:left="3117" w:hanging="720"/>
      </w:pPr>
      <w:rPr>
        <w:rFonts w:hint="default"/>
      </w:rPr>
    </w:lvl>
    <w:lvl w:ilvl="1" w:tplc="0C090019" w:tentative="1">
      <w:start w:val="1"/>
      <w:numFmt w:val="lowerLetter"/>
      <w:lvlText w:val="%2."/>
      <w:lvlJc w:val="left"/>
      <w:pPr>
        <w:tabs>
          <w:tab w:val="num" w:pos="3477"/>
        </w:tabs>
        <w:ind w:left="3477" w:hanging="360"/>
      </w:pPr>
    </w:lvl>
    <w:lvl w:ilvl="2" w:tplc="0C09001B" w:tentative="1">
      <w:start w:val="1"/>
      <w:numFmt w:val="lowerRoman"/>
      <w:lvlText w:val="%3."/>
      <w:lvlJc w:val="right"/>
      <w:pPr>
        <w:tabs>
          <w:tab w:val="num" w:pos="4197"/>
        </w:tabs>
        <w:ind w:left="4197" w:hanging="180"/>
      </w:pPr>
    </w:lvl>
    <w:lvl w:ilvl="3" w:tplc="0C09000F" w:tentative="1">
      <w:start w:val="1"/>
      <w:numFmt w:val="decimal"/>
      <w:lvlText w:val="%4."/>
      <w:lvlJc w:val="left"/>
      <w:pPr>
        <w:tabs>
          <w:tab w:val="num" w:pos="4917"/>
        </w:tabs>
        <w:ind w:left="4917" w:hanging="360"/>
      </w:pPr>
    </w:lvl>
    <w:lvl w:ilvl="4" w:tplc="0C090019" w:tentative="1">
      <w:start w:val="1"/>
      <w:numFmt w:val="lowerLetter"/>
      <w:lvlText w:val="%5."/>
      <w:lvlJc w:val="left"/>
      <w:pPr>
        <w:tabs>
          <w:tab w:val="num" w:pos="5637"/>
        </w:tabs>
        <w:ind w:left="5637" w:hanging="360"/>
      </w:pPr>
    </w:lvl>
    <w:lvl w:ilvl="5" w:tplc="0C09001B" w:tentative="1">
      <w:start w:val="1"/>
      <w:numFmt w:val="lowerRoman"/>
      <w:lvlText w:val="%6."/>
      <w:lvlJc w:val="right"/>
      <w:pPr>
        <w:tabs>
          <w:tab w:val="num" w:pos="6357"/>
        </w:tabs>
        <w:ind w:left="6357" w:hanging="180"/>
      </w:pPr>
    </w:lvl>
    <w:lvl w:ilvl="6" w:tplc="0C09000F" w:tentative="1">
      <w:start w:val="1"/>
      <w:numFmt w:val="decimal"/>
      <w:lvlText w:val="%7."/>
      <w:lvlJc w:val="left"/>
      <w:pPr>
        <w:tabs>
          <w:tab w:val="num" w:pos="7077"/>
        </w:tabs>
        <w:ind w:left="7077" w:hanging="360"/>
      </w:pPr>
    </w:lvl>
    <w:lvl w:ilvl="7" w:tplc="0C090019" w:tentative="1">
      <w:start w:val="1"/>
      <w:numFmt w:val="lowerLetter"/>
      <w:lvlText w:val="%8."/>
      <w:lvlJc w:val="left"/>
      <w:pPr>
        <w:tabs>
          <w:tab w:val="num" w:pos="7797"/>
        </w:tabs>
        <w:ind w:left="7797" w:hanging="360"/>
      </w:pPr>
    </w:lvl>
    <w:lvl w:ilvl="8" w:tplc="0C09001B" w:tentative="1">
      <w:start w:val="1"/>
      <w:numFmt w:val="lowerRoman"/>
      <w:lvlText w:val="%9."/>
      <w:lvlJc w:val="right"/>
      <w:pPr>
        <w:tabs>
          <w:tab w:val="num" w:pos="8517"/>
        </w:tabs>
        <w:ind w:left="8517" w:hanging="180"/>
      </w:pPr>
    </w:lvl>
  </w:abstractNum>
  <w:abstractNum w:abstractNumId="9"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452F570E"/>
    <w:multiLevelType w:val="hybridMultilevel"/>
    <w:tmpl w:val="C3D43180"/>
    <w:lvl w:ilvl="0" w:tplc="633697DE">
      <w:start w:val="9"/>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2"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817669"/>
    <w:multiLevelType w:val="hybridMultilevel"/>
    <w:tmpl w:val="8EF25150"/>
    <w:lvl w:ilvl="0" w:tplc="ED347AB8">
      <w:start w:val="1"/>
      <w:numFmt w:val="bullet"/>
      <w:pStyle w:val="BulletsE"/>
      <w:lvlText w:val=""/>
      <w:lvlJc w:val="left"/>
      <w:pPr>
        <w:tabs>
          <w:tab w:val="num" w:pos="34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F64BC7"/>
    <w:multiLevelType w:val="hybridMultilevel"/>
    <w:tmpl w:val="29E001A0"/>
    <w:lvl w:ilvl="0" w:tplc="FCF00FA2">
      <w:start w:val="2"/>
      <w:numFmt w:val="lowerLetter"/>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15" w15:restartNumberingAfterBreak="0">
    <w:nsid w:val="5944402E"/>
    <w:multiLevelType w:val="hybridMultilevel"/>
    <w:tmpl w:val="ACB2B254"/>
    <w:lvl w:ilvl="0" w:tplc="C4966800">
      <w:start w:val="1"/>
      <w:numFmt w:val="decimal"/>
      <w:lvlText w:val="%1)"/>
      <w:lvlJc w:val="left"/>
      <w:pPr>
        <w:tabs>
          <w:tab w:val="num" w:pos="2550"/>
        </w:tabs>
        <w:ind w:left="255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539A2"/>
    <w:multiLevelType w:val="hybridMultilevel"/>
    <w:tmpl w:val="92F43724"/>
    <w:lvl w:ilvl="0" w:tplc="C4966800">
      <w:start w:val="1"/>
      <w:numFmt w:val="decimal"/>
      <w:lvlText w:val="%1)"/>
      <w:lvlJc w:val="left"/>
      <w:pPr>
        <w:tabs>
          <w:tab w:val="num" w:pos="3117"/>
        </w:tabs>
        <w:ind w:left="3117" w:hanging="720"/>
      </w:pPr>
      <w:rPr>
        <w:rFonts w:hint="default"/>
      </w:rPr>
    </w:lvl>
    <w:lvl w:ilvl="1" w:tplc="0C090019" w:tentative="1">
      <w:start w:val="1"/>
      <w:numFmt w:val="lowerLetter"/>
      <w:lvlText w:val="%2."/>
      <w:lvlJc w:val="left"/>
      <w:pPr>
        <w:tabs>
          <w:tab w:val="num" w:pos="3477"/>
        </w:tabs>
        <w:ind w:left="3477" w:hanging="360"/>
      </w:pPr>
    </w:lvl>
    <w:lvl w:ilvl="2" w:tplc="0C09001B" w:tentative="1">
      <w:start w:val="1"/>
      <w:numFmt w:val="lowerRoman"/>
      <w:lvlText w:val="%3."/>
      <w:lvlJc w:val="right"/>
      <w:pPr>
        <w:tabs>
          <w:tab w:val="num" w:pos="4197"/>
        </w:tabs>
        <w:ind w:left="4197" w:hanging="180"/>
      </w:pPr>
    </w:lvl>
    <w:lvl w:ilvl="3" w:tplc="0C09000F" w:tentative="1">
      <w:start w:val="1"/>
      <w:numFmt w:val="decimal"/>
      <w:lvlText w:val="%4."/>
      <w:lvlJc w:val="left"/>
      <w:pPr>
        <w:tabs>
          <w:tab w:val="num" w:pos="4917"/>
        </w:tabs>
        <w:ind w:left="4917" w:hanging="360"/>
      </w:pPr>
    </w:lvl>
    <w:lvl w:ilvl="4" w:tplc="0C090019" w:tentative="1">
      <w:start w:val="1"/>
      <w:numFmt w:val="lowerLetter"/>
      <w:lvlText w:val="%5."/>
      <w:lvlJc w:val="left"/>
      <w:pPr>
        <w:tabs>
          <w:tab w:val="num" w:pos="5637"/>
        </w:tabs>
        <w:ind w:left="5637" w:hanging="360"/>
      </w:pPr>
    </w:lvl>
    <w:lvl w:ilvl="5" w:tplc="0C09001B" w:tentative="1">
      <w:start w:val="1"/>
      <w:numFmt w:val="lowerRoman"/>
      <w:lvlText w:val="%6."/>
      <w:lvlJc w:val="right"/>
      <w:pPr>
        <w:tabs>
          <w:tab w:val="num" w:pos="6357"/>
        </w:tabs>
        <w:ind w:left="6357" w:hanging="180"/>
      </w:pPr>
    </w:lvl>
    <w:lvl w:ilvl="6" w:tplc="0C09000F" w:tentative="1">
      <w:start w:val="1"/>
      <w:numFmt w:val="decimal"/>
      <w:lvlText w:val="%7."/>
      <w:lvlJc w:val="left"/>
      <w:pPr>
        <w:tabs>
          <w:tab w:val="num" w:pos="7077"/>
        </w:tabs>
        <w:ind w:left="7077" w:hanging="360"/>
      </w:pPr>
    </w:lvl>
    <w:lvl w:ilvl="7" w:tplc="0C090019" w:tentative="1">
      <w:start w:val="1"/>
      <w:numFmt w:val="lowerLetter"/>
      <w:lvlText w:val="%8."/>
      <w:lvlJc w:val="left"/>
      <w:pPr>
        <w:tabs>
          <w:tab w:val="num" w:pos="7797"/>
        </w:tabs>
        <w:ind w:left="7797" w:hanging="360"/>
      </w:pPr>
    </w:lvl>
    <w:lvl w:ilvl="8" w:tplc="0C09001B" w:tentative="1">
      <w:start w:val="1"/>
      <w:numFmt w:val="lowerRoman"/>
      <w:lvlText w:val="%9."/>
      <w:lvlJc w:val="right"/>
      <w:pPr>
        <w:tabs>
          <w:tab w:val="num" w:pos="8517"/>
        </w:tabs>
        <w:ind w:left="8517" w:hanging="180"/>
      </w:pPr>
    </w:lvl>
  </w:abstractNum>
  <w:abstractNum w:abstractNumId="17" w15:restartNumberingAfterBreak="0">
    <w:nsid w:val="7294591F"/>
    <w:multiLevelType w:val="multilevel"/>
    <w:tmpl w:val="88F6EEB2"/>
    <w:numStyleLink w:val="Text"/>
  </w:abstractNum>
  <w:num w:numId="1">
    <w:abstractNumId w:val="17"/>
  </w:num>
  <w:num w:numId="2">
    <w:abstractNumId w:val="9"/>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3"/>
  </w:num>
  <w:num w:numId="6">
    <w:abstractNumId w:val="10"/>
  </w:num>
  <w:num w:numId="7">
    <w:abstractNumId w:val="12"/>
  </w:num>
  <w:num w:numId="8">
    <w:abstractNumId w:val="0"/>
  </w:num>
  <w:num w:numId="9">
    <w:abstractNumId w:val="4"/>
  </w:num>
  <w:num w:numId="10">
    <w:abstractNumId w:val="2"/>
  </w:num>
  <w:num w:numId="11">
    <w:abstractNumId w:val="11"/>
  </w:num>
  <w:num w:numId="12">
    <w:abstractNumId w:val="14"/>
  </w:num>
  <w:num w:numId="13">
    <w:abstractNumId w:val="13"/>
  </w:num>
  <w:num w:numId="14">
    <w:abstractNumId w:val="6"/>
  </w:num>
  <w:num w:numId="15">
    <w:abstractNumId w:val="16"/>
  </w:num>
  <w:num w:numId="16">
    <w:abstractNumId w:val="8"/>
  </w:num>
  <w:num w:numId="17">
    <w:abstractNumId w:val="15"/>
  </w:num>
  <w:num w:numId="18">
    <w:abstractNumId w:val="7"/>
  </w:num>
  <w:num w:numId="19">
    <w:abstractNumId w:val="5"/>
    <w:lvlOverride w:ilvl="0">
      <w:lvl w:ilvl="0">
        <w:start w:val="1"/>
        <w:numFmt w:val="decimal"/>
        <w:pStyle w:val="BlockText"/>
        <w:lvlText w:val="%1."/>
        <w:lvlJc w:val="left"/>
        <w:pPr>
          <w:tabs>
            <w:tab w:val="num" w:pos="1827"/>
          </w:tabs>
          <w:ind w:left="182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rBZQEjJIhwBe8btOn5OIt1Yoj08DU0JkzviRuKDcNCtdszd8QXjbbPO/y+CtYZBijJezkONxODFvt7sDPdUqTQ==" w:salt="UDgMMgUpXOsYOpRIHGjr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2D"/>
    <w:rsid w:val="000045F6"/>
    <w:rsid w:val="000060BF"/>
    <w:rsid w:val="000064CB"/>
    <w:rsid w:val="000104AB"/>
    <w:rsid w:val="00010EEA"/>
    <w:rsid w:val="0002150C"/>
    <w:rsid w:val="00022413"/>
    <w:rsid w:val="00023645"/>
    <w:rsid w:val="00025614"/>
    <w:rsid w:val="000302C0"/>
    <w:rsid w:val="000333C6"/>
    <w:rsid w:val="000376B2"/>
    <w:rsid w:val="00041781"/>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4996"/>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7515"/>
    <w:rsid w:val="00112237"/>
    <w:rsid w:val="0011496A"/>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0C46"/>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A1D"/>
    <w:rsid w:val="001F7B6E"/>
    <w:rsid w:val="0020232B"/>
    <w:rsid w:val="00204372"/>
    <w:rsid w:val="002048E7"/>
    <w:rsid w:val="00206981"/>
    <w:rsid w:val="00207E37"/>
    <w:rsid w:val="00210686"/>
    <w:rsid w:val="002115E6"/>
    <w:rsid w:val="00211ADE"/>
    <w:rsid w:val="002126D2"/>
    <w:rsid w:val="00215A9D"/>
    <w:rsid w:val="0021684D"/>
    <w:rsid w:val="00220E1E"/>
    <w:rsid w:val="00221114"/>
    <w:rsid w:val="00223518"/>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566E6"/>
    <w:rsid w:val="00361C3A"/>
    <w:rsid w:val="003627B1"/>
    <w:rsid w:val="003649F0"/>
    <w:rsid w:val="00364D5F"/>
    <w:rsid w:val="00365875"/>
    <w:rsid w:val="003659AD"/>
    <w:rsid w:val="00371470"/>
    <w:rsid w:val="00371523"/>
    <w:rsid w:val="00371DC6"/>
    <w:rsid w:val="00371E1A"/>
    <w:rsid w:val="003765CD"/>
    <w:rsid w:val="003838CC"/>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E0ECB"/>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B6728"/>
    <w:rsid w:val="004C0D46"/>
    <w:rsid w:val="004C12DE"/>
    <w:rsid w:val="004C5782"/>
    <w:rsid w:val="004C5891"/>
    <w:rsid w:val="004C6027"/>
    <w:rsid w:val="004D04AA"/>
    <w:rsid w:val="004D3B44"/>
    <w:rsid w:val="004D7C6B"/>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75F7F"/>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0636A"/>
    <w:rsid w:val="006102F8"/>
    <w:rsid w:val="00612FBB"/>
    <w:rsid w:val="0061625F"/>
    <w:rsid w:val="006226DC"/>
    <w:rsid w:val="00623756"/>
    <w:rsid w:val="00624CDA"/>
    <w:rsid w:val="00626B28"/>
    <w:rsid w:val="00630FFB"/>
    <w:rsid w:val="00632A1A"/>
    <w:rsid w:val="00634CF3"/>
    <w:rsid w:val="00635C62"/>
    <w:rsid w:val="00635F78"/>
    <w:rsid w:val="006376B8"/>
    <w:rsid w:val="00645230"/>
    <w:rsid w:val="00645F0D"/>
    <w:rsid w:val="006501B7"/>
    <w:rsid w:val="00654280"/>
    <w:rsid w:val="006552F7"/>
    <w:rsid w:val="006575EA"/>
    <w:rsid w:val="0066709F"/>
    <w:rsid w:val="00677E9B"/>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A6CFE"/>
    <w:rsid w:val="007B1307"/>
    <w:rsid w:val="007B143E"/>
    <w:rsid w:val="007B51DD"/>
    <w:rsid w:val="007B7CC0"/>
    <w:rsid w:val="007C0E96"/>
    <w:rsid w:val="007C1D40"/>
    <w:rsid w:val="007C4B87"/>
    <w:rsid w:val="007C62CA"/>
    <w:rsid w:val="007C71F4"/>
    <w:rsid w:val="007D0971"/>
    <w:rsid w:val="007D290F"/>
    <w:rsid w:val="007D34CA"/>
    <w:rsid w:val="007D40A4"/>
    <w:rsid w:val="007D4D03"/>
    <w:rsid w:val="007D7071"/>
    <w:rsid w:val="007E4470"/>
    <w:rsid w:val="007E6321"/>
    <w:rsid w:val="007E6726"/>
    <w:rsid w:val="007F0790"/>
    <w:rsid w:val="007F10F3"/>
    <w:rsid w:val="007F1174"/>
    <w:rsid w:val="007F23CE"/>
    <w:rsid w:val="007F3D47"/>
    <w:rsid w:val="007F458D"/>
    <w:rsid w:val="007F5FDB"/>
    <w:rsid w:val="007F658A"/>
    <w:rsid w:val="007F78D8"/>
    <w:rsid w:val="008049A2"/>
    <w:rsid w:val="00807DD2"/>
    <w:rsid w:val="0081131C"/>
    <w:rsid w:val="00811F25"/>
    <w:rsid w:val="00821BA6"/>
    <w:rsid w:val="008242B1"/>
    <w:rsid w:val="00824BAA"/>
    <w:rsid w:val="00824DF7"/>
    <w:rsid w:val="00827A50"/>
    <w:rsid w:val="008323D0"/>
    <w:rsid w:val="00832DC1"/>
    <w:rsid w:val="0084462A"/>
    <w:rsid w:val="00846229"/>
    <w:rsid w:val="00847B78"/>
    <w:rsid w:val="008525BF"/>
    <w:rsid w:val="00854345"/>
    <w:rsid w:val="00855DA8"/>
    <w:rsid w:val="00861502"/>
    <w:rsid w:val="008618DE"/>
    <w:rsid w:val="008642D5"/>
    <w:rsid w:val="00864645"/>
    <w:rsid w:val="00865384"/>
    <w:rsid w:val="00866773"/>
    <w:rsid w:val="00874692"/>
    <w:rsid w:val="00875635"/>
    <w:rsid w:val="008801C6"/>
    <w:rsid w:val="00880CC9"/>
    <w:rsid w:val="0088327C"/>
    <w:rsid w:val="00884779"/>
    <w:rsid w:val="0088762D"/>
    <w:rsid w:val="008877ED"/>
    <w:rsid w:val="00890996"/>
    <w:rsid w:val="00890DB6"/>
    <w:rsid w:val="008933D8"/>
    <w:rsid w:val="00897AAE"/>
    <w:rsid w:val="008A0085"/>
    <w:rsid w:val="008A0833"/>
    <w:rsid w:val="008A0912"/>
    <w:rsid w:val="008A0DC2"/>
    <w:rsid w:val="008A3E60"/>
    <w:rsid w:val="008A43A5"/>
    <w:rsid w:val="008A5E84"/>
    <w:rsid w:val="008A7265"/>
    <w:rsid w:val="008B23E9"/>
    <w:rsid w:val="008B3039"/>
    <w:rsid w:val="008C0559"/>
    <w:rsid w:val="008C1207"/>
    <w:rsid w:val="008C3763"/>
    <w:rsid w:val="008D038F"/>
    <w:rsid w:val="008D0BA9"/>
    <w:rsid w:val="008D2392"/>
    <w:rsid w:val="008D4B25"/>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20F3C"/>
    <w:rsid w:val="009312EE"/>
    <w:rsid w:val="00931A46"/>
    <w:rsid w:val="009328BF"/>
    <w:rsid w:val="009329EC"/>
    <w:rsid w:val="009342C0"/>
    <w:rsid w:val="009407A5"/>
    <w:rsid w:val="00944373"/>
    <w:rsid w:val="00944463"/>
    <w:rsid w:val="0094548B"/>
    <w:rsid w:val="00945A49"/>
    <w:rsid w:val="00945F55"/>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944FF"/>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1F3C"/>
    <w:rsid w:val="009E2103"/>
    <w:rsid w:val="009E21DC"/>
    <w:rsid w:val="009E5230"/>
    <w:rsid w:val="009E7450"/>
    <w:rsid w:val="009F372D"/>
    <w:rsid w:val="009F3A74"/>
    <w:rsid w:val="009F48CB"/>
    <w:rsid w:val="009F5A99"/>
    <w:rsid w:val="009F5CC8"/>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09AE"/>
    <w:rsid w:val="00A7187B"/>
    <w:rsid w:val="00A728DB"/>
    <w:rsid w:val="00A73C0C"/>
    <w:rsid w:val="00A8134F"/>
    <w:rsid w:val="00A81BDC"/>
    <w:rsid w:val="00A82727"/>
    <w:rsid w:val="00A8454A"/>
    <w:rsid w:val="00A84B88"/>
    <w:rsid w:val="00A94CD2"/>
    <w:rsid w:val="00A968CE"/>
    <w:rsid w:val="00A97CCB"/>
    <w:rsid w:val="00AA030E"/>
    <w:rsid w:val="00AA04C3"/>
    <w:rsid w:val="00AA0714"/>
    <w:rsid w:val="00AA548A"/>
    <w:rsid w:val="00AA6273"/>
    <w:rsid w:val="00AA632B"/>
    <w:rsid w:val="00AA7082"/>
    <w:rsid w:val="00AB0C6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E73E4"/>
    <w:rsid w:val="00AF2DB3"/>
    <w:rsid w:val="00AF35EB"/>
    <w:rsid w:val="00AF42F0"/>
    <w:rsid w:val="00AF5B58"/>
    <w:rsid w:val="00B0128A"/>
    <w:rsid w:val="00B01BD5"/>
    <w:rsid w:val="00B02AB8"/>
    <w:rsid w:val="00B03943"/>
    <w:rsid w:val="00B077AA"/>
    <w:rsid w:val="00B11074"/>
    <w:rsid w:val="00B142D1"/>
    <w:rsid w:val="00B14E33"/>
    <w:rsid w:val="00B1670C"/>
    <w:rsid w:val="00B16B84"/>
    <w:rsid w:val="00B17B7E"/>
    <w:rsid w:val="00B21D03"/>
    <w:rsid w:val="00B23100"/>
    <w:rsid w:val="00B24316"/>
    <w:rsid w:val="00B24D40"/>
    <w:rsid w:val="00B407CC"/>
    <w:rsid w:val="00B44C19"/>
    <w:rsid w:val="00B5270D"/>
    <w:rsid w:val="00B54F76"/>
    <w:rsid w:val="00B555A0"/>
    <w:rsid w:val="00B558AF"/>
    <w:rsid w:val="00B60FD0"/>
    <w:rsid w:val="00B621B6"/>
    <w:rsid w:val="00B63555"/>
    <w:rsid w:val="00B71990"/>
    <w:rsid w:val="00B71D61"/>
    <w:rsid w:val="00B828A5"/>
    <w:rsid w:val="00B82C46"/>
    <w:rsid w:val="00B85594"/>
    <w:rsid w:val="00B86C5E"/>
    <w:rsid w:val="00B921A2"/>
    <w:rsid w:val="00B95572"/>
    <w:rsid w:val="00BA093E"/>
    <w:rsid w:val="00BA0D70"/>
    <w:rsid w:val="00BA24A6"/>
    <w:rsid w:val="00BA263D"/>
    <w:rsid w:val="00BA2971"/>
    <w:rsid w:val="00BA3777"/>
    <w:rsid w:val="00BA48FA"/>
    <w:rsid w:val="00BA4ABE"/>
    <w:rsid w:val="00BA63DE"/>
    <w:rsid w:val="00BA6FAF"/>
    <w:rsid w:val="00BB0A32"/>
    <w:rsid w:val="00BB0B06"/>
    <w:rsid w:val="00BB2188"/>
    <w:rsid w:val="00BB4C3D"/>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587B"/>
    <w:rsid w:val="00C666F3"/>
    <w:rsid w:val="00C67A86"/>
    <w:rsid w:val="00C70B79"/>
    <w:rsid w:val="00C75F63"/>
    <w:rsid w:val="00C7642D"/>
    <w:rsid w:val="00C80B4A"/>
    <w:rsid w:val="00C82082"/>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8DE"/>
    <w:rsid w:val="00D00D00"/>
    <w:rsid w:val="00D01D91"/>
    <w:rsid w:val="00D01EDD"/>
    <w:rsid w:val="00D10561"/>
    <w:rsid w:val="00D1271C"/>
    <w:rsid w:val="00D1311C"/>
    <w:rsid w:val="00D1494C"/>
    <w:rsid w:val="00D14B39"/>
    <w:rsid w:val="00D15DC7"/>
    <w:rsid w:val="00D2734D"/>
    <w:rsid w:val="00D339A3"/>
    <w:rsid w:val="00D40D37"/>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1BA7"/>
    <w:rsid w:val="00DB3E79"/>
    <w:rsid w:val="00DB70C4"/>
    <w:rsid w:val="00DB7968"/>
    <w:rsid w:val="00DB7D4C"/>
    <w:rsid w:val="00DC332A"/>
    <w:rsid w:val="00DC3F21"/>
    <w:rsid w:val="00DC3F78"/>
    <w:rsid w:val="00DC41DE"/>
    <w:rsid w:val="00DD2AC4"/>
    <w:rsid w:val="00DD3F35"/>
    <w:rsid w:val="00DE2A7B"/>
    <w:rsid w:val="00DE64A9"/>
    <w:rsid w:val="00DF18C0"/>
    <w:rsid w:val="00DF40ED"/>
    <w:rsid w:val="00E01CEC"/>
    <w:rsid w:val="00E0391A"/>
    <w:rsid w:val="00E03A9E"/>
    <w:rsid w:val="00E07172"/>
    <w:rsid w:val="00E120D0"/>
    <w:rsid w:val="00E17340"/>
    <w:rsid w:val="00E229A3"/>
    <w:rsid w:val="00E26BA3"/>
    <w:rsid w:val="00E33ABF"/>
    <w:rsid w:val="00E50EEB"/>
    <w:rsid w:val="00E51BC9"/>
    <w:rsid w:val="00E55AAB"/>
    <w:rsid w:val="00E5630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16EF"/>
    <w:rsid w:val="00F12497"/>
    <w:rsid w:val="00F13DC8"/>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364"/>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EE84BE7"/>
  <w15:docId w15:val="{2C0530D2-177C-42D8-AB04-D4D195CE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link w:val="HeaderChar"/>
    <w:uiPriority w:val="99"/>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20"/>
      </w:numPr>
    </w:pPr>
  </w:style>
  <w:style w:type="character" w:styleId="Hyperlink">
    <w:name w:val="Hyperlink"/>
    <w:rsid w:val="00545D20"/>
    <w:rPr>
      <w:color w:val="0000FF"/>
      <w:u w:val="single"/>
    </w:rPr>
  </w:style>
  <w:style w:type="paragraph" w:styleId="BlockText">
    <w:name w:val="Block Text"/>
    <w:basedOn w:val="ListNumber"/>
    <w:link w:val="BlockTextChar"/>
    <w:rsid w:val="00206981"/>
    <w:pPr>
      <w:keepLines/>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FE2364"/>
    <w:pPr>
      <w:spacing w:before="360" w:line="300" w:lineRule="exact"/>
    </w:pPr>
    <w:rPr>
      <w:rFonts w:cs="Times New Roman"/>
      <w:sz w:val="28"/>
      <w:szCs w:val="28"/>
    </w:rPr>
  </w:style>
  <w:style w:type="paragraph" w:styleId="FootnoteText">
    <w:name w:val="footnote text"/>
    <w:basedOn w:val="Normal"/>
    <w:semiHidden/>
    <w:rsid w:val="00FE2364"/>
    <w:rPr>
      <w:rFonts w:ascii="Times New Roman" w:hAnsi="Times New Roman" w:cs="Times New Roman"/>
      <w:sz w:val="20"/>
    </w:rPr>
  </w:style>
  <w:style w:type="character" w:styleId="FootnoteReference">
    <w:name w:val="footnote reference"/>
    <w:semiHidden/>
    <w:rsid w:val="00FE2364"/>
    <w:rPr>
      <w:vertAlign w:val="superscript"/>
    </w:rPr>
  </w:style>
  <w:style w:type="paragraph" w:customStyle="1" w:styleId="BulletsE">
    <w:name w:val="Bullets E"/>
    <w:basedOn w:val="Normal"/>
    <w:rsid w:val="00FE2364"/>
    <w:pPr>
      <w:numPr>
        <w:numId w:val="13"/>
      </w:numPr>
      <w:spacing w:before="120" w:after="120" w:line="260" w:lineRule="exact"/>
      <w:ind w:left="624" w:hanging="340"/>
      <w:jc w:val="both"/>
    </w:pPr>
    <w:rPr>
      <w:sz w:val="24"/>
      <w:szCs w:val="24"/>
    </w:rPr>
  </w:style>
  <w:style w:type="paragraph" w:customStyle="1" w:styleId="NumberedE">
    <w:name w:val="Numbered E"/>
    <w:basedOn w:val="Normal"/>
    <w:rsid w:val="00FE2364"/>
    <w:pPr>
      <w:numPr>
        <w:numId w:val="14"/>
      </w:numPr>
      <w:spacing w:after="120"/>
    </w:pPr>
    <w:rPr>
      <w:sz w:val="24"/>
      <w:szCs w:val="24"/>
    </w:rPr>
  </w:style>
  <w:style w:type="paragraph" w:customStyle="1" w:styleId="BodyTextArial12pt">
    <w:name w:val="Body Text Arial 12pt"/>
    <w:basedOn w:val="Normal"/>
    <w:link w:val="BodyTextArial12ptCharChar"/>
    <w:rsid w:val="00FE2364"/>
    <w:pPr>
      <w:spacing w:after="120"/>
      <w:jc w:val="both"/>
    </w:pPr>
    <w:rPr>
      <w:snapToGrid w:val="0"/>
      <w:color w:val="000000"/>
      <w:sz w:val="24"/>
      <w:szCs w:val="24"/>
      <w:lang w:eastAsia="en-US"/>
    </w:rPr>
  </w:style>
  <w:style w:type="character" w:customStyle="1" w:styleId="BodyTextArial12ptCharChar">
    <w:name w:val="Body Text Arial 12pt Char Char"/>
    <w:link w:val="BodyTextArial12pt"/>
    <w:rsid w:val="00FE2364"/>
    <w:rPr>
      <w:rFonts w:ascii="Arial" w:hAnsi="Arial" w:cs="Arial"/>
      <w:snapToGrid w:val="0"/>
      <w:color w:val="000000"/>
      <w:sz w:val="24"/>
      <w:szCs w:val="24"/>
      <w:lang w:val="en-AU" w:eastAsia="en-US" w:bidi="ar-SA"/>
    </w:rPr>
  </w:style>
  <w:style w:type="character" w:customStyle="1" w:styleId="ListNumberChar">
    <w:name w:val="List Number Char"/>
    <w:link w:val="ListNumber"/>
    <w:rsid w:val="00FE2364"/>
    <w:rPr>
      <w:rFonts w:ascii="Arial" w:hAnsi="Arial" w:cs="Arial"/>
      <w:sz w:val="22"/>
      <w:lang w:val="en-AU" w:eastAsia="en-AU" w:bidi="ar-SA"/>
    </w:rPr>
  </w:style>
  <w:style w:type="character" w:customStyle="1" w:styleId="BlockTextChar">
    <w:name w:val="Block Text Char"/>
    <w:basedOn w:val="ListNumberChar"/>
    <w:link w:val="BlockText"/>
    <w:rsid w:val="00FE2364"/>
    <w:rPr>
      <w:rFonts w:ascii="Arial" w:hAnsi="Arial" w:cs="Arial"/>
      <w:sz w:val="22"/>
      <w:lang w:val="en-AU" w:eastAsia="en-AU" w:bidi="ar-SA"/>
    </w:rPr>
  </w:style>
  <w:style w:type="character" w:customStyle="1" w:styleId="HeadingTwoChar">
    <w:name w:val="Heading Two Char"/>
    <w:link w:val="HeadingTwo"/>
    <w:rsid w:val="00C6587B"/>
    <w:rPr>
      <w:rFonts w:ascii="Arial" w:hAnsi="Arial"/>
      <w:b/>
      <w:bCs/>
      <w:sz w:val="22"/>
      <w:lang w:val="en-AU" w:eastAsia="en-AU" w:bidi="ar-SA"/>
    </w:rPr>
  </w:style>
  <w:style w:type="character" w:customStyle="1" w:styleId="HeaderChar">
    <w:name w:val="Header Char"/>
    <w:link w:val="Header"/>
    <w:uiPriority w:val="99"/>
    <w:rsid w:val="00BB4C3D"/>
    <w:rPr>
      <w:rFonts w:ascii="Arial" w:hAnsi="Arial" w:cs="Arial"/>
      <w:sz w:val="22"/>
    </w:rPr>
  </w:style>
  <w:style w:type="character" w:styleId="CommentReference">
    <w:name w:val="annotation reference"/>
    <w:rsid w:val="006376B8"/>
    <w:rPr>
      <w:sz w:val="16"/>
      <w:szCs w:val="16"/>
    </w:rPr>
  </w:style>
  <w:style w:type="paragraph" w:styleId="CommentText">
    <w:name w:val="annotation text"/>
    <w:basedOn w:val="Normal"/>
    <w:link w:val="CommentTextChar"/>
    <w:rsid w:val="006376B8"/>
    <w:rPr>
      <w:sz w:val="20"/>
    </w:rPr>
  </w:style>
  <w:style w:type="character" w:customStyle="1" w:styleId="CommentTextChar">
    <w:name w:val="Comment Text Char"/>
    <w:link w:val="CommentText"/>
    <w:rsid w:val="006376B8"/>
    <w:rPr>
      <w:rFonts w:ascii="Arial" w:hAnsi="Arial" w:cs="Arial"/>
    </w:rPr>
  </w:style>
  <w:style w:type="paragraph" w:styleId="CommentSubject">
    <w:name w:val="annotation subject"/>
    <w:basedOn w:val="CommentText"/>
    <w:next w:val="CommentText"/>
    <w:link w:val="CommentSubjectChar"/>
    <w:rsid w:val="006376B8"/>
    <w:rPr>
      <w:b/>
      <w:bCs/>
    </w:rPr>
  </w:style>
  <w:style w:type="character" w:customStyle="1" w:styleId="CommentSubjectChar">
    <w:name w:val="Comment Subject Char"/>
    <w:link w:val="CommentSubject"/>
    <w:rsid w:val="006376B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GeneralAdmin/CG-GEN-00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easury.nt.gov.au/PMS/Publications/TaxesRoyaltiesGrants/HomeOwnerIncent/CG-HI-00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HomeOwnerIncent/F-HI-001.pdf" TargetMode="External"/><Relationship Id="rId5" Type="http://schemas.openxmlformats.org/officeDocument/2006/relationships/styles" Target="styles.xml"/><Relationship Id="rId15" Type="http://schemas.openxmlformats.org/officeDocument/2006/relationships/hyperlink" Target="mailto:ntrevenue@nt.gov.au" TargetMode="External"/><Relationship Id="rId23" Type="http://schemas.openxmlformats.org/officeDocument/2006/relationships/theme" Target="theme/theme1.xml"/><Relationship Id="rId10" Type="http://schemas.openxmlformats.org/officeDocument/2006/relationships/hyperlink" Target="http://www.treasury.nt.gov.au/PMS/Publications/TaxesRoyaltiesGrants/HomeOwnerIncent/CG-HI-004.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Home Incentives (HI)</Tax_x0020_Type>
    <Publication_x0020_Title xmlns="378e824e-6e02-4c0d-8321-dd86fba681ee">Separated Spouses</Publication_x0020_Title>
    <Details xmlns="378e824e-6e02-4c0d-8321-dd86fba681ee" xsi:nil="true"/>
    <Identifier xmlns="378e824e-6e02-4c0d-8321-dd86fba681ee">CG-HI-008</Identifier>
    <Publication_x0020_Type xmlns="378e824e-6e02-4c0d-8321-dd86fba681ee">Commissioner's Guidelines (CG)</Publication_x0020_Type>
    <Sub_x0020_Sub_x0020_Category xmlns="378e824e-6e02-4c0d-8321-dd86fba681ee" xsi:nil="true"/>
    <Release_x0020_Date xmlns="378e824e-6e02-4c0d-8321-dd86fba681ee">2016-05-23T14:30:00+00:00</Release_x0020_Date>
    <Sub_x0020_Category xmlns="378e824e-6e02-4c0d-8321-dd86fba681ee">22</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F8005-5C1B-4FFA-B974-2B258A8AD157}">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3E9FF728-0C22-40BE-BBBF-0A63DE98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C4F9-1589-40C5-9826-76D9A136B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11616</CharactersWithSpaces>
  <SharedDoc>false</SharedDoc>
  <HLinks>
    <vt:vector size="36" baseType="variant">
      <vt:variant>
        <vt:i4>5242895</vt:i4>
      </vt:variant>
      <vt:variant>
        <vt:i4>15</vt:i4>
      </vt:variant>
      <vt:variant>
        <vt:i4>0</vt:i4>
      </vt:variant>
      <vt:variant>
        <vt:i4>5</vt:i4>
      </vt:variant>
      <vt:variant>
        <vt:lpwstr>http://www.revenue.nt.gov.au/</vt:lpwstr>
      </vt:variant>
      <vt:variant>
        <vt:lpwstr/>
      </vt:variant>
      <vt:variant>
        <vt:i4>7798799</vt:i4>
      </vt:variant>
      <vt:variant>
        <vt:i4>12</vt:i4>
      </vt:variant>
      <vt:variant>
        <vt:i4>0</vt:i4>
      </vt:variant>
      <vt:variant>
        <vt:i4>5</vt:i4>
      </vt:variant>
      <vt:variant>
        <vt:lpwstr>mailto:ntrevenue@nt.gov.au</vt:lpwstr>
      </vt:variant>
      <vt:variant>
        <vt:lpwstr/>
      </vt:variant>
      <vt:variant>
        <vt:i4>2883638</vt:i4>
      </vt:variant>
      <vt:variant>
        <vt:i4>9</vt:i4>
      </vt:variant>
      <vt:variant>
        <vt:i4>0</vt:i4>
      </vt:variant>
      <vt:variant>
        <vt:i4>5</vt:i4>
      </vt:variant>
      <vt:variant>
        <vt:lpwstr>http://www.treasury.nt.gov.au/PMS/Publications/TaxesRoyaltiesGrants/GeneralAdmin/CG-GEN-001.pdf</vt:lpwstr>
      </vt:variant>
      <vt:variant>
        <vt:lpwstr/>
      </vt:variant>
      <vt:variant>
        <vt:i4>5767238</vt:i4>
      </vt:variant>
      <vt:variant>
        <vt:i4>6</vt:i4>
      </vt:variant>
      <vt:variant>
        <vt:i4>0</vt:i4>
      </vt:variant>
      <vt:variant>
        <vt:i4>5</vt:i4>
      </vt:variant>
      <vt:variant>
        <vt:lpwstr>http://www.treasury.nt.gov.au/PMS/Publications/TaxesRoyaltiesGrants/HomeOwnerIncent/CG-HI-004.pdf</vt:lpwstr>
      </vt:variant>
      <vt:variant>
        <vt:lpwstr/>
      </vt:variant>
      <vt:variant>
        <vt:i4>5439564</vt:i4>
      </vt:variant>
      <vt:variant>
        <vt:i4>3</vt:i4>
      </vt:variant>
      <vt:variant>
        <vt:i4>0</vt:i4>
      </vt:variant>
      <vt:variant>
        <vt:i4>5</vt:i4>
      </vt:variant>
      <vt:variant>
        <vt:lpwstr>http://www.treasury.nt.gov.au/PMS/Publications/TaxesRoyaltiesGrants/HomeOwnerIncent/F-HI-001.pdf</vt:lpwstr>
      </vt:variant>
      <vt:variant>
        <vt:lpwstr/>
      </vt:variant>
      <vt:variant>
        <vt:i4>5767238</vt:i4>
      </vt:variant>
      <vt:variant>
        <vt:i4>0</vt:i4>
      </vt:variant>
      <vt:variant>
        <vt:i4>0</vt:i4>
      </vt:variant>
      <vt:variant>
        <vt:i4>5</vt:i4>
      </vt:variant>
      <vt:variant>
        <vt:lpwstr>http://www.treasury.nt.gov.au/PMS/Publications/TaxesRoyaltiesGrants/HomeOwnerIncent/CG-HI-004.pdf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Separated Spouses</dc:title>
  <dc:creator>sschu</dc:creator>
  <cp:lastModifiedBy>Jessica Symonds</cp:lastModifiedBy>
  <cp:revision>5</cp:revision>
  <cp:lastPrinted>2011-11-09T04:51:00Z</cp:lastPrinted>
  <dcterms:created xsi:type="dcterms:W3CDTF">2016-05-23T01:40:00Z</dcterms:created>
  <dcterms:modified xsi:type="dcterms:W3CDTF">2021-09-10T07:25:00Z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