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C384" w14:textId="150E1EAC" w:rsidR="003C4941" w:rsidRDefault="00D4424C" w:rsidP="007C7591">
      <w:pPr>
        <w:pStyle w:val="Subtitle0"/>
        <w:rPr>
          <w:noProof/>
          <w:lang w:eastAsia="en-AU"/>
        </w:rPr>
      </w:pPr>
      <w:bookmarkStart w:id="0" w:name="_GoBack"/>
      <w:bookmarkEnd w:id="0"/>
      <w:r>
        <w:rPr>
          <w:noProof/>
          <w:lang w:eastAsia="en-AU"/>
        </w:rPr>
        <w:t>Commissioner’s guideline</w:t>
      </w:r>
    </w:p>
    <w:tbl>
      <w:tblPr>
        <w:tblStyle w:val="NTGtable1"/>
        <w:tblW w:w="0" w:type="auto"/>
        <w:tblLook w:val="04A0" w:firstRow="1" w:lastRow="0" w:firstColumn="1" w:lastColumn="0" w:noHBand="0" w:noVBand="1"/>
      </w:tblPr>
      <w:tblGrid>
        <w:gridCol w:w="1140"/>
        <w:gridCol w:w="3056"/>
        <w:gridCol w:w="3056"/>
        <w:gridCol w:w="3056"/>
      </w:tblGrid>
      <w:tr w:rsidR="00D4424C" w:rsidRPr="00FC7F2D" w14:paraId="3F3D4E6C" w14:textId="77777777" w:rsidTr="004B0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40" w:type="dxa"/>
            <w:vMerge w:val="restart"/>
            <w:vAlign w:val="bottom"/>
          </w:tcPr>
          <w:p w14:paraId="70319004" w14:textId="7503390E" w:rsidR="00D4424C" w:rsidRPr="007E6931" w:rsidRDefault="00D4424C" w:rsidP="007E6931">
            <w:pPr>
              <w:pStyle w:val="BodyText"/>
              <w:spacing w:after="60"/>
              <w:rPr>
                <w:szCs w:val="22"/>
              </w:rPr>
            </w:pPr>
            <w:r w:rsidRPr="007E6931">
              <w:rPr>
                <w:szCs w:val="22"/>
              </w:rPr>
              <w:t>Version</w:t>
            </w:r>
          </w:p>
        </w:tc>
        <w:tc>
          <w:tcPr>
            <w:tcW w:w="3056" w:type="dxa"/>
            <w:vMerge w:val="restart"/>
            <w:tcBorders>
              <w:right w:val="single" w:sz="4" w:space="0" w:color="1F1F5F" w:themeColor="text1"/>
            </w:tcBorders>
            <w:vAlign w:val="bottom"/>
          </w:tcPr>
          <w:p w14:paraId="386EED54" w14:textId="75065D47" w:rsidR="00D4424C" w:rsidRPr="007E6931" w:rsidRDefault="00D4424C" w:rsidP="007E6931">
            <w:pPr>
              <w:pStyle w:val="BodyText"/>
              <w:spacing w:after="60"/>
              <w:cnfStyle w:val="100000000000" w:firstRow="1" w:lastRow="0" w:firstColumn="0" w:lastColumn="0" w:oddVBand="0" w:evenVBand="0" w:oddHBand="0" w:evenHBand="0" w:firstRowFirstColumn="0" w:firstRowLastColumn="0" w:lastRowFirstColumn="0" w:lastRowLastColumn="0"/>
              <w:rPr>
                <w:szCs w:val="22"/>
              </w:rPr>
            </w:pPr>
            <w:r w:rsidRPr="007E6931">
              <w:rPr>
                <w:szCs w:val="22"/>
              </w:rPr>
              <w:t>Issued</w:t>
            </w:r>
          </w:p>
        </w:tc>
        <w:tc>
          <w:tcPr>
            <w:tcW w:w="6112" w:type="dxa"/>
            <w:gridSpan w:val="2"/>
            <w:tcBorders>
              <w:top w:val="single" w:sz="4" w:space="0" w:color="1F1F5F" w:themeColor="text1"/>
              <w:left w:val="single" w:sz="4" w:space="0" w:color="1F1F5F" w:themeColor="text1"/>
              <w:bottom w:val="single" w:sz="4" w:space="0" w:color="FFFFFF" w:themeColor="background1"/>
              <w:right w:val="single" w:sz="4" w:space="0" w:color="1F1F5F" w:themeColor="text1"/>
            </w:tcBorders>
          </w:tcPr>
          <w:p w14:paraId="12937D5F" w14:textId="5E3CD7BC" w:rsidR="00D4424C" w:rsidRPr="00FC7F2D" w:rsidRDefault="00D4424C" w:rsidP="007E6931">
            <w:pPr>
              <w:pStyle w:val="BodyText"/>
              <w:spacing w:after="60"/>
              <w:jc w:val="center"/>
              <w:cnfStyle w:val="100000000000" w:firstRow="1" w:lastRow="0" w:firstColumn="0" w:lastColumn="0" w:oddVBand="0" w:evenVBand="0" w:oddHBand="0" w:evenHBand="0" w:firstRowFirstColumn="0" w:firstRowLastColumn="0" w:lastRowFirstColumn="0" w:lastRowLastColumn="0"/>
            </w:pPr>
            <w:r w:rsidRPr="00FC7F2D">
              <w:t xml:space="preserve">Dates of </w:t>
            </w:r>
            <w:r>
              <w:t>e</w:t>
            </w:r>
            <w:r w:rsidRPr="00FC7F2D">
              <w:t>ffect</w:t>
            </w:r>
          </w:p>
        </w:tc>
      </w:tr>
      <w:tr w:rsidR="007C7591" w:rsidRPr="00FC7F2D" w14:paraId="4F24496B" w14:textId="77777777" w:rsidTr="004B0566">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140" w:type="dxa"/>
            <w:vMerge/>
          </w:tcPr>
          <w:p w14:paraId="2DF665D2" w14:textId="77777777" w:rsidR="007C7591" w:rsidRPr="00FC7F2D" w:rsidRDefault="007C7591" w:rsidP="007833B1">
            <w:pPr>
              <w:spacing w:after="200"/>
            </w:pPr>
          </w:p>
        </w:tc>
        <w:tc>
          <w:tcPr>
            <w:tcW w:w="3056" w:type="dxa"/>
            <w:vMerge/>
            <w:tcBorders>
              <w:right w:val="single" w:sz="4" w:space="0" w:color="1F1F5F" w:themeColor="text1"/>
            </w:tcBorders>
          </w:tcPr>
          <w:p w14:paraId="60ACE1EF" w14:textId="77777777" w:rsidR="007C7591" w:rsidRPr="00FC7F2D" w:rsidRDefault="007C7591" w:rsidP="007833B1">
            <w:pPr>
              <w:spacing w:after="200"/>
              <w:cnfStyle w:val="000000100000" w:firstRow="0" w:lastRow="0" w:firstColumn="0" w:lastColumn="0" w:oddVBand="0" w:evenVBand="0" w:oddHBand="1" w:evenHBand="0" w:firstRowFirstColumn="0" w:firstRowLastColumn="0" w:lastRowFirstColumn="0" w:lastRowLastColumn="0"/>
            </w:pPr>
          </w:p>
        </w:tc>
        <w:tc>
          <w:tcPr>
            <w:tcW w:w="3056" w:type="dxa"/>
            <w:tcBorders>
              <w:top w:val="single" w:sz="4" w:space="0" w:color="FFFFFF" w:themeColor="background1"/>
              <w:left w:val="single" w:sz="4" w:space="0" w:color="1F1F5F" w:themeColor="text1"/>
              <w:bottom w:val="nil"/>
              <w:right w:val="nil"/>
            </w:tcBorders>
            <w:shd w:val="clear" w:color="auto" w:fill="1F1F5F" w:themeFill="text1"/>
          </w:tcPr>
          <w:p w14:paraId="636473F3" w14:textId="77777777" w:rsidR="007C7591" w:rsidRPr="007E6931" w:rsidRDefault="007C7591" w:rsidP="007E6931">
            <w:pPr>
              <w:pStyle w:val="BodyText"/>
              <w:spacing w:before="60" w:after="60"/>
              <w:cnfStyle w:val="000000100000" w:firstRow="0" w:lastRow="0" w:firstColumn="0" w:lastColumn="0" w:oddVBand="0" w:evenVBand="0" w:oddHBand="1" w:evenHBand="0" w:firstRowFirstColumn="0" w:firstRowLastColumn="0" w:lastRowFirstColumn="0" w:lastRowLastColumn="0"/>
              <w:rPr>
                <w:b/>
                <w:szCs w:val="22"/>
              </w:rPr>
            </w:pPr>
            <w:r w:rsidRPr="007E6931">
              <w:rPr>
                <w:b/>
                <w:szCs w:val="22"/>
              </w:rPr>
              <w:t>From:</w:t>
            </w:r>
          </w:p>
        </w:tc>
        <w:tc>
          <w:tcPr>
            <w:tcW w:w="3056" w:type="dxa"/>
            <w:tcBorders>
              <w:top w:val="single" w:sz="4" w:space="0" w:color="FFFFFF" w:themeColor="background1"/>
              <w:left w:val="nil"/>
              <w:bottom w:val="nil"/>
              <w:right w:val="nil"/>
            </w:tcBorders>
            <w:shd w:val="clear" w:color="auto" w:fill="1F1F5F" w:themeFill="text1"/>
          </w:tcPr>
          <w:p w14:paraId="1FC12139" w14:textId="77777777" w:rsidR="007C7591" w:rsidRPr="007E6931" w:rsidRDefault="007C7591" w:rsidP="007E6931">
            <w:pPr>
              <w:pStyle w:val="BodyText"/>
              <w:spacing w:before="60" w:after="60"/>
              <w:cnfStyle w:val="000000100000" w:firstRow="0" w:lastRow="0" w:firstColumn="0" w:lastColumn="0" w:oddVBand="0" w:evenVBand="0" w:oddHBand="1" w:evenHBand="0" w:firstRowFirstColumn="0" w:firstRowLastColumn="0" w:lastRowFirstColumn="0" w:lastRowLastColumn="0"/>
              <w:rPr>
                <w:b/>
                <w:szCs w:val="22"/>
              </w:rPr>
            </w:pPr>
            <w:r w:rsidRPr="007E6931">
              <w:rPr>
                <w:b/>
                <w:szCs w:val="22"/>
              </w:rPr>
              <w:t>To:</w:t>
            </w:r>
          </w:p>
        </w:tc>
      </w:tr>
      <w:tr w:rsidR="007C7591" w:rsidRPr="00712C6B" w14:paraId="2234EBBE" w14:textId="77777777" w:rsidTr="00AC7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3E21732D" w14:textId="37AEC4FF" w:rsidR="007C7591" w:rsidRPr="00B5046F" w:rsidRDefault="007E6931" w:rsidP="007C7591">
            <w:r w:rsidRPr="00722BE8">
              <w:t>1</w:t>
            </w:r>
          </w:p>
        </w:tc>
        <w:tc>
          <w:tcPr>
            <w:tcW w:w="3056" w:type="dxa"/>
          </w:tcPr>
          <w:p w14:paraId="244C4F01"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28 Sept 2005</w:t>
            </w:r>
          </w:p>
        </w:tc>
        <w:tc>
          <w:tcPr>
            <w:tcW w:w="3056" w:type="dxa"/>
            <w:tcBorders>
              <w:top w:val="nil"/>
            </w:tcBorders>
          </w:tcPr>
          <w:p w14:paraId="1E7FA20C"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28 Sept 2005</w:t>
            </w:r>
          </w:p>
        </w:tc>
        <w:tc>
          <w:tcPr>
            <w:tcW w:w="3056" w:type="dxa"/>
            <w:tcBorders>
              <w:top w:val="nil"/>
            </w:tcBorders>
          </w:tcPr>
          <w:p w14:paraId="2178612E"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30 June 2006</w:t>
            </w:r>
          </w:p>
        </w:tc>
      </w:tr>
      <w:tr w:rsidR="007C7591" w:rsidRPr="00712C6B" w14:paraId="0BB13D49" w14:textId="77777777" w:rsidTr="00AC7E9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40" w:type="dxa"/>
          </w:tcPr>
          <w:p w14:paraId="63449D2E" w14:textId="77777777" w:rsidR="007C7591" w:rsidRPr="00B5046F" w:rsidRDefault="007C7591" w:rsidP="007C7591">
            <w:r w:rsidRPr="00B5046F">
              <w:t>2</w:t>
            </w:r>
          </w:p>
        </w:tc>
        <w:tc>
          <w:tcPr>
            <w:tcW w:w="3056" w:type="dxa"/>
          </w:tcPr>
          <w:p w14:paraId="5A4EE0A6"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29 June 2006</w:t>
            </w:r>
          </w:p>
        </w:tc>
        <w:tc>
          <w:tcPr>
            <w:tcW w:w="3056" w:type="dxa"/>
          </w:tcPr>
          <w:p w14:paraId="1F0D3293"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1 July 2006</w:t>
            </w:r>
          </w:p>
        </w:tc>
        <w:tc>
          <w:tcPr>
            <w:tcW w:w="3056" w:type="dxa"/>
          </w:tcPr>
          <w:p w14:paraId="5859E4F4"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31 December 2007</w:t>
            </w:r>
          </w:p>
        </w:tc>
      </w:tr>
      <w:tr w:rsidR="007C7591" w:rsidRPr="00712C6B" w14:paraId="068AF260" w14:textId="77777777" w:rsidTr="00AC7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2988C86D" w14:textId="77777777" w:rsidR="007C7591" w:rsidRPr="00B5046F" w:rsidRDefault="007C7591" w:rsidP="007C7591">
            <w:r w:rsidRPr="00B5046F">
              <w:t>3</w:t>
            </w:r>
          </w:p>
        </w:tc>
        <w:tc>
          <w:tcPr>
            <w:tcW w:w="3056" w:type="dxa"/>
          </w:tcPr>
          <w:p w14:paraId="7F7DCC32"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 January 2008</w:t>
            </w:r>
          </w:p>
        </w:tc>
        <w:tc>
          <w:tcPr>
            <w:tcW w:w="3056" w:type="dxa"/>
          </w:tcPr>
          <w:p w14:paraId="180F88C3"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1 January 2008</w:t>
            </w:r>
          </w:p>
        </w:tc>
        <w:tc>
          <w:tcPr>
            <w:tcW w:w="3056" w:type="dxa"/>
          </w:tcPr>
          <w:p w14:paraId="26FE5837"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3 May 2010</w:t>
            </w:r>
          </w:p>
        </w:tc>
      </w:tr>
      <w:tr w:rsidR="007C7591" w:rsidRPr="00712C6B" w14:paraId="79771C56" w14:textId="77777777" w:rsidTr="00AC7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1B810FCA" w14:textId="77777777" w:rsidR="007C7591" w:rsidRPr="00B5046F" w:rsidRDefault="007C7591" w:rsidP="007C7591">
            <w:r w:rsidRPr="00B5046F">
              <w:t>4</w:t>
            </w:r>
          </w:p>
        </w:tc>
        <w:tc>
          <w:tcPr>
            <w:tcW w:w="3056" w:type="dxa"/>
          </w:tcPr>
          <w:p w14:paraId="414773BA"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5 May 2010</w:t>
            </w:r>
          </w:p>
        </w:tc>
        <w:tc>
          <w:tcPr>
            <w:tcW w:w="3056" w:type="dxa"/>
          </w:tcPr>
          <w:p w14:paraId="6D2F7B03"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4 May 2010</w:t>
            </w:r>
          </w:p>
        </w:tc>
        <w:tc>
          <w:tcPr>
            <w:tcW w:w="3056" w:type="dxa"/>
          </w:tcPr>
          <w:p w14:paraId="518F1721"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2 May 2011</w:t>
            </w:r>
          </w:p>
        </w:tc>
      </w:tr>
      <w:tr w:rsidR="007C7591" w:rsidRPr="00712C6B" w14:paraId="77F86096" w14:textId="77777777" w:rsidTr="00AC7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6986F6CA" w14:textId="77777777" w:rsidR="007C7591" w:rsidRPr="00B5046F" w:rsidRDefault="007C7591" w:rsidP="007C7591">
            <w:r w:rsidRPr="00B5046F">
              <w:t>5</w:t>
            </w:r>
          </w:p>
        </w:tc>
        <w:tc>
          <w:tcPr>
            <w:tcW w:w="3056" w:type="dxa"/>
          </w:tcPr>
          <w:p w14:paraId="79B6A4C8"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3 May 2011</w:t>
            </w:r>
          </w:p>
        </w:tc>
        <w:tc>
          <w:tcPr>
            <w:tcW w:w="3056" w:type="dxa"/>
          </w:tcPr>
          <w:p w14:paraId="6EDC8118"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3 May 2011</w:t>
            </w:r>
          </w:p>
        </w:tc>
        <w:tc>
          <w:tcPr>
            <w:tcW w:w="3056" w:type="dxa"/>
          </w:tcPr>
          <w:p w14:paraId="1C515A0D"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3 December 2012</w:t>
            </w:r>
          </w:p>
        </w:tc>
      </w:tr>
      <w:tr w:rsidR="007C7591" w:rsidRPr="00712C6B" w14:paraId="6810B5E3" w14:textId="77777777" w:rsidTr="00AC7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0E9E5FB8" w14:textId="77777777" w:rsidR="007C7591" w:rsidRPr="00B5046F" w:rsidRDefault="007C7591" w:rsidP="007C7591">
            <w:r w:rsidRPr="00B5046F">
              <w:t>6</w:t>
            </w:r>
          </w:p>
        </w:tc>
        <w:tc>
          <w:tcPr>
            <w:tcW w:w="3056" w:type="dxa"/>
          </w:tcPr>
          <w:p w14:paraId="6CCAC7D2"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7 December 2012</w:t>
            </w:r>
          </w:p>
        </w:tc>
        <w:tc>
          <w:tcPr>
            <w:tcW w:w="3056" w:type="dxa"/>
          </w:tcPr>
          <w:p w14:paraId="3A60A30C"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4 December 2012</w:t>
            </w:r>
          </w:p>
        </w:tc>
        <w:tc>
          <w:tcPr>
            <w:tcW w:w="3056" w:type="dxa"/>
          </w:tcPr>
          <w:p w14:paraId="285BE298"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27 April 2015</w:t>
            </w:r>
          </w:p>
        </w:tc>
      </w:tr>
      <w:tr w:rsidR="007C7591" w:rsidRPr="00712C6B" w14:paraId="6DDA1D7F" w14:textId="77777777" w:rsidTr="00AC7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641EA90B" w14:textId="77777777" w:rsidR="007C7591" w:rsidRPr="00B5046F" w:rsidRDefault="007C7591" w:rsidP="007C7591">
            <w:r w:rsidRPr="00B5046F">
              <w:t>7</w:t>
            </w:r>
          </w:p>
        </w:tc>
        <w:tc>
          <w:tcPr>
            <w:tcW w:w="3056" w:type="dxa"/>
          </w:tcPr>
          <w:p w14:paraId="0747F433"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28 April 2015</w:t>
            </w:r>
          </w:p>
        </w:tc>
        <w:tc>
          <w:tcPr>
            <w:tcW w:w="3056" w:type="dxa"/>
          </w:tcPr>
          <w:p w14:paraId="6E6FFCE6"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28 April 2015</w:t>
            </w:r>
          </w:p>
        </w:tc>
        <w:tc>
          <w:tcPr>
            <w:tcW w:w="3056" w:type="dxa"/>
          </w:tcPr>
          <w:p w14:paraId="5946027B"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23 May 2016</w:t>
            </w:r>
          </w:p>
        </w:tc>
      </w:tr>
      <w:tr w:rsidR="007C7591" w14:paraId="3D8569C9" w14:textId="77777777" w:rsidTr="00AC7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63AA71CB" w14:textId="77777777" w:rsidR="007C7591" w:rsidRPr="00B5046F" w:rsidRDefault="007C7591" w:rsidP="007C7591">
            <w:r w:rsidRPr="00B5046F">
              <w:t>8</w:t>
            </w:r>
          </w:p>
        </w:tc>
        <w:tc>
          <w:tcPr>
            <w:tcW w:w="3056" w:type="dxa"/>
          </w:tcPr>
          <w:p w14:paraId="1CDC5EE0"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24 May 2016</w:t>
            </w:r>
          </w:p>
        </w:tc>
        <w:tc>
          <w:tcPr>
            <w:tcW w:w="3056" w:type="dxa"/>
          </w:tcPr>
          <w:p w14:paraId="4D3080F4"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24 May 2016</w:t>
            </w:r>
          </w:p>
        </w:tc>
        <w:tc>
          <w:tcPr>
            <w:tcW w:w="3056" w:type="dxa"/>
          </w:tcPr>
          <w:p w14:paraId="58CFF8B7" w14:textId="77777777" w:rsidR="007C7591" w:rsidRPr="00B5046F" w:rsidRDefault="007C7591" w:rsidP="007C7591">
            <w:pPr>
              <w:cnfStyle w:val="000000100000" w:firstRow="0" w:lastRow="0" w:firstColumn="0" w:lastColumn="0" w:oddVBand="0" w:evenVBand="0" w:oddHBand="1" w:evenHBand="0" w:firstRowFirstColumn="0" w:firstRowLastColumn="0" w:lastRowFirstColumn="0" w:lastRowLastColumn="0"/>
            </w:pPr>
            <w:r w:rsidRPr="00B5046F">
              <w:t>30 June 2022</w:t>
            </w:r>
          </w:p>
        </w:tc>
      </w:tr>
      <w:tr w:rsidR="007C7591" w14:paraId="75F55B79" w14:textId="77777777" w:rsidTr="00AC7E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14:paraId="42380DAD" w14:textId="77777777" w:rsidR="007C7591" w:rsidRPr="00B5046F" w:rsidRDefault="007C7591" w:rsidP="007C7591">
            <w:r w:rsidRPr="00B5046F">
              <w:t>9</w:t>
            </w:r>
          </w:p>
        </w:tc>
        <w:tc>
          <w:tcPr>
            <w:tcW w:w="3056" w:type="dxa"/>
          </w:tcPr>
          <w:p w14:paraId="7B716E86"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1 July 2022</w:t>
            </w:r>
          </w:p>
        </w:tc>
        <w:tc>
          <w:tcPr>
            <w:tcW w:w="3056" w:type="dxa"/>
          </w:tcPr>
          <w:p w14:paraId="49AA123A" w14:textId="77777777" w:rsidR="007C7591" w:rsidRPr="00B5046F" w:rsidRDefault="007C7591" w:rsidP="007C7591">
            <w:pPr>
              <w:cnfStyle w:val="000000010000" w:firstRow="0" w:lastRow="0" w:firstColumn="0" w:lastColumn="0" w:oddVBand="0" w:evenVBand="0" w:oddHBand="0" w:evenHBand="1" w:firstRowFirstColumn="0" w:firstRowLastColumn="0" w:lastRowFirstColumn="0" w:lastRowLastColumn="0"/>
            </w:pPr>
            <w:r w:rsidRPr="00B5046F">
              <w:t>1 July 2022</w:t>
            </w:r>
          </w:p>
        </w:tc>
        <w:tc>
          <w:tcPr>
            <w:tcW w:w="3056" w:type="dxa"/>
          </w:tcPr>
          <w:p w14:paraId="1C8A052D" w14:textId="77777777" w:rsidR="007C7591" w:rsidRDefault="007C7591" w:rsidP="007C7591">
            <w:pPr>
              <w:cnfStyle w:val="000000010000" w:firstRow="0" w:lastRow="0" w:firstColumn="0" w:lastColumn="0" w:oddVBand="0" w:evenVBand="0" w:oddHBand="0" w:evenHBand="1" w:firstRowFirstColumn="0" w:firstRowLastColumn="0" w:lastRowFirstColumn="0" w:lastRowLastColumn="0"/>
            </w:pPr>
            <w:r w:rsidRPr="00B5046F">
              <w:t>Current</w:t>
            </w:r>
          </w:p>
        </w:tc>
      </w:tr>
    </w:tbl>
    <w:p w14:paraId="60C31FC6" w14:textId="232834E1" w:rsidR="007C7591" w:rsidRDefault="007C7591" w:rsidP="007C7591">
      <w:pPr>
        <w:pStyle w:val="Heading1"/>
      </w:pPr>
      <w:r>
        <w:t>Purpose</w:t>
      </w:r>
    </w:p>
    <w:p w14:paraId="38A6E1A5" w14:textId="3C4CC976" w:rsidR="007C7591" w:rsidRPr="007C7591" w:rsidRDefault="007C7591">
      <w:pPr>
        <w:pStyle w:val="Numberlistlevel1ListNumber"/>
      </w:pPr>
      <w:r w:rsidRPr="007C7591">
        <w:t xml:space="preserve">This </w:t>
      </w:r>
      <w:r w:rsidR="00D4424C">
        <w:t>g</w:t>
      </w:r>
      <w:r w:rsidRPr="007C7591">
        <w:t>uideline explains the requirement to occupy a home as a person’s principal place of residence for the purposes of the</w:t>
      </w:r>
      <w:r w:rsidR="00760E39">
        <w:t xml:space="preserve"> </w:t>
      </w:r>
      <w:r w:rsidRPr="007C7591">
        <w:t>first home owner grant</w:t>
      </w:r>
      <w:r w:rsidR="00760E39">
        <w:t xml:space="preserve">, </w:t>
      </w:r>
      <w:r w:rsidR="004B0566">
        <w:t>H</w:t>
      </w:r>
      <w:r w:rsidRPr="007C7591">
        <w:t>ouse and land package exemption</w:t>
      </w:r>
      <w:r w:rsidR="00760E39">
        <w:t xml:space="preserve">, </w:t>
      </w:r>
      <w:r w:rsidRPr="007C7591">
        <w:t>Territory home owner discount</w:t>
      </w:r>
      <w:r w:rsidR="00760E39">
        <w:t xml:space="preserve"> and </w:t>
      </w:r>
      <w:r w:rsidRPr="007C7591">
        <w:t>senior, pensioner and carer concession (SPCC</w:t>
      </w:r>
      <w:r w:rsidR="00D4424C" w:rsidRPr="007C7591">
        <w:t>)</w:t>
      </w:r>
      <w:r w:rsidR="00760E39">
        <w:t xml:space="preserve">, </w:t>
      </w:r>
      <w:r w:rsidR="00D4424C">
        <w:t xml:space="preserve">which are known </w:t>
      </w:r>
      <w:r w:rsidRPr="007C7591">
        <w:t>collectively</w:t>
      </w:r>
      <w:r w:rsidR="00D4424C">
        <w:t xml:space="preserve"> as </w:t>
      </w:r>
      <w:r w:rsidRPr="007C7591">
        <w:t xml:space="preserve">the </w:t>
      </w:r>
      <w:r w:rsidR="00D4424C">
        <w:t>‘</w:t>
      </w:r>
      <w:r w:rsidRPr="007C7591">
        <w:t>home owner assistance schemes</w:t>
      </w:r>
      <w:r w:rsidR="00D4424C">
        <w:t>’.</w:t>
      </w:r>
    </w:p>
    <w:p w14:paraId="752B544D" w14:textId="214D6E4A" w:rsidR="007C7591" w:rsidRDefault="00D4424C" w:rsidP="00AC7E97">
      <w:pPr>
        <w:pStyle w:val="Heading2"/>
      </w:pPr>
      <w:r>
        <w:t>H</w:t>
      </w:r>
      <w:r w:rsidR="007C7591">
        <w:t>ome owner assistance schemes</w:t>
      </w:r>
    </w:p>
    <w:p w14:paraId="1A4DF441" w14:textId="039BC039" w:rsidR="007C7591" w:rsidRPr="00D004FA" w:rsidRDefault="00D4424C" w:rsidP="00AC7E97">
      <w:pPr>
        <w:pStyle w:val="Numberlistlevel1ListNumber"/>
      </w:pPr>
      <w:r>
        <w:t xml:space="preserve">The </w:t>
      </w:r>
      <w:r w:rsidR="007C7591" w:rsidRPr="00507D3B">
        <w:t xml:space="preserve">home </w:t>
      </w:r>
      <w:r w:rsidR="007C7591">
        <w:t>owner assistance</w:t>
      </w:r>
      <w:r w:rsidR="007C7591" w:rsidRPr="00507D3B">
        <w:t xml:space="preserve"> schemes </w:t>
      </w:r>
      <w:r>
        <w:t>are intended</w:t>
      </w:r>
      <w:r w:rsidRPr="00507D3B">
        <w:t xml:space="preserve"> </w:t>
      </w:r>
      <w:r w:rsidR="007C7591" w:rsidRPr="00507D3B">
        <w:t xml:space="preserve">to encourage home ownership by </w:t>
      </w:r>
      <w:r w:rsidR="007C7591" w:rsidRPr="00D004FA">
        <w:t xml:space="preserve">providing assistance in the form of a grant for the purchase or construction of a home or </w:t>
      </w:r>
      <w:r w:rsidRPr="00D004FA">
        <w:t>reduc</w:t>
      </w:r>
      <w:r>
        <w:t>ing</w:t>
      </w:r>
      <w:r w:rsidR="007C7591" w:rsidRPr="00D004FA">
        <w:t xml:space="preserve"> the stamp duty payable on the purchase of land on which there is or will be a home.</w:t>
      </w:r>
    </w:p>
    <w:p w14:paraId="3BA012D7" w14:textId="77777777" w:rsidR="007C7591" w:rsidRPr="00D004FA" w:rsidRDefault="007C7591" w:rsidP="00466787">
      <w:pPr>
        <w:pStyle w:val="Numberlistlevel1ListNumber"/>
      </w:pPr>
      <w:r w:rsidRPr="00D004FA">
        <w:t xml:space="preserve">A central requirement of the home </w:t>
      </w:r>
      <w:r>
        <w:t>owner assistance</w:t>
      </w:r>
      <w:r w:rsidRPr="00D004FA">
        <w:t xml:space="preserve"> schemes is that applicants must occupy the home as their principal place of residence for a continuous period of at least six months commencing:</w:t>
      </w:r>
    </w:p>
    <w:p w14:paraId="06FFA8E9" w14:textId="2976B4DA" w:rsidR="007C7591" w:rsidRPr="00D004FA" w:rsidRDefault="007C7591" w:rsidP="00466787">
      <w:pPr>
        <w:pStyle w:val="Numberlistlevel2ListNumber2"/>
        <w:rPr>
          <w:u w:val="single"/>
        </w:rPr>
      </w:pPr>
      <w:r w:rsidRPr="002F21F1">
        <w:t xml:space="preserve">in the case of a purchase of a home (including off-the-plan), within 12 months after </w:t>
      </w:r>
      <w:r>
        <w:t>becoming entitled to</w:t>
      </w:r>
      <w:r w:rsidRPr="002F21F1">
        <w:t xml:space="preserve"> possession of the home</w:t>
      </w:r>
      <w:r>
        <w:t>,</w:t>
      </w:r>
      <w:r w:rsidRPr="002F21F1">
        <w:t xml:space="preserve"> which must occur within 12 months after the purchase </w:t>
      </w:r>
      <w:r w:rsidR="005A1E22" w:rsidRPr="002F21F1">
        <w:t>was</w:t>
      </w:r>
      <w:r w:rsidR="005A1E22">
        <w:t> </w:t>
      </w:r>
      <w:r w:rsidRPr="002F21F1">
        <w:t>settled</w:t>
      </w:r>
    </w:p>
    <w:p w14:paraId="18FFAE37" w14:textId="77777777" w:rsidR="007C7591" w:rsidRPr="00D004FA" w:rsidRDefault="007C7591" w:rsidP="00466787">
      <w:pPr>
        <w:pStyle w:val="Numberlistlevel2ListNumber2"/>
      </w:pPr>
      <w:r w:rsidRPr="00D004FA">
        <w:t xml:space="preserve">in the case of </w:t>
      </w:r>
      <w:r w:rsidRPr="00811726">
        <w:t>building a home:</w:t>
      </w:r>
    </w:p>
    <w:p w14:paraId="23CB36F8" w14:textId="4AEC339D" w:rsidR="007C7591" w:rsidRPr="00D004FA" w:rsidRDefault="007C7591" w:rsidP="00466787">
      <w:pPr>
        <w:pStyle w:val="Numberlistlevel3ListNumber3"/>
        <w:rPr>
          <w:u w:val="single"/>
        </w:rPr>
      </w:pPr>
      <w:r w:rsidRPr="002F21F1">
        <w:t xml:space="preserve">for </w:t>
      </w:r>
      <w:r w:rsidR="00780C81">
        <w:t xml:space="preserve">the </w:t>
      </w:r>
      <w:r w:rsidR="00780C81" w:rsidRPr="007C7591">
        <w:t>first home owner grant</w:t>
      </w:r>
      <w:r w:rsidRPr="002F21F1">
        <w:t>, within 12 months after the home is completed and is ready for occupation</w:t>
      </w:r>
    </w:p>
    <w:p w14:paraId="46088A68" w14:textId="68D982C4" w:rsidR="007C7591" w:rsidRPr="002F21F1" w:rsidRDefault="007C7591" w:rsidP="00466787">
      <w:pPr>
        <w:pStyle w:val="Numberlistlevel3ListNumber3"/>
      </w:pPr>
      <w:r w:rsidRPr="002F21F1">
        <w:t xml:space="preserve">for </w:t>
      </w:r>
      <w:r w:rsidR="00780C81">
        <w:t xml:space="preserve">the </w:t>
      </w:r>
      <w:r w:rsidR="004B0566">
        <w:t>H</w:t>
      </w:r>
      <w:r w:rsidR="00780C81" w:rsidRPr="007C7591">
        <w:t>ouse and land package exemption</w:t>
      </w:r>
      <w:r>
        <w:t xml:space="preserve">, </w:t>
      </w:r>
      <w:r w:rsidR="00780C81" w:rsidRPr="007C7591">
        <w:t>Territory home owner discount</w:t>
      </w:r>
      <w:r w:rsidR="00780C81" w:rsidDel="00780C81">
        <w:t xml:space="preserve"> </w:t>
      </w:r>
      <w:r>
        <w:t xml:space="preserve">and </w:t>
      </w:r>
      <w:r w:rsidRPr="002F21F1">
        <w:t>SPCC, the earlier of:</w:t>
      </w:r>
    </w:p>
    <w:p w14:paraId="50B2881B" w14:textId="5301541D" w:rsidR="007C7591" w:rsidRDefault="007C7591">
      <w:pPr>
        <w:pStyle w:val="Numberlistlevel4ListNumber4"/>
      </w:pPr>
      <w:r w:rsidRPr="00D004FA">
        <w:t xml:space="preserve">five years after </w:t>
      </w:r>
      <w:r>
        <w:t>becoming entitled to</w:t>
      </w:r>
      <w:r w:rsidRPr="00D004FA">
        <w:t xml:space="preserve"> possession of the land, which must occur within 12 months after the purchase of the land was </w:t>
      </w:r>
      <w:r w:rsidRPr="00811726">
        <w:t>settled</w:t>
      </w:r>
    </w:p>
    <w:p w14:paraId="6C1C42DB" w14:textId="77777777" w:rsidR="007C7591" w:rsidRDefault="007C7591">
      <w:pPr>
        <w:pStyle w:val="Numberlistlevel4ListNumber4"/>
      </w:pPr>
      <w:r>
        <w:lastRenderedPageBreak/>
        <w:t xml:space="preserve">12 months </w:t>
      </w:r>
      <w:r w:rsidRPr="00D004FA">
        <w:t>after the home is completed and is ready for occupation.</w:t>
      </w:r>
      <w:r w:rsidRPr="00D004FA">
        <w:rPr>
          <w:rStyle w:val="FootnoteReference"/>
          <w:sz w:val="24"/>
          <w:szCs w:val="24"/>
        </w:rPr>
        <w:footnoteReference w:id="1"/>
      </w:r>
    </w:p>
    <w:p w14:paraId="133DBD9A" w14:textId="1E62A395" w:rsidR="007C7591" w:rsidRDefault="007C7591" w:rsidP="00C01A05">
      <w:pPr>
        <w:pStyle w:val="Numberlistlevel1ListNumber"/>
      </w:pPr>
      <w:r w:rsidRPr="00AB6F36">
        <w:t>A</w:t>
      </w:r>
      <w:r>
        <w:t>n applicant is automatically exempt from the residence</w:t>
      </w:r>
      <w:r w:rsidR="00D4424C">
        <w:t xml:space="preserve"> and </w:t>
      </w:r>
      <w:r>
        <w:t>occupancy requirements if:</w:t>
      </w:r>
    </w:p>
    <w:p w14:paraId="7C4F1262" w14:textId="492A4F63" w:rsidR="007C7591" w:rsidRDefault="007C7591" w:rsidP="00C01A05">
      <w:pPr>
        <w:pStyle w:val="Numberlistlevel2ListNumber2"/>
      </w:pPr>
      <w:r>
        <w:t>at least one other applicant to the application complies with the requirements</w:t>
      </w:r>
    </w:p>
    <w:p w14:paraId="00812BDF" w14:textId="3279CB15" w:rsidR="007C7591" w:rsidRPr="00AB6F36" w:rsidRDefault="007C7591" w:rsidP="00C01A05">
      <w:pPr>
        <w:pStyle w:val="Numberlistlevel2ListNumber2"/>
      </w:pPr>
      <w:r>
        <w:t xml:space="preserve">in the case of the SPCC, the occupying applicant is </w:t>
      </w:r>
      <w:r w:rsidR="00D4424C">
        <w:t xml:space="preserve">at least </w:t>
      </w:r>
      <w:r>
        <w:t xml:space="preserve">60 years </w:t>
      </w:r>
      <w:r w:rsidR="00D4424C">
        <w:t xml:space="preserve">of age </w:t>
      </w:r>
      <w:r>
        <w:t>or the holder of a Northern Territory Pensioner and Carer Concession card.</w:t>
      </w:r>
    </w:p>
    <w:p w14:paraId="35C11ADF" w14:textId="61246E28" w:rsidR="005A1E22" w:rsidRPr="00B63A12" w:rsidRDefault="00D4424C" w:rsidP="00C01A05">
      <w:pPr>
        <w:pStyle w:val="Numberlistlevel1ListNumber"/>
        <w:rPr>
          <w:szCs w:val="24"/>
        </w:rPr>
      </w:pPr>
      <w:r w:rsidRPr="005A1E22">
        <w:t>The Commissioner</w:t>
      </w:r>
      <w:r w:rsidR="00174BA9" w:rsidRPr="005A1E22">
        <w:t xml:space="preserve"> of Territory Revenue</w:t>
      </w:r>
      <w:r w:rsidRPr="005A1E22">
        <w:t xml:space="preserve"> may</w:t>
      </w:r>
      <w:r w:rsidR="005A1E22">
        <w:t>:</w:t>
      </w:r>
    </w:p>
    <w:p w14:paraId="54E5DB75" w14:textId="77777777" w:rsidR="005A1E22" w:rsidRPr="00B63A12" w:rsidRDefault="00D4424C" w:rsidP="00AC7E97">
      <w:pPr>
        <w:pStyle w:val="Numberlistlevel2ListNumber2"/>
        <w:rPr>
          <w:szCs w:val="24"/>
        </w:rPr>
      </w:pPr>
      <w:r w:rsidRPr="005A1E22">
        <w:t>extend the period for taking possession</w:t>
      </w:r>
      <w:r w:rsidRPr="0055645B">
        <w:t xml:space="preserve"> of the home or land</w:t>
      </w:r>
    </w:p>
    <w:p w14:paraId="5BE91131" w14:textId="77777777" w:rsidR="005A1E22" w:rsidRPr="00B63A12" w:rsidRDefault="00D4424C" w:rsidP="00AC7E97">
      <w:pPr>
        <w:pStyle w:val="Numberlistlevel2ListNumber2"/>
        <w:rPr>
          <w:szCs w:val="24"/>
        </w:rPr>
      </w:pPr>
      <w:r w:rsidRPr="0055645B">
        <w:t>extend the period for commencing occupation of the home</w:t>
      </w:r>
    </w:p>
    <w:p w14:paraId="563D6978" w14:textId="77777777" w:rsidR="005A1E22" w:rsidRPr="00B63A12" w:rsidRDefault="00D4424C" w:rsidP="00AC7E97">
      <w:pPr>
        <w:pStyle w:val="Numberlistlevel2ListNumber2"/>
        <w:rPr>
          <w:szCs w:val="24"/>
        </w:rPr>
      </w:pPr>
      <w:r w:rsidRPr="0055645B">
        <w:t>shorten the period for continuous occupation of the home</w:t>
      </w:r>
    </w:p>
    <w:p w14:paraId="2A4B8EB9" w14:textId="39014187" w:rsidR="005A1E22" w:rsidRPr="00B63A12" w:rsidRDefault="00D4424C" w:rsidP="00AC7E97">
      <w:pPr>
        <w:pStyle w:val="Numberlistlevel2ListNumber2"/>
        <w:rPr>
          <w:szCs w:val="24"/>
        </w:rPr>
      </w:pPr>
      <w:r w:rsidRPr="0055645B">
        <w:t>exempt a</w:t>
      </w:r>
      <w:r>
        <w:t>ll</w:t>
      </w:r>
      <w:r w:rsidRPr="0055645B">
        <w:t xml:space="preserve"> applicant</w:t>
      </w:r>
      <w:r w:rsidR="00174BA9">
        <w:t>s</w:t>
      </w:r>
      <w:r w:rsidRPr="0055645B">
        <w:t xml:space="preserve"> from the occupancy requirements</w:t>
      </w:r>
      <w:r w:rsidR="00174BA9">
        <w:t xml:space="preserve"> in certain circumstances</w:t>
      </w:r>
      <w:r w:rsidR="007C7591">
        <w:t>.</w:t>
      </w:r>
      <w:r w:rsidR="007C7591" w:rsidRPr="00513B44">
        <w:rPr>
          <w:rStyle w:val="FootnoteReference"/>
          <w:szCs w:val="24"/>
        </w:rPr>
        <w:footnoteReference w:id="2"/>
      </w:r>
    </w:p>
    <w:p w14:paraId="767CBDA2" w14:textId="003B9903" w:rsidR="007C7591" w:rsidRPr="0055645B" w:rsidRDefault="007C7591" w:rsidP="00AC7E97">
      <w:pPr>
        <w:pStyle w:val="BodyText1"/>
        <w:ind w:left="425"/>
        <w:rPr>
          <w:szCs w:val="24"/>
        </w:rPr>
      </w:pPr>
      <w:r w:rsidRPr="0055645B">
        <w:t xml:space="preserve">For further details, refer to Commissioner’s Guideline </w:t>
      </w:r>
      <w:r w:rsidR="00174BA9" w:rsidRPr="00AC7E97">
        <w:t>CG-HI-003</w:t>
      </w:r>
      <w:r w:rsidRPr="0055645B">
        <w:t xml:space="preserve">: </w:t>
      </w:r>
      <w:r w:rsidRPr="00F96E8A">
        <w:rPr>
          <w:i/>
          <w:szCs w:val="24"/>
        </w:rPr>
        <w:t>Commissioner’s discretion to exempt or vary compliance with the eligibility criteria</w:t>
      </w:r>
      <w:r>
        <w:rPr>
          <w:szCs w:val="24"/>
        </w:rPr>
        <w:t>.</w:t>
      </w:r>
    </w:p>
    <w:p w14:paraId="2A83F5D3" w14:textId="77777777" w:rsidR="007C7591" w:rsidRPr="00810B47" w:rsidRDefault="007C7591" w:rsidP="007C7591">
      <w:pPr>
        <w:pStyle w:val="Heading2"/>
      </w:pPr>
      <w:r w:rsidRPr="00810B47">
        <w:t>Meaning of ‘occupy’ and ‘principal place of residence’</w:t>
      </w:r>
    </w:p>
    <w:p w14:paraId="237A7C57" w14:textId="689E5012" w:rsidR="007C7591" w:rsidRDefault="007C7591" w:rsidP="00C01A05">
      <w:pPr>
        <w:pStyle w:val="Numberlistlevel1ListNumber"/>
      </w:pPr>
      <w:r w:rsidRPr="00D205E1">
        <w:t xml:space="preserve">The terms ‘occupy’ and ‘principal place of residence’ are given their ordinary meaning having regard to the objects and purposes of the relevant legislation. In the context of the home </w:t>
      </w:r>
      <w:r>
        <w:t>owner assistance</w:t>
      </w:r>
      <w:r w:rsidRPr="00D205E1">
        <w:t xml:space="preserve"> schemes, ‘occupy’ means to reside in the property. However, mere residence is insufficient, even where that residence is</w:t>
      </w:r>
      <w:r>
        <w:t xml:space="preserve"> for the requisite continuous six month period. </w:t>
      </w:r>
      <w:r w:rsidR="005A1E22">
        <w:t>R</w:t>
      </w:r>
      <w:r w:rsidRPr="00D205E1">
        <w:t>esidence must be such that it is the applicant’s ‘principal place of residence’.</w:t>
      </w:r>
    </w:p>
    <w:p w14:paraId="2D00E388" w14:textId="77777777" w:rsidR="007C7591" w:rsidRPr="00255627" w:rsidRDefault="007C7591" w:rsidP="007C7591">
      <w:pPr>
        <w:pStyle w:val="Heading2"/>
      </w:pPr>
      <w:r w:rsidRPr="00255627">
        <w:t>Characteristics of a principal place of residence</w:t>
      </w:r>
    </w:p>
    <w:p w14:paraId="1625AEA7" w14:textId="39188627" w:rsidR="007C7591" w:rsidRPr="0055645B" w:rsidRDefault="007C7591" w:rsidP="00C01A05">
      <w:pPr>
        <w:pStyle w:val="Numberlistlevel1ListNumber"/>
      </w:pPr>
      <w:r w:rsidRPr="00857CEB">
        <w:t xml:space="preserve">The most important characteristic of a person’s principal place of residence is that the </w:t>
      </w:r>
      <w:r w:rsidRPr="00AC7E97">
        <w:t>person is living in that residence on an ongoing or permanent basis as the person’s settled or usual abode</w:t>
      </w:r>
      <w:r w:rsidRPr="00857CEB">
        <w:t>. Where</w:t>
      </w:r>
      <w:r w:rsidRPr="0055645B">
        <w:t xml:space="preserve"> the occupation is transient, temporary or of a passing nature</w:t>
      </w:r>
      <w:r w:rsidR="005A1E22">
        <w:t>,</w:t>
      </w:r>
      <w:r w:rsidRPr="0055645B">
        <w:t xml:space="preserve"> or the occupation is for some other purpose such as renovating the home for sale, then this is not sufficient to establish occupation as a principal place of residence.</w:t>
      </w:r>
    </w:p>
    <w:p w14:paraId="3EA9F2C4" w14:textId="1C72B2E6" w:rsidR="007C7591" w:rsidRPr="0055645B" w:rsidRDefault="007C7591" w:rsidP="00C01A05">
      <w:pPr>
        <w:pStyle w:val="Numberlistlevel1ListNumber"/>
      </w:pPr>
      <w:r w:rsidRPr="0055645B">
        <w:t xml:space="preserve">The relevant requirement is that the applicant </w:t>
      </w:r>
      <w:r w:rsidRPr="005D2A1D">
        <w:t>actually</w:t>
      </w:r>
      <w:r w:rsidRPr="00857CEB">
        <w:t xml:space="preserve"> </w:t>
      </w:r>
      <w:r>
        <w:t>occupies</w:t>
      </w:r>
      <w:r w:rsidRPr="0055645B">
        <w:t xml:space="preserve"> the home to which the application relates as the applicant's principal place of residence within the required period, not merely intend </w:t>
      </w:r>
      <w:r w:rsidR="005A1E22" w:rsidRPr="0055645B">
        <w:t>to</w:t>
      </w:r>
      <w:r w:rsidR="005A1E22">
        <w:t> </w:t>
      </w:r>
      <w:r w:rsidRPr="0055645B">
        <w:t>occupy.</w:t>
      </w:r>
    </w:p>
    <w:p w14:paraId="18D32897" w14:textId="4C49CE3E" w:rsidR="007C7591" w:rsidRDefault="007C7591" w:rsidP="00C01A05">
      <w:pPr>
        <w:pStyle w:val="Numberlistlevel1ListNumber"/>
      </w:pPr>
      <w:r w:rsidRPr="00D205E1">
        <w:t xml:space="preserve">Whether an applicant has occupied the property as </w:t>
      </w:r>
      <w:r w:rsidR="005A1E22">
        <w:t>their</w:t>
      </w:r>
      <w:r w:rsidRPr="00D205E1">
        <w:t xml:space="preserve"> principal place of residence is a question of fact having regard to </w:t>
      </w:r>
      <w:r w:rsidRPr="005D2A1D">
        <w:t>all the circumstances</w:t>
      </w:r>
      <w:r w:rsidRPr="00D205E1">
        <w:t>. The intention of the applicant is relevant but it is not determinative of the issue, or a dominant consideration.</w:t>
      </w:r>
    </w:p>
    <w:p w14:paraId="77C8E518" w14:textId="467A018E" w:rsidR="007C7591" w:rsidRDefault="007C7591" w:rsidP="00C01A05">
      <w:pPr>
        <w:pStyle w:val="Numberlistlevel1ListNumber"/>
      </w:pPr>
      <w:r w:rsidRPr="00D205E1">
        <w:t>In general terms, an applicant’s settled abode or home is the place where the person ordinarily eats, morning and night, and where they sleep, and has the characteristics of permanency.</w:t>
      </w:r>
    </w:p>
    <w:p w14:paraId="7109CB6B" w14:textId="519A870A" w:rsidR="007C7591" w:rsidRDefault="007C7591" w:rsidP="00C01A05">
      <w:pPr>
        <w:pStyle w:val="Numberlistlevel1ListNumber"/>
      </w:pPr>
      <w:r w:rsidRPr="00D205E1">
        <w:t>Factors that will be considered in determining whether an applicant’s residence has the requisite characteristics of permanency and of being the person’s usual or settled abode, such that it is the person’s principal place of residence, include</w:t>
      </w:r>
      <w:r w:rsidR="005A1E22">
        <w:t>:</w:t>
      </w:r>
    </w:p>
    <w:p w14:paraId="1FCDB1E6" w14:textId="303B7E66" w:rsidR="007C7591" w:rsidRPr="00D205E1" w:rsidRDefault="007C7591" w:rsidP="00C01A05">
      <w:pPr>
        <w:pStyle w:val="Numberlistlevel2ListNumber2"/>
      </w:pPr>
      <w:r>
        <w:t>w</w:t>
      </w:r>
      <w:r w:rsidRPr="00D205E1">
        <w:t xml:space="preserve">here the applicant </w:t>
      </w:r>
      <w:r>
        <w:t>sleeps</w:t>
      </w:r>
    </w:p>
    <w:p w14:paraId="312E78EE" w14:textId="756CDAE1" w:rsidR="007C7591" w:rsidRPr="00D205E1" w:rsidRDefault="007C7591" w:rsidP="00C01A05">
      <w:pPr>
        <w:pStyle w:val="Numberlistlevel2ListNumber2"/>
      </w:pPr>
      <w:r>
        <w:lastRenderedPageBreak/>
        <w:t>where the applicant eats meals</w:t>
      </w:r>
    </w:p>
    <w:p w14:paraId="5EE21B06" w14:textId="1EB42033" w:rsidR="007C7591" w:rsidRPr="00D205E1" w:rsidRDefault="007C7591" w:rsidP="00C01A05">
      <w:pPr>
        <w:pStyle w:val="Numberlistlevel2ListNumber2"/>
      </w:pPr>
      <w:r>
        <w:t>w</w:t>
      </w:r>
      <w:r w:rsidRPr="00D205E1">
        <w:t xml:space="preserve">hether the applicant also resides in other premises and if so, the reasons for doing so (see </w:t>
      </w:r>
      <w:hyperlink w:anchor="_Applicants_with_two" w:history="1">
        <w:r w:rsidR="00284805" w:rsidRPr="00284805">
          <w:rPr>
            <w:rStyle w:val="Hyperlink"/>
          </w:rPr>
          <w:t>Applicants with</w:t>
        </w:r>
        <w:r w:rsidRPr="00284805">
          <w:rPr>
            <w:rStyle w:val="Hyperlink"/>
          </w:rPr>
          <w:t xml:space="preserve"> two or more residences</w:t>
        </w:r>
      </w:hyperlink>
      <w:r>
        <w:t>)</w:t>
      </w:r>
    </w:p>
    <w:p w14:paraId="2333A9D8" w14:textId="7F43FA19" w:rsidR="007C7591" w:rsidRPr="00D205E1" w:rsidRDefault="007C7591" w:rsidP="00C01A05">
      <w:pPr>
        <w:pStyle w:val="Numberlistlevel2ListNumber2"/>
      </w:pPr>
      <w:r>
        <w:t>t</w:t>
      </w:r>
      <w:r w:rsidRPr="00D205E1">
        <w:t>he place of residence of the applicant’s immediate family, especially a spous</w:t>
      </w:r>
      <w:r>
        <w:t>e or children</w:t>
      </w:r>
    </w:p>
    <w:p w14:paraId="2514E4B5" w14:textId="6DDE8C69" w:rsidR="00284805" w:rsidRDefault="007C7591" w:rsidP="00C01A05">
      <w:pPr>
        <w:pStyle w:val="Numberlistlevel2ListNumber2"/>
      </w:pPr>
      <w:r>
        <w:t>w</w:t>
      </w:r>
      <w:r w:rsidRPr="00D205E1">
        <w:t xml:space="preserve">hether there are other occupants of the property, and their rights to </w:t>
      </w:r>
      <w:r>
        <w:t>and control over the property</w:t>
      </w:r>
    </w:p>
    <w:p w14:paraId="0736255D" w14:textId="77777777" w:rsidR="00284805" w:rsidRDefault="00284805" w:rsidP="00AC7E97">
      <w:pPr>
        <w:pStyle w:val="Example-Heading"/>
      </w:pPr>
      <w:r w:rsidRPr="00284805">
        <w:t>Example</w:t>
      </w:r>
    </w:p>
    <w:p w14:paraId="434417C8" w14:textId="2F0CE3F0" w:rsidR="00284805" w:rsidRDefault="00284805" w:rsidP="00AC7E97">
      <w:pPr>
        <w:pStyle w:val="Example-Bodytext"/>
        <w:ind w:left="851"/>
      </w:pPr>
      <w:r>
        <w:t>A</w:t>
      </w:r>
      <w:r w:rsidRPr="00284805">
        <w:t xml:space="preserve">n applicant can occupy a residence as their principal place of </w:t>
      </w:r>
      <w:r>
        <w:t xml:space="preserve">residence and have tenants </w:t>
      </w:r>
      <w:r w:rsidRPr="00284805">
        <w:t>living with them to defray the costs of living in or financing the home</w:t>
      </w:r>
      <w:r>
        <w:t>. However, t</w:t>
      </w:r>
      <w:r w:rsidRPr="00284805">
        <w:t>he applicant must retain the right to possession and the right of control over the property</w:t>
      </w:r>
      <w:r>
        <w:t>.</w:t>
      </w:r>
    </w:p>
    <w:p w14:paraId="0E199DA9" w14:textId="7E4F139B" w:rsidR="007C7591" w:rsidRPr="00D205E1" w:rsidRDefault="007C7591" w:rsidP="00C01A05">
      <w:pPr>
        <w:pStyle w:val="Numberlistlevel2ListNumber2"/>
      </w:pPr>
      <w:r>
        <w:t>t</w:t>
      </w:r>
      <w:r w:rsidRPr="00D205E1">
        <w:t>he connection of utilities such as the</w:t>
      </w:r>
      <w:r>
        <w:t xml:space="preserve"> telephone, gas and electricity</w:t>
      </w:r>
    </w:p>
    <w:p w14:paraId="07C2174B" w14:textId="111C7AB0" w:rsidR="007C7591" w:rsidRPr="00D205E1" w:rsidRDefault="007C7591" w:rsidP="00C01A05">
      <w:pPr>
        <w:pStyle w:val="Numberlistlevel2ListNumber2"/>
      </w:pPr>
      <w:r>
        <w:t>w</w:t>
      </w:r>
      <w:r w:rsidRPr="00D205E1">
        <w:t>hether the amount of electricity and gas used substantiates the person oc</w:t>
      </w:r>
      <w:r>
        <w:t>cupying the residence as a home</w:t>
      </w:r>
    </w:p>
    <w:p w14:paraId="3C0442E2" w14:textId="0C9B5C5A" w:rsidR="007C7591" w:rsidRDefault="007C7591" w:rsidP="00C01A05">
      <w:pPr>
        <w:pStyle w:val="Numberlistlevel2ListNumber2"/>
      </w:pPr>
      <w:r>
        <w:t>w</w:t>
      </w:r>
      <w:r w:rsidRPr="00D205E1">
        <w:t>hether the applicant has moved their furniture and personal effects to the residence, especially important or essential items such as b</w:t>
      </w:r>
      <w:r>
        <w:t>eds, whitegoods and televisions</w:t>
      </w:r>
    </w:p>
    <w:p w14:paraId="0A869925" w14:textId="3F3294D4" w:rsidR="007C7591" w:rsidRPr="00D205E1" w:rsidRDefault="007C7591" w:rsidP="00C01A05">
      <w:pPr>
        <w:pStyle w:val="Numberlistlevel2ListNumber2"/>
      </w:pPr>
      <w:r>
        <w:t>w</w:t>
      </w:r>
      <w:r w:rsidRPr="00D205E1">
        <w:t>hether the residence is used as the applicant’s mailing address or address for other purposes such as the electoral roll, driver’s licence, motor vehicle registration, phone book, utility bills and if another residence is used, the reasons for using that other residence. (However, the use of the residence as a mailing address may not be significant in the absence of other characteristics, especially where the applicant may be attempting to create the appearance that a residence is their principal place of res</w:t>
      </w:r>
      <w:r>
        <w:t>idence)</w:t>
      </w:r>
    </w:p>
    <w:p w14:paraId="68ADC707" w14:textId="12846255" w:rsidR="007C7591" w:rsidRPr="00D205E1" w:rsidRDefault="007C7591" w:rsidP="00C01A05">
      <w:pPr>
        <w:pStyle w:val="Numberlistlevel2ListNumber2"/>
      </w:pPr>
      <w:r>
        <w:t>w</w:t>
      </w:r>
      <w:r w:rsidRPr="00D205E1">
        <w:t>hether the applicant entertains frien</w:t>
      </w:r>
      <w:r>
        <w:t>ds and family at that residence</w:t>
      </w:r>
    </w:p>
    <w:p w14:paraId="6DB94649" w14:textId="4769109C" w:rsidR="007C7591" w:rsidRPr="00D205E1" w:rsidRDefault="007C7591" w:rsidP="00C01A05">
      <w:pPr>
        <w:pStyle w:val="Numberlistlevel2ListNumber2"/>
      </w:pPr>
      <w:r>
        <w:t>t</w:t>
      </w:r>
      <w:r w:rsidRPr="00D205E1">
        <w:t>he length of time of residence. Occupying a residence for a short period of time is relevant but not determinative, as an applicant’s occupation can be short but have the requisite nature of permanence, continuity and regularity</w:t>
      </w:r>
      <w:r>
        <w:t>. However,</w:t>
      </w:r>
      <w:r w:rsidRPr="00D205E1">
        <w:t xml:space="preserve"> in practice it will be harder for an applicant to show that the occupation was as his or her principal place of residence. </w:t>
      </w:r>
      <w:r w:rsidR="00284805">
        <w:t>T</w:t>
      </w:r>
      <w:r w:rsidRPr="00D205E1">
        <w:t>he relevant legislation requires a period of co</w:t>
      </w:r>
      <w:r>
        <w:t>ntinuous occupation of at least six</w:t>
      </w:r>
      <w:r w:rsidRPr="00D205E1">
        <w:t xml:space="preserve"> months</w:t>
      </w:r>
      <w:r w:rsidRPr="007C7591">
        <w:rPr>
          <w:vertAlign w:val="superscript"/>
        </w:rPr>
        <w:footnoteReference w:id="3"/>
      </w:r>
    </w:p>
    <w:p w14:paraId="77CA4A30" w14:textId="13E0FEF6" w:rsidR="007C7591" w:rsidRPr="00D205E1" w:rsidRDefault="007C7591" w:rsidP="00C01A05">
      <w:pPr>
        <w:pStyle w:val="Numberlistlevel2ListNumber2"/>
      </w:pPr>
      <w:r>
        <w:t>w</w:t>
      </w:r>
      <w:r w:rsidRPr="00D205E1">
        <w:t>hether the applicant has taken out insurance of</w:t>
      </w:r>
      <w:r w:rsidR="00886261">
        <w:t xml:space="preserve"> the</w:t>
      </w:r>
      <w:r w:rsidRPr="00D205E1">
        <w:t xml:space="preserve"> residence or insuranc</w:t>
      </w:r>
      <w:r>
        <w:t xml:space="preserve">e of contents at </w:t>
      </w:r>
      <w:r w:rsidR="00284805">
        <w:t>the </w:t>
      </w:r>
      <w:r>
        <w:t>residence</w:t>
      </w:r>
    </w:p>
    <w:p w14:paraId="268D1464" w14:textId="39A1D2A6" w:rsidR="007C7591" w:rsidRPr="00D205E1" w:rsidRDefault="007C7591" w:rsidP="00C01A05">
      <w:pPr>
        <w:pStyle w:val="Numberlistlevel2ListNumber2"/>
      </w:pPr>
      <w:r>
        <w:t>t</w:t>
      </w:r>
      <w:r w:rsidRPr="00D205E1">
        <w:t xml:space="preserve">he type of finance acquired by the applicant for the residence (for example, finance as an owner/occupier or an </w:t>
      </w:r>
      <w:r>
        <w:t>‘investment’ loan)</w:t>
      </w:r>
    </w:p>
    <w:p w14:paraId="0D540B09" w14:textId="77777777" w:rsidR="007C7591" w:rsidRPr="00D205E1" w:rsidRDefault="007C7591" w:rsidP="00C01A05">
      <w:pPr>
        <w:pStyle w:val="Numberlistlevel2ListNumber2"/>
      </w:pPr>
      <w:r>
        <w:t>w</w:t>
      </w:r>
      <w:r w:rsidRPr="00D205E1">
        <w:t>hether the applicant has some purpose for occupying the residence other than to make it their home – for example, merely occupying the home in order to renovate it for sale.</w:t>
      </w:r>
    </w:p>
    <w:p w14:paraId="6C380F6A" w14:textId="1A67D837" w:rsidR="00AA12BF" w:rsidRDefault="00284805" w:rsidP="00C01A05">
      <w:pPr>
        <w:pStyle w:val="Numberlistlevel1ListNumber"/>
      </w:pPr>
      <w:r>
        <w:t>Note: t</w:t>
      </w:r>
      <w:r w:rsidR="007C7591" w:rsidRPr="00D205E1">
        <w:t xml:space="preserve">his list is </w:t>
      </w:r>
      <w:r>
        <w:t xml:space="preserve">not </w:t>
      </w:r>
      <w:r w:rsidR="007C7591" w:rsidRPr="00D205E1">
        <w:t>exhaustive</w:t>
      </w:r>
      <w:r>
        <w:t>;</w:t>
      </w:r>
      <w:r w:rsidR="007C7591" w:rsidRPr="00D205E1">
        <w:t xml:space="preserve"> each case must be considered in the context of its own </w:t>
      </w:r>
      <w:r w:rsidRPr="00D205E1">
        <w:t>particular</w:t>
      </w:r>
      <w:r>
        <w:t> </w:t>
      </w:r>
      <w:r w:rsidR="007C7591" w:rsidRPr="00D205E1">
        <w:t>facts.</w:t>
      </w:r>
      <w:r w:rsidR="00AA12BF">
        <w:br w:type="page"/>
      </w:r>
    </w:p>
    <w:p w14:paraId="3DB449B9" w14:textId="77777777" w:rsidR="007C7591" w:rsidRPr="00255627" w:rsidRDefault="007C7591" w:rsidP="007C7591">
      <w:pPr>
        <w:pStyle w:val="Heading2"/>
      </w:pPr>
      <w:bookmarkStart w:id="1" w:name="_Applicants_with_two"/>
      <w:bookmarkEnd w:id="1"/>
      <w:r w:rsidRPr="00255627">
        <w:lastRenderedPageBreak/>
        <w:t>Applicants with two or more res</w:t>
      </w:r>
      <w:r w:rsidRPr="0055645B">
        <w:t>i</w:t>
      </w:r>
      <w:r w:rsidRPr="00255627">
        <w:t>dences</w:t>
      </w:r>
    </w:p>
    <w:p w14:paraId="487D0D8E" w14:textId="1E15A16F" w:rsidR="007C7591" w:rsidRDefault="007C7591" w:rsidP="00C01A05">
      <w:pPr>
        <w:pStyle w:val="Numberlistlevel1ListNumber"/>
      </w:pPr>
      <w:r w:rsidRPr="00D205E1">
        <w:t xml:space="preserve">The intention of the home </w:t>
      </w:r>
      <w:r>
        <w:t>owner assistance</w:t>
      </w:r>
      <w:r w:rsidRPr="00D205E1">
        <w:t xml:space="preserve"> schemes is to promote home ownership</w:t>
      </w:r>
      <w:r w:rsidR="008826B2">
        <w:t>. I</w:t>
      </w:r>
      <w:r w:rsidRPr="00D205E1">
        <w:t>t is easiest to demonstrate occupation of a home as a principal place of residence where it is the applicant’s sole residence. However, this will not always be the case and the phrase ‘principal place of residence’ does not assume that an applicant need only live at one place, but rather that he or she may have two or more places of residence.</w:t>
      </w:r>
    </w:p>
    <w:p w14:paraId="007DE824" w14:textId="77777777" w:rsidR="007C7591" w:rsidRDefault="007C7591" w:rsidP="00C01A05">
      <w:pPr>
        <w:pStyle w:val="Numberlistlevel1ListNumber"/>
      </w:pPr>
      <w:r w:rsidRPr="00D205E1">
        <w:t xml:space="preserve">However, the home </w:t>
      </w:r>
      <w:r>
        <w:t>owner assistance</w:t>
      </w:r>
      <w:r w:rsidRPr="00D205E1">
        <w:t xml:space="preserve"> schemes are only available in relation to the ‘principal’ residence. ‘Principal’ has its ordinary meaning of ‘first in rank or importance; chief; leading’. That is, the home must be the ‘primary’ or ‘more important’ residence.</w:t>
      </w:r>
    </w:p>
    <w:p w14:paraId="793F619A" w14:textId="77777777" w:rsidR="007C7591" w:rsidRPr="00D205E1" w:rsidRDefault="007C7591" w:rsidP="00C01A05">
      <w:pPr>
        <w:pStyle w:val="Numberlistlevel1ListNumber"/>
      </w:pPr>
      <w:r w:rsidRPr="00D205E1">
        <w:t>If the applicant resides in two residences, the question of which the applicant uses as the principal or the more important one cannot be determined solely by reference to the way in which the applicant divides their time between the two, but it is a relevant factor.</w:t>
      </w:r>
    </w:p>
    <w:p w14:paraId="0F903774" w14:textId="03F7F917" w:rsidR="007C7591" w:rsidRPr="00D205E1" w:rsidRDefault="007C7591" w:rsidP="00C01A05">
      <w:pPr>
        <w:pStyle w:val="Numberlistlevel1ListNumber"/>
      </w:pPr>
      <w:r w:rsidRPr="00D205E1">
        <w:t xml:space="preserve">Other factors that are relevant in deciding which residence is a person’s principal place of </w:t>
      </w:r>
      <w:r w:rsidR="008826B2">
        <w:t>residence </w:t>
      </w:r>
      <w:r>
        <w:t>include:</w:t>
      </w:r>
    </w:p>
    <w:p w14:paraId="2AAC0860" w14:textId="5B1B9ECD" w:rsidR="007C7591" w:rsidRPr="00D205E1" w:rsidRDefault="007C7591" w:rsidP="00C01A05">
      <w:pPr>
        <w:pStyle w:val="Numberlistlevel2ListNumber2"/>
      </w:pPr>
      <w:r>
        <w:t>w</w:t>
      </w:r>
      <w:r w:rsidRPr="00D205E1">
        <w:t>hether there is an element of continuity of living arrangements. That is, a new residence is less likely to be an applicant’s principal place of residence if the applicant divides their time between their former home and the alleged n</w:t>
      </w:r>
      <w:r>
        <w:t>ew principal place of residence</w:t>
      </w:r>
    </w:p>
    <w:p w14:paraId="24CA1D4C" w14:textId="4DA80832" w:rsidR="007C7591" w:rsidRPr="00D205E1" w:rsidRDefault="007C7591" w:rsidP="00C01A05">
      <w:pPr>
        <w:pStyle w:val="Numberlistlevel2ListNumber2"/>
      </w:pPr>
      <w:r>
        <w:t>t</w:t>
      </w:r>
      <w:r w:rsidRPr="00D205E1">
        <w:t xml:space="preserve">he use or purposes of the residences – for example, whether one residence is </w:t>
      </w:r>
      <w:r>
        <w:t>the ‘holiday home’</w:t>
      </w:r>
    </w:p>
    <w:p w14:paraId="78D2BEF4" w14:textId="424F4B51" w:rsidR="007C7591" w:rsidRPr="00D205E1" w:rsidRDefault="007C7591" w:rsidP="00C01A05">
      <w:pPr>
        <w:pStyle w:val="Numberlistlevel2ListNumber2"/>
      </w:pPr>
      <w:r>
        <w:t>w</w:t>
      </w:r>
      <w:r w:rsidRPr="00D205E1">
        <w:t>here the rest of the applicant’s immediate family lives or</w:t>
      </w:r>
      <w:r>
        <w:t>, if</w:t>
      </w:r>
      <w:r w:rsidRPr="00D205E1">
        <w:t xml:space="preserve"> the family divides its time between the residences, wh</w:t>
      </w:r>
      <w:r>
        <w:t>ere the family spends more time</w:t>
      </w:r>
    </w:p>
    <w:p w14:paraId="47F48862" w14:textId="77777777" w:rsidR="007C7591" w:rsidRDefault="007C7591" w:rsidP="00C01A05">
      <w:pPr>
        <w:pStyle w:val="Numberlistlevel2ListNumber2"/>
      </w:pPr>
      <w:r>
        <w:t>t</w:t>
      </w:r>
      <w:r w:rsidRPr="00D205E1">
        <w:t>he use to which the residence is put when the applicant is not occupying it – for example, whether it is leased or given to other persons to use as a residence.</w:t>
      </w:r>
    </w:p>
    <w:p w14:paraId="0B20E741" w14:textId="77777777" w:rsidR="007C7591" w:rsidRDefault="007C7591" w:rsidP="007C7591">
      <w:pPr>
        <w:pStyle w:val="Heading1"/>
      </w:pPr>
      <w:r>
        <w:t>Legislation</w:t>
      </w:r>
    </w:p>
    <w:p w14:paraId="08545F51" w14:textId="77777777" w:rsidR="007C7591" w:rsidRDefault="007C7591" w:rsidP="00C01A05">
      <w:pPr>
        <w:pStyle w:val="Numberlistlevel1ListNumber"/>
      </w:pPr>
      <w:r w:rsidRPr="007C7591">
        <w:t xml:space="preserve">Refer to the </w:t>
      </w:r>
      <w:r w:rsidRPr="00835DA2">
        <w:rPr>
          <w:i/>
        </w:rPr>
        <w:t>First Home Owner Grant Act</w:t>
      </w:r>
      <w:r w:rsidR="00B838F2">
        <w:rPr>
          <w:i/>
        </w:rPr>
        <w:t xml:space="preserve"> 2000</w:t>
      </w:r>
      <w:r w:rsidRPr="007C7591">
        <w:t xml:space="preserve"> and the </w:t>
      </w:r>
      <w:r w:rsidRPr="00835DA2">
        <w:rPr>
          <w:i/>
        </w:rPr>
        <w:t>Stamp Duty Act</w:t>
      </w:r>
      <w:r w:rsidR="00B838F2">
        <w:rPr>
          <w:i/>
        </w:rPr>
        <w:t xml:space="preserve"> 1978</w:t>
      </w:r>
      <w:r w:rsidRPr="007C7591">
        <w:t xml:space="preserve"> for the legislative basis for the home owner assistance schemes.</w:t>
      </w:r>
    </w:p>
    <w:p w14:paraId="27D94A78" w14:textId="77777777" w:rsidR="007C7591" w:rsidRDefault="007C7591" w:rsidP="007C7591">
      <w:pPr>
        <w:pStyle w:val="Heading1"/>
      </w:pPr>
      <w:r>
        <w:t>Commissioner’s Guidelines</w:t>
      </w:r>
    </w:p>
    <w:p w14:paraId="560A9F3B" w14:textId="2EEFBBE1" w:rsidR="00891384" w:rsidRDefault="007C7591" w:rsidP="008826B2">
      <w:pPr>
        <w:pStyle w:val="Numberlistlevel1ListNumber"/>
      </w:pPr>
      <w:r w:rsidRPr="007C7591">
        <w:t xml:space="preserve">Commissioner’s Guideline </w:t>
      </w:r>
      <w:r w:rsidR="008826B2" w:rsidRPr="00AC7E97">
        <w:t>CG-GEN-001</w:t>
      </w:r>
      <w:r w:rsidR="008826B2">
        <w:t xml:space="preserve">: </w:t>
      </w:r>
      <w:r w:rsidR="008826B2" w:rsidRPr="00AC7E97">
        <w:rPr>
          <w:i/>
        </w:rPr>
        <w:t>Revenue Circulars, Commissioner’s Guidelines and Payroll Tax Rulings: explanation and status</w:t>
      </w:r>
      <w:r w:rsidRPr="007C7591">
        <w:t>, which sets out information on the revenue publication system, is incorporated into and</w:t>
      </w:r>
      <w:r w:rsidR="00AA12BF">
        <w:t xml:space="preserve"> to be</w:t>
      </w:r>
      <w:r w:rsidRPr="007C7591">
        <w:t xml:space="preserve"> read as one with this </w:t>
      </w:r>
      <w:r w:rsidR="008826B2">
        <w:t>g</w:t>
      </w:r>
      <w:r w:rsidRPr="007C7591">
        <w:t xml:space="preserve">uideline. All </w:t>
      </w:r>
      <w:r w:rsidR="008826B2">
        <w:t>c</w:t>
      </w:r>
      <w:r w:rsidR="008826B2" w:rsidRPr="007C7591">
        <w:t xml:space="preserve">irculars </w:t>
      </w:r>
      <w:r w:rsidRPr="007C7591">
        <w:t xml:space="preserve">and </w:t>
      </w:r>
      <w:r w:rsidR="008826B2">
        <w:t>g</w:t>
      </w:r>
      <w:r w:rsidR="008826B2" w:rsidRPr="007C7591">
        <w:t xml:space="preserve">uidelines </w:t>
      </w:r>
      <w:r w:rsidRPr="007C7591">
        <w:t xml:space="preserve">are available </w:t>
      </w:r>
      <w:r w:rsidR="008826B2">
        <w:t>on the</w:t>
      </w:r>
      <w:r w:rsidR="008826B2" w:rsidRPr="007C7591">
        <w:t xml:space="preserve"> </w:t>
      </w:r>
      <w:r w:rsidRPr="007C7591">
        <w:t>TRO website.</w:t>
      </w:r>
      <w:r w:rsidR="00891384">
        <w:br w:type="page"/>
      </w:r>
    </w:p>
    <w:p w14:paraId="708B78C4" w14:textId="77777777" w:rsidR="007C7591" w:rsidRDefault="007C7591" w:rsidP="007C7591">
      <w:pPr>
        <w:pStyle w:val="Heading1"/>
      </w:pPr>
      <w:r>
        <w:lastRenderedPageBreak/>
        <w:t>Date of effect</w:t>
      </w:r>
    </w:p>
    <w:p w14:paraId="31A4EB58" w14:textId="3E076887" w:rsidR="007C7591" w:rsidRPr="007C7591" w:rsidRDefault="007C7591" w:rsidP="00C01A05">
      <w:pPr>
        <w:pStyle w:val="Numberlistlevel1ListNumber"/>
      </w:pPr>
      <w:r w:rsidRPr="007C7591">
        <w:t xml:space="preserve">This version of the </w:t>
      </w:r>
      <w:r w:rsidR="00891384">
        <w:t>g</w:t>
      </w:r>
      <w:r w:rsidRPr="007C7591">
        <w:t>uideline takes effect from 1 July 2022.</w:t>
      </w:r>
    </w:p>
    <w:p w14:paraId="03ECEF6B" w14:textId="77777777" w:rsidR="002238FF" w:rsidRDefault="002238FF" w:rsidP="00891384">
      <w:pPr>
        <w:pStyle w:val="BodyText"/>
        <w:rPr>
          <w:sz w:val="20"/>
          <w:szCs w:val="20"/>
        </w:rPr>
      </w:pPr>
      <w:r>
        <w:rPr>
          <w:noProof/>
          <w:lang w:eastAsia="en-AU"/>
        </w:rPr>
        <w:drawing>
          <wp:inline distT="0" distB="0" distL="0" distR="0" wp14:anchorId="3B50CADA" wp14:editId="2582E3BD">
            <wp:extent cx="1311275" cy="78676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1940"/>
                    <a:stretch/>
                  </pic:blipFill>
                  <pic:spPr bwMode="auto">
                    <a:xfrm>
                      <a:off x="0" y="0"/>
                      <a:ext cx="1311275" cy="786765"/>
                    </a:xfrm>
                    <a:prstGeom prst="rect">
                      <a:avLst/>
                    </a:prstGeom>
                    <a:noFill/>
                    <a:ln>
                      <a:noFill/>
                    </a:ln>
                    <a:extLst>
                      <a:ext uri="{53640926-AAD7-44D8-BBD7-CCE9431645EC}">
                        <a14:shadowObscured xmlns:a14="http://schemas.microsoft.com/office/drawing/2010/main"/>
                      </a:ext>
                    </a:extLst>
                  </pic:spPr>
                </pic:pic>
              </a:graphicData>
            </a:graphic>
          </wp:inline>
        </w:drawing>
      </w:r>
    </w:p>
    <w:p w14:paraId="528EB045" w14:textId="133E6997" w:rsidR="00891384" w:rsidRDefault="002238FF" w:rsidP="00891384">
      <w:pPr>
        <w:pStyle w:val="BodyText"/>
        <w:rPr>
          <w:sz w:val="20"/>
          <w:szCs w:val="20"/>
        </w:rPr>
      </w:pPr>
      <w:r>
        <w:rPr>
          <w:sz w:val="20"/>
          <w:szCs w:val="20"/>
        </w:rPr>
        <w:t>S</w:t>
      </w:r>
      <w:r w:rsidR="00891384">
        <w:rPr>
          <w:sz w:val="20"/>
          <w:szCs w:val="20"/>
        </w:rPr>
        <w:t>arah Rummery</w:t>
      </w:r>
    </w:p>
    <w:p w14:paraId="470D3775" w14:textId="77777777" w:rsidR="00891384" w:rsidRDefault="00891384" w:rsidP="00891384">
      <w:pPr>
        <w:pStyle w:val="BodyText"/>
        <w:rPr>
          <w:b/>
          <w:sz w:val="20"/>
          <w:szCs w:val="20"/>
        </w:rPr>
      </w:pPr>
      <w:r>
        <w:rPr>
          <w:b/>
          <w:sz w:val="20"/>
          <w:szCs w:val="20"/>
        </w:rPr>
        <w:t>COMMISSIONER OF TERRITORY REVENUE</w:t>
      </w:r>
    </w:p>
    <w:p w14:paraId="61156F06" w14:textId="77777777" w:rsidR="00891384" w:rsidRDefault="00891384" w:rsidP="00891384">
      <w:pPr>
        <w:pStyle w:val="BodyText"/>
        <w:rPr>
          <w:sz w:val="20"/>
          <w:szCs w:val="20"/>
        </w:rPr>
      </w:pPr>
      <w:r>
        <w:rPr>
          <w:sz w:val="20"/>
          <w:szCs w:val="20"/>
        </w:rPr>
        <w:t>Date of issue: 1 July 2022</w:t>
      </w:r>
    </w:p>
    <w:tbl>
      <w:tblPr>
        <w:tblW w:w="5000" w:type="pct"/>
        <w:tblBorders>
          <w:top w:val="single" w:sz="4" w:space="0" w:color="333399"/>
          <w:bottom w:val="single" w:sz="4" w:space="0" w:color="333399"/>
          <w:insideH w:val="single" w:sz="4" w:space="0" w:color="333399"/>
        </w:tblBorders>
        <w:tblCellMar>
          <w:top w:w="57" w:type="dxa"/>
          <w:left w:w="0" w:type="dxa"/>
          <w:bottom w:w="57" w:type="dxa"/>
          <w:right w:w="0" w:type="dxa"/>
        </w:tblCellMar>
        <w:tblLook w:val="01E0" w:firstRow="1" w:lastRow="1" w:firstColumn="1" w:lastColumn="1" w:noHBand="0" w:noVBand="0"/>
      </w:tblPr>
      <w:tblGrid>
        <w:gridCol w:w="4775"/>
        <w:gridCol w:w="5543"/>
      </w:tblGrid>
      <w:tr w:rsidR="00891384" w14:paraId="5B166D2A" w14:textId="77777777" w:rsidTr="00891384">
        <w:tc>
          <w:tcPr>
            <w:tcW w:w="5000" w:type="pct"/>
            <w:gridSpan w:val="2"/>
            <w:tcBorders>
              <w:top w:val="single" w:sz="4" w:space="0" w:color="333399"/>
              <w:left w:val="nil"/>
              <w:bottom w:val="single" w:sz="4" w:space="0" w:color="333399"/>
              <w:right w:val="nil"/>
            </w:tcBorders>
            <w:hideMark/>
          </w:tcPr>
          <w:p w14:paraId="0E512C1F" w14:textId="77777777" w:rsidR="00891384" w:rsidRDefault="00891384">
            <w:pPr>
              <w:spacing w:before="120" w:after="120" w:line="240" w:lineRule="atLeast"/>
              <w:rPr>
                <w:rFonts w:cs="Arial"/>
                <w:sz w:val="20"/>
                <w:szCs w:val="20"/>
              </w:rPr>
            </w:pPr>
            <w:r>
              <w:rPr>
                <w:rFonts w:cs="Arial"/>
                <w:sz w:val="20"/>
                <w:szCs w:val="20"/>
              </w:rPr>
              <w:t>For further information, contact the Territory Revenue Office</w:t>
            </w:r>
          </w:p>
        </w:tc>
      </w:tr>
      <w:tr w:rsidR="00891384" w14:paraId="147B70EE" w14:textId="77777777" w:rsidTr="00891384">
        <w:tc>
          <w:tcPr>
            <w:tcW w:w="2314" w:type="pct"/>
            <w:tcBorders>
              <w:top w:val="single" w:sz="4" w:space="0" w:color="333399"/>
              <w:left w:val="nil"/>
              <w:bottom w:val="single" w:sz="4" w:space="0" w:color="333399"/>
              <w:right w:val="nil"/>
            </w:tcBorders>
            <w:hideMark/>
          </w:tcPr>
          <w:p w14:paraId="0666BE2D" w14:textId="77777777" w:rsidR="00891384" w:rsidRDefault="00891384">
            <w:pPr>
              <w:spacing w:before="120" w:after="120"/>
              <w:rPr>
                <w:rFonts w:cs="Arial"/>
                <w:sz w:val="20"/>
                <w:szCs w:val="20"/>
              </w:rPr>
            </w:pPr>
            <w:r>
              <w:rPr>
                <w:rFonts w:cs="Arial"/>
                <w:sz w:val="20"/>
                <w:szCs w:val="20"/>
              </w:rPr>
              <w:t>GPO Box 1974</w:t>
            </w:r>
          </w:p>
          <w:p w14:paraId="2E9A76A0" w14:textId="77777777" w:rsidR="00891384" w:rsidRDefault="00891384">
            <w:pPr>
              <w:spacing w:before="120" w:after="120"/>
              <w:rPr>
                <w:rFonts w:cs="Arial"/>
                <w:sz w:val="20"/>
                <w:szCs w:val="20"/>
              </w:rPr>
            </w:pPr>
            <w:r>
              <w:rPr>
                <w:rFonts w:cs="Arial"/>
                <w:sz w:val="20"/>
                <w:szCs w:val="20"/>
              </w:rPr>
              <w:t>Darwin NT 0801</w:t>
            </w:r>
          </w:p>
          <w:p w14:paraId="76C5AD64" w14:textId="77777777" w:rsidR="00891384" w:rsidRDefault="00891384">
            <w:pPr>
              <w:spacing w:before="120" w:after="120"/>
              <w:rPr>
                <w:rFonts w:cs="Arial"/>
                <w:sz w:val="20"/>
                <w:szCs w:val="20"/>
              </w:rPr>
            </w:pPr>
            <w:r>
              <w:rPr>
                <w:rFonts w:cs="Arial"/>
                <w:sz w:val="20"/>
                <w:szCs w:val="20"/>
              </w:rPr>
              <w:t xml:space="preserve">Email: </w:t>
            </w:r>
            <w:hyperlink r:id="rId10" w:history="1">
              <w:r>
                <w:rPr>
                  <w:rStyle w:val="Hyperlink"/>
                  <w:rFonts w:cs="Arial"/>
                  <w:sz w:val="20"/>
                  <w:szCs w:val="20"/>
                </w:rPr>
                <w:t>ntrevenue@nt.gov.au</w:t>
              </w:r>
            </w:hyperlink>
          </w:p>
        </w:tc>
        <w:tc>
          <w:tcPr>
            <w:tcW w:w="2686" w:type="pct"/>
            <w:tcBorders>
              <w:top w:val="single" w:sz="4" w:space="0" w:color="333399"/>
              <w:left w:val="nil"/>
              <w:bottom w:val="single" w:sz="4" w:space="0" w:color="333399"/>
              <w:right w:val="nil"/>
            </w:tcBorders>
            <w:hideMark/>
          </w:tcPr>
          <w:p w14:paraId="1899CA4B" w14:textId="77777777" w:rsidR="00891384" w:rsidRDefault="00891384">
            <w:pPr>
              <w:spacing w:before="120" w:after="120"/>
              <w:rPr>
                <w:rFonts w:cs="Arial"/>
                <w:sz w:val="20"/>
                <w:szCs w:val="20"/>
              </w:rPr>
            </w:pPr>
            <w:r>
              <w:rPr>
                <w:rFonts w:cs="Arial"/>
                <w:sz w:val="20"/>
                <w:szCs w:val="20"/>
              </w:rPr>
              <w:t>Phone: 1300 305 353</w:t>
            </w:r>
          </w:p>
          <w:p w14:paraId="5EF2678D" w14:textId="77777777" w:rsidR="00891384" w:rsidRDefault="00891384">
            <w:pPr>
              <w:spacing w:before="120" w:after="120"/>
              <w:rPr>
                <w:rFonts w:cs="Arial"/>
                <w:bCs/>
                <w:sz w:val="20"/>
                <w:szCs w:val="20"/>
              </w:rPr>
            </w:pPr>
            <w:r>
              <w:rPr>
                <w:rFonts w:cs="Arial"/>
                <w:sz w:val="20"/>
                <w:szCs w:val="20"/>
              </w:rPr>
              <w:t xml:space="preserve">Website: </w:t>
            </w:r>
            <w:hyperlink r:id="rId11" w:history="1">
              <w:r>
                <w:rPr>
                  <w:rStyle w:val="Hyperlink"/>
                  <w:rFonts w:cs="Arial"/>
                  <w:sz w:val="20"/>
                  <w:szCs w:val="20"/>
                </w:rPr>
                <w:t>www.revenue.nt.gov.au</w:t>
              </w:r>
            </w:hyperlink>
          </w:p>
        </w:tc>
      </w:tr>
    </w:tbl>
    <w:p w14:paraId="573EB2CB" w14:textId="3601C614" w:rsidR="00C01A05" w:rsidRPr="00AC7E97" w:rsidRDefault="00C01A05" w:rsidP="00AC7E97">
      <w:pPr>
        <w:spacing w:after="0"/>
        <w:rPr>
          <w:sz w:val="2"/>
        </w:rPr>
      </w:pPr>
    </w:p>
    <w:sectPr w:rsidR="00C01A05" w:rsidRPr="00AC7E97" w:rsidSect="00A567EE">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739B" w14:textId="77777777" w:rsidR="00861D61" w:rsidRDefault="00861D61" w:rsidP="007332FF">
      <w:r>
        <w:separator/>
      </w:r>
    </w:p>
  </w:endnote>
  <w:endnote w:type="continuationSeparator" w:id="0">
    <w:p w14:paraId="466EB44A" w14:textId="77777777" w:rsidR="00861D61" w:rsidRDefault="00861D6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B7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9CF253C" w14:textId="77777777" w:rsidTr="00D47DC7">
      <w:trPr>
        <w:cantSplit/>
        <w:trHeight w:hRule="exact" w:val="850"/>
      </w:trPr>
      <w:tc>
        <w:tcPr>
          <w:tcW w:w="10318" w:type="dxa"/>
          <w:vAlign w:val="bottom"/>
        </w:tcPr>
        <w:p w14:paraId="63DA0469"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C7591">
                <w:rPr>
                  <w:rStyle w:val="PageNumber"/>
                  <w:b/>
                </w:rPr>
                <w:t>TREASURY AND FINANCE</w:t>
              </w:r>
            </w:sdtContent>
          </w:sdt>
        </w:p>
        <w:p w14:paraId="3DE8112D" w14:textId="5B1BDC7D" w:rsidR="00D47DC7" w:rsidRPr="00CE6614" w:rsidRDefault="00861D61"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7C7591">
                <w:rPr>
                  <w:rStyle w:val="PageNumber"/>
                </w:rPr>
                <w:t>1 July 2022</w:t>
              </w:r>
            </w:sdtContent>
          </w:sdt>
          <w:r w:rsidR="007C7591">
            <w:rPr>
              <w:rStyle w:val="PageNumber"/>
            </w:rPr>
            <w:t xml:space="preserve"> | Version </w:t>
          </w:r>
          <w:r w:rsidR="00B3015E">
            <w:rPr>
              <w:rStyle w:val="PageNumber"/>
            </w:rPr>
            <w:t>9</w:t>
          </w:r>
        </w:p>
        <w:p w14:paraId="0AE7CDCF" w14:textId="6B5B8191"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73B33">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73B33">
            <w:rPr>
              <w:rStyle w:val="PageNumber"/>
              <w:noProof/>
            </w:rPr>
            <w:t>5</w:t>
          </w:r>
          <w:r w:rsidRPr="00AC4488">
            <w:rPr>
              <w:rStyle w:val="PageNumber"/>
            </w:rPr>
            <w:fldChar w:fldCharType="end"/>
          </w:r>
        </w:p>
      </w:tc>
    </w:tr>
  </w:tbl>
  <w:p w14:paraId="1AD460FD"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9BB3"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35D3B19F" w14:textId="77777777" w:rsidTr="008921B4">
      <w:trPr>
        <w:cantSplit/>
        <w:trHeight w:hRule="exact" w:val="1134"/>
      </w:trPr>
      <w:tc>
        <w:tcPr>
          <w:tcW w:w="7767" w:type="dxa"/>
          <w:vAlign w:val="bottom"/>
        </w:tcPr>
        <w:p w14:paraId="44D7E6E3"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7C7591">
                <w:rPr>
                  <w:rStyle w:val="PageNumber"/>
                  <w:b/>
                </w:rPr>
                <w:t>TREASURY AND FINANCE</w:t>
              </w:r>
            </w:sdtContent>
          </w:sdt>
        </w:p>
        <w:p w14:paraId="29C16988" w14:textId="23C6189B" w:rsidR="00D47DC7" w:rsidRPr="00CE6614" w:rsidRDefault="00861D61"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01T00:00:00Z">
                <w:dateFormat w:val="d MMMM yyyy"/>
                <w:lid w:val="en-AU"/>
                <w:storeMappedDataAs w:val="dateTime"/>
                <w:calendar w:val="gregorian"/>
              </w:date>
            </w:sdtPr>
            <w:sdtEndPr>
              <w:rPr>
                <w:rStyle w:val="PageNumber"/>
              </w:rPr>
            </w:sdtEndPr>
            <w:sdtContent>
              <w:r w:rsidR="007C7591">
                <w:rPr>
                  <w:rStyle w:val="PageNumber"/>
                </w:rPr>
                <w:t>1 July 2022</w:t>
              </w:r>
            </w:sdtContent>
          </w:sdt>
          <w:r w:rsidR="007C7591">
            <w:rPr>
              <w:rStyle w:val="PageNumber"/>
            </w:rPr>
            <w:t xml:space="preserve"> | Version </w:t>
          </w:r>
          <w:r w:rsidR="00B3015E">
            <w:rPr>
              <w:rStyle w:val="PageNumber"/>
            </w:rPr>
            <w:t>9</w:t>
          </w:r>
        </w:p>
        <w:p w14:paraId="7BFA62CA" w14:textId="185BD583"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73B3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73B33">
            <w:rPr>
              <w:rStyle w:val="PageNumber"/>
              <w:noProof/>
            </w:rPr>
            <w:t>5</w:t>
          </w:r>
          <w:r w:rsidRPr="00AC4488">
            <w:rPr>
              <w:rStyle w:val="PageNumber"/>
            </w:rPr>
            <w:fldChar w:fldCharType="end"/>
          </w:r>
        </w:p>
      </w:tc>
      <w:tc>
        <w:tcPr>
          <w:tcW w:w="2551" w:type="dxa"/>
          <w:vAlign w:val="bottom"/>
        </w:tcPr>
        <w:p w14:paraId="4FACDE29" w14:textId="77777777" w:rsidR="0071700C" w:rsidRPr="001E14EB" w:rsidRDefault="0071700C" w:rsidP="0071700C">
          <w:pPr>
            <w:spacing w:after="0"/>
            <w:jc w:val="right"/>
          </w:pPr>
          <w:r>
            <w:rPr>
              <w:noProof/>
              <w:lang w:eastAsia="en-AU"/>
            </w:rPr>
            <w:drawing>
              <wp:inline distT="0" distB="0" distL="0" distR="0" wp14:anchorId="42F623A6" wp14:editId="77C27AF5">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551FBB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AF59" w14:textId="77777777" w:rsidR="00861D61" w:rsidRDefault="00861D61" w:rsidP="007332FF">
      <w:r>
        <w:separator/>
      </w:r>
    </w:p>
  </w:footnote>
  <w:footnote w:type="continuationSeparator" w:id="0">
    <w:p w14:paraId="0C6F670E" w14:textId="77777777" w:rsidR="00861D61" w:rsidRDefault="00861D61" w:rsidP="007332FF">
      <w:r>
        <w:continuationSeparator/>
      </w:r>
    </w:p>
  </w:footnote>
  <w:footnote w:id="1">
    <w:p w14:paraId="7AF3F92B" w14:textId="064A0DA8" w:rsidR="007C7591" w:rsidRPr="007C7591" w:rsidRDefault="007C7591" w:rsidP="007C7591">
      <w:pPr>
        <w:pStyle w:val="FootnoteText"/>
        <w:rPr>
          <w:rFonts w:asciiTheme="minorHAnsi" w:hAnsiTheme="minorHAnsi" w:cs="Arial"/>
          <w:sz w:val="18"/>
          <w:szCs w:val="18"/>
        </w:rPr>
      </w:pPr>
      <w:r w:rsidRPr="007C7591">
        <w:rPr>
          <w:rStyle w:val="FootnoteReference"/>
          <w:rFonts w:asciiTheme="minorHAnsi" w:hAnsiTheme="minorHAnsi" w:cs="Arial"/>
          <w:sz w:val="18"/>
          <w:szCs w:val="18"/>
        </w:rPr>
        <w:footnoteRef/>
      </w:r>
      <w:r w:rsidRPr="007C7591">
        <w:rPr>
          <w:rFonts w:asciiTheme="minorHAnsi" w:hAnsiTheme="minorHAnsi" w:cs="Arial"/>
          <w:sz w:val="18"/>
          <w:szCs w:val="18"/>
        </w:rPr>
        <w:t xml:space="preserve"> Sections 5(3), 12 and 13(6) of the</w:t>
      </w:r>
      <w:r w:rsidRPr="007C7591">
        <w:rPr>
          <w:rFonts w:asciiTheme="minorHAnsi" w:hAnsiTheme="minorHAnsi" w:cs="Arial"/>
          <w:i/>
          <w:sz w:val="18"/>
          <w:szCs w:val="18"/>
        </w:rPr>
        <w:t xml:space="preserve"> First Home Owner Grant Act</w:t>
      </w:r>
      <w:r w:rsidR="00284805">
        <w:rPr>
          <w:rFonts w:asciiTheme="minorHAnsi" w:hAnsiTheme="minorHAnsi" w:cs="Arial"/>
          <w:i/>
          <w:sz w:val="18"/>
          <w:szCs w:val="18"/>
        </w:rPr>
        <w:t xml:space="preserve"> 2000</w:t>
      </w:r>
      <w:r w:rsidRPr="007C7591">
        <w:rPr>
          <w:rFonts w:asciiTheme="minorHAnsi" w:hAnsiTheme="minorHAnsi" w:cs="Arial"/>
          <w:i/>
          <w:sz w:val="18"/>
          <w:szCs w:val="18"/>
        </w:rPr>
        <w:t xml:space="preserve"> </w:t>
      </w:r>
      <w:r w:rsidRPr="007C7591">
        <w:rPr>
          <w:rFonts w:asciiTheme="minorHAnsi" w:hAnsiTheme="minorHAnsi" w:cs="Arial"/>
          <w:sz w:val="18"/>
          <w:szCs w:val="18"/>
        </w:rPr>
        <w:t>(FHOGA)</w:t>
      </w:r>
      <w:r w:rsidRPr="007C7591">
        <w:rPr>
          <w:rFonts w:asciiTheme="minorHAnsi" w:hAnsiTheme="minorHAnsi" w:cs="Arial"/>
          <w:i/>
          <w:sz w:val="18"/>
          <w:szCs w:val="18"/>
        </w:rPr>
        <w:t>;</w:t>
      </w:r>
      <w:r w:rsidRPr="007C7591">
        <w:rPr>
          <w:rFonts w:asciiTheme="minorHAnsi" w:hAnsiTheme="minorHAnsi" w:cs="Arial"/>
          <w:sz w:val="18"/>
          <w:szCs w:val="18"/>
        </w:rPr>
        <w:t xml:space="preserve"> sections 89AAB(2)(h), 89A(1)(g) and 90D(2)(i) of the </w:t>
      </w:r>
      <w:r w:rsidR="005A1E22" w:rsidRPr="00AC7E97">
        <w:rPr>
          <w:rFonts w:asciiTheme="minorHAnsi" w:hAnsiTheme="minorHAnsi" w:cs="Arial"/>
          <w:i/>
          <w:sz w:val="18"/>
          <w:szCs w:val="18"/>
        </w:rPr>
        <w:t>Stamp Duty Act 1978</w:t>
      </w:r>
      <w:r w:rsidR="005A1E22" w:rsidRPr="007C7591">
        <w:rPr>
          <w:rFonts w:asciiTheme="minorHAnsi" w:hAnsiTheme="minorHAnsi" w:cs="Arial"/>
          <w:sz w:val="18"/>
          <w:szCs w:val="18"/>
        </w:rPr>
        <w:t xml:space="preserve"> </w:t>
      </w:r>
      <w:r w:rsidRPr="007C7591">
        <w:rPr>
          <w:rFonts w:asciiTheme="minorHAnsi" w:hAnsiTheme="minorHAnsi" w:cs="Arial"/>
          <w:sz w:val="18"/>
          <w:szCs w:val="18"/>
        </w:rPr>
        <w:t xml:space="preserve">and ‘period of occupancy’ and ‘prescribed period’ at section 88(1) of the </w:t>
      </w:r>
      <w:r w:rsidRPr="007C7591">
        <w:rPr>
          <w:rFonts w:asciiTheme="minorHAnsi" w:hAnsiTheme="minorHAnsi" w:cs="Arial"/>
          <w:i/>
          <w:sz w:val="18"/>
          <w:szCs w:val="18"/>
        </w:rPr>
        <w:t>Stamp Duty Act</w:t>
      </w:r>
      <w:r w:rsidR="005A1E22" w:rsidRPr="00AC7E97">
        <w:rPr>
          <w:rFonts w:asciiTheme="minorHAnsi" w:hAnsiTheme="minorHAnsi" w:cs="Arial"/>
          <w:i/>
          <w:sz w:val="18"/>
          <w:szCs w:val="18"/>
        </w:rPr>
        <w:t xml:space="preserve"> 1978</w:t>
      </w:r>
      <w:r w:rsidR="00284805">
        <w:rPr>
          <w:rFonts w:asciiTheme="minorHAnsi" w:hAnsiTheme="minorHAnsi" w:cs="Arial"/>
          <w:sz w:val="18"/>
          <w:szCs w:val="18"/>
        </w:rPr>
        <w:t xml:space="preserve"> (SDA)</w:t>
      </w:r>
      <w:r w:rsidRPr="007C7591">
        <w:rPr>
          <w:rFonts w:asciiTheme="minorHAnsi" w:hAnsiTheme="minorHAnsi" w:cs="Arial"/>
          <w:sz w:val="18"/>
          <w:szCs w:val="18"/>
        </w:rPr>
        <w:t>.</w:t>
      </w:r>
    </w:p>
  </w:footnote>
  <w:footnote w:id="2">
    <w:p w14:paraId="7CAAE3AC" w14:textId="643954E8" w:rsidR="007C7591" w:rsidRPr="00197DE7" w:rsidRDefault="007C7591" w:rsidP="007C7591">
      <w:pPr>
        <w:pStyle w:val="FootnoteText"/>
        <w:rPr>
          <w:rFonts w:ascii="Arial" w:hAnsi="Arial" w:cs="Arial"/>
          <w:sz w:val="18"/>
          <w:szCs w:val="18"/>
        </w:rPr>
      </w:pPr>
      <w:r w:rsidRPr="007C7591">
        <w:rPr>
          <w:rStyle w:val="FootnoteReference"/>
          <w:rFonts w:asciiTheme="minorHAnsi" w:hAnsiTheme="minorHAnsi"/>
        </w:rPr>
        <w:footnoteRef/>
      </w:r>
      <w:r w:rsidRPr="007C7591">
        <w:rPr>
          <w:rFonts w:asciiTheme="minorHAnsi" w:hAnsiTheme="minorHAnsi"/>
        </w:rPr>
        <w:t xml:space="preserve"> </w:t>
      </w:r>
      <w:r w:rsidRPr="007C7591">
        <w:rPr>
          <w:rFonts w:asciiTheme="minorHAnsi" w:hAnsiTheme="minorHAnsi" w:cs="Arial"/>
          <w:sz w:val="18"/>
          <w:szCs w:val="18"/>
        </w:rPr>
        <w:t>Sections 5(3), 12 of the FHOGA; sections 89AAB(11), 89A(11) and (11A) and 90D(2)(i) and (j) of the</w:t>
      </w:r>
      <w:r w:rsidR="00284805">
        <w:rPr>
          <w:rFonts w:asciiTheme="minorHAnsi" w:hAnsiTheme="minorHAnsi" w:cs="Arial"/>
          <w:sz w:val="18"/>
          <w:szCs w:val="18"/>
        </w:rPr>
        <w:t xml:space="preserve"> SDA</w:t>
      </w:r>
      <w:r w:rsidRPr="007C7591">
        <w:rPr>
          <w:rFonts w:asciiTheme="minorHAnsi" w:hAnsiTheme="minorHAnsi" w:cs="Arial"/>
          <w:sz w:val="18"/>
          <w:szCs w:val="18"/>
        </w:rPr>
        <w:t>.</w:t>
      </w:r>
    </w:p>
  </w:footnote>
  <w:footnote w:id="3">
    <w:p w14:paraId="42ED43D5" w14:textId="4153BD55" w:rsidR="007C7591" w:rsidRPr="007C7591" w:rsidRDefault="007C7591" w:rsidP="007C7591">
      <w:pPr>
        <w:pStyle w:val="FootnoteText"/>
        <w:rPr>
          <w:rFonts w:asciiTheme="minorHAnsi" w:hAnsiTheme="minorHAnsi"/>
        </w:rPr>
      </w:pPr>
      <w:r w:rsidRPr="007C7591">
        <w:rPr>
          <w:rStyle w:val="FootnoteReference"/>
          <w:rFonts w:asciiTheme="minorHAnsi" w:hAnsiTheme="minorHAnsi"/>
        </w:rPr>
        <w:footnoteRef/>
      </w:r>
      <w:r w:rsidRPr="007C7591">
        <w:rPr>
          <w:rFonts w:asciiTheme="minorHAnsi" w:hAnsiTheme="minorHAnsi"/>
        </w:rPr>
        <w:t xml:space="preserve"> </w:t>
      </w:r>
      <w:r w:rsidRPr="007C7591">
        <w:rPr>
          <w:rFonts w:asciiTheme="minorHAnsi" w:hAnsiTheme="minorHAnsi" w:cs="Arial"/>
          <w:sz w:val="18"/>
          <w:szCs w:val="18"/>
        </w:rPr>
        <w:t>Section 12 of the FHOGA; sections 88(1) (‘prescribed period’), 89AAB(2)(h), 89A(1)(g) and 90D(2)(i) of the</w:t>
      </w:r>
      <w:r w:rsidR="00284805">
        <w:rPr>
          <w:rFonts w:asciiTheme="minorHAnsi" w:hAnsiTheme="minorHAnsi" w:cs="Arial"/>
          <w:sz w:val="18"/>
          <w:szCs w:val="18"/>
        </w:rPr>
        <w:t xml:space="preserve"> SDA</w:t>
      </w:r>
      <w:r w:rsidRPr="007C7591">
        <w:rPr>
          <w:rFonts w:asciiTheme="minorHAnsi" w:hAnsiTheme="minorHAnsi"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C4EC" w14:textId="49A98462" w:rsidR="00983000" w:rsidRPr="00162207" w:rsidRDefault="00861D6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2E396A">
          <w:t>CG-HI-005: Principal place of residence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0235A53" w14:textId="127333FF" w:rsidR="00E54F9E" w:rsidRDefault="002E396A" w:rsidP="00435082">
        <w:pPr>
          <w:pStyle w:val="Title"/>
        </w:pPr>
        <w:r>
          <w:rPr>
            <w:rStyle w:val="TitleChar"/>
          </w:rPr>
          <w:t>CG-HI-005: Principal</w:t>
        </w:r>
        <w:r w:rsidR="00D4424C">
          <w:rPr>
            <w:rStyle w:val="TitleChar"/>
          </w:rPr>
          <w:t xml:space="preserve"> place of residence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942170"/>
    <w:multiLevelType w:val="multilevel"/>
    <w:tmpl w:val="B3322CEC"/>
    <w:lvl w:ilvl="0">
      <w:start w:val="1"/>
      <w:numFmt w:val="decimal"/>
      <w:pStyle w:val="Numberlistlevel1ListNumber"/>
      <w:lvlText w:val="%1."/>
      <w:lvlJc w:val="left"/>
      <w:pPr>
        <w:ind w:left="425" w:hanging="425"/>
      </w:pPr>
      <w:rPr>
        <w:rFonts w:hint="default"/>
      </w:rPr>
    </w:lvl>
    <w:lvl w:ilvl="1">
      <w:start w:val="1"/>
      <w:numFmt w:val="lowerLetter"/>
      <w:pStyle w:val="Numberlistlevel2ListNumber2"/>
      <w:lvlText w:val="%2."/>
      <w:lvlJc w:val="left"/>
      <w:pPr>
        <w:ind w:left="850" w:hanging="425"/>
      </w:pPr>
      <w:rPr>
        <w:rFonts w:hint="default"/>
      </w:rPr>
    </w:lvl>
    <w:lvl w:ilvl="2">
      <w:start w:val="1"/>
      <w:numFmt w:val="lowerRoman"/>
      <w:pStyle w:val="Numberlistlevel3ListNumber3"/>
      <w:lvlText w:val="%3."/>
      <w:lvlJc w:val="left"/>
      <w:pPr>
        <w:ind w:left="1275" w:hanging="425"/>
      </w:pPr>
      <w:rPr>
        <w:rFonts w:hint="default"/>
      </w:rPr>
    </w:lvl>
    <w:lvl w:ilvl="3">
      <w:start w:val="1"/>
      <w:numFmt w:val="decimal"/>
      <w:pStyle w:val="Numberlistlevel4ListNumber4"/>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3A8530A"/>
    <w:multiLevelType w:val="hybridMultilevel"/>
    <w:tmpl w:val="55120F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36"/>
  </w:num>
  <w:num w:numId="4">
    <w:abstractNumId w:val="25"/>
  </w:num>
  <w:num w:numId="5">
    <w:abstractNumId w:val="17"/>
  </w:num>
  <w:num w:numId="6">
    <w:abstractNumId w:val="8"/>
  </w:num>
  <w:num w:numId="7">
    <w:abstractNumId w:val="27"/>
  </w:num>
  <w:num w:numId="8">
    <w:abstractNumId w:val="16"/>
  </w:num>
  <w:num w:numId="9">
    <w:abstractNumId w:val="23"/>
  </w:num>
  <w:num w:numId="10">
    <w:abstractNumId w:val="12"/>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12"/>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QBUZeDzaGiCM/tpujWpXat80NEPow3xKXQ9HhLanZZOmAF0eZ4rRJpVqfmpZ1bgJ37dHjUYKVwIS47qzSytPbQ==" w:salt="Ih9forXhRcSsndBCLF9Gig=="/>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91"/>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C04F8"/>
    <w:rsid w:val="000D1F29"/>
    <w:rsid w:val="000D633D"/>
    <w:rsid w:val="000E342B"/>
    <w:rsid w:val="000E3ED2"/>
    <w:rsid w:val="000E5DD2"/>
    <w:rsid w:val="000F2958"/>
    <w:rsid w:val="000F3850"/>
    <w:rsid w:val="000F604F"/>
    <w:rsid w:val="00104E7F"/>
    <w:rsid w:val="00111963"/>
    <w:rsid w:val="001137EC"/>
    <w:rsid w:val="001152F5"/>
    <w:rsid w:val="00117743"/>
    <w:rsid w:val="00117F5B"/>
    <w:rsid w:val="00132658"/>
    <w:rsid w:val="00134CF1"/>
    <w:rsid w:val="00150DC0"/>
    <w:rsid w:val="0015394D"/>
    <w:rsid w:val="00156CD4"/>
    <w:rsid w:val="0016153B"/>
    <w:rsid w:val="00162207"/>
    <w:rsid w:val="00164A3E"/>
    <w:rsid w:val="00166FF6"/>
    <w:rsid w:val="00174BA9"/>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21F79"/>
    <w:rsid w:val="002238FF"/>
    <w:rsid w:val="00230031"/>
    <w:rsid w:val="00235C01"/>
    <w:rsid w:val="002432D7"/>
    <w:rsid w:val="00247343"/>
    <w:rsid w:val="00265C56"/>
    <w:rsid w:val="002716CD"/>
    <w:rsid w:val="00274D4B"/>
    <w:rsid w:val="002806F5"/>
    <w:rsid w:val="00281577"/>
    <w:rsid w:val="00284805"/>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396A"/>
    <w:rsid w:val="002E4290"/>
    <w:rsid w:val="002E66A6"/>
    <w:rsid w:val="002F0DB1"/>
    <w:rsid w:val="002F2885"/>
    <w:rsid w:val="002F45A1"/>
    <w:rsid w:val="0030203D"/>
    <w:rsid w:val="00302320"/>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787"/>
    <w:rsid w:val="004668A7"/>
    <w:rsid w:val="00466D96"/>
    <w:rsid w:val="00467747"/>
    <w:rsid w:val="00470017"/>
    <w:rsid w:val="0047105A"/>
    <w:rsid w:val="00473C98"/>
    <w:rsid w:val="00474965"/>
    <w:rsid w:val="00482DF8"/>
    <w:rsid w:val="004864DE"/>
    <w:rsid w:val="00494BE5"/>
    <w:rsid w:val="004A0EBA"/>
    <w:rsid w:val="004A2538"/>
    <w:rsid w:val="004A331E"/>
    <w:rsid w:val="004B0566"/>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46544"/>
    <w:rsid w:val="00556113"/>
    <w:rsid w:val="00564C12"/>
    <w:rsid w:val="005654B8"/>
    <w:rsid w:val="00570D94"/>
    <w:rsid w:val="005762CC"/>
    <w:rsid w:val="00582D3D"/>
    <w:rsid w:val="00590040"/>
    <w:rsid w:val="00595386"/>
    <w:rsid w:val="00597234"/>
    <w:rsid w:val="005A1E22"/>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48D"/>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50"/>
    <w:rsid w:val="007332FF"/>
    <w:rsid w:val="007408F5"/>
    <w:rsid w:val="00741EAE"/>
    <w:rsid w:val="00755248"/>
    <w:rsid w:val="00760E39"/>
    <w:rsid w:val="0076190B"/>
    <w:rsid w:val="0076355D"/>
    <w:rsid w:val="00763A2D"/>
    <w:rsid w:val="007676A4"/>
    <w:rsid w:val="00777795"/>
    <w:rsid w:val="00780C81"/>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C7591"/>
    <w:rsid w:val="007D4893"/>
    <w:rsid w:val="007E6931"/>
    <w:rsid w:val="007E70CF"/>
    <w:rsid w:val="007E74A4"/>
    <w:rsid w:val="007F1B6F"/>
    <w:rsid w:val="007F263F"/>
    <w:rsid w:val="008015A8"/>
    <w:rsid w:val="0080766E"/>
    <w:rsid w:val="00811169"/>
    <w:rsid w:val="00815297"/>
    <w:rsid w:val="008170DB"/>
    <w:rsid w:val="00817BA1"/>
    <w:rsid w:val="00823022"/>
    <w:rsid w:val="00823B8C"/>
    <w:rsid w:val="0082634E"/>
    <w:rsid w:val="008313C4"/>
    <w:rsid w:val="00835434"/>
    <w:rsid w:val="008358C0"/>
    <w:rsid w:val="00835DA2"/>
    <w:rsid w:val="00842838"/>
    <w:rsid w:val="00854EC1"/>
    <w:rsid w:val="0085797F"/>
    <w:rsid w:val="00861D61"/>
    <w:rsid w:val="00861DC3"/>
    <w:rsid w:val="00867019"/>
    <w:rsid w:val="00872EF1"/>
    <w:rsid w:val="008735A9"/>
    <w:rsid w:val="00877BC5"/>
    <w:rsid w:val="00877D20"/>
    <w:rsid w:val="00881C48"/>
    <w:rsid w:val="008826B2"/>
    <w:rsid w:val="00885B80"/>
    <w:rsid w:val="00885C30"/>
    <w:rsid w:val="00885E9B"/>
    <w:rsid w:val="00886261"/>
    <w:rsid w:val="00891384"/>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1132"/>
    <w:rsid w:val="00951CAA"/>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61E"/>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1AA9"/>
    <w:rsid w:val="00A567EE"/>
    <w:rsid w:val="00A70DD8"/>
    <w:rsid w:val="00A76790"/>
    <w:rsid w:val="00A85D0C"/>
    <w:rsid w:val="00A925EC"/>
    <w:rsid w:val="00A929AA"/>
    <w:rsid w:val="00A92B6B"/>
    <w:rsid w:val="00AA12BF"/>
    <w:rsid w:val="00AA541E"/>
    <w:rsid w:val="00AB2907"/>
    <w:rsid w:val="00AC28A4"/>
    <w:rsid w:val="00AC7E97"/>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015E"/>
    <w:rsid w:val="00B343CC"/>
    <w:rsid w:val="00B5084A"/>
    <w:rsid w:val="00B606A1"/>
    <w:rsid w:val="00B614F7"/>
    <w:rsid w:val="00B61B26"/>
    <w:rsid w:val="00B61FD1"/>
    <w:rsid w:val="00B63A12"/>
    <w:rsid w:val="00B65E6B"/>
    <w:rsid w:val="00B675B2"/>
    <w:rsid w:val="00B81261"/>
    <w:rsid w:val="00B8223E"/>
    <w:rsid w:val="00B832AE"/>
    <w:rsid w:val="00B838F2"/>
    <w:rsid w:val="00B86678"/>
    <w:rsid w:val="00B92F9B"/>
    <w:rsid w:val="00B941B3"/>
    <w:rsid w:val="00B944F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1A05"/>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3C3"/>
    <w:rsid w:val="00D15D88"/>
    <w:rsid w:val="00D27D49"/>
    <w:rsid w:val="00D27EBE"/>
    <w:rsid w:val="00D36A49"/>
    <w:rsid w:val="00D4424C"/>
    <w:rsid w:val="00D47DC7"/>
    <w:rsid w:val="00D517C6"/>
    <w:rsid w:val="00D71D84"/>
    <w:rsid w:val="00D72464"/>
    <w:rsid w:val="00D72A57"/>
    <w:rsid w:val="00D73B33"/>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5413"/>
    <w:rsid w:val="00EF7859"/>
    <w:rsid w:val="00F014DA"/>
    <w:rsid w:val="00F02591"/>
    <w:rsid w:val="00F30AE1"/>
    <w:rsid w:val="00F5696E"/>
    <w:rsid w:val="00F60EFF"/>
    <w:rsid w:val="00F624C9"/>
    <w:rsid w:val="00F67D2D"/>
    <w:rsid w:val="00F858F2"/>
    <w:rsid w:val="00F860CC"/>
    <w:rsid w:val="00F94398"/>
    <w:rsid w:val="00FB2B56"/>
    <w:rsid w:val="00FB55D5"/>
    <w:rsid w:val="00FB6656"/>
    <w:rsid w:val="00FC12BF"/>
    <w:rsid w:val="00FC2C60"/>
    <w:rsid w:val="00FD3E6F"/>
    <w:rsid w:val="00FD51B9"/>
    <w:rsid w:val="00FD5849"/>
    <w:rsid w:val="00FE03E4"/>
    <w:rsid w:val="00FE2411"/>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90A8F"/>
  <w15:docId w15:val="{7BD8ABB8-FD23-4342-ABB7-5DBAB1C1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BF"/>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C7591"/>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Text">
    <w:name w:val="Text"/>
    <w:rsid w:val="007C7591"/>
    <w:pPr>
      <w:numPr>
        <w:numId w:val="11"/>
      </w:numPr>
    </w:pPr>
  </w:style>
  <w:style w:type="paragraph" w:customStyle="1" w:styleId="HeadingThree">
    <w:name w:val="Heading Three"/>
    <w:basedOn w:val="Normal"/>
    <w:link w:val="HeadingThreeChar"/>
    <w:rsid w:val="007C7591"/>
    <w:pPr>
      <w:spacing w:before="360" w:after="120"/>
    </w:pPr>
    <w:rPr>
      <w:rFonts w:ascii="Arial" w:eastAsia="Times New Roman" w:hAnsi="Arial"/>
      <w:b/>
      <w:bCs/>
      <w:i/>
      <w:iCs/>
      <w:szCs w:val="20"/>
      <w:lang w:eastAsia="en-AU"/>
    </w:rPr>
  </w:style>
  <w:style w:type="paragraph" w:styleId="FootnoteText">
    <w:name w:val="footnote text"/>
    <w:basedOn w:val="Normal"/>
    <w:link w:val="FootnoteTextChar"/>
    <w:semiHidden/>
    <w:rsid w:val="00AA12BF"/>
    <w:pPr>
      <w:spacing w:after="0"/>
    </w:pPr>
    <w:rPr>
      <w:rFonts w:eastAsia="Times New Roman"/>
      <w:sz w:val="20"/>
      <w:szCs w:val="20"/>
      <w:lang w:eastAsia="en-AU"/>
    </w:rPr>
  </w:style>
  <w:style w:type="character" w:customStyle="1" w:styleId="FootnoteTextChar">
    <w:name w:val="Footnote Text Char"/>
    <w:basedOn w:val="DefaultParagraphFont"/>
    <w:link w:val="FootnoteText"/>
    <w:semiHidden/>
    <w:rsid w:val="00AA12BF"/>
    <w:rPr>
      <w:rFonts w:ascii="Lato" w:eastAsia="Times New Roman" w:hAnsi="Lato"/>
      <w:sz w:val="20"/>
      <w:szCs w:val="20"/>
      <w:lang w:eastAsia="en-AU"/>
    </w:rPr>
  </w:style>
  <w:style w:type="character" w:styleId="FootnoteReference">
    <w:name w:val="footnote reference"/>
    <w:semiHidden/>
    <w:rsid w:val="00AA12BF"/>
    <w:rPr>
      <w:rFonts w:ascii="Lato" w:hAnsi="Lato"/>
      <w:vertAlign w:val="superscript"/>
    </w:rPr>
  </w:style>
  <w:style w:type="character" w:customStyle="1" w:styleId="BlockTextChar">
    <w:name w:val="Block Text Char"/>
    <w:basedOn w:val="DefaultParagraphFont"/>
    <w:link w:val="BlockText"/>
    <w:rsid w:val="007C7591"/>
    <w:rPr>
      <w:rFonts w:ascii="Lato" w:eastAsiaTheme="minorEastAsia" w:hAnsi="Lato"/>
      <w:iCs/>
    </w:rPr>
  </w:style>
  <w:style w:type="character" w:customStyle="1" w:styleId="HeadingThreeChar">
    <w:name w:val="Heading Three Char"/>
    <w:link w:val="HeadingThree"/>
    <w:rsid w:val="007C7591"/>
    <w:rPr>
      <w:rFonts w:eastAsia="Times New Roman"/>
      <w:b/>
      <w:bCs/>
      <w:i/>
      <w:iCs/>
      <w:szCs w:val="20"/>
      <w:lang w:eastAsia="en-AU"/>
    </w:rPr>
  </w:style>
  <w:style w:type="character" w:styleId="CommentReference">
    <w:name w:val="annotation reference"/>
    <w:basedOn w:val="DefaultParagraphFont"/>
    <w:uiPriority w:val="99"/>
    <w:semiHidden/>
    <w:unhideWhenUsed/>
    <w:rsid w:val="00111963"/>
    <w:rPr>
      <w:sz w:val="16"/>
      <w:szCs w:val="16"/>
    </w:rPr>
  </w:style>
  <w:style w:type="paragraph" w:styleId="CommentText">
    <w:name w:val="annotation text"/>
    <w:basedOn w:val="Normal"/>
    <w:link w:val="CommentTextChar"/>
    <w:uiPriority w:val="99"/>
    <w:semiHidden/>
    <w:unhideWhenUsed/>
    <w:rsid w:val="00111963"/>
    <w:rPr>
      <w:sz w:val="20"/>
      <w:szCs w:val="20"/>
    </w:rPr>
  </w:style>
  <w:style w:type="character" w:customStyle="1" w:styleId="CommentTextChar">
    <w:name w:val="Comment Text Char"/>
    <w:basedOn w:val="DefaultParagraphFont"/>
    <w:link w:val="CommentText"/>
    <w:uiPriority w:val="99"/>
    <w:semiHidden/>
    <w:rsid w:val="0011196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111963"/>
    <w:rPr>
      <w:b/>
      <w:bCs/>
    </w:rPr>
  </w:style>
  <w:style w:type="character" w:customStyle="1" w:styleId="CommentSubjectChar">
    <w:name w:val="Comment Subject Char"/>
    <w:basedOn w:val="CommentTextChar"/>
    <w:link w:val="CommentSubject"/>
    <w:uiPriority w:val="99"/>
    <w:semiHidden/>
    <w:rsid w:val="00111963"/>
    <w:rPr>
      <w:rFonts w:ascii="Lato" w:hAnsi="Lato"/>
      <w:b/>
      <w:bCs/>
      <w:sz w:val="20"/>
      <w:szCs w:val="20"/>
    </w:rPr>
  </w:style>
  <w:style w:type="paragraph" w:customStyle="1" w:styleId="Numberlistlevel1ListNumber">
    <w:name w:val="Number list level 1  (List Number)"/>
    <w:basedOn w:val="Normal"/>
    <w:rsid w:val="007E6931"/>
    <w:pPr>
      <w:numPr>
        <w:numId w:val="12"/>
      </w:numPr>
      <w:spacing w:after="120"/>
    </w:pPr>
  </w:style>
  <w:style w:type="paragraph" w:customStyle="1" w:styleId="Numberlistlevel2ListNumber2">
    <w:name w:val="Number list level 2  (List Number 2)"/>
    <w:basedOn w:val="Normal"/>
    <w:rsid w:val="007E6931"/>
    <w:pPr>
      <w:numPr>
        <w:ilvl w:val="1"/>
        <w:numId w:val="12"/>
      </w:numPr>
      <w:spacing w:after="120"/>
    </w:pPr>
  </w:style>
  <w:style w:type="paragraph" w:customStyle="1" w:styleId="Numberlistlevel3ListNumber3">
    <w:name w:val="Number list level 3  (List Number 3)"/>
    <w:basedOn w:val="Normal"/>
    <w:rsid w:val="007E6931"/>
    <w:pPr>
      <w:numPr>
        <w:ilvl w:val="2"/>
        <w:numId w:val="12"/>
      </w:numPr>
      <w:spacing w:after="120"/>
    </w:pPr>
  </w:style>
  <w:style w:type="paragraph" w:customStyle="1" w:styleId="Numberlistlevel4ListNumber4">
    <w:name w:val="Number list level 4  (List Number 4)"/>
    <w:basedOn w:val="Normal"/>
    <w:rsid w:val="00D4424C"/>
    <w:pPr>
      <w:numPr>
        <w:ilvl w:val="3"/>
        <w:numId w:val="12"/>
      </w:numPr>
      <w:spacing w:after="120"/>
    </w:pPr>
  </w:style>
  <w:style w:type="paragraph" w:customStyle="1" w:styleId="BodyText1">
    <w:name w:val="Body Text1"/>
    <w:basedOn w:val="BodyText"/>
    <w:qFormat/>
    <w:rsid w:val="00C01A05"/>
    <w:pPr>
      <w:spacing w:before="40" w:after="80"/>
    </w:pPr>
    <w:rPr>
      <w:szCs w:val="20"/>
      <w:lang w:eastAsia="en-AU"/>
    </w:rPr>
  </w:style>
  <w:style w:type="paragraph" w:customStyle="1" w:styleId="Example-Heading">
    <w:name w:val="Example - Heading"/>
    <w:basedOn w:val="Heading3"/>
    <w:next w:val="Normal"/>
    <w:qFormat/>
    <w:rsid w:val="00284805"/>
    <w:pPr>
      <w:pBdr>
        <w:top w:val="single" w:sz="4" w:space="4" w:color="auto"/>
        <w:left w:val="single" w:sz="4" w:space="4" w:color="auto"/>
        <w:bottom w:val="single" w:sz="4" w:space="4" w:color="auto"/>
        <w:right w:val="single" w:sz="4" w:space="4" w:color="auto"/>
      </w:pBdr>
      <w:shd w:val="clear" w:color="auto" w:fill="E5DFEC"/>
      <w:ind w:left="851"/>
      <w:outlineLvl w:val="9"/>
    </w:pPr>
  </w:style>
  <w:style w:type="paragraph" w:customStyle="1" w:styleId="Example-Bodytext">
    <w:name w:val="Example - Body text"/>
    <w:basedOn w:val="BodyText"/>
    <w:qFormat/>
    <w:rsid w:val="00284805"/>
    <w:pPr>
      <w:pBdr>
        <w:top w:val="single" w:sz="4" w:space="4" w:color="auto"/>
        <w:left w:val="single" w:sz="4" w:space="4" w:color="auto"/>
        <w:bottom w:val="single" w:sz="4" w:space="4" w:color="auto"/>
        <w:right w:val="single" w:sz="4" w:space="4" w:color="auto"/>
      </w:pBdr>
      <w:shd w:val="clear" w:color="auto" w:fill="E5DFEC"/>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19833750">
      <w:bodyDiv w:val="1"/>
      <w:marLeft w:val="0"/>
      <w:marRight w:val="0"/>
      <w:marTop w:val="0"/>
      <w:marBottom w:val="0"/>
      <w:divBdr>
        <w:top w:val="none" w:sz="0" w:space="0" w:color="auto"/>
        <w:left w:val="none" w:sz="0" w:space="0" w:color="auto"/>
        <w:bottom w:val="none" w:sz="0" w:space="0" w:color="auto"/>
        <w:right w:val="none" w:sz="0" w:space="0" w:color="auto"/>
      </w:divBdr>
    </w:div>
    <w:div w:id="468937418">
      <w:bodyDiv w:val="1"/>
      <w:marLeft w:val="0"/>
      <w:marRight w:val="0"/>
      <w:marTop w:val="0"/>
      <w:marBottom w:val="0"/>
      <w:divBdr>
        <w:top w:val="none" w:sz="0" w:space="0" w:color="auto"/>
        <w:left w:val="none" w:sz="0" w:space="0" w:color="auto"/>
        <w:bottom w:val="none" w:sz="0" w:space="0" w:color="auto"/>
        <w:right w:val="none" w:sz="0" w:space="0" w:color="auto"/>
      </w:divBdr>
    </w:div>
    <w:div w:id="832380192">
      <w:bodyDiv w:val="1"/>
      <w:marLeft w:val="0"/>
      <w:marRight w:val="0"/>
      <w:marTop w:val="0"/>
      <w:marBottom w:val="0"/>
      <w:divBdr>
        <w:top w:val="none" w:sz="0" w:space="0" w:color="auto"/>
        <w:left w:val="none" w:sz="0" w:space="0" w:color="auto"/>
        <w:bottom w:val="none" w:sz="0" w:space="0" w:color="auto"/>
        <w:right w:val="none" w:sz="0" w:space="0" w:color="auto"/>
      </w:divBdr>
    </w:div>
    <w:div w:id="9306288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40391787">
      <w:bodyDiv w:val="1"/>
      <w:marLeft w:val="0"/>
      <w:marRight w:val="0"/>
      <w:marTop w:val="0"/>
      <w:marBottom w:val="0"/>
      <w:divBdr>
        <w:top w:val="none" w:sz="0" w:space="0" w:color="auto"/>
        <w:left w:val="none" w:sz="0" w:space="0" w:color="auto"/>
        <w:bottom w:val="none" w:sz="0" w:space="0" w:color="auto"/>
        <w:right w:val="none" w:sz="0" w:space="0" w:color="auto"/>
      </w:divBdr>
    </w:div>
    <w:div w:id="21288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enu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D8092-D895-4B1A-90E6-49E7FAA0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TotalTime>
  <Pages>5</Pages>
  <Words>1646</Words>
  <Characters>8235</Characters>
  <Application>Microsoft Office Word</Application>
  <DocSecurity>8</DocSecurity>
  <Lines>179</Lines>
  <Paragraphs>131</Paragraphs>
  <ScaleCrop>false</ScaleCrop>
  <HeadingPairs>
    <vt:vector size="2" baseType="variant">
      <vt:variant>
        <vt:lpstr>Title</vt:lpstr>
      </vt:variant>
      <vt:variant>
        <vt:i4>1</vt:i4>
      </vt:variant>
    </vt:vector>
  </HeadingPairs>
  <TitlesOfParts>
    <vt:vector size="1" baseType="lpstr">
      <vt:lpstr>CG-HI-005: Principal place of residence</vt:lpstr>
    </vt:vector>
  </TitlesOfParts>
  <Company>TREASURY AND FINANCE</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CG-HI-005: Principal place of residence</dc:title>
  <dc:creator>Department of Treasury and Finance</dc:creator>
  <cp:lastModifiedBy>Jessica Symonds</cp:lastModifiedBy>
  <cp:revision>4</cp:revision>
  <cp:lastPrinted>2019-07-29T01:45:00Z</cp:lastPrinted>
  <dcterms:created xsi:type="dcterms:W3CDTF">2022-06-30T01:00:00Z</dcterms:created>
  <dcterms:modified xsi:type="dcterms:W3CDTF">2022-06-30T01:03:00Z</dcterms:modified>
</cp:coreProperties>
</file>