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152" w:rsidRDefault="00910152" w:rsidP="00C27A0A">
      <w:pPr>
        <w:pStyle w:val="HeadingOne"/>
      </w:pPr>
    </w:p>
    <w:p w:rsidR="00910152" w:rsidRDefault="00910152" w:rsidP="004D038A">
      <w:pPr>
        <w:pStyle w:val="HeadingOne"/>
        <w:jc w:val="left"/>
      </w:pPr>
    </w:p>
    <w:p w:rsidR="00910152" w:rsidRDefault="00910152" w:rsidP="00C27A0A">
      <w:pPr>
        <w:pStyle w:val="HeadingOne"/>
      </w:pPr>
      <w:r>
        <w:t>TERRITORY REVENUE OFFICE</w:t>
      </w:r>
    </w:p>
    <w:p w:rsidR="002546CB" w:rsidRPr="00C27A0A" w:rsidRDefault="00DE64A9" w:rsidP="00C27A0A">
      <w:pPr>
        <w:pStyle w:val="HeadingOne"/>
      </w:pPr>
      <w:r>
        <w:t>COMMISSIONER’S GUIDELINE</w:t>
      </w:r>
    </w:p>
    <w:p w:rsidR="00C27A0A" w:rsidRPr="00C27A0A" w:rsidRDefault="00513926" w:rsidP="00C27A0A">
      <w:pPr>
        <w:pStyle w:val="HeadingOne"/>
      </w:pPr>
      <w:r>
        <w:t>CG</w:t>
      </w:r>
      <w:r w:rsidR="00C27A0A" w:rsidRPr="00C27A0A">
        <w:t>-</w:t>
      </w:r>
      <w:r w:rsidR="00FA5694">
        <w:t>HI</w:t>
      </w:r>
      <w:r w:rsidR="00C27A0A" w:rsidRPr="00C27A0A">
        <w:t>-</w:t>
      </w:r>
      <w:r w:rsidR="00FA5694">
        <w:t>004</w:t>
      </w:r>
      <w:r>
        <w:t>:</w:t>
      </w:r>
      <w:r w:rsidR="00C27A0A" w:rsidRPr="00C27A0A">
        <w:t xml:space="preserve"> </w:t>
      </w:r>
      <w:r w:rsidR="00FA5694">
        <w:t>De facto relationships</w:t>
      </w:r>
    </w:p>
    <w:p w:rsidR="00C27A0A" w:rsidRDefault="00C27A0A" w:rsidP="00C27A0A">
      <w:pPr>
        <w:rPr>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1030"/>
        <w:gridCol w:w="1848"/>
        <w:gridCol w:w="1710"/>
        <w:gridCol w:w="1842"/>
      </w:tblGrid>
      <w:tr w:rsidR="00F65356" w:rsidRPr="00A4644E" w:rsidTr="00A4644E">
        <w:trPr>
          <w:jc w:val="center"/>
        </w:trPr>
        <w:tc>
          <w:tcPr>
            <w:tcW w:w="1030" w:type="dxa"/>
            <w:vMerge w:val="restart"/>
            <w:shd w:val="clear" w:color="auto" w:fill="auto"/>
          </w:tcPr>
          <w:p w:rsidR="00F65356" w:rsidRPr="00A4644E" w:rsidRDefault="00F65356" w:rsidP="00A4644E">
            <w:pPr>
              <w:jc w:val="center"/>
              <w:rPr>
                <w:b/>
                <w:sz w:val="18"/>
                <w:szCs w:val="18"/>
              </w:rPr>
            </w:pPr>
            <w:r w:rsidRPr="00A4644E">
              <w:rPr>
                <w:b/>
                <w:sz w:val="18"/>
                <w:szCs w:val="18"/>
              </w:rPr>
              <w:t>Version</w:t>
            </w:r>
          </w:p>
        </w:tc>
        <w:tc>
          <w:tcPr>
            <w:tcW w:w="1848" w:type="dxa"/>
            <w:vMerge w:val="restart"/>
            <w:tcBorders>
              <w:right w:val="single" w:sz="4" w:space="0" w:color="auto"/>
            </w:tcBorders>
            <w:shd w:val="clear" w:color="auto" w:fill="auto"/>
          </w:tcPr>
          <w:p w:rsidR="00F65356" w:rsidRPr="00A4644E" w:rsidRDefault="00F65356" w:rsidP="00A4644E">
            <w:pPr>
              <w:jc w:val="center"/>
              <w:rPr>
                <w:b/>
                <w:sz w:val="18"/>
                <w:szCs w:val="18"/>
              </w:rPr>
            </w:pPr>
            <w:r w:rsidRPr="00A4644E">
              <w:rPr>
                <w:b/>
                <w:sz w:val="18"/>
                <w:szCs w:val="18"/>
              </w:rPr>
              <w:t>Issued</w:t>
            </w:r>
          </w:p>
        </w:tc>
        <w:tc>
          <w:tcPr>
            <w:tcW w:w="3552" w:type="dxa"/>
            <w:gridSpan w:val="2"/>
            <w:tcBorders>
              <w:top w:val="single" w:sz="4" w:space="0" w:color="auto"/>
              <w:left w:val="single" w:sz="4" w:space="0" w:color="auto"/>
              <w:bottom w:val="nil"/>
              <w:right w:val="single" w:sz="4" w:space="0" w:color="auto"/>
            </w:tcBorders>
            <w:shd w:val="clear" w:color="auto" w:fill="auto"/>
          </w:tcPr>
          <w:p w:rsidR="00F65356" w:rsidRPr="00A4644E" w:rsidRDefault="00F65356" w:rsidP="00A4644E">
            <w:pPr>
              <w:jc w:val="center"/>
              <w:rPr>
                <w:b/>
                <w:sz w:val="18"/>
                <w:szCs w:val="18"/>
              </w:rPr>
            </w:pPr>
            <w:r w:rsidRPr="00A4644E">
              <w:rPr>
                <w:b/>
                <w:sz w:val="18"/>
                <w:szCs w:val="18"/>
              </w:rPr>
              <w:t>Dates of Effect</w:t>
            </w:r>
          </w:p>
        </w:tc>
      </w:tr>
      <w:tr w:rsidR="00F65356" w:rsidRPr="00A4644E" w:rsidTr="00A4644E">
        <w:trPr>
          <w:jc w:val="center"/>
        </w:trPr>
        <w:tc>
          <w:tcPr>
            <w:tcW w:w="1030" w:type="dxa"/>
            <w:vMerge/>
            <w:shd w:val="clear" w:color="auto" w:fill="auto"/>
          </w:tcPr>
          <w:p w:rsidR="00F65356" w:rsidRPr="00A4644E" w:rsidRDefault="00F65356" w:rsidP="00A4644E">
            <w:pPr>
              <w:jc w:val="center"/>
              <w:rPr>
                <w:sz w:val="18"/>
                <w:szCs w:val="18"/>
              </w:rPr>
            </w:pPr>
          </w:p>
        </w:tc>
        <w:tc>
          <w:tcPr>
            <w:tcW w:w="1848" w:type="dxa"/>
            <w:vMerge/>
            <w:tcBorders>
              <w:right w:val="single" w:sz="4" w:space="0" w:color="auto"/>
            </w:tcBorders>
            <w:shd w:val="clear" w:color="auto" w:fill="auto"/>
          </w:tcPr>
          <w:p w:rsidR="00F65356" w:rsidRPr="00A4644E" w:rsidRDefault="00F65356" w:rsidP="00A4644E">
            <w:pPr>
              <w:jc w:val="center"/>
              <w:rPr>
                <w:sz w:val="18"/>
                <w:szCs w:val="18"/>
              </w:rPr>
            </w:pPr>
          </w:p>
        </w:tc>
        <w:tc>
          <w:tcPr>
            <w:tcW w:w="1710" w:type="dxa"/>
            <w:tcBorders>
              <w:top w:val="nil"/>
              <w:left w:val="single" w:sz="4" w:space="0" w:color="auto"/>
              <w:bottom w:val="single" w:sz="4" w:space="0" w:color="auto"/>
              <w:right w:val="nil"/>
            </w:tcBorders>
            <w:shd w:val="clear" w:color="auto" w:fill="auto"/>
          </w:tcPr>
          <w:p w:rsidR="00F65356" w:rsidRPr="00A4644E" w:rsidRDefault="00F65356" w:rsidP="00AD2225">
            <w:pPr>
              <w:rPr>
                <w:b/>
                <w:sz w:val="18"/>
                <w:szCs w:val="18"/>
              </w:rPr>
            </w:pPr>
            <w:r w:rsidRPr="00A4644E">
              <w:rPr>
                <w:b/>
                <w:sz w:val="18"/>
                <w:szCs w:val="18"/>
              </w:rPr>
              <w:t>From:</w:t>
            </w:r>
          </w:p>
        </w:tc>
        <w:tc>
          <w:tcPr>
            <w:tcW w:w="1842" w:type="dxa"/>
            <w:tcBorders>
              <w:top w:val="nil"/>
              <w:left w:val="nil"/>
              <w:bottom w:val="single" w:sz="4" w:space="0" w:color="auto"/>
              <w:right w:val="single" w:sz="4" w:space="0" w:color="auto"/>
            </w:tcBorders>
            <w:shd w:val="clear" w:color="auto" w:fill="auto"/>
          </w:tcPr>
          <w:p w:rsidR="00F65356" w:rsidRPr="00A4644E" w:rsidRDefault="00FA5694" w:rsidP="00AD2225">
            <w:pPr>
              <w:rPr>
                <w:b/>
                <w:sz w:val="18"/>
                <w:szCs w:val="18"/>
              </w:rPr>
            </w:pPr>
            <w:r w:rsidRPr="00A4644E">
              <w:rPr>
                <w:b/>
                <w:sz w:val="18"/>
                <w:szCs w:val="18"/>
              </w:rPr>
              <w:t>To:</w:t>
            </w:r>
          </w:p>
        </w:tc>
      </w:tr>
      <w:tr w:rsidR="00FA5694" w:rsidRPr="00A4644E" w:rsidTr="00A4644E">
        <w:trPr>
          <w:jc w:val="center"/>
        </w:trPr>
        <w:tc>
          <w:tcPr>
            <w:tcW w:w="1030" w:type="dxa"/>
            <w:shd w:val="clear" w:color="auto" w:fill="auto"/>
          </w:tcPr>
          <w:p w:rsidR="00FA5694" w:rsidRPr="00A4644E" w:rsidRDefault="00FA5694" w:rsidP="00A4644E">
            <w:pPr>
              <w:jc w:val="center"/>
              <w:rPr>
                <w:sz w:val="18"/>
                <w:szCs w:val="18"/>
              </w:rPr>
            </w:pPr>
            <w:r w:rsidRPr="00A4644E">
              <w:rPr>
                <w:sz w:val="18"/>
                <w:szCs w:val="18"/>
              </w:rPr>
              <w:t>1</w:t>
            </w:r>
          </w:p>
        </w:tc>
        <w:tc>
          <w:tcPr>
            <w:tcW w:w="1848" w:type="dxa"/>
            <w:shd w:val="clear" w:color="auto" w:fill="auto"/>
          </w:tcPr>
          <w:p w:rsidR="00FA5694" w:rsidRPr="00A4644E" w:rsidRDefault="00FA5694" w:rsidP="00FA5694">
            <w:pPr>
              <w:rPr>
                <w:sz w:val="18"/>
                <w:szCs w:val="18"/>
              </w:rPr>
            </w:pPr>
            <w:r w:rsidRPr="00A4644E">
              <w:rPr>
                <w:sz w:val="18"/>
                <w:szCs w:val="18"/>
              </w:rPr>
              <w:t>9 November 2005</w:t>
            </w:r>
          </w:p>
        </w:tc>
        <w:tc>
          <w:tcPr>
            <w:tcW w:w="1710" w:type="dxa"/>
            <w:tcBorders>
              <w:top w:val="single" w:sz="4" w:space="0" w:color="auto"/>
              <w:bottom w:val="single" w:sz="4" w:space="0" w:color="auto"/>
            </w:tcBorders>
            <w:shd w:val="clear" w:color="auto" w:fill="auto"/>
          </w:tcPr>
          <w:p w:rsidR="00FA5694" w:rsidRPr="00A4644E" w:rsidRDefault="00FA5694" w:rsidP="00FA5694">
            <w:pPr>
              <w:rPr>
                <w:sz w:val="18"/>
                <w:szCs w:val="18"/>
              </w:rPr>
            </w:pPr>
            <w:r w:rsidRPr="00A4644E">
              <w:rPr>
                <w:sz w:val="18"/>
                <w:szCs w:val="18"/>
              </w:rPr>
              <w:t>9 November 2005</w:t>
            </w:r>
          </w:p>
        </w:tc>
        <w:tc>
          <w:tcPr>
            <w:tcW w:w="1842" w:type="dxa"/>
            <w:tcBorders>
              <w:top w:val="single" w:sz="4" w:space="0" w:color="auto"/>
              <w:bottom w:val="single" w:sz="4" w:space="0" w:color="auto"/>
            </w:tcBorders>
            <w:shd w:val="clear" w:color="auto" w:fill="auto"/>
          </w:tcPr>
          <w:p w:rsidR="00FA5694" w:rsidRPr="00A4644E" w:rsidRDefault="00FA5694" w:rsidP="00FA5694">
            <w:pPr>
              <w:rPr>
                <w:sz w:val="18"/>
                <w:szCs w:val="18"/>
              </w:rPr>
            </w:pPr>
            <w:r w:rsidRPr="00A4644E">
              <w:rPr>
                <w:sz w:val="18"/>
                <w:szCs w:val="18"/>
              </w:rPr>
              <w:t>30 June 2006</w:t>
            </w:r>
          </w:p>
        </w:tc>
      </w:tr>
      <w:tr w:rsidR="00FA5694" w:rsidRPr="00A4644E" w:rsidTr="00A4644E">
        <w:trPr>
          <w:jc w:val="center"/>
        </w:trPr>
        <w:tc>
          <w:tcPr>
            <w:tcW w:w="1030" w:type="dxa"/>
            <w:shd w:val="clear" w:color="auto" w:fill="auto"/>
          </w:tcPr>
          <w:p w:rsidR="00FA5694" w:rsidRPr="00A4644E" w:rsidRDefault="00FA5694" w:rsidP="00A4644E">
            <w:pPr>
              <w:jc w:val="center"/>
              <w:rPr>
                <w:sz w:val="18"/>
                <w:szCs w:val="18"/>
              </w:rPr>
            </w:pPr>
            <w:r w:rsidRPr="00A4644E">
              <w:rPr>
                <w:sz w:val="18"/>
                <w:szCs w:val="18"/>
              </w:rPr>
              <w:t>2</w:t>
            </w:r>
          </w:p>
        </w:tc>
        <w:tc>
          <w:tcPr>
            <w:tcW w:w="1848" w:type="dxa"/>
            <w:shd w:val="clear" w:color="auto" w:fill="auto"/>
          </w:tcPr>
          <w:p w:rsidR="00FA5694" w:rsidRPr="00A4644E" w:rsidRDefault="00FA5694" w:rsidP="00FA5694">
            <w:pPr>
              <w:rPr>
                <w:sz w:val="18"/>
                <w:szCs w:val="18"/>
              </w:rPr>
            </w:pPr>
            <w:r w:rsidRPr="00A4644E">
              <w:rPr>
                <w:sz w:val="18"/>
                <w:szCs w:val="18"/>
              </w:rPr>
              <w:t>29 June 2006</w:t>
            </w:r>
          </w:p>
        </w:tc>
        <w:tc>
          <w:tcPr>
            <w:tcW w:w="1710" w:type="dxa"/>
            <w:tcBorders>
              <w:top w:val="single" w:sz="4" w:space="0" w:color="auto"/>
              <w:bottom w:val="single" w:sz="4" w:space="0" w:color="auto"/>
            </w:tcBorders>
            <w:shd w:val="clear" w:color="auto" w:fill="auto"/>
          </w:tcPr>
          <w:p w:rsidR="00FA5694" w:rsidRPr="00A4644E" w:rsidRDefault="00FA5694" w:rsidP="00FA5694">
            <w:pPr>
              <w:rPr>
                <w:sz w:val="18"/>
                <w:szCs w:val="18"/>
              </w:rPr>
            </w:pPr>
            <w:r w:rsidRPr="00A4644E">
              <w:rPr>
                <w:sz w:val="18"/>
                <w:szCs w:val="18"/>
              </w:rPr>
              <w:t>1 July 2006</w:t>
            </w:r>
          </w:p>
        </w:tc>
        <w:tc>
          <w:tcPr>
            <w:tcW w:w="1842" w:type="dxa"/>
            <w:tcBorders>
              <w:top w:val="single" w:sz="4" w:space="0" w:color="auto"/>
              <w:bottom w:val="single" w:sz="4" w:space="0" w:color="auto"/>
            </w:tcBorders>
            <w:shd w:val="clear" w:color="auto" w:fill="auto"/>
          </w:tcPr>
          <w:p w:rsidR="00FA5694" w:rsidRPr="00A4644E" w:rsidRDefault="00FA5694" w:rsidP="00FA5694">
            <w:pPr>
              <w:rPr>
                <w:sz w:val="18"/>
                <w:szCs w:val="18"/>
              </w:rPr>
            </w:pPr>
            <w:r w:rsidRPr="00A4644E">
              <w:rPr>
                <w:sz w:val="18"/>
                <w:szCs w:val="18"/>
              </w:rPr>
              <w:t>31 December 2007</w:t>
            </w:r>
          </w:p>
        </w:tc>
      </w:tr>
      <w:tr w:rsidR="00FA5694" w:rsidRPr="00A4644E" w:rsidTr="00A4644E">
        <w:trPr>
          <w:jc w:val="center"/>
        </w:trPr>
        <w:tc>
          <w:tcPr>
            <w:tcW w:w="1030" w:type="dxa"/>
            <w:shd w:val="clear" w:color="auto" w:fill="auto"/>
          </w:tcPr>
          <w:p w:rsidR="00FA5694" w:rsidRPr="00A4644E" w:rsidRDefault="00FA5694" w:rsidP="00A4644E">
            <w:pPr>
              <w:jc w:val="center"/>
              <w:rPr>
                <w:sz w:val="18"/>
                <w:szCs w:val="18"/>
              </w:rPr>
            </w:pPr>
            <w:r w:rsidRPr="00A4644E">
              <w:rPr>
                <w:sz w:val="18"/>
                <w:szCs w:val="18"/>
              </w:rPr>
              <w:t>3</w:t>
            </w:r>
          </w:p>
        </w:tc>
        <w:tc>
          <w:tcPr>
            <w:tcW w:w="1848" w:type="dxa"/>
            <w:shd w:val="clear" w:color="auto" w:fill="auto"/>
          </w:tcPr>
          <w:p w:rsidR="00FA5694" w:rsidRPr="00A4644E" w:rsidRDefault="00FA5694" w:rsidP="00FA5694">
            <w:pPr>
              <w:rPr>
                <w:sz w:val="18"/>
                <w:szCs w:val="18"/>
              </w:rPr>
            </w:pPr>
            <w:r w:rsidRPr="00A4644E">
              <w:rPr>
                <w:sz w:val="18"/>
                <w:szCs w:val="18"/>
              </w:rPr>
              <w:t>2 January 2008</w:t>
            </w:r>
          </w:p>
        </w:tc>
        <w:tc>
          <w:tcPr>
            <w:tcW w:w="1710" w:type="dxa"/>
            <w:tcBorders>
              <w:top w:val="single" w:sz="4" w:space="0" w:color="auto"/>
              <w:bottom w:val="single" w:sz="4" w:space="0" w:color="auto"/>
            </w:tcBorders>
            <w:shd w:val="clear" w:color="auto" w:fill="auto"/>
          </w:tcPr>
          <w:p w:rsidR="00FA5694" w:rsidRPr="00A4644E" w:rsidRDefault="00FA5694" w:rsidP="00FA5694">
            <w:pPr>
              <w:rPr>
                <w:sz w:val="18"/>
                <w:szCs w:val="18"/>
              </w:rPr>
            </w:pPr>
            <w:r w:rsidRPr="00A4644E">
              <w:rPr>
                <w:sz w:val="18"/>
                <w:szCs w:val="18"/>
              </w:rPr>
              <w:t>1 January 2008</w:t>
            </w:r>
          </w:p>
        </w:tc>
        <w:tc>
          <w:tcPr>
            <w:tcW w:w="1842" w:type="dxa"/>
            <w:tcBorders>
              <w:top w:val="single" w:sz="4" w:space="0" w:color="auto"/>
              <w:bottom w:val="single" w:sz="4" w:space="0" w:color="auto"/>
            </w:tcBorders>
            <w:shd w:val="clear" w:color="auto" w:fill="auto"/>
          </w:tcPr>
          <w:p w:rsidR="00FA5694" w:rsidRPr="00A4644E" w:rsidRDefault="004F2FF7" w:rsidP="00D30790">
            <w:pPr>
              <w:rPr>
                <w:sz w:val="18"/>
                <w:szCs w:val="18"/>
              </w:rPr>
            </w:pPr>
            <w:r>
              <w:rPr>
                <w:sz w:val="18"/>
                <w:szCs w:val="18"/>
              </w:rPr>
              <w:t>3</w:t>
            </w:r>
            <w:r w:rsidR="00CD39D8">
              <w:rPr>
                <w:sz w:val="18"/>
                <w:szCs w:val="18"/>
              </w:rPr>
              <w:t xml:space="preserve"> December 2012</w:t>
            </w:r>
          </w:p>
        </w:tc>
      </w:tr>
      <w:tr w:rsidR="00CD39D8" w:rsidRPr="00A4644E" w:rsidTr="00A4644E">
        <w:trPr>
          <w:jc w:val="center"/>
        </w:trPr>
        <w:tc>
          <w:tcPr>
            <w:tcW w:w="1030" w:type="dxa"/>
            <w:shd w:val="clear" w:color="auto" w:fill="auto"/>
          </w:tcPr>
          <w:p w:rsidR="00CD39D8" w:rsidRPr="00A4644E" w:rsidRDefault="00CD39D8" w:rsidP="00A4644E">
            <w:pPr>
              <w:jc w:val="center"/>
              <w:rPr>
                <w:sz w:val="18"/>
                <w:szCs w:val="18"/>
              </w:rPr>
            </w:pPr>
            <w:r>
              <w:rPr>
                <w:sz w:val="18"/>
                <w:szCs w:val="18"/>
              </w:rPr>
              <w:t>4</w:t>
            </w:r>
          </w:p>
        </w:tc>
        <w:tc>
          <w:tcPr>
            <w:tcW w:w="1848" w:type="dxa"/>
            <w:shd w:val="clear" w:color="auto" w:fill="auto"/>
          </w:tcPr>
          <w:p w:rsidR="00CD39D8" w:rsidRPr="00A4644E" w:rsidRDefault="0092764A" w:rsidP="00FA5694">
            <w:pPr>
              <w:rPr>
                <w:sz w:val="18"/>
                <w:szCs w:val="18"/>
              </w:rPr>
            </w:pPr>
            <w:r>
              <w:rPr>
                <w:sz w:val="18"/>
                <w:szCs w:val="18"/>
              </w:rPr>
              <w:t>7</w:t>
            </w:r>
            <w:r w:rsidR="00CD39D8">
              <w:rPr>
                <w:sz w:val="18"/>
                <w:szCs w:val="18"/>
              </w:rPr>
              <w:t xml:space="preserve"> December 2012</w:t>
            </w:r>
          </w:p>
        </w:tc>
        <w:tc>
          <w:tcPr>
            <w:tcW w:w="1710" w:type="dxa"/>
            <w:tcBorders>
              <w:top w:val="single" w:sz="4" w:space="0" w:color="auto"/>
              <w:bottom w:val="single" w:sz="4" w:space="0" w:color="auto"/>
            </w:tcBorders>
            <w:shd w:val="clear" w:color="auto" w:fill="auto"/>
          </w:tcPr>
          <w:p w:rsidR="00CD39D8" w:rsidRPr="00A4644E" w:rsidRDefault="00D30790" w:rsidP="00FA5694">
            <w:pPr>
              <w:rPr>
                <w:sz w:val="18"/>
                <w:szCs w:val="18"/>
              </w:rPr>
            </w:pPr>
            <w:r>
              <w:rPr>
                <w:sz w:val="18"/>
                <w:szCs w:val="18"/>
              </w:rPr>
              <w:t>4</w:t>
            </w:r>
            <w:r w:rsidR="00CD39D8">
              <w:rPr>
                <w:sz w:val="18"/>
                <w:szCs w:val="18"/>
              </w:rPr>
              <w:t xml:space="preserve"> December 2012</w:t>
            </w:r>
          </w:p>
        </w:tc>
        <w:tc>
          <w:tcPr>
            <w:tcW w:w="1842" w:type="dxa"/>
            <w:tcBorders>
              <w:top w:val="single" w:sz="4" w:space="0" w:color="auto"/>
              <w:bottom w:val="single" w:sz="4" w:space="0" w:color="auto"/>
            </w:tcBorders>
            <w:shd w:val="clear" w:color="auto" w:fill="auto"/>
          </w:tcPr>
          <w:p w:rsidR="00CD39D8" w:rsidRPr="00A4644E" w:rsidRDefault="00360F71" w:rsidP="00F87C5E">
            <w:pPr>
              <w:rPr>
                <w:sz w:val="18"/>
                <w:szCs w:val="18"/>
              </w:rPr>
            </w:pPr>
            <w:r>
              <w:rPr>
                <w:sz w:val="18"/>
                <w:szCs w:val="18"/>
              </w:rPr>
              <w:t>23 May 2016</w:t>
            </w:r>
          </w:p>
        </w:tc>
      </w:tr>
      <w:tr w:rsidR="00F87C5E" w:rsidRPr="00A4644E" w:rsidTr="00A4644E">
        <w:trPr>
          <w:jc w:val="center"/>
        </w:trPr>
        <w:tc>
          <w:tcPr>
            <w:tcW w:w="1030" w:type="dxa"/>
            <w:shd w:val="clear" w:color="auto" w:fill="auto"/>
          </w:tcPr>
          <w:p w:rsidR="00F87C5E" w:rsidRDefault="00F87C5E" w:rsidP="00A4644E">
            <w:pPr>
              <w:jc w:val="center"/>
              <w:rPr>
                <w:sz w:val="18"/>
                <w:szCs w:val="18"/>
              </w:rPr>
            </w:pPr>
            <w:r>
              <w:rPr>
                <w:sz w:val="18"/>
                <w:szCs w:val="18"/>
              </w:rPr>
              <w:t>5</w:t>
            </w:r>
          </w:p>
        </w:tc>
        <w:tc>
          <w:tcPr>
            <w:tcW w:w="1848" w:type="dxa"/>
            <w:shd w:val="clear" w:color="auto" w:fill="auto"/>
          </w:tcPr>
          <w:p w:rsidR="00F87C5E" w:rsidRDefault="00360F71" w:rsidP="00FA5694">
            <w:pPr>
              <w:rPr>
                <w:sz w:val="18"/>
                <w:szCs w:val="18"/>
              </w:rPr>
            </w:pPr>
            <w:r>
              <w:rPr>
                <w:sz w:val="18"/>
                <w:szCs w:val="18"/>
              </w:rPr>
              <w:t>24 May 2016</w:t>
            </w:r>
          </w:p>
        </w:tc>
        <w:tc>
          <w:tcPr>
            <w:tcW w:w="1710" w:type="dxa"/>
            <w:tcBorders>
              <w:top w:val="single" w:sz="4" w:space="0" w:color="auto"/>
              <w:bottom w:val="single" w:sz="4" w:space="0" w:color="auto"/>
            </w:tcBorders>
            <w:shd w:val="clear" w:color="auto" w:fill="auto"/>
          </w:tcPr>
          <w:p w:rsidR="00F87C5E" w:rsidRDefault="00360F71" w:rsidP="00FA5694">
            <w:pPr>
              <w:rPr>
                <w:sz w:val="18"/>
                <w:szCs w:val="18"/>
              </w:rPr>
            </w:pPr>
            <w:r>
              <w:rPr>
                <w:sz w:val="18"/>
                <w:szCs w:val="18"/>
              </w:rPr>
              <w:t>24 May 2016</w:t>
            </w:r>
          </w:p>
        </w:tc>
        <w:tc>
          <w:tcPr>
            <w:tcW w:w="1842" w:type="dxa"/>
            <w:tcBorders>
              <w:top w:val="single" w:sz="4" w:space="0" w:color="auto"/>
              <w:bottom w:val="single" w:sz="4" w:space="0" w:color="auto"/>
            </w:tcBorders>
            <w:shd w:val="clear" w:color="auto" w:fill="auto"/>
          </w:tcPr>
          <w:p w:rsidR="00F87C5E" w:rsidRDefault="00F87C5E" w:rsidP="00FA5694">
            <w:pPr>
              <w:rPr>
                <w:sz w:val="18"/>
                <w:szCs w:val="18"/>
              </w:rPr>
            </w:pPr>
            <w:r>
              <w:rPr>
                <w:sz w:val="18"/>
                <w:szCs w:val="18"/>
              </w:rPr>
              <w:t>Current</w:t>
            </w:r>
          </w:p>
        </w:tc>
      </w:tr>
    </w:tbl>
    <w:p w:rsidR="00FA5694" w:rsidRPr="00733450" w:rsidRDefault="00FA5694" w:rsidP="00FA5694">
      <w:pPr>
        <w:pStyle w:val="HeadingTwo"/>
      </w:pPr>
      <w:r w:rsidRPr="00733450">
        <w:t>Purpose</w:t>
      </w:r>
    </w:p>
    <w:p w:rsidR="00FA5694" w:rsidRDefault="00FA5694" w:rsidP="009C3519">
      <w:pPr>
        <w:pStyle w:val="BlockText"/>
        <w:spacing w:before="240"/>
      </w:pPr>
      <w:r w:rsidRPr="0091520D">
        <w:t xml:space="preserve">This Guideline explains the meaning of ‘de facto partner’ for the purposes of the </w:t>
      </w:r>
      <w:r w:rsidRPr="00910152">
        <w:rPr>
          <w:i/>
        </w:rPr>
        <w:t>First</w:t>
      </w:r>
      <w:r w:rsidR="00910152">
        <w:rPr>
          <w:i/>
        </w:rPr>
        <w:t> </w:t>
      </w:r>
      <w:r w:rsidRPr="00910152">
        <w:rPr>
          <w:i/>
        </w:rPr>
        <w:t>Home</w:t>
      </w:r>
      <w:r w:rsidR="00910152">
        <w:rPr>
          <w:i/>
        </w:rPr>
        <w:t> </w:t>
      </w:r>
      <w:r w:rsidRPr="00910152">
        <w:rPr>
          <w:i/>
        </w:rPr>
        <w:t>Owner Grant Act</w:t>
      </w:r>
      <w:r w:rsidRPr="0091520D">
        <w:t xml:space="preserve"> and </w:t>
      </w:r>
      <w:r w:rsidR="00F87C5E" w:rsidRPr="00360F71">
        <w:rPr>
          <w:i/>
        </w:rPr>
        <w:t>Stamp Duty Act</w:t>
      </w:r>
      <w:r w:rsidR="00F87C5E">
        <w:t xml:space="preserve"> and </w:t>
      </w:r>
      <w:r w:rsidRPr="0091520D">
        <w:t>provides some examples of information that the Territory Revenue Office (TRO) may require in order to determine whether a de facto relationship exists.</w:t>
      </w:r>
    </w:p>
    <w:p w:rsidR="00904F68" w:rsidRDefault="00904F68" w:rsidP="009C3519">
      <w:pPr>
        <w:pStyle w:val="BlockText"/>
        <w:spacing w:before="240"/>
      </w:pPr>
      <w:r>
        <w:t xml:space="preserve">This Guideline also explains the meaning of ‘de facto </w:t>
      </w:r>
      <w:r w:rsidR="0090119B">
        <w:t>relationship</w:t>
      </w:r>
      <w:r>
        <w:t xml:space="preserve">’ for the purpose of the stamp duty first home owner concession, which </w:t>
      </w:r>
      <w:r w:rsidR="009C3519">
        <w:t>ceas</w:t>
      </w:r>
      <w:r>
        <w:t>ed on 4 December 2012.</w:t>
      </w:r>
    </w:p>
    <w:p w:rsidR="00FA5694" w:rsidRPr="0091520D" w:rsidRDefault="00F54441" w:rsidP="00FA5694">
      <w:pPr>
        <w:pStyle w:val="HeadingTwo"/>
      </w:pPr>
      <w:r>
        <w:t>First Home Owner Grant</w:t>
      </w:r>
    </w:p>
    <w:p w:rsidR="00FA5694" w:rsidRDefault="00FA5694" w:rsidP="009C3519">
      <w:pPr>
        <w:pStyle w:val="BlockText"/>
        <w:spacing w:before="240"/>
      </w:pPr>
      <w:r w:rsidRPr="0091520D">
        <w:t xml:space="preserve">The purpose of the first </w:t>
      </w:r>
      <w:r w:rsidR="005D3D2F">
        <w:t>h</w:t>
      </w:r>
      <w:r w:rsidRPr="0091520D">
        <w:t>ome owner grant (FHOG)</w:t>
      </w:r>
      <w:r w:rsidR="00F87C5E">
        <w:t xml:space="preserve"> and stamp duty first home owner </w:t>
      </w:r>
      <w:r w:rsidR="00476677">
        <w:t>discount</w:t>
      </w:r>
      <w:r w:rsidR="00F87C5E">
        <w:t xml:space="preserve"> (FHO</w:t>
      </w:r>
      <w:r w:rsidR="00476677">
        <w:t>D</w:t>
      </w:r>
      <w:r w:rsidR="00F87C5E">
        <w:t>)</w:t>
      </w:r>
      <w:r w:rsidRPr="0091520D">
        <w:t xml:space="preserve"> is to encourage the ownership of a first home by providing assistance in the form of a grant for the purchase or construction of a </w:t>
      </w:r>
      <w:r w:rsidR="00F87C5E">
        <w:t xml:space="preserve">new </w:t>
      </w:r>
      <w:r w:rsidRPr="0091520D">
        <w:t>home</w:t>
      </w:r>
      <w:r w:rsidR="00F87C5E">
        <w:t xml:space="preserve"> or a reduction of the stamp duty payable on the purchase of an established home (collectively ‘the home incentive schemes’)</w:t>
      </w:r>
      <w:r w:rsidRPr="0091520D">
        <w:t xml:space="preserve">. </w:t>
      </w:r>
    </w:p>
    <w:p w:rsidR="00FA5694" w:rsidRDefault="00BB2AF0" w:rsidP="009C3519">
      <w:pPr>
        <w:pStyle w:val="BlockText"/>
        <w:spacing w:before="240"/>
      </w:pPr>
      <w:r>
        <w:t xml:space="preserve">Refer to </w:t>
      </w:r>
      <w:r w:rsidR="00FA5694" w:rsidRPr="0091520D">
        <w:t xml:space="preserve">the </w:t>
      </w:r>
      <w:r w:rsidR="00F87C5E">
        <w:t xml:space="preserve">guide </w:t>
      </w:r>
      <w:r w:rsidR="00A822A4">
        <w:t xml:space="preserve">and </w:t>
      </w:r>
      <w:r w:rsidR="00F87C5E">
        <w:t>a</w:t>
      </w:r>
      <w:r w:rsidR="00FA5694" w:rsidRPr="0091520D">
        <w:t xml:space="preserve">pplication </w:t>
      </w:r>
      <w:r w:rsidR="00F87C5E">
        <w:t>f</w:t>
      </w:r>
      <w:r w:rsidR="00FA5694" w:rsidRPr="0091520D">
        <w:t>orm</w:t>
      </w:r>
      <w:r w:rsidR="00A822A4">
        <w:t xml:space="preserve"> </w:t>
      </w:r>
      <w:r w:rsidR="00F87C5E">
        <w:t xml:space="preserve">for the FHOG </w:t>
      </w:r>
      <w:r>
        <w:t>(</w:t>
      </w:r>
      <w:hyperlink r:id="rId10" w:tooltip="Link to F-HI-001" w:history="1">
        <w:r w:rsidR="00FA5694" w:rsidRPr="006E1D97">
          <w:rPr>
            <w:rStyle w:val="Hyperlink"/>
          </w:rPr>
          <w:t>F-HI-001</w:t>
        </w:r>
      </w:hyperlink>
      <w:r>
        <w:t>)</w:t>
      </w:r>
      <w:r w:rsidR="00F87C5E">
        <w:t xml:space="preserve"> and FHO</w:t>
      </w:r>
      <w:r w:rsidR="00476677">
        <w:t>D</w:t>
      </w:r>
      <w:r w:rsidR="00F87C5E">
        <w:t xml:space="preserve"> (F-HI-014)</w:t>
      </w:r>
      <w:r w:rsidR="00FA5694" w:rsidRPr="0091520D">
        <w:t xml:space="preserve"> for more information on the eligibility criteria.</w:t>
      </w:r>
    </w:p>
    <w:p w:rsidR="00FA5694" w:rsidRDefault="00FA5694" w:rsidP="009C3519">
      <w:pPr>
        <w:pStyle w:val="BlockText"/>
        <w:spacing w:before="240"/>
      </w:pPr>
      <w:r w:rsidRPr="0091520D">
        <w:t xml:space="preserve">The criteria for the </w:t>
      </w:r>
      <w:r w:rsidR="00F87C5E">
        <w:t>home incentive schemes</w:t>
      </w:r>
      <w:r w:rsidR="0037513D">
        <w:t xml:space="preserve"> </w:t>
      </w:r>
      <w:r w:rsidR="00F87C5E">
        <w:t>are</w:t>
      </w:r>
      <w:r w:rsidRPr="0091520D">
        <w:t xml:space="preserve"> structured to ensure </w:t>
      </w:r>
      <w:r w:rsidR="00F87C5E">
        <w:t>they are</w:t>
      </w:r>
      <w:r w:rsidRPr="0091520D">
        <w:t xml:space="preserve"> not exploited by people who have previously owned a home or who intend to use the residence for purposes other than as their home, such as using it as an investment property.  These criteria apply to both the applicants and their husband or wife or de facto partner.</w:t>
      </w:r>
    </w:p>
    <w:p w:rsidR="00FA5694" w:rsidRDefault="00FA5694" w:rsidP="009C3519">
      <w:pPr>
        <w:pStyle w:val="BlockText"/>
        <w:spacing w:before="240"/>
      </w:pPr>
      <w:r w:rsidRPr="0091520D">
        <w:t xml:space="preserve">Evidence of whether persons are married is generally easy to acquire.  However, there can be complexities in determining whether persons are de facto partners. </w:t>
      </w:r>
    </w:p>
    <w:p w:rsidR="00FA5694" w:rsidRPr="0091520D" w:rsidRDefault="00FA5694" w:rsidP="009C3519">
      <w:pPr>
        <w:pStyle w:val="BlockText"/>
        <w:spacing w:before="240"/>
      </w:pPr>
      <w:r w:rsidRPr="0091520D">
        <w:t xml:space="preserve">Generally, this is an issue for the </w:t>
      </w:r>
      <w:r w:rsidR="00F87C5E">
        <w:t>home incentive schemes</w:t>
      </w:r>
      <w:r w:rsidRPr="0091520D">
        <w:t xml:space="preserve"> where either:</w:t>
      </w:r>
    </w:p>
    <w:p w:rsidR="00FA5694" w:rsidRPr="0091520D" w:rsidRDefault="00FA5694" w:rsidP="009C3519">
      <w:pPr>
        <w:pStyle w:val="BlockText"/>
        <w:numPr>
          <w:ilvl w:val="1"/>
          <w:numId w:val="3"/>
        </w:numPr>
        <w:spacing w:before="240"/>
      </w:pPr>
      <w:r w:rsidRPr="0091520D">
        <w:t xml:space="preserve">the applicant is unsure whether their relationship with another person is a de facto relationship and that other person is ineligible for the </w:t>
      </w:r>
      <w:r w:rsidR="00F87C5E">
        <w:t>home incentive schemes</w:t>
      </w:r>
      <w:r w:rsidRPr="0091520D">
        <w:t>; or</w:t>
      </w:r>
    </w:p>
    <w:p w:rsidR="00FA5694" w:rsidRDefault="00FA5694" w:rsidP="009C3519">
      <w:pPr>
        <w:pStyle w:val="BlockText"/>
        <w:numPr>
          <w:ilvl w:val="1"/>
          <w:numId w:val="3"/>
        </w:numPr>
        <w:spacing w:before="240"/>
      </w:pPr>
      <w:r w:rsidRPr="0091520D">
        <w:t>the applicant is in a de facto relationship but attempts to hide th</w:t>
      </w:r>
      <w:r w:rsidR="0090119B">
        <w:t>is</w:t>
      </w:r>
      <w:r w:rsidRPr="0091520D">
        <w:t xml:space="preserve"> because their de</w:t>
      </w:r>
      <w:r w:rsidR="00A822A4">
        <w:t> </w:t>
      </w:r>
      <w:r w:rsidRPr="0091520D">
        <w:t xml:space="preserve">facto partner is ineligible for the </w:t>
      </w:r>
      <w:r w:rsidR="00F87C5E">
        <w:t>home incentive schemes</w:t>
      </w:r>
      <w:r w:rsidRPr="0091520D">
        <w:t>.</w:t>
      </w:r>
    </w:p>
    <w:p w:rsidR="00910152" w:rsidRDefault="00910152" w:rsidP="009C3519">
      <w:pPr>
        <w:pStyle w:val="BlockText"/>
        <w:numPr>
          <w:ilvl w:val="0"/>
          <w:numId w:val="0"/>
        </w:numPr>
      </w:pPr>
    </w:p>
    <w:p w:rsidR="00910152" w:rsidRDefault="00910152" w:rsidP="00910152">
      <w:pPr>
        <w:pStyle w:val="BlockText"/>
        <w:numPr>
          <w:ilvl w:val="0"/>
          <w:numId w:val="0"/>
        </w:numPr>
        <w:ind w:left="567" w:hanging="567"/>
      </w:pPr>
    </w:p>
    <w:p w:rsidR="00FA5694" w:rsidRPr="0091520D" w:rsidRDefault="00FA5694" w:rsidP="006E1D97">
      <w:pPr>
        <w:pStyle w:val="HeadingTwo"/>
      </w:pPr>
      <w:r w:rsidRPr="0091520D">
        <w:t>De facto partners</w:t>
      </w:r>
    </w:p>
    <w:p w:rsidR="00FA5694" w:rsidRPr="0091520D" w:rsidRDefault="00FA5694" w:rsidP="00FA5694">
      <w:pPr>
        <w:pStyle w:val="BlockText"/>
      </w:pPr>
      <w:r w:rsidRPr="0091520D">
        <w:t xml:space="preserve">Two people are in a de facto relationship if they are not married but have a </w:t>
      </w:r>
      <w:r w:rsidRPr="0091520D">
        <w:rPr>
          <w:b/>
        </w:rPr>
        <w:t>marriage</w:t>
      </w:r>
      <w:r>
        <w:rPr>
          <w:b/>
        </w:rPr>
        <w:noBreakHyphen/>
      </w:r>
      <w:r w:rsidRPr="0091520D">
        <w:rPr>
          <w:b/>
        </w:rPr>
        <w:t>like relationship</w:t>
      </w:r>
      <w:r>
        <w:rPr>
          <w:rStyle w:val="FootnoteReference"/>
          <w:sz w:val="24"/>
          <w:szCs w:val="24"/>
        </w:rPr>
        <w:footnoteReference w:id="1"/>
      </w:r>
      <w:r w:rsidR="0037513D" w:rsidRPr="0037513D">
        <w:t>.</w:t>
      </w:r>
      <w:r w:rsidR="0037513D">
        <w:rPr>
          <w:b/>
        </w:rPr>
        <w:t xml:space="preserve"> </w:t>
      </w:r>
      <w:r w:rsidRPr="0091520D">
        <w:t>For the purposes of determining whether two people are in a de facto relationship, it is not relevant whether:</w:t>
      </w:r>
    </w:p>
    <w:p w:rsidR="00FA5694" w:rsidRPr="0091520D" w:rsidRDefault="00FA5694" w:rsidP="00FA5694">
      <w:pPr>
        <w:pStyle w:val="BlockText"/>
        <w:numPr>
          <w:ilvl w:val="1"/>
          <w:numId w:val="3"/>
        </w:numPr>
      </w:pPr>
      <w:r w:rsidRPr="0091520D">
        <w:t>they are the same or different sexes;</w:t>
      </w:r>
    </w:p>
    <w:p w:rsidR="00FA5694" w:rsidRPr="0091520D" w:rsidRDefault="00FA5694" w:rsidP="00FA5694">
      <w:pPr>
        <w:pStyle w:val="BlockText"/>
        <w:numPr>
          <w:ilvl w:val="1"/>
          <w:numId w:val="3"/>
        </w:numPr>
      </w:pPr>
      <w:r w:rsidRPr="0091520D">
        <w:t xml:space="preserve">either of the persons is married to another person; or </w:t>
      </w:r>
    </w:p>
    <w:p w:rsidR="00FA5694" w:rsidRPr="0091520D" w:rsidRDefault="00FA5694" w:rsidP="00FA5694">
      <w:pPr>
        <w:pStyle w:val="BlockText"/>
        <w:numPr>
          <w:ilvl w:val="1"/>
          <w:numId w:val="3"/>
        </w:numPr>
      </w:pPr>
      <w:r w:rsidRPr="0091520D">
        <w:t xml:space="preserve">either of the persons is in another de </w:t>
      </w:r>
      <w:r w:rsidRPr="0091520D">
        <w:rPr>
          <w:szCs w:val="24"/>
        </w:rPr>
        <w:t>facto</w:t>
      </w:r>
      <w:r w:rsidRPr="0091520D">
        <w:t xml:space="preserve"> relationship.</w:t>
      </w:r>
      <w:r>
        <w:rPr>
          <w:rStyle w:val="FootnoteReference"/>
          <w:sz w:val="24"/>
          <w:szCs w:val="24"/>
        </w:rPr>
        <w:footnoteReference w:id="2"/>
      </w:r>
      <w:r w:rsidRPr="0091520D">
        <w:t xml:space="preserve"> </w:t>
      </w:r>
    </w:p>
    <w:p w:rsidR="00FA5694" w:rsidRPr="0091520D" w:rsidRDefault="00FA5694" w:rsidP="009C3519">
      <w:pPr>
        <w:pStyle w:val="HeadingThree"/>
        <w:spacing w:before="240"/>
      </w:pPr>
      <w:r w:rsidRPr="0091520D">
        <w:t xml:space="preserve">Time for determining whether </w:t>
      </w:r>
      <w:r w:rsidR="00A822A4">
        <w:t xml:space="preserve">a </w:t>
      </w:r>
      <w:r w:rsidRPr="0091520D">
        <w:t>de facto relationship exists</w:t>
      </w:r>
    </w:p>
    <w:p w:rsidR="00F87C5E" w:rsidRDefault="00FA5694" w:rsidP="0090119B">
      <w:pPr>
        <w:pStyle w:val="BlockText"/>
        <w:tabs>
          <w:tab w:val="clear" w:pos="567"/>
        </w:tabs>
      </w:pPr>
      <w:r w:rsidRPr="0091520D">
        <w:t>The relevant time for determining whether a de facto relationship exists is</w:t>
      </w:r>
      <w:r w:rsidR="00F87C5E">
        <w:t>:</w:t>
      </w:r>
    </w:p>
    <w:p w:rsidR="00F87C5E" w:rsidRDefault="00F87C5E" w:rsidP="00360F71">
      <w:pPr>
        <w:pStyle w:val="BlockText"/>
        <w:numPr>
          <w:ilvl w:val="1"/>
          <w:numId w:val="3"/>
        </w:numPr>
      </w:pPr>
      <w:r>
        <w:t>In the case of the FHO</w:t>
      </w:r>
      <w:r w:rsidR="00476677">
        <w:t>D</w:t>
      </w:r>
      <w:r>
        <w:t>, the date when the instruments effecting or evidencing the conveyance are executed; and</w:t>
      </w:r>
    </w:p>
    <w:p w:rsidR="00FA5694" w:rsidRPr="0091520D" w:rsidRDefault="00F87C5E" w:rsidP="00360F71">
      <w:pPr>
        <w:pStyle w:val="BlockText"/>
        <w:numPr>
          <w:ilvl w:val="1"/>
          <w:numId w:val="3"/>
        </w:numPr>
      </w:pPr>
      <w:r>
        <w:t xml:space="preserve">In the case of the FHOG, </w:t>
      </w:r>
      <w:r w:rsidR="00FA5694" w:rsidRPr="0091520D">
        <w:t>the commencement date of the relevant transaction</w:t>
      </w:r>
      <w:r w:rsidR="00637CE2">
        <w:t xml:space="preserve">. This is generally </w:t>
      </w:r>
      <w:r w:rsidR="00FA5694" w:rsidRPr="0091520D">
        <w:t>the date when the contract for purchase or construction of the home is executed, or for an owner builder, the date when laying the foundations for the home commences.</w:t>
      </w:r>
      <w:r w:rsidR="00FA5694">
        <w:rPr>
          <w:rStyle w:val="FootnoteReference"/>
          <w:sz w:val="24"/>
          <w:szCs w:val="24"/>
        </w:rPr>
        <w:footnoteReference w:id="3"/>
      </w:r>
      <w:r w:rsidR="00FA5694" w:rsidRPr="0091520D">
        <w:t xml:space="preserve">  </w:t>
      </w:r>
    </w:p>
    <w:p w:rsidR="00FA5694" w:rsidRPr="0091520D" w:rsidRDefault="00FA5694" w:rsidP="009C3519">
      <w:pPr>
        <w:pStyle w:val="HeadingThree"/>
        <w:spacing w:before="240"/>
      </w:pPr>
      <w:r w:rsidRPr="0091520D">
        <w:t>The existence of a de facto relationship</w:t>
      </w:r>
    </w:p>
    <w:p w:rsidR="00FA5694" w:rsidRDefault="00FA5694" w:rsidP="00FA5694">
      <w:pPr>
        <w:pStyle w:val="BlockText"/>
      </w:pPr>
      <w:r>
        <w:t>To determine whether two</w:t>
      </w:r>
      <w:r w:rsidRPr="0091520D">
        <w:t xml:space="preserve"> persons are or were in a de facto relationship at the relevant time, TRO is required to take into account all the circumstances and facets of their relationship, including the non-exhaustive list of statutory indicia set out in the </w:t>
      </w:r>
      <w:r w:rsidRPr="0091520D">
        <w:rPr>
          <w:i/>
        </w:rPr>
        <w:t>De Facto Relationships Act</w:t>
      </w:r>
      <w:r w:rsidRPr="0091520D">
        <w:t xml:space="preserve"> (see below) and the common law indicia.  Those indicia must be taken into account in a real sense and given weight in deciding each case.</w:t>
      </w:r>
    </w:p>
    <w:p w:rsidR="00FA5694" w:rsidRDefault="00FA5694" w:rsidP="00FA5694">
      <w:pPr>
        <w:pStyle w:val="BlockText"/>
      </w:pPr>
      <w:r w:rsidRPr="0091520D">
        <w:t>TRO must look at the composite picture obtained without isolating or over-emphasising individual factors, taking into account the scope for differences in current human attitudes and activities and the broad variety of combinations to ascertain whether the persons have a ‘marriage-like relationship’.</w:t>
      </w:r>
    </w:p>
    <w:p w:rsidR="00FA5694" w:rsidRDefault="00FA5694" w:rsidP="00FA5694">
      <w:pPr>
        <w:pStyle w:val="BlockText"/>
      </w:pPr>
      <w:r w:rsidRPr="0091520D">
        <w:t xml:space="preserve">Accordingly, the decision of whether two persons are in a de facto relationship is essentially a matter of </w:t>
      </w:r>
      <w:r w:rsidRPr="00360F71">
        <w:t>impression and degree</w:t>
      </w:r>
      <w:r w:rsidRPr="0091520D">
        <w:t xml:space="preserve">. The exercise involved in determining whether a de facto relationship exists is not a mechanical one, but is instead a matter of obtaining the overall picture from the accumulation of detail. </w:t>
      </w:r>
    </w:p>
    <w:p w:rsidR="00FA5694" w:rsidRPr="0091520D" w:rsidRDefault="00FA5694" w:rsidP="00B1182A">
      <w:pPr>
        <w:pStyle w:val="HeadingThree"/>
        <w:spacing w:before="240"/>
      </w:pPr>
      <w:r w:rsidRPr="0091520D">
        <w:t>The statutory and common law indicia</w:t>
      </w:r>
    </w:p>
    <w:p w:rsidR="00FA5694" w:rsidRPr="0091520D" w:rsidRDefault="00FA5694" w:rsidP="009C3519">
      <w:pPr>
        <w:pStyle w:val="BlockText"/>
      </w:pPr>
      <w:r w:rsidRPr="0091520D">
        <w:t xml:space="preserve">The </w:t>
      </w:r>
      <w:r w:rsidRPr="0091520D">
        <w:rPr>
          <w:i/>
        </w:rPr>
        <w:t>De Facto Relationships Act</w:t>
      </w:r>
      <w:r w:rsidRPr="0091520D">
        <w:t xml:space="preserve"> directs that TRO must take all circumstances of a relationship into account in determining whether </w:t>
      </w:r>
      <w:r w:rsidR="008B5C2E">
        <w:t>two persons are in a</w:t>
      </w:r>
      <w:r w:rsidR="008B5C2E" w:rsidRPr="0091520D">
        <w:t xml:space="preserve"> </w:t>
      </w:r>
      <w:r w:rsidRPr="0091520D">
        <w:t xml:space="preserve">de facto relationship, including such of the following matters as are relevant in the circumstances of the particular case. </w:t>
      </w:r>
    </w:p>
    <w:p w:rsidR="00FA5694" w:rsidRPr="0091520D" w:rsidRDefault="00FA5694" w:rsidP="00FA5694">
      <w:pPr>
        <w:pStyle w:val="BlockText"/>
        <w:numPr>
          <w:ilvl w:val="1"/>
          <w:numId w:val="3"/>
        </w:numPr>
      </w:pPr>
      <w:r w:rsidRPr="0091520D">
        <w:t>The duration of the relationship.</w:t>
      </w:r>
    </w:p>
    <w:p w:rsidR="00FA5694" w:rsidRPr="0091520D" w:rsidRDefault="00FA5694" w:rsidP="00FA5694">
      <w:pPr>
        <w:pStyle w:val="BlockText"/>
        <w:numPr>
          <w:ilvl w:val="1"/>
          <w:numId w:val="3"/>
        </w:numPr>
      </w:pPr>
      <w:r w:rsidRPr="0091520D">
        <w:t>The nature and extent of common residence.</w:t>
      </w:r>
    </w:p>
    <w:p w:rsidR="00FA5694" w:rsidRPr="0091520D" w:rsidRDefault="00FA5694" w:rsidP="00FA5694">
      <w:pPr>
        <w:pStyle w:val="BlockText"/>
        <w:numPr>
          <w:ilvl w:val="1"/>
          <w:numId w:val="3"/>
        </w:numPr>
      </w:pPr>
      <w:r w:rsidRPr="0091520D">
        <w:t>Whether or not a sexual relationship exists.</w:t>
      </w:r>
    </w:p>
    <w:p w:rsidR="00FA5694" w:rsidRPr="0091520D" w:rsidRDefault="00FA5694" w:rsidP="00FA5694">
      <w:pPr>
        <w:pStyle w:val="BlockText"/>
        <w:numPr>
          <w:ilvl w:val="1"/>
          <w:numId w:val="3"/>
        </w:numPr>
      </w:pPr>
      <w:r w:rsidRPr="0091520D">
        <w:t>The degree of financial dependence or interdependence, and any arrangements for financial support, between them.</w:t>
      </w:r>
    </w:p>
    <w:p w:rsidR="00FA5694" w:rsidRPr="0091520D" w:rsidRDefault="00FA5694" w:rsidP="00FA5694">
      <w:pPr>
        <w:pStyle w:val="BlockText"/>
        <w:numPr>
          <w:ilvl w:val="1"/>
          <w:numId w:val="3"/>
        </w:numPr>
      </w:pPr>
      <w:r w:rsidRPr="0091520D">
        <w:t>The ownership, use and acquisition of property.</w:t>
      </w:r>
    </w:p>
    <w:p w:rsidR="00FA5694" w:rsidRPr="0091520D" w:rsidRDefault="00FA5694" w:rsidP="00FA5694">
      <w:pPr>
        <w:pStyle w:val="BlockText"/>
        <w:numPr>
          <w:ilvl w:val="1"/>
          <w:numId w:val="3"/>
        </w:numPr>
      </w:pPr>
      <w:r w:rsidRPr="0091520D">
        <w:lastRenderedPageBreak/>
        <w:t xml:space="preserve">The degree of mutual commitment to a shared life. </w:t>
      </w:r>
    </w:p>
    <w:p w:rsidR="00FA5694" w:rsidRPr="0091520D" w:rsidRDefault="00FA5694" w:rsidP="00FA5694">
      <w:pPr>
        <w:pStyle w:val="BlockText"/>
        <w:numPr>
          <w:ilvl w:val="1"/>
          <w:numId w:val="3"/>
        </w:numPr>
      </w:pPr>
      <w:r w:rsidRPr="0091520D">
        <w:t>The care and support of children.</w:t>
      </w:r>
    </w:p>
    <w:p w:rsidR="00FA5694" w:rsidRPr="0091520D" w:rsidRDefault="00FA5694" w:rsidP="00FA5694">
      <w:pPr>
        <w:pStyle w:val="BlockText"/>
        <w:numPr>
          <w:ilvl w:val="1"/>
          <w:numId w:val="3"/>
        </w:numPr>
      </w:pPr>
      <w:r w:rsidRPr="0091520D">
        <w:t>The performance of household duties.</w:t>
      </w:r>
    </w:p>
    <w:p w:rsidR="00FA5694" w:rsidRPr="0091520D" w:rsidRDefault="00FA5694" w:rsidP="00FA5694">
      <w:pPr>
        <w:pStyle w:val="BlockText"/>
        <w:numPr>
          <w:ilvl w:val="1"/>
          <w:numId w:val="3"/>
        </w:numPr>
      </w:pPr>
      <w:r w:rsidRPr="0091520D">
        <w:t>The reputation and public aspects of their relationship.</w:t>
      </w:r>
      <w:r>
        <w:rPr>
          <w:rStyle w:val="FootnoteReference"/>
          <w:sz w:val="24"/>
          <w:szCs w:val="24"/>
        </w:rPr>
        <w:footnoteReference w:id="4"/>
      </w:r>
      <w:r w:rsidRPr="0091520D">
        <w:t xml:space="preserve"> </w:t>
      </w:r>
    </w:p>
    <w:p w:rsidR="00FA5694" w:rsidRDefault="00FA5694" w:rsidP="00FA5694">
      <w:pPr>
        <w:pStyle w:val="BlockText"/>
      </w:pPr>
      <w:r w:rsidRPr="0091520D">
        <w:t>The common law largely mirrors the statutory factors, but also includes the subjective opinion held by the parties as to their belief and understanding of the nature and extent of their relationship.</w:t>
      </w:r>
    </w:p>
    <w:p w:rsidR="00FA5694" w:rsidRDefault="00FA5694" w:rsidP="00FA5694">
      <w:pPr>
        <w:pStyle w:val="BlockText"/>
      </w:pPr>
      <w:r w:rsidRPr="0091520D">
        <w:t xml:space="preserve">The weight to be given to each factor will vary depending on the circumstances involved, with the object of identifying the presence or absence of the essential character of a de facto relationship, being a ‘marriage-like relationship’.  Each element of a relationship draws its colour and significance from other elements, some of which may point in one direction and some in another.  </w:t>
      </w:r>
    </w:p>
    <w:p w:rsidR="00FA5694" w:rsidRDefault="00FA5694" w:rsidP="00FA5694">
      <w:pPr>
        <w:pStyle w:val="BlockText"/>
      </w:pPr>
      <w:r w:rsidRPr="0091520D">
        <w:t>The statutory factors are phrased in a neutral manner.  This means that the existence of such a factor in the relationship does not determine the question of whether a relationship is a de facto relationship.  It simply means that the extent to which each factor/matter occurs is to be taken into account for determining whether the relationship is ‘marriage-like’.  Furthermore, each factor is to be considered only in so far as it is relevant to the relationship being examined.  For example, the nature and extent of a person’s contribution to household duties or to the care and support of children may be influenced by that person’s cultural beliefs and thus have little relevance in determining the existence or otherwise of a de facto relationship.</w:t>
      </w:r>
    </w:p>
    <w:p w:rsidR="00FA5694" w:rsidRPr="0091520D" w:rsidRDefault="00FA5694" w:rsidP="00FA5694">
      <w:pPr>
        <w:pStyle w:val="HeadingThree"/>
      </w:pPr>
      <w:r w:rsidRPr="0091520D">
        <w:t>Types of information to be collected</w:t>
      </w:r>
    </w:p>
    <w:p w:rsidR="00FA5694" w:rsidRDefault="00FA5694" w:rsidP="00FA5694">
      <w:pPr>
        <w:pStyle w:val="BlockText"/>
      </w:pPr>
      <w:r w:rsidRPr="0091520D">
        <w:t xml:space="preserve">Because TRO is obliged to consider all circumstances of the relationship including the statutory indicia, a great deal of information may need to be gathered to determine the question.  The following information is not an exhaustive list, but indicates the type of information that TRO may need to collect.  In the following lists, the term ‘relevant persons’ refers to the applicant for the </w:t>
      </w:r>
      <w:r w:rsidR="00D10715">
        <w:t>home incentive schemes</w:t>
      </w:r>
      <w:r w:rsidR="0090119B">
        <w:t xml:space="preserve"> </w:t>
      </w:r>
      <w:r w:rsidRPr="0091520D">
        <w:t xml:space="preserve">and their </w:t>
      </w:r>
      <w:r w:rsidR="0090119B">
        <w:t>possible</w:t>
      </w:r>
      <w:r w:rsidRPr="0091520D">
        <w:t xml:space="preserve"> de facto partner</w:t>
      </w:r>
      <w:r w:rsidR="00D10715">
        <w:t>(s)</w:t>
      </w:r>
      <w:r w:rsidRPr="0091520D">
        <w:t>.</w:t>
      </w:r>
    </w:p>
    <w:p w:rsidR="00FA5694" w:rsidRPr="0091520D" w:rsidRDefault="00FA5694" w:rsidP="00FA5694">
      <w:pPr>
        <w:pStyle w:val="HeadingFour"/>
      </w:pPr>
      <w:r w:rsidRPr="0091520D">
        <w:t xml:space="preserve">Financial arrangements </w:t>
      </w:r>
    </w:p>
    <w:p w:rsidR="00FA5694" w:rsidRPr="0091520D" w:rsidRDefault="00FA5694" w:rsidP="00FA5694">
      <w:pPr>
        <w:pStyle w:val="BlockText"/>
      </w:pPr>
      <w:r w:rsidRPr="0091520D">
        <w:t>Th</w:t>
      </w:r>
      <w:r w:rsidR="00A822A4">
        <w:t>e following</w:t>
      </w:r>
      <w:r w:rsidRPr="0091520D">
        <w:t xml:space="preserve"> information may be relevant to the statutory factors set out in paragraphs (d), (e), (f) and (i) of section 3A(2) of the </w:t>
      </w:r>
      <w:r w:rsidRPr="0091520D">
        <w:rPr>
          <w:i/>
        </w:rPr>
        <w:t>De Facto Relationships Act</w:t>
      </w:r>
      <w:r w:rsidR="00A822A4">
        <w:t>:</w:t>
      </w:r>
    </w:p>
    <w:p w:rsidR="00FA5694" w:rsidRPr="0091520D" w:rsidRDefault="00FA5694" w:rsidP="00FA5694">
      <w:pPr>
        <w:pStyle w:val="BlockText"/>
        <w:numPr>
          <w:ilvl w:val="1"/>
          <w:numId w:val="3"/>
        </w:numPr>
      </w:pPr>
      <w:r w:rsidRPr="0091520D">
        <w:t xml:space="preserve">Whether the relevant persons are in paid employment (casual, part-time or permanent) or receiving any income from any other source. </w:t>
      </w:r>
    </w:p>
    <w:p w:rsidR="00FA5694" w:rsidRPr="0091520D" w:rsidRDefault="00FA5694" w:rsidP="00FA5694">
      <w:pPr>
        <w:pStyle w:val="BlockText"/>
        <w:numPr>
          <w:ilvl w:val="1"/>
          <w:numId w:val="3"/>
        </w:numPr>
      </w:pPr>
      <w:r w:rsidRPr="0091520D">
        <w:t>Whether the relevant persons provide financial support for each other.</w:t>
      </w:r>
    </w:p>
    <w:p w:rsidR="00FA5694" w:rsidRPr="0091520D" w:rsidRDefault="00FA5694" w:rsidP="00FA5694">
      <w:pPr>
        <w:pStyle w:val="BlockText"/>
        <w:numPr>
          <w:ilvl w:val="1"/>
          <w:numId w:val="3"/>
        </w:numPr>
      </w:pPr>
      <w:r w:rsidRPr="0091520D">
        <w:t>Whether the relevant persons have any joint bank or credit union accounts or credit cards.</w:t>
      </w:r>
    </w:p>
    <w:p w:rsidR="00FA5694" w:rsidRPr="0091520D" w:rsidRDefault="00FA5694" w:rsidP="00FA5694">
      <w:pPr>
        <w:pStyle w:val="BlockText"/>
        <w:numPr>
          <w:ilvl w:val="1"/>
          <w:numId w:val="3"/>
        </w:numPr>
      </w:pPr>
      <w:r w:rsidRPr="0091520D">
        <w:t>Whether the relevant persons have a joint loan or have signed loan papers for each other.</w:t>
      </w:r>
    </w:p>
    <w:p w:rsidR="00FA5694" w:rsidRPr="0091520D" w:rsidRDefault="00FA5694" w:rsidP="00FA5694">
      <w:pPr>
        <w:pStyle w:val="BlockText"/>
        <w:numPr>
          <w:ilvl w:val="1"/>
          <w:numId w:val="3"/>
        </w:numPr>
      </w:pPr>
      <w:r w:rsidRPr="0091520D">
        <w:t>In which of the relevant persons’ name(s) the telephone/electricity/gas is in.</w:t>
      </w:r>
    </w:p>
    <w:p w:rsidR="00FA5694" w:rsidRPr="0091520D" w:rsidRDefault="00FA5694" w:rsidP="00FA5694">
      <w:pPr>
        <w:pStyle w:val="BlockText"/>
        <w:numPr>
          <w:ilvl w:val="1"/>
          <w:numId w:val="3"/>
        </w:numPr>
      </w:pPr>
      <w:r w:rsidRPr="0091520D">
        <w:t>Who of the relevant persons pays the bills and the manner in which the division or otherwise of the paying of bills is calculated.</w:t>
      </w:r>
    </w:p>
    <w:p w:rsidR="00FA5694" w:rsidRPr="0091520D" w:rsidRDefault="00FA5694" w:rsidP="00FA5694">
      <w:pPr>
        <w:pStyle w:val="BlockText"/>
        <w:numPr>
          <w:ilvl w:val="1"/>
          <w:numId w:val="3"/>
        </w:numPr>
      </w:pPr>
      <w:r w:rsidRPr="0091520D">
        <w:t>Whether the relevant persons jointly own large items, such as a house, car, and furniture.  If so, what contributions each person made to the purchase (including deposits or payments under a loan), including whether those contributions were equal or not.</w:t>
      </w:r>
    </w:p>
    <w:p w:rsidR="00FA5694" w:rsidRPr="0091520D" w:rsidRDefault="00FA5694" w:rsidP="00FA5694">
      <w:pPr>
        <w:pStyle w:val="BlockText"/>
        <w:numPr>
          <w:ilvl w:val="1"/>
          <w:numId w:val="3"/>
        </w:numPr>
      </w:pPr>
      <w:r w:rsidRPr="0091520D">
        <w:t xml:space="preserve">If the relevant persons own real property, whether they own the house as joint tenants or tenants in common, and the reason for purchasing the property in that manner. </w:t>
      </w:r>
    </w:p>
    <w:p w:rsidR="00FA5694" w:rsidRPr="0091520D" w:rsidRDefault="00FA5694" w:rsidP="00FA5694">
      <w:pPr>
        <w:pStyle w:val="BlockText"/>
        <w:numPr>
          <w:ilvl w:val="1"/>
          <w:numId w:val="3"/>
        </w:numPr>
      </w:pPr>
      <w:r w:rsidRPr="0091520D">
        <w:lastRenderedPageBreak/>
        <w:t>Whether the relevant persons know about each other’s financial affairs.</w:t>
      </w:r>
    </w:p>
    <w:p w:rsidR="00FA5694" w:rsidRPr="0091520D" w:rsidRDefault="00FA5694" w:rsidP="00FA5694">
      <w:pPr>
        <w:pStyle w:val="BlockText"/>
        <w:numPr>
          <w:ilvl w:val="1"/>
          <w:numId w:val="3"/>
        </w:numPr>
      </w:pPr>
      <w:r w:rsidRPr="0091520D">
        <w:t>Whether the relevant persons are listed as dependent spouses for tax, superannuation, insurance, Medicare or any other purposes.</w:t>
      </w:r>
    </w:p>
    <w:p w:rsidR="00FA5694" w:rsidRPr="0091520D" w:rsidRDefault="00FA5694" w:rsidP="00FA5694">
      <w:pPr>
        <w:pStyle w:val="BlockText"/>
        <w:numPr>
          <w:ilvl w:val="1"/>
          <w:numId w:val="3"/>
        </w:numPr>
      </w:pPr>
      <w:r w:rsidRPr="0091520D">
        <w:t>Whether the relevant persons are named in the other person’s will or superannuation as a beneficiary and if so, the reasons for doing so.</w:t>
      </w:r>
    </w:p>
    <w:p w:rsidR="00FA5694" w:rsidRPr="0091520D" w:rsidRDefault="00FA5694" w:rsidP="00FA5694">
      <w:pPr>
        <w:pStyle w:val="BlockText"/>
        <w:numPr>
          <w:ilvl w:val="1"/>
          <w:numId w:val="3"/>
        </w:numPr>
      </w:pPr>
      <w:r w:rsidRPr="0091520D">
        <w:t>Whether the relevant persons lend or give money to each other.</w:t>
      </w:r>
    </w:p>
    <w:p w:rsidR="00FA5694" w:rsidRPr="0091520D" w:rsidRDefault="00FA5694" w:rsidP="00A97DEC">
      <w:pPr>
        <w:pStyle w:val="HeadingFour"/>
        <w:keepNext/>
      </w:pPr>
      <w:r w:rsidRPr="0091520D">
        <w:t>Arrangements for children</w:t>
      </w:r>
    </w:p>
    <w:p w:rsidR="00FA5694" w:rsidRDefault="00727BC9" w:rsidP="00FA5694">
      <w:pPr>
        <w:pStyle w:val="BlockText"/>
      </w:pPr>
      <w:r w:rsidRPr="0091520D">
        <w:t xml:space="preserve">If one or both of the relevant persons has children, </w:t>
      </w:r>
      <w:r>
        <w:t>the following</w:t>
      </w:r>
      <w:r w:rsidR="00FA5694" w:rsidRPr="0091520D">
        <w:t xml:space="preserve"> information may be relevant to the statutory factors set out in paragraphs (f), (g) and (i) of section 3A(2) of the </w:t>
      </w:r>
      <w:r w:rsidR="00FA5694" w:rsidRPr="00AC5D5D">
        <w:rPr>
          <w:i/>
        </w:rPr>
        <w:t xml:space="preserve">De </w:t>
      </w:r>
      <w:r w:rsidR="00FA5694" w:rsidRPr="00A97DEC">
        <w:rPr>
          <w:i/>
        </w:rPr>
        <w:t>Facto Relationships Act</w:t>
      </w:r>
      <w:r>
        <w:t>:</w:t>
      </w:r>
    </w:p>
    <w:p w:rsidR="00FA5694" w:rsidRPr="0091520D" w:rsidRDefault="00FA5694" w:rsidP="00FA5694">
      <w:pPr>
        <w:pStyle w:val="BlockText"/>
        <w:numPr>
          <w:ilvl w:val="1"/>
          <w:numId w:val="3"/>
        </w:numPr>
      </w:pPr>
      <w:r w:rsidRPr="0091520D">
        <w:t>Whether the other relevant person is the other parent of the children.</w:t>
      </w:r>
    </w:p>
    <w:p w:rsidR="00FA5694" w:rsidRPr="0091520D" w:rsidRDefault="00FA5694" w:rsidP="00FA5694">
      <w:pPr>
        <w:pStyle w:val="BlockText"/>
        <w:numPr>
          <w:ilvl w:val="1"/>
          <w:numId w:val="3"/>
        </w:numPr>
      </w:pPr>
      <w:r w:rsidRPr="0091520D">
        <w:t>Whether the relevant persons share parenting activities, such as feeding, dressing, disciplining</w:t>
      </w:r>
      <w:r w:rsidR="00AC5D5D">
        <w:t xml:space="preserve"> and</w:t>
      </w:r>
      <w:r w:rsidRPr="0091520D">
        <w:t xml:space="preserve"> taking </w:t>
      </w:r>
      <w:r w:rsidR="00AC5D5D">
        <w:t xml:space="preserve">the </w:t>
      </w:r>
      <w:r w:rsidRPr="0091520D">
        <w:t>children to school.</w:t>
      </w:r>
    </w:p>
    <w:p w:rsidR="00FA5694" w:rsidRDefault="00FA5694" w:rsidP="00A822A4">
      <w:pPr>
        <w:pStyle w:val="BlockText"/>
        <w:numPr>
          <w:ilvl w:val="1"/>
          <w:numId w:val="3"/>
        </w:numPr>
      </w:pPr>
      <w:r w:rsidRPr="0091520D">
        <w:t xml:space="preserve">Where the relevant persons are not both the parents of the children, whether those children refer to the non-parent as mum/dad. </w:t>
      </w:r>
    </w:p>
    <w:p w:rsidR="00FA5694" w:rsidRPr="0091520D" w:rsidRDefault="00FA5694" w:rsidP="00FA5694">
      <w:pPr>
        <w:pStyle w:val="HeadingFour"/>
      </w:pPr>
      <w:r w:rsidRPr="0091520D">
        <w:t>Sexual relationship</w:t>
      </w:r>
    </w:p>
    <w:p w:rsidR="00FA5694" w:rsidRDefault="00FA5694" w:rsidP="00FA5694">
      <w:pPr>
        <w:pStyle w:val="BlockText"/>
      </w:pPr>
      <w:r w:rsidRPr="0091520D">
        <w:t>Th</w:t>
      </w:r>
      <w:r w:rsidR="004E08E7">
        <w:t>e following</w:t>
      </w:r>
      <w:r w:rsidRPr="0091520D">
        <w:t xml:space="preserve"> information may be relevant to the statutory factors set out in paragraphs (c) and (f) of section 3A(2) of the </w:t>
      </w:r>
      <w:r w:rsidRPr="0091520D">
        <w:rPr>
          <w:i/>
        </w:rPr>
        <w:t>De Facto Relationships Act</w:t>
      </w:r>
      <w:r w:rsidR="00A822A4">
        <w:t>:</w:t>
      </w:r>
    </w:p>
    <w:p w:rsidR="00FA5694" w:rsidRPr="0091520D" w:rsidRDefault="00FA5694" w:rsidP="00FA5694">
      <w:pPr>
        <w:pStyle w:val="BlockText"/>
        <w:numPr>
          <w:ilvl w:val="1"/>
          <w:numId w:val="3"/>
        </w:numPr>
      </w:pPr>
      <w:r w:rsidRPr="0091520D">
        <w:t>Whether the relevant persons have a sexual relationship with each other.  If so, the nature of the relationship – whether it is a casual (that is, limited or spasmodic) or continuing (that is, primary, permanent and regular) sexual relationship – and the reason for having such a relationship with each other.</w:t>
      </w:r>
    </w:p>
    <w:p w:rsidR="00FA5694" w:rsidRDefault="00FA5694" w:rsidP="00FA5694">
      <w:pPr>
        <w:pStyle w:val="BlockText"/>
        <w:numPr>
          <w:ilvl w:val="1"/>
          <w:numId w:val="3"/>
        </w:numPr>
      </w:pPr>
      <w:r w:rsidRPr="0091520D">
        <w:t>Whether the relevant persons have a sexual relationship with anyone else.  If so, whether the other relevant person has full knowledge of this activity.</w:t>
      </w:r>
    </w:p>
    <w:p w:rsidR="00FA5694" w:rsidRPr="00147310" w:rsidRDefault="00FA5694" w:rsidP="00FA5694">
      <w:pPr>
        <w:pStyle w:val="HeadingFour"/>
      </w:pPr>
      <w:r w:rsidRPr="00147310">
        <w:t>Accommodation and domestic arrangements</w:t>
      </w:r>
    </w:p>
    <w:p w:rsidR="00FA5694" w:rsidRPr="00CD39D8" w:rsidRDefault="00FA5694" w:rsidP="00FA5694">
      <w:pPr>
        <w:pStyle w:val="BlockText"/>
        <w:rPr>
          <w:szCs w:val="22"/>
        </w:rPr>
      </w:pPr>
      <w:r w:rsidRPr="00FA5694">
        <w:t>Th</w:t>
      </w:r>
      <w:r w:rsidR="004E08E7">
        <w:t>e following</w:t>
      </w:r>
      <w:r w:rsidRPr="00FA5694">
        <w:t xml:space="preserve"> information may be </w:t>
      </w:r>
      <w:r w:rsidRPr="00CD39D8">
        <w:rPr>
          <w:szCs w:val="22"/>
        </w:rPr>
        <w:t xml:space="preserve">relevant to the statutory factors set out in paragraphs (a), (b), (f), (h) and (i) of section 3A(2) of the </w:t>
      </w:r>
      <w:r w:rsidRPr="00CD39D8">
        <w:rPr>
          <w:i/>
          <w:szCs w:val="22"/>
        </w:rPr>
        <w:t>De Facto Relationships Act</w:t>
      </w:r>
      <w:r w:rsidR="00A822A4" w:rsidRPr="00CD39D8">
        <w:rPr>
          <w:szCs w:val="22"/>
        </w:rPr>
        <w:t>:</w:t>
      </w:r>
    </w:p>
    <w:p w:rsidR="00FA5694" w:rsidRPr="0091520D" w:rsidRDefault="00FA5694" w:rsidP="00FA5694">
      <w:pPr>
        <w:pStyle w:val="BlockText"/>
        <w:numPr>
          <w:ilvl w:val="1"/>
          <w:numId w:val="3"/>
        </w:numPr>
      </w:pPr>
      <w:r w:rsidRPr="00CD39D8">
        <w:rPr>
          <w:szCs w:val="22"/>
        </w:rPr>
        <w:t>Whether the relevant persons live at the same address.  If so, whether</w:t>
      </w:r>
      <w:r w:rsidRPr="0091520D">
        <w:t xml:space="preserve"> anyone else lives at that address and the length of time that the relevant persons have lived together.</w:t>
      </w:r>
    </w:p>
    <w:p w:rsidR="00FA5694" w:rsidRPr="0091520D" w:rsidRDefault="00FA5694" w:rsidP="00FA5694">
      <w:pPr>
        <w:pStyle w:val="BlockText"/>
        <w:numPr>
          <w:ilvl w:val="1"/>
          <w:numId w:val="3"/>
        </w:numPr>
      </w:pPr>
      <w:r w:rsidRPr="0091520D">
        <w:t>Whether the relevant persons have lived together at other places.  If so, whether anyone else lived at that address and the length of time that the relevant persons lived together at those other places.</w:t>
      </w:r>
    </w:p>
    <w:p w:rsidR="00FA5694" w:rsidRPr="0091520D" w:rsidRDefault="00FA5694" w:rsidP="00FA5694">
      <w:pPr>
        <w:pStyle w:val="BlockText"/>
        <w:numPr>
          <w:ilvl w:val="1"/>
          <w:numId w:val="3"/>
        </w:numPr>
      </w:pPr>
      <w:r w:rsidRPr="0091520D">
        <w:t>The reasons that the relevant persons first decided to live together at the same address.</w:t>
      </w:r>
    </w:p>
    <w:p w:rsidR="00FA5694" w:rsidRPr="0091520D" w:rsidRDefault="00FA5694" w:rsidP="00FA5694">
      <w:pPr>
        <w:pStyle w:val="BlockText"/>
        <w:numPr>
          <w:ilvl w:val="1"/>
          <w:numId w:val="3"/>
        </w:numPr>
      </w:pPr>
      <w:r w:rsidRPr="0091520D">
        <w:t>Whether the relevant persons intend to keep sharing accommodation in the future.</w:t>
      </w:r>
    </w:p>
    <w:p w:rsidR="00FA5694" w:rsidRPr="0091520D" w:rsidRDefault="00FA5694" w:rsidP="00FA5694">
      <w:pPr>
        <w:pStyle w:val="BlockText"/>
        <w:numPr>
          <w:ilvl w:val="1"/>
          <w:numId w:val="3"/>
        </w:numPr>
      </w:pPr>
      <w:r w:rsidRPr="0091520D">
        <w:t>Whether the relevant persons have separate bedrooms or living areas.  If not, the reasons why they share the same bedroom or living areas.</w:t>
      </w:r>
    </w:p>
    <w:p w:rsidR="00FA5694" w:rsidRPr="0091520D" w:rsidRDefault="00FA5694" w:rsidP="00FA5694">
      <w:pPr>
        <w:pStyle w:val="BlockText"/>
        <w:numPr>
          <w:ilvl w:val="1"/>
          <w:numId w:val="3"/>
        </w:numPr>
      </w:pPr>
      <w:r w:rsidRPr="0091520D">
        <w:t>In which of the relevant persons’ name(s) the lease or mortgage is in.</w:t>
      </w:r>
    </w:p>
    <w:p w:rsidR="00FA5694" w:rsidRDefault="00FA5694" w:rsidP="00A822A4">
      <w:pPr>
        <w:pStyle w:val="BlockText"/>
        <w:numPr>
          <w:ilvl w:val="1"/>
          <w:numId w:val="3"/>
        </w:numPr>
      </w:pPr>
      <w:r w:rsidRPr="0091520D">
        <w:t xml:space="preserve">The manner in which the relevant persons organise or arrange domestic chores such as cooking, shopping, cleaning, laundry, ironing and </w:t>
      </w:r>
      <w:r w:rsidR="00AC5D5D">
        <w:t>garden</w:t>
      </w:r>
      <w:r w:rsidRPr="0091520D">
        <w:t>ing and the reasons for arranging their affairs in that manner such as cultural, business or health reasons.</w:t>
      </w:r>
    </w:p>
    <w:p w:rsidR="00FA5694" w:rsidRPr="00147310" w:rsidRDefault="00FA5694" w:rsidP="00FA5694">
      <w:pPr>
        <w:pStyle w:val="HeadingFour"/>
      </w:pPr>
      <w:r w:rsidRPr="00147310">
        <w:t>Social relationship</w:t>
      </w:r>
    </w:p>
    <w:p w:rsidR="00FA5694" w:rsidRPr="00CD39D8" w:rsidRDefault="00FA5694" w:rsidP="00FA5694">
      <w:pPr>
        <w:pStyle w:val="BlockText"/>
        <w:rPr>
          <w:szCs w:val="22"/>
        </w:rPr>
      </w:pPr>
      <w:r w:rsidRPr="00FA5694">
        <w:lastRenderedPageBreak/>
        <w:t>Th</w:t>
      </w:r>
      <w:r w:rsidR="00727BC9">
        <w:t>e following</w:t>
      </w:r>
      <w:r w:rsidRPr="00FA5694">
        <w:t xml:space="preserve"> </w:t>
      </w:r>
      <w:r w:rsidRPr="00CD39D8">
        <w:rPr>
          <w:szCs w:val="22"/>
        </w:rPr>
        <w:t xml:space="preserve">information may be relevant to the statutory indicia set out in paragraphs (a), (f) and (i) of section 3A(2) of the </w:t>
      </w:r>
      <w:r w:rsidRPr="00CD39D8">
        <w:rPr>
          <w:i/>
          <w:szCs w:val="22"/>
        </w:rPr>
        <w:t>De Facto Relationships Act</w:t>
      </w:r>
      <w:r w:rsidR="004E08E7" w:rsidRPr="00CD39D8">
        <w:rPr>
          <w:szCs w:val="22"/>
        </w:rPr>
        <w:t>:</w:t>
      </w:r>
    </w:p>
    <w:p w:rsidR="00FA5694" w:rsidRPr="0091520D" w:rsidRDefault="00FA5694" w:rsidP="00FA5694">
      <w:pPr>
        <w:pStyle w:val="BlockText"/>
        <w:numPr>
          <w:ilvl w:val="1"/>
          <w:numId w:val="3"/>
        </w:numPr>
      </w:pPr>
      <w:r w:rsidRPr="0091520D">
        <w:t>Whether the relevant persons share the same circle of friends.</w:t>
      </w:r>
    </w:p>
    <w:p w:rsidR="00FA5694" w:rsidRPr="0091520D" w:rsidRDefault="00FA5694" w:rsidP="00FA5694">
      <w:pPr>
        <w:pStyle w:val="BlockText"/>
        <w:numPr>
          <w:ilvl w:val="1"/>
          <w:numId w:val="3"/>
        </w:numPr>
      </w:pPr>
      <w:r w:rsidRPr="0091520D">
        <w:t>Whether the relevant persons regularly inform each other of where they are and what they are doing.</w:t>
      </w:r>
    </w:p>
    <w:p w:rsidR="00FA5694" w:rsidRDefault="00FA5694" w:rsidP="00FA5694">
      <w:pPr>
        <w:pStyle w:val="BlockText"/>
        <w:numPr>
          <w:ilvl w:val="1"/>
          <w:numId w:val="3"/>
        </w:numPr>
      </w:pPr>
      <w:r w:rsidRPr="0091520D">
        <w:t>Whether the relevant persons frequently or regularly go out together or separately.</w:t>
      </w:r>
    </w:p>
    <w:p w:rsidR="00FA5694" w:rsidRPr="0091520D" w:rsidRDefault="00FA5694" w:rsidP="00FA5694">
      <w:pPr>
        <w:pStyle w:val="BlockText"/>
        <w:numPr>
          <w:ilvl w:val="1"/>
          <w:numId w:val="3"/>
        </w:numPr>
      </w:pPr>
      <w:r w:rsidRPr="0091520D">
        <w:t>Whether the relevant persons have a different person that they consider their girlfriend</w:t>
      </w:r>
      <w:r w:rsidR="00D10715">
        <w:t>/</w:t>
      </w:r>
      <w:r w:rsidRPr="0091520D">
        <w:t>boyfriend</w:t>
      </w:r>
      <w:r w:rsidR="00D10715">
        <w:t>/partner</w:t>
      </w:r>
      <w:r w:rsidRPr="0091520D">
        <w:t>.</w:t>
      </w:r>
    </w:p>
    <w:p w:rsidR="00FA5694" w:rsidRPr="0091520D" w:rsidRDefault="00FA5694" w:rsidP="00FA5694">
      <w:pPr>
        <w:pStyle w:val="BlockText"/>
        <w:numPr>
          <w:ilvl w:val="1"/>
          <w:numId w:val="3"/>
        </w:numPr>
      </w:pPr>
      <w:r w:rsidRPr="0091520D">
        <w:t>Whether the relevant persons visit each other’s family.</w:t>
      </w:r>
    </w:p>
    <w:p w:rsidR="00FA5694" w:rsidRPr="0091520D" w:rsidRDefault="00FA5694" w:rsidP="00FA5694">
      <w:pPr>
        <w:pStyle w:val="BlockText"/>
        <w:numPr>
          <w:ilvl w:val="1"/>
          <w:numId w:val="3"/>
        </w:numPr>
      </w:pPr>
      <w:r w:rsidRPr="0091520D">
        <w:t>Whether the relevant persons’ family and friends consider them a couple.</w:t>
      </w:r>
    </w:p>
    <w:p w:rsidR="00FA5694" w:rsidRPr="0091520D" w:rsidRDefault="00FA5694" w:rsidP="00FA5694">
      <w:pPr>
        <w:pStyle w:val="BlockText"/>
        <w:numPr>
          <w:ilvl w:val="1"/>
          <w:numId w:val="3"/>
        </w:numPr>
      </w:pPr>
      <w:r w:rsidRPr="0091520D">
        <w:t>Whether the relevant persons’ family or friends make plans for them as a couple.</w:t>
      </w:r>
    </w:p>
    <w:p w:rsidR="00FA5694" w:rsidRPr="0091520D" w:rsidRDefault="00FA5694" w:rsidP="00FA5694">
      <w:pPr>
        <w:pStyle w:val="BlockText"/>
        <w:numPr>
          <w:ilvl w:val="1"/>
          <w:numId w:val="3"/>
        </w:numPr>
      </w:pPr>
      <w:r w:rsidRPr="0091520D">
        <w:t>Whether the relevant persons have ever told a government department/agency, real estate agency or bank that they were a couple or let such persons assume they were a couple.</w:t>
      </w:r>
    </w:p>
    <w:p w:rsidR="00FA5694" w:rsidRPr="0091520D" w:rsidRDefault="00FA5694" w:rsidP="00FA5694">
      <w:pPr>
        <w:pStyle w:val="BlockText"/>
        <w:numPr>
          <w:ilvl w:val="1"/>
          <w:numId w:val="3"/>
        </w:numPr>
      </w:pPr>
      <w:r w:rsidRPr="0091520D">
        <w:t>Whether the relevant persons use the same family name.</w:t>
      </w:r>
    </w:p>
    <w:p w:rsidR="00FA5694" w:rsidRDefault="00FA5694" w:rsidP="00FA5694">
      <w:pPr>
        <w:pStyle w:val="BlockText"/>
        <w:numPr>
          <w:ilvl w:val="1"/>
          <w:numId w:val="3"/>
        </w:numPr>
      </w:pPr>
      <w:r w:rsidRPr="0091520D">
        <w:t>Whether the relevant persons take holidays together.</w:t>
      </w:r>
    </w:p>
    <w:p w:rsidR="00FA5694" w:rsidRPr="00147310" w:rsidRDefault="00FA5694" w:rsidP="00FA5694">
      <w:pPr>
        <w:pStyle w:val="HeadingFour"/>
      </w:pPr>
      <w:r w:rsidRPr="00147310">
        <w:t>Commitment to each other</w:t>
      </w:r>
    </w:p>
    <w:p w:rsidR="00FA5694" w:rsidRPr="00CD39D8" w:rsidRDefault="00FA5694" w:rsidP="00FA5694">
      <w:pPr>
        <w:pStyle w:val="BlockText"/>
        <w:rPr>
          <w:szCs w:val="22"/>
        </w:rPr>
      </w:pPr>
      <w:r w:rsidRPr="00FA5694">
        <w:t>Th</w:t>
      </w:r>
      <w:r w:rsidR="004E08E7">
        <w:t>e following</w:t>
      </w:r>
      <w:r w:rsidRPr="00FA5694">
        <w:t xml:space="preserve"> information </w:t>
      </w:r>
      <w:r w:rsidRPr="00CD39D8">
        <w:rPr>
          <w:szCs w:val="22"/>
        </w:rPr>
        <w:t xml:space="preserve">may be relevant to the statutory factors set out in paragraphs (a) and (f) of section 3A(2) of the </w:t>
      </w:r>
      <w:r w:rsidRPr="00CD39D8">
        <w:rPr>
          <w:i/>
          <w:szCs w:val="22"/>
        </w:rPr>
        <w:t>De Facto Relationships Act</w:t>
      </w:r>
      <w:r w:rsidR="004E08E7" w:rsidRPr="00CD39D8">
        <w:rPr>
          <w:szCs w:val="22"/>
        </w:rPr>
        <w:t>:</w:t>
      </w:r>
    </w:p>
    <w:p w:rsidR="00FA5694" w:rsidRPr="0091520D" w:rsidRDefault="00FA5694" w:rsidP="00FA5694">
      <w:pPr>
        <w:pStyle w:val="BlockText"/>
        <w:numPr>
          <w:ilvl w:val="1"/>
          <w:numId w:val="3"/>
        </w:numPr>
      </w:pPr>
      <w:r>
        <w:t>T</w:t>
      </w:r>
      <w:r w:rsidRPr="0091520D">
        <w:t>he age of the relevant persons.</w:t>
      </w:r>
    </w:p>
    <w:p w:rsidR="00FA5694" w:rsidRPr="0091520D" w:rsidRDefault="00FA5694" w:rsidP="00FA5694">
      <w:pPr>
        <w:pStyle w:val="BlockText"/>
        <w:numPr>
          <w:ilvl w:val="1"/>
          <w:numId w:val="3"/>
        </w:numPr>
      </w:pPr>
      <w:r w:rsidRPr="0091520D">
        <w:t>The length of the relationship.</w:t>
      </w:r>
    </w:p>
    <w:p w:rsidR="00FA5694" w:rsidRPr="0091520D" w:rsidRDefault="00FA5694" w:rsidP="00FA5694">
      <w:pPr>
        <w:pStyle w:val="BlockText"/>
        <w:numPr>
          <w:ilvl w:val="1"/>
          <w:numId w:val="3"/>
        </w:numPr>
      </w:pPr>
      <w:r w:rsidRPr="0091520D">
        <w:t>Whether the relevant persons consider that their relationship is different from a normal friendship relationship, and if so the manner in which they consider that it differs.</w:t>
      </w:r>
    </w:p>
    <w:p w:rsidR="00FA5694" w:rsidRPr="0091520D" w:rsidRDefault="00FA5694" w:rsidP="00FA5694">
      <w:pPr>
        <w:pStyle w:val="BlockText"/>
        <w:numPr>
          <w:ilvl w:val="1"/>
          <w:numId w:val="3"/>
        </w:numPr>
      </w:pPr>
      <w:r w:rsidRPr="0091520D">
        <w:t>Whether the relevant persons consider the relationship is likely to continue and if so, the reasons for this opinion.</w:t>
      </w:r>
    </w:p>
    <w:p w:rsidR="00FA5694" w:rsidRPr="0091520D" w:rsidRDefault="00FA5694" w:rsidP="00FA5694">
      <w:pPr>
        <w:pStyle w:val="BlockText"/>
        <w:numPr>
          <w:ilvl w:val="1"/>
          <w:numId w:val="3"/>
        </w:numPr>
      </w:pPr>
      <w:r w:rsidRPr="0091520D">
        <w:t>Whether the relevant persons would rely on the other person for support if they suddenly got sick or in financial or other difficulties.</w:t>
      </w:r>
    </w:p>
    <w:p w:rsidR="00FA5694" w:rsidRPr="0091520D" w:rsidRDefault="00FA5694" w:rsidP="00FA5694">
      <w:pPr>
        <w:pStyle w:val="BlockText"/>
        <w:numPr>
          <w:ilvl w:val="1"/>
          <w:numId w:val="3"/>
        </w:numPr>
      </w:pPr>
      <w:r w:rsidRPr="0091520D">
        <w:t>Whether the relevant persons have any long term plans involving the other person.</w:t>
      </w:r>
    </w:p>
    <w:p w:rsidR="00FA5694" w:rsidRPr="0091520D" w:rsidRDefault="00FA5694" w:rsidP="00FA5694">
      <w:pPr>
        <w:pStyle w:val="BlockText"/>
        <w:numPr>
          <w:ilvl w:val="1"/>
          <w:numId w:val="3"/>
        </w:numPr>
      </w:pPr>
      <w:r w:rsidRPr="0091520D">
        <w:t>Whether the relevant persons think that they are likely to marry.</w:t>
      </w:r>
    </w:p>
    <w:p w:rsidR="00FA5694" w:rsidRDefault="00FA5694" w:rsidP="00FA5694">
      <w:pPr>
        <w:pStyle w:val="BlockText"/>
        <w:numPr>
          <w:ilvl w:val="1"/>
          <w:numId w:val="3"/>
        </w:numPr>
      </w:pPr>
      <w:r w:rsidRPr="0091520D">
        <w:t>Whether the relevant persons think that their relationship is like a marriage.  If not, what do the relevant persons consider the relationship to be.</w:t>
      </w:r>
    </w:p>
    <w:p w:rsidR="00FA5694" w:rsidRPr="0091520D" w:rsidRDefault="00FA5694" w:rsidP="00FA5694">
      <w:pPr>
        <w:pStyle w:val="BlockText"/>
        <w:numPr>
          <w:ilvl w:val="1"/>
          <w:numId w:val="3"/>
        </w:numPr>
      </w:pPr>
      <w:r w:rsidRPr="0091520D">
        <w:t>Whether there have been any periods of physical separation during the relationship.  If so, for what period(s) of time and what were the reasons for the separation.</w:t>
      </w:r>
    </w:p>
    <w:p w:rsidR="00FA5694" w:rsidRPr="0091520D" w:rsidRDefault="00FA5694" w:rsidP="00FA5694">
      <w:pPr>
        <w:pStyle w:val="BlockText"/>
      </w:pPr>
      <w:r w:rsidRPr="0091520D">
        <w:t>In addition</w:t>
      </w:r>
      <w:r w:rsidR="004E08E7">
        <w:t xml:space="preserve"> to the above</w:t>
      </w:r>
      <w:r w:rsidRPr="0091520D">
        <w:t>, the subjective opinion held by the parties as to their belief and understanding of the nature and extent of the relationship is also relevant.</w:t>
      </w:r>
    </w:p>
    <w:p w:rsidR="00FA5694" w:rsidRPr="00147310" w:rsidRDefault="00FA5694" w:rsidP="00727BC9">
      <w:pPr>
        <w:pStyle w:val="HeadingThree"/>
      </w:pPr>
      <w:r w:rsidRPr="00147310">
        <w:t>Sources of information</w:t>
      </w:r>
    </w:p>
    <w:p w:rsidR="00FA5694" w:rsidRPr="0091520D" w:rsidRDefault="00FA5694" w:rsidP="00FA5694">
      <w:pPr>
        <w:pStyle w:val="BlockText"/>
      </w:pPr>
      <w:r w:rsidRPr="0091520D">
        <w:t>T</w:t>
      </w:r>
      <w:r w:rsidR="004E08E7">
        <w:t>RO may obtain</w:t>
      </w:r>
      <w:r w:rsidRPr="0091520D">
        <w:t xml:space="preserve"> information by interviewing the applicant(s)</w:t>
      </w:r>
      <w:r w:rsidR="00AC5D5D">
        <w:t>/</w:t>
      </w:r>
      <w:r w:rsidRPr="0091520D">
        <w:t>relevant persons, or by collecting information from financial institutions, employers, friends and family, or other organisations that may hold</w:t>
      </w:r>
      <w:r w:rsidR="004E08E7">
        <w:t xml:space="preserve"> </w:t>
      </w:r>
      <w:r w:rsidRPr="0091520D">
        <w:t>relevant information or that may have formed a view as to the relationship between the relevant persons.</w:t>
      </w:r>
    </w:p>
    <w:p w:rsidR="00D10715" w:rsidRDefault="00D10715" w:rsidP="00FA5694">
      <w:pPr>
        <w:pStyle w:val="HeadingTwo"/>
        <w:rPr>
          <w:rStyle w:val="BlockTextChar"/>
        </w:rPr>
      </w:pPr>
    </w:p>
    <w:p w:rsidR="00FA5694" w:rsidRDefault="00FA5694" w:rsidP="00FA5694">
      <w:pPr>
        <w:pStyle w:val="HeadingTwo"/>
        <w:rPr>
          <w:rStyle w:val="BlockTextChar"/>
        </w:rPr>
      </w:pPr>
      <w:r>
        <w:rPr>
          <w:rStyle w:val="BlockTextChar"/>
        </w:rPr>
        <w:t>Legislation</w:t>
      </w:r>
    </w:p>
    <w:p w:rsidR="00FA5694" w:rsidRDefault="00FA5694" w:rsidP="00FA5694">
      <w:pPr>
        <w:pStyle w:val="BlockText"/>
        <w:rPr>
          <w:szCs w:val="22"/>
        </w:rPr>
      </w:pPr>
      <w:r w:rsidRPr="004E08E7">
        <w:rPr>
          <w:szCs w:val="22"/>
        </w:rPr>
        <w:lastRenderedPageBreak/>
        <w:t xml:space="preserve">Refer to the </w:t>
      </w:r>
      <w:r w:rsidRPr="00A97DEC">
        <w:rPr>
          <w:i/>
          <w:szCs w:val="22"/>
        </w:rPr>
        <w:t>First Home Owner Grant Act</w:t>
      </w:r>
      <w:r w:rsidRPr="004E08E7">
        <w:rPr>
          <w:szCs w:val="22"/>
        </w:rPr>
        <w:t xml:space="preserve"> </w:t>
      </w:r>
      <w:r w:rsidR="00D10715">
        <w:rPr>
          <w:szCs w:val="22"/>
        </w:rPr>
        <w:t xml:space="preserve">and the </w:t>
      </w:r>
      <w:r w:rsidR="00D10715">
        <w:rPr>
          <w:i/>
          <w:szCs w:val="22"/>
        </w:rPr>
        <w:t xml:space="preserve">Stamp Duty Act </w:t>
      </w:r>
      <w:r w:rsidRPr="004E08E7">
        <w:rPr>
          <w:szCs w:val="22"/>
        </w:rPr>
        <w:t xml:space="preserve">for the legislative basis for the </w:t>
      </w:r>
      <w:r w:rsidR="00D10715">
        <w:rPr>
          <w:szCs w:val="22"/>
        </w:rPr>
        <w:t>home incentive schemes</w:t>
      </w:r>
      <w:r w:rsidRPr="004E08E7">
        <w:rPr>
          <w:szCs w:val="22"/>
        </w:rPr>
        <w:t>.</w:t>
      </w:r>
    </w:p>
    <w:p w:rsidR="006034B6" w:rsidRDefault="00513926" w:rsidP="006034B6">
      <w:pPr>
        <w:pStyle w:val="HeadingTwo"/>
      </w:pPr>
      <w:r>
        <w:t>Commissioner’s Guidelines</w:t>
      </w:r>
    </w:p>
    <w:p w:rsidR="00513926" w:rsidRPr="002D6D82" w:rsidRDefault="00513926" w:rsidP="00513926">
      <w:pPr>
        <w:pStyle w:val="BlockText"/>
      </w:pPr>
      <w:r w:rsidRPr="002D6D82">
        <w:t>Co</w:t>
      </w:r>
      <w:r>
        <w:t>mmissioner’s Guideline</w:t>
      </w:r>
      <w:r w:rsidR="00910152">
        <w:t xml:space="preserve"> </w:t>
      </w:r>
      <w:hyperlink r:id="rId11" w:tooltip="Link to CG-GEN-001" w:history="1">
        <w:r w:rsidR="00910152" w:rsidRPr="00910152">
          <w:rPr>
            <w:rStyle w:val="Hyperlink"/>
          </w:rPr>
          <w:t>CG-GEN-001</w:t>
        </w:r>
      </w:hyperlink>
      <w:r w:rsidRPr="002D6D82">
        <w:t>, which sets out information on the revenue publication system, is incorporated into and is to be read as one with this Guideline.</w:t>
      </w:r>
      <w:r>
        <w:t xml:space="preserve"> </w:t>
      </w:r>
      <w:r w:rsidRPr="00987211">
        <w:t xml:space="preserve">All Circulars and Guidelines are available from </w:t>
      </w:r>
      <w:r w:rsidR="00196C1B">
        <w:t xml:space="preserve">the </w:t>
      </w:r>
      <w:r w:rsidRPr="00987211">
        <w:t>TRO website.</w:t>
      </w:r>
    </w:p>
    <w:p w:rsidR="005C3120" w:rsidRDefault="005C3120" w:rsidP="00F65356">
      <w:pPr>
        <w:pStyle w:val="HeadingTwo"/>
        <w:rPr>
          <w:rFonts w:cs="Arial"/>
          <w:b w:val="0"/>
          <w:bCs w:val="0"/>
        </w:rPr>
      </w:pPr>
    </w:p>
    <w:p w:rsidR="00F65356" w:rsidRDefault="00F65356" w:rsidP="00F65356">
      <w:pPr>
        <w:pStyle w:val="HeadingTwo"/>
      </w:pPr>
      <w:r>
        <w:t>Date of effect</w:t>
      </w:r>
    </w:p>
    <w:p w:rsidR="006034B6" w:rsidRDefault="00F65356" w:rsidP="006034B6">
      <w:pPr>
        <w:pStyle w:val="BlockText"/>
        <w:tabs>
          <w:tab w:val="clear" w:pos="567"/>
        </w:tabs>
      </w:pPr>
      <w:r>
        <w:t>This version of the</w:t>
      </w:r>
      <w:r w:rsidR="00753B4C">
        <w:t xml:space="preserve"> Guideline takes effect from</w:t>
      </w:r>
      <w:r w:rsidR="00360F71">
        <w:t xml:space="preserve"> 24 May 2016</w:t>
      </w:r>
      <w:r w:rsidR="00CD39D8">
        <w:t>.</w:t>
      </w:r>
    </w:p>
    <w:p w:rsidR="00753B4C" w:rsidRDefault="00733450" w:rsidP="006034B6">
      <w:r>
        <w:rPr>
          <w:noProof/>
        </w:rPr>
        <w:drawing>
          <wp:inline distT="0" distB="0" distL="0" distR="0">
            <wp:extent cx="1866900" cy="352425"/>
            <wp:effectExtent l="0" t="0" r="0" b="9525"/>
            <wp:docPr id="1" name="Picture 4" descr="Grant Parsons electronic signatur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rant Parsons electronic signature4.tif"/>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866900" cy="352425"/>
                    </a:xfrm>
                    <a:prstGeom prst="rect">
                      <a:avLst/>
                    </a:prstGeom>
                    <a:noFill/>
                    <a:ln>
                      <a:noFill/>
                    </a:ln>
                  </pic:spPr>
                </pic:pic>
              </a:graphicData>
            </a:graphic>
          </wp:inline>
        </w:drawing>
      </w:r>
    </w:p>
    <w:p w:rsidR="00364D5F" w:rsidRDefault="00364D5F" w:rsidP="006034B6"/>
    <w:p w:rsidR="006034B6" w:rsidRDefault="00CD39D8" w:rsidP="006034B6">
      <w:r>
        <w:t>Grant Parsons</w:t>
      </w:r>
    </w:p>
    <w:p w:rsidR="006034B6" w:rsidRPr="002B1AFD" w:rsidRDefault="002B1AFD" w:rsidP="006034B6">
      <w:pPr>
        <w:rPr>
          <w:b/>
        </w:rPr>
      </w:pPr>
      <w:r w:rsidRPr="002B1AFD">
        <w:rPr>
          <w:b/>
        </w:rPr>
        <w:t>COMMISSIONER OF TERRITORY REVENUE</w:t>
      </w:r>
    </w:p>
    <w:p w:rsidR="006034B6" w:rsidRDefault="006034B6" w:rsidP="006034B6"/>
    <w:p w:rsidR="006034B6" w:rsidRDefault="006034B6" w:rsidP="006034B6">
      <w:r>
        <w:t>Date of Issue:</w:t>
      </w:r>
      <w:r w:rsidR="00753B4C">
        <w:t xml:space="preserve">  </w:t>
      </w:r>
      <w:r w:rsidR="00360F71">
        <w:t>24 May 2016</w:t>
      </w:r>
    </w:p>
    <w:p w:rsidR="006034B6" w:rsidRDefault="006034B6" w:rsidP="006034B6"/>
    <w:tbl>
      <w:tblPr>
        <w:tblW w:w="0" w:type="auto"/>
        <w:tblBorders>
          <w:top w:val="single" w:sz="4" w:space="0" w:color="auto"/>
          <w:bottom w:val="single" w:sz="4" w:space="0" w:color="auto"/>
          <w:insideH w:val="single" w:sz="4" w:space="0" w:color="auto"/>
        </w:tblBorders>
        <w:tblCellMar>
          <w:top w:w="62" w:type="dxa"/>
          <w:bottom w:w="62" w:type="dxa"/>
        </w:tblCellMar>
        <w:tblLook w:val="01E0" w:firstRow="1" w:lastRow="1" w:firstColumn="1" w:lastColumn="1" w:noHBand="0" w:noVBand="0"/>
      </w:tblPr>
      <w:tblGrid>
        <w:gridCol w:w="4927"/>
        <w:gridCol w:w="4927"/>
      </w:tblGrid>
      <w:tr w:rsidR="006034B6" w:rsidRPr="00A4644E" w:rsidTr="00A4644E">
        <w:tc>
          <w:tcPr>
            <w:tcW w:w="9854" w:type="dxa"/>
            <w:gridSpan w:val="2"/>
            <w:shd w:val="clear" w:color="auto" w:fill="auto"/>
          </w:tcPr>
          <w:p w:rsidR="006034B6" w:rsidRPr="00A4644E" w:rsidRDefault="006034B6" w:rsidP="006034B6">
            <w:pPr>
              <w:rPr>
                <w:sz w:val="20"/>
              </w:rPr>
            </w:pPr>
            <w:r w:rsidRPr="00A4644E">
              <w:rPr>
                <w:sz w:val="20"/>
              </w:rPr>
              <w:t>For further information please contact the Territory Revenue Office:</w:t>
            </w:r>
          </w:p>
        </w:tc>
      </w:tr>
      <w:tr w:rsidR="006034B6" w:rsidRPr="00A4644E" w:rsidTr="00A4644E">
        <w:tc>
          <w:tcPr>
            <w:tcW w:w="4927" w:type="dxa"/>
            <w:shd w:val="clear" w:color="auto" w:fill="auto"/>
          </w:tcPr>
          <w:p w:rsidR="006034B6" w:rsidRPr="00A4644E" w:rsidRDefault="006034B6" w:rsidP="006034B6">
            <w:pPr>
              <w:rPr>
                <w:sz w:val="20"/>
              </w:rPr>
            </w:pPr>
            <w:r w:rsidRPr="00A4644E">
              <w:rPr>
                <w:sz w:val="20"/>
              </w:rPr>
              <w:t>GPO Box</w:t>
            </w:r>
            <w:r w:rsidR="007E1C53">
              <w:rPr>
                <w:sz w:val="20"/>
              </w:rPr>
              <w:t xml:space="preserve"> 197</w:t>
            </w:r>
            <w:bookmarkStart w:id="0" w:name="_GoBack"/>
            <w:bookmarkEnd w:id="0"/>
            <w:r w:rsidRPr="00A4644E">
              <w:rPr>
                <w:sz w:val="20"/>
              </w:rPr>
              <w:t>4</w:t>
            </w:r>
          </w:p>
          <w:p w:rsidR="006034B6" w:rsidRPr="00A4644E" w:rsidRDefault="006034B6" w:rsidP="006034B6">
            <w:pPr>
              <w:rPr>
                <w:sz w:val="20"/>
              </w:rPr>
            </w:pPr>
            <w:smartTag w:uri="urn:schemas-microsoft-com:office:smarttags" w:element="place">
              <w:smartTag w:uri="urn:schemas-microsoft-com:office:smarttags" w:element="City">
                <w:r w:rsidRPr="00A4644E">
                  <w:rPr>
                    <w:sz w:val="20"/>
                  </w:rPr>
                  <w:t>Darwin</w:t>
                </w:r>
              </w:smartTag>
              <w:r w:rsidRPr="00A4644E">
                <w:rPr>
                  <w:sz w:val="20"/>
                </w:rPr>
                <w:t xml:space="preserve">  </w:t>
              </w:r>
              <w:smartTag w:uri="urn:schemas-microsoft-com:office:smarttags" w:element="State">
                <w:r w:rsidRPr="00A4644E">
                  <w:rPr>
                    <w:sz w:val="20"/>
                  </w:rPr>
                  <w:t>NT</w:t>
                </w:r>
              </w:smartTag>
            </w:smartTag>
            <w:r w:rsidRPr="00A4644E">
              <w:rPr>
                <w:sz w:val="20"/>
              </w:rPr>
              <w:t xml:space="preserve">  0801</w:t>
            </w:r>
          </w:p>
          <w:p w:rsidR="006034B6" w:rsidRPr="00A4644E" w:rsidRDefault="006034B6" w:rsidP="003E2BB8">
            <w:pPr>
              <w:pStyle w:val="BlockText"/>
              <w:numPr>
                <w:ilvl w:val="0"/>
                <w:numId w:val="0"/>
              </w:numPr>
              <w:rPr>
                <w:sz w:val="20"/>
              </w:rPr>
            </w:pPr>
            <w:r w:rsidRPr="00A4644E">
              <w:rPr>
                <w:sz w:val="20"/>
              </w:rPr>
              <w:t xml:space="preserve">Email: </w:t>
            </w:r>
            <w:hyperlink r:id="rId13" w:tooltip="Link to TRO email address" w:history="1">
              <w:r w:rsidR="00513926" w:rsidRPr="00A4644E">
                <w:rPr>
                  <w:rStyle w:val="Hyperlink"/>
                  <w:sz w:val="20"/>
                </w:rPr>
                <w:t>ntrevenue@nt.gov.au</w:t>
              </w:r>
            </w:hyperlink>
          </w:p>
        </w:tc>
        <w:tc>
          <w:tcPr>
            <w:tcW w:w="4927" w:type="dxa"/>
            <w:shd w:val="clear" w:color="auto" w:fill="auto"/>
          </w:tcPr>
          <w:p w:rsidR="006034B6" w:rsidRPr="00A4644E" w:rsidRDefault="006034B6" w:rsidP="006034B6">
            <w:pPr>
              <w:rPr>
                <w:sz w:val="20"/>
              </w:rPr>
            </w:pPr>
            <w:r w:rsidRPr="00A4644E">
              <w:rPr>
                <w:sz w:val="20"/>
              </w:rPr>
              <w:t>Phone: 1300 305 353</w:t>
            </w:r>
          </w:p>
          <w:p w:rsidR="006034B6" w:rsidRPr="00A4644E" w:rsidRDefault="006034B6" w:rsidP="006034B6">
            <w:pPr>
              <w:rPr>
                <w:sz w:val="20"/>
              </w:rPr>
            </w:pPr>
            <w:r w:rsidRPr="00A4644E">
              <w:rPr>
                <w:sz w:val="20"/>
              </w:rPr>
              <w:t xml:space="preserve">Website: </w:t>
            </w:r>
            <w:hyperlink r:id="rId14" w:tooltip="Link to TRO Website" w:history="1">
              <w:r w:rsidRPr="00A4644E">
                <w:rPr>
                  <w:rStyle w:val="Hyperlink"/>
                  <w:sz w:val="20"/>
                </w:rPr>
                <w:t>www.revenue.nt.gov.au</w:t>
              </w:r>
            </w:hyperlink>
          </w:p>
        </w:tc>
      </w:tr>
    </w:tbl>
    <w:p w:rsidR="006034B6" w:rsidRPr="00364D5F" w:rsidRDefault="006034B6" w:rsidP="00364D5F">
      <w:pPr>
        <w:tabs>
          <w:tab w:val="left" w:pos="3090"/>
        </w:tabs>
      </w:pPr>
    </w:p>
    <w:sectPr w:rsidR="006034B6" w:rsidRPr="00364D5F" w:rsidSect="00F65356">
      <w:headerReference w:type="even" r:id="rId15"/>
      <w:headerReference w:type="default" r:id="rId16"/>
      <w:footerReference w:type="default" r:id="rId17"/>
      <w:headerReference w:type="first" r:id="rId18"/>
      <w:footerReference w:type="first" r:id="rId19"/>
      <w:pgSz w:w="11906" w:h="16838" w:code="9"/>
      <w:pgMar w:top="567" w:right="1134" w:bottom="567"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545C" w:rsidRDefault="0024545C">
      <w:r>
        <w:separator/>
      </w:r>
    </w:p>
  </w:endnote>
  <w:endnote w:type="continuationSeparator" w:id="0">
    <w:p w:rsidR="0024545C" w:rsidRDefault="00245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68" w:rsidRDefault="00904F68" w:rsidP="00364D5F">
    <w:pPr>
      <w:pStyle w:val="Footer"/>
      <w:tabs>
        <w:tab w:val="clear" w:pos="4153"/>
        <w:tab w:val="clear" w:pos="8306"/>
        <w:tab w:val="right" w:pos="9720"/>
      </w:tabs>
      <w:rPr>
        <w:sz w:val="16"/>
        <w:szCs w:val="16"/>
      </w:rPr>
    </w:pPr>
  </w:p>
  <w:p w:rsidR="00904F68" w:rsidRPr="00364D5F" w:rsidRDefault="00904F68"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7E1C53">
      <w:rPr>
        <w:noProof/>
        <w:sz w:val="16"/>
        <w:szCs w:val="16"/>
      </w:rPr>
      <w:t>6</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7E1C53">
      <w:rPr>
        <w:noProof/>
        <w:sz w:val="16"/>
        <w:szCs w:val="16"/>
      </w:rPr>
      <w:t>6</w:t>
    </w:r>
    <w:r w:rsidRPr="006034B6">
      <w:rPr>
        <w:sz w:val="16"/>
        <w:szCs w:val="16"/>
      </w:rPr>
      <w:fldChar w:fldCharType="end"/>
    </w:r>
    <w:r>
      <w:rPr>
        <w:sz w:val="16"/>
        <w:szCs w:val="16"/>
      </w:rPr>
      <w:tab/>
      <w:t>CG-HI-004</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68" w:rsidRDefault="00904F68" w:rsidP="00364D5F">
    <w:pPr>
      <w:pStyle w:val="Footer"/>
      <w:tabs>
        <w:tab w:val="clear" w:pos="4153"/>
        <w:tab w:val="clear" w:pos="8306"/>
        <w:tab w:val="right" w:pos="9720"/>
      </w:tabs>
      <w:rPr>
        <w:sz w:val="16"/>
        <w:szCs w:val="16"/>
      </w:rPr>
    </w:pPr>
  </w:p>
  <w:p w:rsidR="00904F68" w:rsidRPr="006034B6" w:rsidRDefault="00904F68" w:rsidP="00364D5F">
    <w:pPr>
      <w:pStyle w:val="Footer"/>
      <w:tabs>
        <w:tab w:val="clear" w:pos="4153"/>
        <w:tab w:val="clear" w:pos="8306"/>
        <w:tab w:val="right" w:pos="9720"/>
      </w:tabs>
      <w:rPr>
        <w:sz w:val="16"/>
        <w:szCs w:val="16"/>
      </w:rPr>
    </w:pPr>
    <w:r w:rsidRPr="006034B6">
      <w:rPr>
        <w:sz w:val="16"/>
        <w:szCs w:val="16"/>
      </w:rPr>
      <w:t xml:space="preserve">Page </w:t>
    </w:r>
    <w:r w:rsidRPr="006034B6">
      <w:rPr>
        <w:sz w:val="16"/>
        <w:szCs w:val="16"/>
      </w:rPr>
      <w:fldChar w:fldCharType="begin"/>
    </w:r>
    <w:r w:rsidRPr="006034B6">
      <w:rPr>
        <w:sz w:val="16"/>
        <w:szCs w:val="16"/>
      </w:rPr>
      <w:instrText xml:space="preserve"> PAGE </w:instrText>
    </w:r>
    <w:r w:rsidRPr="006034B6">
      <w:rPr>
        <w:sz w:val="16"/>
        <w:szCs w:val="16"/>
      </w:rPr>
      <w:fldChar w:fldCharType="separate"/>
    </w:r>
    <w:r w:rsidR="007E1C53">
      <w:rPr>
        <w:noProof/>
        <w:sz w:val="16"/>
        <w:szCs w:val="16"/>
      </w:rPr>
      <w:t>1</w:t>
    </w:r>
    <w:r w:rsidRPr="006034B6">
      <w:rPr>
        <w:sz w:val="16"/>
        <w:szCs w:val="16"/>
      </w:rPr>
      <w:fldChar w:fldCharType="end"/>
    </w:r>
    <w:r w:rsidRPr="006034B6">
      <w:rPr>
        <w:sz w:val="16"/>
        <w:szCs w:val="16"/>
      </w:rPr>
      <w:t xml:space="preserve"> of </w:t>
    </w:r>
    <w:r w:rsidRPr="006034B6">
      <w:rPr>
        <w:sz w:val="16"/>
        <w:szCs w:val="16"/>
      </w:rPr>
      <w:fldChar w:fldCharType="begin"/>
    </w:r>
    <w:r w:rsidRPr="006034B6">
      <w:rPr>
        <w:sz w:val="16"/>
        <w:szCs w:val="16"/>
      </w:rPr>
      <w:instrText xml:space="preserve"> NUMPAGES </w:instrText>
    </w:r>
    <w:r w:rsidRPr="006034B6">
      <w:rPr>
        <w:sz w:val="16"/>
        <w:szCs w:val="16"/>
      </w:rPr>
      <w:fldChar w:fldCharType="separate"/>
    </w:r>
    <w:r w:rsidR="007E1C53">
      <w:rPr>
        <w:noProof/>
        <w:sz w:val="16"/>
        <w:szCs w:val="16"/>
      </w:rPr>
      <w:t>6</w:t>
    </w:r>
    <w:r w:rsidRPr="006034B6">
      <w:rPr>
        <w:sz w:val="16"/>
        <w:szCs w:val="16"/>
      </w:rPr>
      <w:fldChar w:fldCharType="end"/>
    </w:r>
    <w:r>
      <w:rPr>
        <w:sz w:val="16"/>
        <w:szCs w:val="16"/>
      </w:rPr>
      <w:tab/>
      <w:t>CG-HI-004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545C" w:rsidRDefault="0024545C">
      <w:r>
        <w:separator/>
      </w:r>
    </w:p>
  </w:footnote>
  <w:footnote w:type="continuationSeparator" w:id="0">
    <w:p w:rsidR="0024545C" w:rsidRDefault="0024545C">
      <w:r>
        <w:continuationSeparator/>
      </w:r>
    </w:p>
  </w:footnote>
  <w:footnote w:id="1">
    <w:p w:rsidR="00904F68" w:rsidRPr="003C4BD2" w:rsidRDefault="00904F68" w:rsidP="00FA5694">
      <w:pPr>
        <w:pStyle w:val="FootnoteText"/>
        <w:rPr>
          <w:rFonts w:ascii="Arial" w:hAnsi="Arial" w:cs="Arial"/>
          <w:sz w:val="18"/>
          <w:szCs w:val="18"/>
        </w:rPr>
      </w:pPr>
      <w:r w:rsidRPr="003C4BD2">
        <w:rPr>
          <w:rStyle w:val="FootnoteReference"/>
          <w:sz w:val="18"/>
          <w:szCs w:val="18"/>
        </w:rPr>
        <w:footnoteRef/>
      </w:r>
      <w:r w:rsidRPr="003C4BD2">
        <w:rPr>
          <w:rFonts w:ascii="Arial" w:hAnsi="Arial" w:cs="Arial"/>
          <w:sz w:val="18"/>
          <w:szCs w:val="18"/>
        </w:rPr>
        <w:t xml:space="preserve"> Section 3A(1) of the </w:t>
      </w:r>
      <w:r w:rsidRPr="003C4BD2">
        <w:rPr>
          <w:rFonts w:ascii="Arial" w:hAnsi="Arial" w:cs="Arial"/>
          <w:i/>
          <w:sz w:val="18"/>
          <w:szCs w:val="18"/>
        </w:rPr>
        <w:t>De Facto Relationships Act</w:t>
      </w:r>
      <w:r w:rsidRPr="003C4BD2">
        <w:rPr>
          <w:rFonts w:ascii="Arial" w:hAnsi="Arial" w:cs="Arial"/>
          <w:sz w:val="18"/>
          <w:szCs w:val="18"/>
        </w:rPr>
        <w:t>.</w:t>
      </w:r>
    </w:p>
  </w:footnote>
  <w:footnote w:id="2">
    <w:p w:rsidR="00904F68" w:rsidRPr="003C4BD2" w:rsidRDefault="00904F68" w:rsidP="00FA5694">
      <w:pPr>
        <w:pStyle w:val="FootnoteText"/>
        <w:rPr>
          <w:rFonts w:ascii="Arial" w:hAnsi="Arial" w:cs="Arial"/>
          <w:sz w:val="18"/>
          <w:szCs w:val="18"/>
        </w:rPr>
      </w:pPr>
      <w:r w:rsidRPr="003C4BD2">
        <w:rPr>
          <w:rStyle w:val="FootnoteReference"/>
          <w:sz w:val="18"/>
          <w:szCs w:val="18"/>
        </w:rPr>
        <w:footnoteRef/>
      </w:r>
      <w:r w:rsidRPr="003C4BD2">
        <w:rPr>
          <w:rFonts w:ascii="Arial" w:hAnsi="Arial" w:cs="Arial"/>
          <w:sz w:val="18"/>
          <w:szCs w:val="18"/>
        </w:rPr>
        <w:t xml:space="preserve"> Section 3A(3) of the </w:t>
      </w:r>
      <w:r w:rsidRPr="003C4BD2">
        <w:rPr>
          <w:rFonts w:ascii="Arial" w:hAnsi="Arial" w:cs="Arial"/>
          <w:i/>
          <w:sz w:val="18"/>
          <w:szCs w:val="18"/>
        </w:rPr>
        <w:t>De Facto Relationships Act</w:t>
      </w:r>
      <w:r w:rsidRPr="003C4BD2">
        <w:rPr>
          <w:rFonts w:ascii="Arial" w:hAnsi="Arial" w:cs="Arial"/>
          <w:sz w:val="18"/>
          <w:szCs w:val="18"/>
        </w:rPr>
        <w:t>.</w:t>
      </w:r>
    </w:p>
  </w:footnote>
  <w:footnote w:id="3">
    <w:p w:rsidR="00904F68" w:rsidRDefault="00904F68" w:rsidP="00FA5694">
      <w:pPr>
        <w:pStyle w:val="FootnoteText"/>
      </w:pPr>
      <w:r w:rsidRPr="003C4BD2">
        <w:rPr>
          <w:rStyle w:val="FootnoteReference"/>
          <w:sz w:val="18"/>
          <w:szCs w:val="18"/>
        </w:rPr>
        <w:footnoteRef/>
      </w:r>
      <w:r w:rsidRPr="003C4BD2">
        <w:rPr>
          <w:rFonts w:ascii="Arial" w:hAnsi="Arial" w:cs="Arial"/>
          <w:sz w:val="18"/>
          <w:szCs w:val="18"/>
        </w:rPr>
        <w:t xml:space="preserve"> Section 13(5) of the </w:t>
      </w:r>
      <w:r w:rsidRPr="003C4BD2">
        <w:rPr>
          <w:rFonts w:ascii="Arial" w:hAnsi="Arial" w:cs="Arial"/>
          <w:i/>
          <w:sz w:val="18"/>
          <w:szCs w:val="18"/>
        </w:rPr>
        <w:t>First Home Owner Grant Act</w:t>
      </w:r>
      <w:r w:rsidRPr="003C4BD2">
        <w:rPr>
          <w:rFonts w:ascii="Arial" w:hAnsi="Arial" w:cs="Arial"/>
          <w:sz w:val="18"/>
          <w:szCs w:val="18"/>
        </w:rPr>
        <w:t>.</w:t>
      </w:r>
    </w:p>
  </w:footnote>
  <w:footnote w:id="4">
    <w:p w:rsidR="00904F68" w:rsidRPr="003C4BD2" w:rsidRDefault="00904F68" w:rsidP="00FA5694">
      <w:pPr>
        <w:pStyle w:val="FootnoteText"/>
        <w:rPr>
          <w:rFonts w:ascii="Arial" w:hAnsi="Arial" w:cs="Arial"/>
          <w:sz w:val="18"/>
          <w:szCs w:val="18"/>
        </w:rPr>
      </w:pPr>
      <w:r w:rsidRPr="003C4BD2">
        <w:rPr>
          <w:rStyle w:val="FootnoteReference"/>
          <w:sz w:val="18"/>
          <w:szCs w:val="18"/>
        </w:rPr>
        <w:footnoteRef/>
      </w:r>
      <w:r w:rsidRPr="003C4BD2">
        <w:rPr>
          <w:rFonts w:ascii="Arial" w:hAnsi="Arial" w:cs="Arial"/>
          <w:sz w:val="18"/>
          <w:szCs w:val="18"/>
        </w:rPr>
        <w:t xml:space="preserve"> Section 3A(2) of the </w:t>
      </w:r>
      <w:r w:rsidRPr="003C4BD2">
        <w:rPr>
          <w:rFonts w:ascii="Arial" w:hAnsi="Arial" w:cs="Arial"/>
          <w:i/>
          <w:sz w:val="18"/>
          <w:szCs w:val="18"/>
        </w:rPr>
        <w:t>De Facto Relationships Act</w:t>
      </w:r>
      <w:r w:rsidRPr="003C4BD2">
        <w:rPr>
          <w:rFonts w:ascii="Arial" w:hAnsi="Arial" w:cs="Arial"/>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68" w:rsidRDefault="00904F68" w:rsidP="00763A20">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04F68" w:rsidRDefault="00904F6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04F68" w:rsidRPr="003765CD" w:rsidRDefault="00904F68" w:rsidP="0019571B">
    <w:pPr>
      <w:pStyle w:val="NTTBodyText"/>
      <w:jc w:val="center"/>
      <w:rPr>
        <w:rStyle w:val="Heading2Char"/>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0152" w:rsidRDefault="00733450">
    <w:pPr>
      <w:pStyle w:val="Header"/>
    </w:pPr>
    <w:r>
      <w:rPr>
        <w:noProof/>
      </w:rPr>
      <w:drawing>
        <wp:anchor distT="0" distB="0" distL="114300" distR="114300" simplePos="0" relativeHeight="251657728" behindDoc="1" locked="0" layoutInCell="0" allowOverlap="1">
          <wp:simplePos x="0" y="0"/>
          <wp:positionH relativeFrom="page">
            <wp:posOffset>180340</wp:posOffset>
          </wp:positionH>
          <wp:positionV relativeFrom="page">
            <wp:posOffset>180340</wp:posOffset>
          </wp:positionV>
          <wp:extent cx="7188200" cy="895350"/>
          <wp:effectExtent l="0" t="0" r="0" b="0"/>
          <wp:wrapNone/>
          <wp:docPr id="6" name="Picture 6" descr="NTG logo and department name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TG logo and department name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88200" cy="895350"/>
                  </a:xfrm>
                  <a:prstGeom prst="rect">
                    <a:avLst/>
                  </a:prstGeom>
                  <a:noFill/>
                </pic:spPr>
              </pic:pic>
            </a:graphicData>
          </a:graphic>
          <wp14:sizeRelH relativeFrom="page">
            <wp14:pctWidth>0</wp14:pctWidth>
          </wp14:sizeRelH>
          <wp14:sizeRelV relativeFrom="page">
            <wp14:pctHeight>0</wp14:pctHeight>
          </wp14:sizeRelV>
        </wp:anchor>
      </w:drawing>
    </w:r>
  </w:p>
  <w:p w:rsidR="00904F68" w:rsidRDefault="00904F6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F74482B0"/>
    <w:lvl w:ilvl="0">
      <w:start w:val="1"/>
      <w:numFmt w:val="decimal"/>
      <w:pStyle w:val="ListNumber"/>
      <w:lvlText w:val="%1."/>
      <w:lvlJc w:val="left"/>
      <w:pPr>
        <w:tabs>
          <w:tab w:val="num" w:pos="360"/>
        </w:tabs>
        <w:ind w:left="360" w:hanging="360"/>
      </w:pPr>
    </w:lvl>
  </w:abstractNum>
  <w:abstractNum w:abstractNumId="1" w15:restartNumberingAfterBreak="0">
    <w:nsid w:val="02D310B8"/>
    <w:multiLevelType w:val="multilevel"/>
    <w:tmpl w:val="6DA248D0"/>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D593059"/>
    <w:multiLevelType w:val="multilevel"/>
    <w:tmpl w:val="88F6EEB2"/>
    <w:numStyleLink w:val="Text"/>
  </w:abstractNum>
  <w:abstractNum w:abstractNumId="3" w15:restartNumberingAfterBreak="0">
    <w:nsid w:val="0FC94AA2"/>
    <w:multiLevelType w:val="singleLevel"/>
    <w:tmpl w:val="25184BCA"/>
    <w:lvl w:ilvl="0">
      <w:start w:val="1"/>
      <w:numFmt w:val="decimal"/>
      <w:lvlText w:val="(%1)"/>
      <w:lvlJc w:val="left"/>
      <w:pPr>
        <w:tabs>
          <w:tab w:val="num" w:pos="375"/>
        </w:tabs>
        <w:ind w:left="375" w:hanging="375"/>
      </w:pPr>
      <w:rPr>
        <w:rFonts w:hint="default"/>
      </w:rPr>
    </w:lvl>
  </w:abstractNum>
  <w:abstractNum w:abstractNumId="4" w15:restartNumberingAfterBreak="0">
    <w:nsid w:val="1E903CE7"/>
    <w:multiLevelType w:val="multilevel"/>
    <w:tmpl w:val="88F6EEB2"/>
    <w:styleLink w:val="Text"/>
    <w:lvl w:ilvl="0">
      <w:start w:val="1"/>
      <w:numFmt w:val="decimal"/>
      <w:pStyle w:val="BlockText"/>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rPr>
        <w:rFonts w:hint="default"/>
      </w:rPr>
    </w:lvl>
    <w:lvl w:ilvl="3">
      <w:start w:val="1"/>
      <w:numFmt w:val="lowerLetter"/>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5" w15:restartNumberingAfterBreak="0">
    <w:nsid w:val="3AEC1FFA"/>
    <w:multiLevelType w:val="hybridMultilevel"/>
    <w:tmpl w:val="F8A4466E"/>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F0D1A6E"/>
    <w:multiLevelType w:val="multilevel"/>
    <w:tmpl w:val="74F6A72C"/>
    <w:lvl w:ilvl="0">
      <w:start w:val="1"/>
      <w:numFmt w:val="decimal"/>
      <w:lvlText w:val="%1."/>
      <w:lvlJc w:val="left"/>
      <w:pPr>
        <w:tabs>
          <w:tab w:val="num" w:pos="720"/>
        </w:tabs>
        <w:ind w:left="720" w:hanging="360"/>
      </w:pPr>
      <w:rPr>
        <w:rFonts w:ascii="Arial" w:hAnsi="Arial"/>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439B51DF"/>
    <w:multiLevelType w:val="multilevel"/>
    <w:tmpl w:val="0C09001F"/>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320"/>
        </w:tabs>
        <w:ind w:left="2736" w:hanging="936"/>
      </w:pPr>
    </w:lvl>
    <w:lvl w:ilvl="6">
      <w:start w:val="1"/>
      <w:numFmt w:val="decimal"/>
      <w:lvlText w:val="%1.%2.%3.%4.%5.%6.%7."/>
      <w:lvlJc w:val="left"/>
      <w:pPr>
        <w:tabs>
          <w:tab w:val="num" w:pos="5040"/>
        </w:tabs>
        <w:ind w:left="3240" w:hanging="1080"/>
      </w:pPr>
    </w:lvl>
    <w:lvl w:ilvl="7">
      <w:start w:val="1"/>
      <w:numFmt w:val="decimal"/>
      <w:lvlText w:val="%1.%2.%3.%4.%5.%6.%7.%8."/>
      <w:lvlJc w:val="left"/>
      <w:pPr>
        <w:tabs>
          <w:tab w:val="num" w:pos="5760"/>
        </w:tabs>
        <w:ind w:left="3744" w:hanging="1224"/>
      </w:pPr>
    </w:lvl>
    <w:lvl w:ilvl="8">
      <w:start w:val="1"/>
      <w:numFmt w:val="decimal"/>
      <w:lvlText w:val="%1.%2.%3.%4.%5.%6.%7.%8.%9."/>
      <w:lvlJc w:val="left"/>
      <w:pPr>
        <w:tabs>
          <w:tab w:val="num" w:pos="6480"/>
        </w:tabs>
        <w:ind w:left="4320" w:hanging="1440"/>
      </w:pPr>
    </w:lvl>
  </w:abstractNum>
  <w:abstractNum w:abstractNumId="8" w15:restartNumberingAfterBreak="0">
    <w:nsid w:val="442C0AE4"/>
    <w:multiLevelType w:val="hybridMultilevel"/>
    <w:tmpl w:val="DE948456"/>
    <w:lvl w:ilvl="0" w:tplc="D25466FC">
      <w:start w:val="1"/>
      <w:numFmt w:val="decimal"/>
      <w:lvlText w:val="%1)"/>
      <w:lvlJc w:val="left"/>
      <w:pPr>
        <w:tabs>
          <w:tab w:val="num" w:pos="757"/>
        </w:tabs>
        <w:ind w:left="757" w:hanging="397"/>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9160A02"/>
    <w:multiLevelType w:val="hybridMultilevel"/>
    <w:tmpl w:val="52CCE5EE"/>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4A167D18"/>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46C74E0"/>
    <w:multiLevelType w:val="hybridMultilevel"/>
    <w:tmpl w:val="089EF55E"/>
    <w:lvl w:ilvl="0" w:tplc="D25466FC">
      <w:start w:val="1"/>
      <w:numFmt w:val="decimal"/>
      <w:lvlText w:val="%1)"/>
      <w:lvlJc w:val="left"/>
      <w:pPr>
        <w:tabs>
          <w:tab w:val="num" w:pos="757"/>
        </w:tabs>
        <w:ind w:left="757" w:hanging="397"/>
      </w:pPr>
      <w:rPr>
        <w:rFonts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37A7D32"/>
    <w:multiLevelType w:val="hybridMultilevel"/>
    <w:tmpl w:val="630C3B86"/>
    <w:lvl w:ilvl="0" w:tplc="C4966800">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3" w15:restartNumberingAfterBreak="0">
    <w:nsid w:val="7294591F"/>
    <w:multiLevelType w:val="multilevel"/>
    <w:tmpl w:val="88F6EEB2"/>
    <w:numStyleLink w:val="Text"/>
  </w:abstractNum>
  <w:num w:numId="1">
    <w:abstractNumId w:val="13"/>
  </w:num>
  <w:num w:numId="2">
    <w:abstractNumId w:val="6"/>
  </w:num>
  <w:num w:numId="3">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4">
    <w:abstractNumId w:val="1"/>
  </w:num>
  <w:num w:numId="5">
    <w:abstractNumId w:val="2"/>
  </w:num>
  <w:num w:numId="6">
    <w:abstractNumId w:val="7"/>
  </w:num>
  <w:num w:numId="7">
    <w:abstractNumId w:val="10"/>
  </w:num>
  <w:num w:numId="8">
    <w:abstractNumId w:val="0"/>
  </w:num>
  <w:num w:numId="9">
    <w:abstractNumId w:val="3"/>
  </w:num>
  <w:num w:numId="10">
    <w:abstractNumId w:val="5"/>
  </w:num>
  <w:num w:numId="11">
    <w:abstractNumId w:val="9"/>
  </w:num>
  <w:num w:numId="12">
    <w:abstractNumId w:val="8"/>
  </w:num>
  <w:num w:numId="13">
    <w:abstractNumId w:val="11"/>
  </w:num>
  <w:num w:numId="14">
    <w:abstractNumId w:val="12"/>
  </w:num>
  <w:num w:numId="15">
    <w:abstractNumId w:val="4"/>
    <w:lvlOverride w:ilvl="0">
      <w:lvl w:ilvl="0">
        <w:start w:val="1"/>
        <w:numFmt w:val="decimal"/>
        <w:pStyle w:val="BlockText"/>
        <w:lvlText w:val="%1."/>
        <w:lvlJc w:val="left"/>
        <w:pPr>
          <w:tabs>
            <w:tab w:val="num" w:pos="567"/>
          </w:tabs>
          <w:ind w:left="567" w:hanging="567"/>
        </w:pPr>
        <w:rPr>
          <w:rFonts w:hint="default"/>
        </w:rPr>
      </w:lvl>
    </w:lvlOverride>
    <w:lvlOverride w:ilvl="1">
      <w:lvl w:ilvl="1">
        <w:start w:val="1"/>
        <w:numFmt w:val="decimal"/>
        <w:lvlText w:val="(%2)"/>
        <w:lvlJc w:val="left"/>
        <w:pPr>
          <w:tabs>
            <w:tab w:val="num" w:pos="1134"/>
          </w:tabs>
          <w:ind w:left="1134" w:hanging="567"/>
        </w:pPr>
        <w:rPr>
          <w:rFonts w:hint="default"/>
        </w:rPr>
      </w:lvl>
    </w:lvlOverride>
    <w:lvlOverride w:ilvl="2">
      <w:lvl w:ilvl="2">
        <w:start w:val="1"/>
        <w:numFmt w:val="lowerLetter"/>
        <w:lvlText w:val="(%3)"/>
        <w:lvlJc w:val="left"/>
        <w:pPr>
          <w:tabs>
            <w:tab w:val="num" w:pos="1701"/>
          </w:tabs>
          <w:ind w:left="1701" w:hanging="567"/>
        </w:pPr>
        <w:rPr>
          <w:rFonts w:hint="default"/>
        </w:rPr>
      </w:lvl>
    </w:lvlOverride>
    <w:lvlOverride w:ilvl="3">
      <w:lvl w:ilvl="3">
        <w:start w:val="1"/>
        <w:numFmt w:val="lowerRoman"/>
        <w:lvlText w:val="(%4)"/>
        <w:lvlJc w:val="left"/>
        <w:pPr>
          <w:tabs>
            <w:tab w:val="num" w:pos="2268"/>
          </w:tabs>
          <w:ind w:left="2268" w:hanging="567"/>
        </w:pPr>
        <w:rPr>
          <w:rFonts w:hint="default"/>
        </w:rPr>
      </w:lvl>
    </w:lvlOverride>
    <w:lvlOverride w:ilvl="4">
      <w:lvl w:ilvl="4">
        <w:start w:val="1"/>
        <w:numFmt w:val="decimal"/>
        <w:lvlText w:val="%1.%2.%3.%4.%5."/>
        <w:lvlJc w:val="left"/>
        <w:pPr>
          <w:tabs>
            <w:tab w:val="num" w:pos="2520"/>
          </w:tabs>
          <w:ind w:left="2232" w:hanging="792"/>
        </w:pPr>
        <w:rPr>
          <w:rFonts w:hint="default"/>
        </w:rPr>
      </w:lvl>
    </w:lvlOverride>
    <w:lvlOverride w:ilvl="5">
      <w:lvl w:ilvl="5">
        <w:start w:val="1"/>
        <w:numFmt w:val="decimal"/>
        <w:lvlText w:val="%1.%2.%3.%4.%5.%6."/>
        <w:lvlJc w:val="left"/>
        <w:pPr>
          <w:tabs>
            <w:tab w:val="num" w:pos="2880"/>
          </w:tabs>
          <w:ind w:left="2736" w:hanging="936"/>
        </w:pPr>
        <w:rPr>
          <w:rFonts w:hint="default"/>
        </w:rPr>
      </w:lvl>
    </w:lvlOverride>
    <w:lvlOverride w:ilvl="6">
      <w:lvl w:ilvl="6">
        <w:start w:val="1"/>
        <w:numFmt w:val="decimal"/>
        <w:lvlText w:val="%1.%2.%3.%4.%5.%6.%7."/>
        <w:lvlJc w:val="left"/>
        <w:pPr>
          <w:tabs>
            <w:tab w:val="num" w:pos="3600"/>
          </w:tabs>
          <w:ind w:left="3240" w:hanging="1080"/>
        </w:pPr>
        <w:rPr>
          <w:rFonts w:hint="default"/>
        </w:rPr>
      </w:lvl>
    </w:lvlOverride>
    <w:lvlOverride w:ilvl="7">
      <w:lvl w:ilvl="7">
        <w:start w:val="1"/>
        <w:numFmt w:val="decimal"/>
        <w:lvlText w:val="%1.%2.%3.%4.%5.%6.%7.%8."/>
        <w:lvlJc w:val="left"/>
        <w:pPr>
          <w:tabs>
            <w:tab w:val="num" w:pos="3960"/>
          </w:tabs>
          <w:ind w:left="3744" w:hanging="1224"/>
        </w:pPr>
        <w:rPr>
          <w:rFonts w:hint="default"/>
        </w:rPr>
      </w:lvl>
    </w:lvlOverride>
    <w:lvlOverride w:ilvl="8">
      <w:lvl w:ilvl="8">
        <w:start w:val="1"/>
        <w:numFmt w:val="decimal"/>
        <w:lvlText w:val="%1.%2.%3.%4.%5.%6.%7.%8.%9."/>
        <w:lvlJc w:val="left"/>
        <w:pPr>
          <w:tabs>
            <w:tab w:val="num" w:pos="4680"/>
          </w:tabs>
          <w:ind w:left="4320" w:hanging="1440"/>
        </w:pPr>
        <w:rPr>
          <w:rFonts w:hint="default"/>
        </w:rPr>
      </w:lvl>
    </w:lvlOverride>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readOnly" w:enforcement="1" w:cryptProviderType="rsaAES" w:cryptAlgorithmClass="hash" w:cryptAlgorithmType="typeAny" w:cryptAlgorithmSid="14" w:cryptSpinCount="100000" w:hash="R6d4YlfK6Y42Hfyzx8gyAvgHDivtFGtd3DF4o0NWd0IQ+oK82V8WBvETUHV2LBP2KEbzL2g3ElfrH6wmP+sN8A==" w:salt="L5e9Rn7v2DuUatOGQGNEr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1AFD"/>
    <w:rsid w:val="000060BF"/>
    <w:rsid w:val="000064CB"/>
    <w:rsid w:val="000077E4"/>
    <w:rsid w:val="000104AB"/>
    <w:rsid w:val="00010EEA"/>
    <w:rsid w:val="0002150C"/>
    <w:rsid w:val="00021859"/>
    <w:rsid w:val="00022413"/>
    <w:rsid w:val="00023645"/>
    <w:rsid w:val="00025614"/>
    <w:rsid w:val="000302C0"/>
    <w:rsid w:val="000333C6"/>
    <w:rsid w:val="000376B2"/>
    <w:rsid w:val="000424F1"/>
    <w:rsid w:val="00042BC9"/>
    <w:rsid w:val="00045CCE"/>
    <w:rsid w:val="00046838"/>
    <w:rsid w:val="0005160E"/>
    <w:rsid w:val="00054E58"/>
    <w:rsid w:val="00055A15"/>
    <w:rsid w:val="00055F6E"/>
    <w:rsid w:val="000567BE"/>
    <w:rsid w:val="0005747B"/>
    <w:rsid w:val="00063A93"/>
    <w:rsid w:val="00063EAC"/>
    <w:rsid w:val="000671A4"/>
    <w:rsid w:val="00067AE5"/>
    <w:rsid w:val="00070001"/>
    <w:rsid w:val="000755D7"/>
    <w:rsid w:val="00081963"/>
    <w:rsid w:val="00081984"/>
    <w:rsid w:val="000917B2"/>
    <w:rsid w:val="00094D2B"/>
    <w:rsid w:val="000968BE"/>
    <w:rsid w:val="000A058E"/>
    <w:rsid w:val="000A1789"/>
    <w:rsid w:val="000A57FE"/>
    <w:rsid w:val="000A5BAB"/>
    <w:rsid w:val="000A5FAF"/>
    <w:rsid w:val="000A6C0E"/>
    <w:rsid w:val="000A7ABD"/>
    <w:rsid w:val="000B1FE4"/>
    <w:rsid w:val="000C0DD5"/>
    <w:rsid w:val="000C2C04"/>
    <w:rsid w:val="000C3AD0"/>
    <w:rsid w:val="000C5DAB"/>
    <w:rsid w:val="000D21B9"/>
    <w:rsid w:val="000D4683"/>
    <w:rsid w:val="000D760C"/>
    <w:rsid w:val="000E26E6"/>
    <w:rsid w:val="000E4D8E"/>
    <w:rsid w:val="000F7515"/>
    <w:rsid w:val="00112237"/>
    <w:rsid w:val="001171EA"/>
    <w:rsid w:val="00117E21"/>
    <w:rsid w:val="00117F5D"/>
    <w:rsid w:val="00120400"/>
    <w:rsid w:val="0012101B"/>
    <w:rsid w:val="0012610A"/>
    <w:rsid w:val="001271FF"/>
    <w:rsid w:val="0013250A"/>
    <w:rsid w:val="0013303C"/>
    <w:rsid w:val="00134634"/>
    <w:rsid w:val="00135421"/>
    <w:rsid w:val="00135C96"/>
    <w:rsid w:val="001364CD"/>
    <w:rsid w:val="00136B67"/>
    <w:rsid w:val="001407E2"/>
    <w:rsid w:val="001422DD"/>
    <w:rsid w:val="001521B6"/>
    <w:rsid w:val="00153959"/>
    <w:rsid w:val="00153AFD"/>
    <w:rsid w:val="001545F9"/>
    <w:rsid w:val="001579C2"/>
    <w:rsid w:val="00160881"/>
    <w:rsid w:val="0016262C"/>
    <w:rsid w:val="00164258"/>
    <w:rsid w:val="00164A3A"/>
    <w:rsid w:val="00166509"/>
    <w:rsid w:val="00176573"/>
    <w:rsid w:val="0018229E"/>
    <w:rsid w:val="00184056"/>
    <w:rsid w:val="00184984"/>
    <w:rsid w:val="00184B7C"/>
    <w:rsid w:val="00187674"/>
    <w:rsid w:val="00192F6F"/>
    <w:rsid w:val="0019571B"/>
    <w:rsid w:val="0019660D"/>
    <w:rsid w:val="00196C1B"/>
    <w:rsid w:val="001971A1"/>
    <w:rsid w:val="0019771F"/>
    <w:rsid w:val="001A6196"/>
    <w:rsid w:val="001B43C0"/>
    <w:rsid w:val="001B51D7"/>
    <w:rsid w:val="001B71AE"/>
    <w:rsid w:val="001B7AC7"/>
    <w:rsid w:val="001C422C"/>
    <w:rsid w:val="001C4568"/>
    <w:rsid w:val="001D27E9"/>
    <w:rsid w:val="001D4089"/>
    <w:rsid w:val="001D5A9F"/>
    <w:rsid w:val="001D6742"/>
    <w:rsid w:val="001D69E9"/>
    <w:rsid w:val="001D7DC4"/>
    <w:rsid w:val="001E3578"/>
    <w:rsid w:val="001E6135"/>
    <w:rsid w:val="001F4991"/>
    <w:rsid w:val="001F5273"/>
    <w:rsid w:val="001F60FE"/>
    <w:rsid w:val="001F6B23"/>
    <w:rsid w:val="001F7B6E"/>
    <w:rsid w:val="0020232B"/>
    <w:rsid w:val="00204372"/>
    <w:rsid w:val="002048E7"/>
    <w:rsid w:val="00207E37"/>
    <w:rsid w:val="0021013B"/>
    <w:rsid w:val="00210686"/>
    <w:rsid w:val="002115E6"/>
    <w:rsid w:val="00211ADE"/>
    <w:rsid w:val="00215A9D"/>
    <w:rsid w:val="0021684D"/>
    <w:rsid w:val="00220E1E"/>
    <w:rsid w:val="00221114"/>
    <w:rsid w:val="0022361B"/>
    <w:rsid w:val="00224644"/>
    <w:rsid w:val="0022584E"/>
    <w:rsid w:val="002306CE"/>
    <w:rsid w:val="0023083D"/>
    <w:rsid w:val="002374AC"/>
    <w:rsid w:val="00237B7C"/>
    <w:rsid w:val="00240904"/>
    <w:rsid w:val="00242910"/>
    <w:rsid w:val="002440CC"/>
    <w:rsid w:val="0024545C"/>
    <w:rsid w:val="0024555A"/>
    <w:rsid w:val="002466CE"/>
    <w:rsid w:val="002524C0"/>
    <w:rsid w:val="002526A8"/>
    <w:rsid w:val="00252EA3"/>
    <w:rsid w:val="0025439F"/>
    <w:rsid w:val="002545A4"/>
    <w:rsid w:val="002546CB"/>
    <w:rsid w:val="002548C6"/>
    <w:rsid w:val="002555DE"/>
    <w:rsid w:val="00271740"/>
    <w:rsid w:val="0027710E"/>
    <w:rsid w:val="002863EF"/>
    <w:rsid w:val="00295BEF"/>
    <w:rsid w:val="00297E74"/>
    <w:rsid w:val="002A03A5"/>
    <w:rsid w:val="002A3775"/>
    <w:rsid w:val="002A5567"/>
    <w:rsid w:val="002A5623"/>
    <w:rsid w:val="002A7D1F"/>
    <w:rsid w:val="002B1738"/>
    <w:rsid w:val="002B1AFD"/>
    <w:rsid w:val="002C0386"/>
    <w:rsid w:val="002C1DA7"/>
    <w:rsid w:val="002C267D"/>
    <w:rsid w:val="002D4686"/>
    <w:rsid w:val="002D6B9D"/>
    <w:rsid w:val="002D7B81"/>
    <w:rsid w:val="002E1CE1"/>
    <w:rsid w:val="00301586"/>
    <w:rsid w:val="00307F79"/>
    <w:rsid w:val="00311AB6"/>
    <w:rsid w:val="00314B99"/>
    <w:rsid w:val="00314C98"/>
    <w:rsid w:val="00314E75"/>
    <w:rsid w:val="00323FDD"/>
    <w:rsid w:val="00324A20"/>
    <w:rsid w:val="003255FB"/>
    <w:rsid w:val="00327C11"/>
    <w:rsid w:val="00330CA3"/>
    <w:rsid w:val="00332D45"/>
    <w:rsid w:val="00340212"/>
    <w:rsid w:val="00343BDF"/>
    <w:rsid w:val="003455BA"/>
    <w:rsid w:val="003458E7"/>
    <w:rsid w:val="00350C52"/>
    <w:rsid w:val="00350DA3"/>
    <w:rsid w:val="0035373D"/>
    <w:rsid w:val="00354185"/>
    <w:rsid w:val="00354627"/>
    <w:rsid w:val="00355A73"/>
    <w:rsid w:val="00355AD3"/>
    <w:rsid w:val="003566B4"/>
    <w:rsid w:val="00360F71"/>
    <w:rsid w:val="003627B1"/>
    <w:rsid w:val="0036360A"/>
    <w:rsid w:val="003649F0"/>
    <w:rsid w:val="00364D5F"/>
    <w:rsid w:val="00365875"/>
    <w:rsid w:val="003659AD"/>
    <w:rsid w:val="00371470"/>
    <w:rsid w:val="00371523"/>
    <w:rsid w:val="00371DC6"/>
    <w:rsid w:val="00371E1A"/>
    <w:rsid w:val="0037513D"/>
    <w:rsid w:val="003765CD"/>
    <w:rsid w:val="00385103"/>
    <w:rsid w:val="00386424"/>
    <w:rsid w:val="00386D5A"/>
    <w:rsid w:val="0038749B"/>
    <w:rsid w:val="00393DD6"/>
    <w:rsid w:val="00394D70"/>
    <w:rsid w:val="0039737A"/>
    <w:rsid w:val="003A1411"/>
    <w:rsid w:val="003A525E"/>
    <w:rsid w:val="003A7455"/>
    <w:rsid w:val="003B21D5"/>
    <w:rsid w:val="003B4A50"/>
    <w:rsid w:val="003B4C4C"/>
    <w:rsid w:val="003B680A"/>
    <w:rsid w:val="003C1073"/>
    <w:rsid w:val="003C43E8"/>
    <w:rsid w:val="003C6832"/>
    <w:rsid w:val="003D0F41"/>
    <w:rsid w:val="003D26A8"/>
    <w:rsid w:val="003D3D24"/>
    <w:rsid w:val="003D400C"/>
    <w:rsid w:val="003D5245"/>
    <w:rsid w:val="003E04C0"/>
    <w:rsid w:val="003E23F6"/>
    <w:rsid w:val="003E2BB8"/>
    <w:rsid w:val="003E5274"/>
    <w:rsid w:val="003E62DE"/>
    <w:rsid w:val="003F5E2C"/>
    <w:rsid w:val="003F70DD"/>
    <w:rsid w:val="003F7195"/>
    <w:rsid w:val="003F73D3"/>
    <w:rsid w:val="003F7433"/>
    <w:rsid w:val="003F7BDE"/>
    <w:rsid w:val="00401F0A"/>
    <w:rsid w:val="004050CF"/>
    <w:rsid w:val="0041111B"/>
    <w:rsid w:val="004124F6"/>
    <w:rsid w:val="00412F76"/>
    <w:rsid w:val="004130A1"/>
    <w:rsid w:val="0041454C"/>
    <w:rsid w:val="00414746"/>
    <w:rsid w:val="004154A9"/>
    <w:rsid w:val="0041637D"/>
    <w:rsid w:val="0041795D"/>
    <w:rsid w:val="00422A24"/>
    <w:rsid w:val="00424DCE"/>
    <w:rsid w:val="004302A2"/>
    <w:rsid w:val="00430725"/>
    <w:rsid w:val="00431E0A"/>
    <w:rsid w:val="00432945"/>
    <w:rsid w:val="0043435F"/>
    <w:rsid w:val="00434F1E"/>
    <w:rsid w:val="004362E6"/>
    <w:rsid w:val="004379E6"/>
    <w:rsid w:val="004407DC"/>
    <w:rsid w:val="0045415A"/>
    <w:rsid w:val="0045697A"/>
    <w:rsid w:val="00456CDA"/>
    <w:rsid w:val="004572A6"/>
    <w:rsid w:val="00461243"/>
    <w:rsid w:val="00463743"/>
    <w:rsid w:val="004646F7"/>
    <w:rsid w:val="00465AB2"/>
    <w:rsid w:val="00466FB5"/>
    <w:rsid w:val="00470036"/>
    <w:rsid w:val="004707BC"/>
    <w:rsid w:val="004726D4"/>
    <w:rsid w:val="00473F14"/>
    <w:rsid w:val="004742EA"/>
    <w:rsid w:val="004743B6"/>
    <w:rsid w:val="00474B80"/>
    <w:rsid w:val="00476314"/>
    <w:rsid w:val="00476677"/>
    <w:rsid w:val="00481F7B"/>
    <w:rsid w:val="00482184"/>
    <w:rsid w:val="00482C30"/>
    <w:rsid w:val="00490396"/>
    <w:rsid w:val="0049040E"/>
    <w:rsid w:val="004909A0"/>
    <w:rsid w:val="00492379"/>
    <w:rsid w:val="004941E5"/>
    <w:rsid w:val="00494D6F"/>
    <w:rsid w:val="004A5CE6"/>
    <w:rsid w:val="004A60E1"/>
    <w:rsid w:val="004B003D"/>
    <w:rsid w:val="004B009E"/>
    <w:rsid w:val="004B39EB"/>
    <w:rsid w:val="004B4B9D"/>
    <w:rsid w:val="004C0D46"/>
    <w:rsid w:val="004C12DE"/>
    <w:rsid w:val="004C5782"/>
    <w:rsid w:val="004C5891"/>
    <w:rsid w:val="004C6027"/>
    <w:rsid w:val="004D038A"/>
    <w:rsid w:val="004D04AA"/>
    <w:rsid w:val="004D165E"/>
    <w:rsid w:val="004D3B44"/>
    <w:rsid w:val="004E08E7"/>
    <w:rsid w:val="004E09CA"/>
    <w:rsid w:val="004E391B"/>
    <w:rsid w:val="004E502F"/>
    <w:rsid w:val="004E5F24"/>
    <w:rsid w:val="004E69E8"/>
    <w:rsid w:val="004F103E"/>
    <w:rsid w:val="004F2FF7"/>
    <w:rsid w:val="00500BE6"/>
    <w:rsid w:val="0050534D"/>
    <w:rsid w:val="0051194C"/>
    <w:rsid w:val="00513926"/>
    <w:rsid w:val="00516D27"/>
    <w:rsid w:val="00517382"/>
    <w:rsid w:val="005205CA"/>
    <w:rsid w:val="00520F76"/>
    <w:rsid w:val="00522191"/>
    <w:rsid w:val="00525881"/>
    <w:rsid w:val="00525D35"/>
    <w:rsid w:val="0052614B"/>
    <w:rsid w:val="0052675D"/>
    <w:rsid w:val="00526B7A"/>
    <w:rsid w:val="00530165"/>
    <w:rsid w:val="005302CE"/>
    <w:rsid w:val="00532754"/>
    <w:rsid w:val="00536F37"/>
    <w:rsid w:val="00537837"/>
    <w:rsid w:val="005400EA"/>
    <w:rsid w:val="005419BC"/>
    <w:rsid w:val="005428F8"/>
    <w:rsid w:val="00542966"/>
    <w:rsid w:val="00545D20"/>
    <w:rsid w:val="005475C0"/>
    <w:rsid w:val="00547681"/>
    <w:rsid w:val="00551CBC"/>
    <w:rsid w:val="00552851"/>
    <w:rsid w:val="00555249"/>
    <w:rsid w:val="0056224B"/>
    <w:rsid w:val="005628C3"/>
    <w:rsid w:val="00566890"/>
    <w:rsid w:val="005707AB"/>
    <w:rsid w:val="00572867"/>
    <w:rsid w:val="00573A16"/>
    <w:rsid w:val="0058140E"/>
    <w:rsid w:val="00581D64"/>
    <w:rsid w:val="00582D7B"/>
    <w:rsid w:val="005855C5"/>
    <w:rsid w:val="0058646E"/>
    <w:rsid w:val="00587446"/>
    <w:rsid w:val="00596353"/>
    <w:rsid w:val="00596B7E"/>
    <w:rsid w:val="005A0101"/>
    <w:rsid w:val="005A6A98"/>
    <w:rsid w:val="005A6EAB"/>
    <w:rsid w:val="005B03D6"/>
    <w:rsid w:val="005B3B6D"/>
    <w:rsid w:val="005B419B"/>
    <w:rsid w:val="005B43D5"/>
    <w:rsid w:val="005B4B9A"/>
    <w:rsid w:val="005B5511"/>
    <w:rsid w:val="005C3120"/>
    <w:rsid w:val="005D0992"/>
    <w:rsid w:val="005D3D2F"/>
    <w:rsid w:val="005D4468"/>
    <w:rsid w:val="005D54FC"/>
    <w:rsid w:val="005E5A0B"/>
    <w:rsid w:val="005E722D"/>
    <w:rsid w:val="005F0CAA"/>
    <w:rsid w:val="005F1765"/>
    <w:rsid w:val="005F21D9"/>
    <w:rsid w:val="006023B8"/>
    <w:rsid w:val="0060284F"/>
    <w:rsid w:val="006034B6"/>
    <w:rsid w:val="00605813"/>
    <w:rsid w:val="00605CAB"/>
    <w:rsid w:val="006102F8"/>
    <w:rsid w:val="00612FBB"/>
    <w:rsid w:val="0061625F"/>
    <w:rsid w:val="006226DC"/>
    <w:rsid w:val="00623756"/>
    <w:rsid w:val="00624CDA"/>
    <w:rsid w:val="00626B28"/>
    <w:rsid w:val="00630FFB"/>
    <w:rsid w:val="00632A1A"/>
    <w:rsid w:val="00634CF3"/>
    <w:rsid w:val="00635C62"/>
    <w:rsid w:val="00635F78"/>
    <w:rsid w:val="00637CE2"/>
    <w:rsid w:val="00645230"/>
    <w:rsid w:val="00645F0D"/>
    <w:rsid w:val="006501B7"/>
    <w:rsid w:val="00654280"/>
    <w:rsid w:val="006552F7"/>
    <w:rsid w:val="006575EA"/>
    <w:rsid w:val="0066709F"/>
    <w:rsid w:val="006831AE"/>
    <w:rsid w:val="0069461E"/>
    <w:rsid w:val="006A21A5"/>
    <w:rsid w:val="006A30C4"/>
    <w:rsid w:val="006A356D"/>
    <w:rsid w:val="006B002A"/>
    <w:rsid w:val="006B0776"/>
    <w:rsid w:val="006B19DB"/>
    <w:rsid w:val="006B3D13"/>
    <w:rsid w:val="006B455C"/>
    <w:rsid w:val="006B605D"/>
    <w:rsid w:val="006B7698"/>
    <w:rsid w:val="006C05D0"/>
    <w:rsid w:val="006C1229"/>
    <w:rsid w:val="006C12B1"/>
    <w:rsid w:val="006C1DE3"/>
    <w:rsid w:val="006C360A"/>
    <w:rsid w:val="006D0C05"/>
    <w:rsid w:val="006D19A1"/>
    <w:rsid w:val="006D2EF5"/>
    <w:rsid w:val="006D31BF"/>
    <w:rsid w:val="006D34E1"/>
    <w:rsid w:val="006D7D4A"/>
    <w:rsid w:val="006E03DB"/>
    <w:rsid w:val="006E0735"/>
    <w:rsid w:val="006E1D97"/>
    <w:rsid w:val="006E32F6"/>
    <w:rsid w:val="006E3A88"/>
    <w:rsid w:val="006E3FC6"/>
    <w:rsid w:val="006E79AA"/>
    <w:rsid w:val="006F1AB6"/>
    <w:rsid w:val="006F56AA"/>
    <w:rsid w:val="006F5C85"/>
    <w:rsid w:val="006F78F1"/>
    <w:rsid w:val="00700C9F"/>
    <w:rsid w:val="00703666"/>
    <w:rsid w:val="0070603B"/>
    <w:rsid w:val="00706F00"/>
    <w:rsid w:val="00713E0D"/>
    <w:rsid w:val="00720153"/>
    <w:rsid w:val="00724967"/>
    <w:rsid w:val="00727BC9"/>
    <w:rsid w:val="00731530"/>
    <w:rsid w:val="00733450"/>
    <w:rsid w:val="00736DB7"/>
    <w:rsid w:val="0074419C"/>
    <w:rsid w:val="007445E4"/>
    <w:rsid w:val="007501B1"/>
    <w:rsid w:val="0075176D"/>
    <w:rsid w:val="0075179B"/>
    <w:rsid w:val="00753B4C"/>
    <w:rsid w:val="007553B7"/>
    <w:rsid w:val="00755BFC"/>
    <w:rsid w:val="007572CE"/>
    <w:rsid w:val="00757465"/>
    <w:rsid w:val="00761932"/>
    <w:rsid w:val="00762067"/>
    <w:rsid w:val="00762918"/>
    <w:rsid w:val="00762969"/>
    <w:rsid w:val="00763A20"/>
    <w:rsid w:val="00767E45"/>
    <w:rsid w:val="007719DE"/>
    <w:rsid w:val="007735E7"/>
    <w:rsid w:val="00773B36"/>
    <w:rsid w:val="00777491"/>
    <w:rsid w:val="00780551"/>
    <w:rsid w:val="00780F8C"/>
    <w:rsid w:val="007817A1"/>
    <w:rsid w:val="007829AE"/>
    <w:rsid w:val="00784A94"/>
    <w:rsid w:val="00787076"/>
    <w:rsid w:val="00791ACA"/>
    <w:rsid w:val="00797A22"/>
    <w:rsid w:val="007A07E8"/>
    <w:rsid w:val="007A442B"/>
    <w:rsid w:val="007A553D"/>
    <w:rsid w:val="007B1307"/>
    <w:rsid w:val="007B51DD"/>
    <w:rsid w:val="007B7CC0"/>
    <w:rsid w:val="007C0E96"/>
    <w:rsid w:val="007C1D40"/>
    <w:rsid w:val="007C4B87"/>
    <w:rsid w:val="007C62CA"/>
    <w:rsid w:val="007C71F4"/>
    <w:rsid w:val="007D290F"/>
    <w:rsid w:val="007D34CA"/>
    <w:rsid w:val="007D40A4"/>
    <w:rsid w:val="007D4D03"/>
    <w:rsid w:val="007D7071"/>
    <w:rsid w:val="007E18FA"/>
    <w:rsid w:val="007E1C53"/>
    <w:rsid w:val="007E4470"/>
    <w:rsid w:val="007E6321"/>
    <w:rsid w:val="007E6726"/>
    <w:rsid w:val="007F0790"/>
    <w:rsid w:val="007F10F3"/>
    <w:rsid w:val="007F23CE"/>
    <w:rsid w:val="007F3D47"/>
    <w:rsid w:val="007F458D"/>
    <w:rsid w:val="007F5FDB"/>
    <w:rsid w:val="007F658A"/>
    <w:rsid w:val="007F78D8"/>
    <w:rsid w:val="008049A2"/>
    <w:rsid w:val="00807DD2"/>
    <w:rsid w:val="0081131C"/>
    <w:rsid w:val="00811CC7"/>
    <w:rsid w:val="00821BA6"/>
    <w:rsid w:val="00824BAA"/>
    <w:rsid w:val="00824DF7"/>
    <w:rsid w:val="00827A50"/>
    <w:rsid w:val="008323D0"/>
    <w:rsid w:val="00832DC1"/>
    <w:rsid w:val="0084462A"/>
    <w:rsid w:val="008525BF"/>
    <w:rsid w:val="00854345"/>
    <w:rsid w:val="00855DA8"/>
    <w:rsid w:val="008612CE"/>
    <w:rsid w:val="008618DE"/>
    <w:rsid w:val="008642D5"/>
    <w:rsid w:val="00864645"/>
    <w:rsid w:val="00865384"/>
    <w:rsid w:val="00866773"/>
    <w:rsid w:val="00874692"/>
    <w:rsid w:val="00875635"/>
    <w:rsid w:val="00880CC9"/>
    <w:rsid w:val="0088327C"/>
    <w:rsid w:val="0088762D"/>
    <w:rsid w:val="008877ED"/>
    <w:rsid w:val="00890996"/>
    <w:rsid w:val="00890DB6"/>
    <w:rsid w:val="008933D8"/>
    <w:rsid w:val="008A0085"/>
    <w:rsid w:val="008A0833"/>
    <w:rsid w:val="008A0912"/>
    <w:rsid w:val="008A0DC2"/>
    <w:rsid w:val="008A3E60"/>
    <w:rsid w:val="008A43A5"/>
    <w:rsid w:val="008A7265"/>
    <w:rsid w:val="008B23E9"/>
    <w:rsid w:val="008B3039"/>
    <w:rsid w:val="008B5C2E"/>
    <w:rsid w:val="008B6E49"/>
    <w:rsid w:val="008B7016"/>
    <w:rsid w:val="008C0559"/>
    <w:rsid w:val="008C1207"/>
    <w:rsid w:val="008C3763"/>
    <w:rsid w:val="008D038F"/>
    <w:rsid w:val="008D0BA9"/>
    <w:rsid w:val="008D2392"/>
    <w:rsid w:val="008D5BB0"/>
    <w:rsid w:val="008D7117"/>
    <w:rsid w:val="008E1DC7"/>
    <w:rsid w:val="008E5AC0"/>
    <w:rsid w:val="008E6244"/>
    <w:rsid w:val="008F2A38"/>
    <w:rsid w:val="008F3E64"/>
    <w:rsid w:val="008F5DAC"/>
    <w:rsid w:val="008F7654"/>
    <w:rsid w:val="0090119B"/>
    <w:rsid w:val="0090131A"/>
    <w:rsid w:val="00902884"/>
    <w:rsid w:val="00903EAE"/>
    <w:rsid w:val="00904F68"/>
    <w:rsid w:val="009069DD"/>
    <w:rsid w:val="00910152"/>
    <w:rsid w:val="0091589D"/>
    <w:rsid w:val="0092764A"/>
    <w:rsid w:val="009312EE"/>
    <w:rsid w:val="00931A46"/>
    <w:rsid w:val="009329EC"/>
    <w:rsid w:val="009342C0"/>
    <w:rsid w:val="0093733C"/>
    <w:rsid w:val="00944373"/>
    <w:rsid w:val="00944463"/>
    <w:rsid w:val="0094548B"/>
    <w:rsid w:val="00945A49"/>
    <w:rsid w:val="00947358"/>
    <w:rsid w:val="00951504"/>
    <w:rsid w:val="00955AC5"/>
    <w:rsid w:val="00956834"/>
    <w:rsid w:val="0096299F"/>
    <w:rsid w:val="00966B8B"/>
    <w:rsid w:val="00971B1A"/>
    <w:rsid w:val="00972562"/>
    <w:rsid w:val="0097383F"/>
    <w:rsid w:val="00981A37"/>
    <w:rsid w:val="00981DD0"/>
    <w:rsid w:val="009912B8"/>
    <w:rsid w:val="00993121"/>
    <w:rsid w:val="0099370B"/>
    <w:rsid w:val="00993BA5"/>
    <w:rsid w:val="009A4C0F"/>
    <w:rsid w:val="009A5957"/>
    <w:rsid w:val="009A5B4C"/>
    <w:rsid w:val="009A75A0"/>
    <w:rsid w:val="009B08B2"/>
    <w:rsid w:val="009B13A1"/>
    <w:rsid w:val="009B1546"/>
    <w:rsid w:val="009B1644"/>
    <w:rsid w:val="009C3519"/>
    <w:rsid w:val="009C414E"/>
    <w:rsid w:val="009D0425"/>
    <w:rsid w:val="009D1CC1"/>
    <w:rsid w:val="009D385D"/>
    <w:rsid w:val="009D5D56"/>
    <w:rsid w:val="009D5DA2"/>
    <w:rsid w:val="009E0273"/>
    <w:rsid w:val="009E1CE4"/>
    <w:rsid w:val="009E2103"/>
    <w:rsid w:val="009E21DC"/>
    <w:rsid w:val="009E7450"/>
    <w:rsid w:val="009F372D"/>
    <w:rsid w:val="009F3A74"/>
    <w:rsid w:val="009F48CB"/>
    <w:rsid w:val="009F5A99"/>
    <w:rsid w:val="009F6DAD"/>
    <w:rsid w:val="009F73C1"/>
    <w:rsid w:val="009F759A"/>
    <w:rsid w:val="00A00C96"/>
    <w:rsid w:val="00A00F49"/>
    <w:rsid w:val="00A00FF6"/>
    <w:rsid w:val="00A03DF6"/>
    <w:rsid w:val="00A047F2"/>
    <w:rsid w:val="00A06FB0"/>
    <w:rsid w:val="00A10398"/>
    <w:rsid w:val="00A10DB1"/>
    <w:rsid w:val="00A15B51"/>
    <w:rsid w:val="00A16927"/>
    <w:rsid w:val="00A2194D"/>
    <w:rsid w:val="00A23E15"/>
    <w:rsid w:val="00A255CB"/>
    <w:rsid w:val="00A27062"/>
    <w:rsid w:val="00A271E9"/>
    <w:rsid w:val="00A3089F"/>
    <w:rsid w:val="00A30A6C"/>
    <w:rsid w:val="00A36699"/>
    <w:rsid w:val="00A40040"/>
    <w:rsid w:val="00A42421"/>
    <w:rsid w:val="00A45774"/>
    <w:rsid w:val="00A4644E"/>
    <w:rsid w:val="00A47EC0"/>
    <w:rsid w:val="00A537CF"/>
    <w:rsid w:val="00A5494C"/>
    <w:rsid w:val="00A55ECC"/>
    <w:rsid w:val="00A57A39"/>
    <w:rsid w:val="00A60570"/>
    <w:rsid w:val="00A608B1"/>
    <w:rsid w:val="00A641DF"/>
    <w:rsid w:val="00A65BF5"/>
    <w:rsid w:val="00A7187B"/>
    <w:rsid w:val="00A728DB"/>
    <w:rsid w:val="00A73C0C"/>
    <w:rsid w:val="00A8134F"/>
    <w:rsid w:val="00A81BDC"/>
    <w:rsid w:val="00A822A4"/>
    <w:rsid w:val="00A82727"/>
    <w:rsid w:val="00A8454A"/>
    <w:rsid w:val="00A84B88"/>
    <w:rsid w:val="00A87CCF"/>
    <w:rsid w:val="00A94CD2"/>
    <w:rsid w:val="00A968CE"/>
    <w:rsid w:val="00A97CCB"/>
    <w:rsid w:val="00A97DEC"/>
    <w:rsid w:val="00AA04C3"/>
    <w:rsid w:val="00AA0714"/>
    <w:rsid w:val="00AA548A"/>
    <w:rsid w:val="00AA6273"/>
    <w:rsid w:val="00AA632B"/>
    <w:rsid w:val="00AA7082"/>
    <w:rsid w:val="00AB1281"/>
    <w:rsid w:val="00AB12AD"/>
    <w:rsid w:val="00AB22EA"/>
    <w:rsid w:val="00AB3949"/>
    <w:rsid w:val="00AB3EA7"/>
    <w:rsid w:val="00AB4AB1"/>
    <w:rsid w:val="00AB5CE5"/>
    <w:rsid w:val="00AC0479"/>
    <w:rsid w:val="00AC5873"/>
    <w:rsid w:val="00AC5D5D"/>
    <w:rsid w:val="00AC6677"/>
    <w:rsid w:val="00AD2225"/>
    <w:rsid w:val="00AD5CC0"/>
    <w:rsid w:val="00AD5EAB"/>
    <w:rsid w:val="00AD5EAF"/>
    <w:rsid w:val="00AE0B75"/>
    <w:rsid w:val="00AE2154"/>
    <w:rsid w:val="00AF2DB3"/>
    <w:rsid w:val="00AF35EB"/>
    <w:rsid w:val="00AF42F0"/>
    <w:rsid w:val="00AF5B58"/>
    <w:rsid w:val="00B0128A"/>
    <w:rsid w:val="00B01BD5"/>
    <w:rsid w:val="00B02AB8"/>
    <w:rsid w:val="00B03943"/>
    <w:rsid w:val="00B11074"/>
    <w:rsid w:val="00B1182A"/>
    <w:rsid w:val="00B142D1"/>
    <w:rsid w:val="00B14E33"/>
    <w:rsid w:val="00B1670C"/>
    <w:rsid w:val="00B16B84"/>
    <w:rsid w:val="00B17B7E"/>
    <w:rsid w:val="00B21D03"/>
    <w:rsid w:val="00B23100"/>
    <w:rsid w:val="00B3069E"/>
    <w:rsid w:val="00B407CC"/>
    <w:rsid w:val="00B5270D"/>
    <w:rsid w:val="00B54F76"/>
    <w:rsid w:val="00B555A0"/>
    <w:rsid w:val="00B60FD0"/>
    <w:rsid w:val="00B621B6"/>
    <w:rsid w:val="00B63555"/>
    <w:rsid w:val="00B71990"/>
    <w:rsid w:val="00B71D61"/>
    <w:rsid w:val="00B828A5"/>
    <w:rsid w:val="00B82C46"/>
    <w:rsid w:val="00B85594"/>
    <w:rsid w:val="00B921A2"/>
    <w:rsid w:val="00BA093E"/>
    <w:rsid w:val="00BA0D70"/>
    <w:rsid w:val="00BA24A6"/>
    <w:rsid w:val="00BA263D"/>
    <w:rsid w:val="00BA2971"/>
    <w:rsid w:val="00BA3777"/>
    <w:rsid w:val="00BA48FA"/>
    <w:rsid w:val="00BA4ABE"/>
    <w:rsid w:val="00BA63DE"/>
    <w:rsid w:val="00BA6FAF"/>
    <w:rsid w:val="00BB0A32"/>
    <w:rsid w:val="00BB0B06"/>
    <w:rsid w:val="00BB2188"/>
    <w:rsid w:val="00BB2AF0"/>
    <w:rsid w:val="00BC0077"/>
    <w:rsid w:val="00BC590E"/>
    <w:rsid w:val="00BD047B"/>
    <w:rsid w:val="00BD2B44"/>
    <w:rsid w:val="00BD2C00"/>
    <w:rsid w:val="00BE1391"/>
    <w:rsid w:val="00BE71B8"/>
    <w:rsid w:val="00BE7723"/>
    <w:rsid w:val="00BE7D5F"/>
    <w:rsid w:val="00BF25BF"/>
    <w:rsid w:val="00BF59C3"/>
    <w:rsid w:val="00BF618D"/>
    <w:rsid w:val="00BF79D3"/>
    <w:rsid w:val="00BF7C7C"/>
    <w:rsid w:val="00C02729"/>
    <w:rsid w:val="00C031CD"/>
    <w:rsid w:val="00C03D88"/>
    <w:rsid w:val="00C03F77"/>
    <w:rsid w:val="00C04FF1"/>
    <w:rsid w:val="00C1093F"/>
    <w:rsid w:val="00C12329"/>
    <w:rsid w:val="00C21CAC"/>
    <w:rsid w:val="00C2238C"/>
    <w:rsid w:val="00C23AEC"/>
    <w:rsid w:val="00C23F02"/>
    <w:rsid w:val="00C24755"/>
    <w:rsid w:val="00C2528A"/>
    <w:rsid w:val="00C254DF"/>
    <w:rsid w:val="00C26AF2"/>
    <w:rsid w:val="00C27A0A"/>
    <w:rsid w:val="00C30D67"/>
    <w:rsid w:val="00C319F4"/>
    <w:rsid w:val="00C32D2A"/>
    <w:rsid w:val="00C335F2"/>
    <w:rsid w:val="00C33F90"/>
    <w:rsid w:val="00C35B2A"/>
    <w:rsid w:val="00C368C0"/>
    <w:rsid w:val="00C37B99"/>
    <w:rsid w:val="00C37DC4"/>
    <w:rsid w:val="00C432A7"/>
    <w:rsid w:val="00C44F7F"/>
    <w:rsid w:val="00C45C9C"/>
    <w:rsid w:val="00C45FB9"/>
    <w:rsid w:val="00C47288"/>
    <w:rsid w:val="00C51229"/>
    <w:rsid w:val="00C55095"/>
    <w:rsid w:val="00C613A4"/>
    <w:rsid w:val="00C63A22"/>
    <w:rsid w:val="00C666F3"/>
    <w:rsid w:val="00C67A86"/>
    <w:rsid w:val="00C73435"/>
    <w:rsid w:val="00C75F63"/>
    <w:rsid w:val="00C7642D"/>
    <w:rsid w:val="00C80B4A"/>
    <w:rsid w:val="00C83BA4"/>
    <w:rsid w:val="00C8698C"/>
    <w:rsid w:val="00C90E10"/>
    <w:rsid w:val="00C914DE"/>
    <w:rsid w:val="00C92230"/>
    <w:rsid w:val="00C93068"/>
    <w:rsid w:val="00C93DBA"/>
    <w:rsid w:val="00C973DA"/>
    <w:rsid w:val="00CA4134"/>
    <w:rsid w:val="00CA44FC"/>
    <w:rsid w:val="00CA7A00"/>
    <w:rsid w:val="00CB2CDF"/>
    <w:rsid w:val="00CB5202"/>
    <w:rsid w:val="00CB556E"/>
    <w:rsid w:val="00CB6136"/>
    <w:rsid w:val="00CB634F"/>
    <w:rsid w:val="00CB7F80"/>
    <w:rsid w:val="00CC11D8"/>
    <w:rsid w:val="00CC1325"/>
    <w:rsid w:val="00CC1B04"/>
    <w:rsid w:val="00CD39D8"/>
    <w:rsid w:val="00CD3BEC"/>
    <w:rsid w:val="00CD41B4"/>
    <w:rsid w:val="00CD472A"/>
    <w:rsid w:val="00CD5754"/>
    <w:rsid w:val="00CD6756"/>
    <w:rsid w:val="00CE0218"/>
    <w:rsid w:val="00CE2985"/>
    <w:rsid w:val="00CF094D"/>
    <w:rsid w:val="00CF1679"/>
    <w:rsid w:val="00CF26C4"/>
    <w:rsid w:val="00CF3458"/>
    <w:rsid w:val="00CF76E8"/>
    <w:rsid w:val="00CF7CE4"/>
    <w:rsid w:val="00D00D00"/>
    <w:rsid w:val="00D01D91"/>
    <w:rsid w:val="00D01EDD"/>
    <w:rsid w:val="00D10561"/>
    <w:rsid w:val="00D10715"/>
    <w:rsid w:val="00D1271C"/>
    <w:rsid w:val="00D1311C"/>
    <w:rsid w:val="00D14B39"/>
    <w:rsid w:val="00D15DC7"/>
    <w:rsid w:val="00D2734D"/>
    <w:rsid w:val="00D30790"/>
    <w:rsid w:val="00D40FB2"/>
    <w:rsid w:val="00D426E7"/>
    <w:rsid w:val="00D44B5C"/>
    <w:rsid w:val="00D4588E"/>
    <w:rsid w:val="00D4597F"/>
    <w:rsid w:val="00D46D7A"/>
    <w:rsid w:val="00D47F5D"/>
    <w:rsid w:val="00D52970"/>
    <w:rsid w:val="00D54990"/>
    <w:rsid w:val="00D54F29"/>
    <w:rsid w:val="00D61191"/>
    <w:rsid w:val="00D62D54"/>
    <w:rsid w:val="00D63C57"/>
    <w:rsid w:val="00D65C30"/>
    <w:rsid w:val="00D6670A"/>
    <w:rsid w:val="00D71F16"/>
    <w:rsid w:val="00D73CD8"/>
    <w:rsid w:val="00D81604"/>
    <w:rsid w:val="00D90F1C"/>
    <w:rsid w:val="00D91A6D"/>
    <w:rsid w:val="00D91D80"/>
    <w:rsid w:val="00D94CCC"/>
    <w:rsid w:val="00D95631"/>
    <w:rsid w:val="00D9777E"/>
    <w:rsid w:val="00D97E0B"/>
    <w:rsid w:val="00D97F9A"/>
    <w:rsid w:val="00DA0588"/>
    <w:rsid w:val="00DA3638"/>
    <w:rsid w:val="00DA4644"/>
    <w:rsid w:val="00DA73FE"/>
    <w:rsid w:val="00DB3E79"/>
    <w:rsid w:val="00DB70C4"/>
    <w:rsid w:val="00DB7968"/>
    <w:rsid w:val="00DB7D4C"/>
    <w:rsid w:val="00DC332A"/>
    <w:rsid w:val="00DC3F21"/>
    <w:rsid w:val="00DC3F78"/>
    <w:rsid w:val="00DC41DE"/>
    <w:rsid w:val="00DC75B8"/>
    <w:rsid w:val="00DD2AC4"/>
    <w:rsid w:val="00DD2FFB"/>
    <w:rsid w:val="00DD3F35"/>
    <w:rsid w:val="00DD494A"/>
    <w:rsid w:val="00DD79F0"/>
    <w:rsid w:val="00DE2A7B"/>
    <w:rsid w:val="00DE64A9"/>
    <w:rsid w:val="00DF40ED"/>
    <w:rsid w:val="00E01CEC"/>
    <w:rsid w:val="00E0391A"/>
    <w:rsid w:val="00E03A9E"/>
    <w:rsid w:val="00E03E65"/>
    <w:rsid w:val="00E07172"/>
    <w:rsid w:val="00E120D0"/>
    <w:rsid w:val="00E149DA"/>
    <w:rsid w:val="00E21F41"/>
    <w:rsid w:val="00E229A3"/>
    <w:rsid w:val="00E26BA3"/>
    <w:rsid w:val="00E33ABF"/>
    <w:rsid w:val="00E50EEB"/>
    <w:rsid w:val="00E51BC9"/>
    <w:rsid w:val="00E51FE4"/>
    <w:rsid w:val="00E55AAB"/>
    <w:rsid w:val="00E564E8"/>
    <w:rsid w:val="00E65FE2"/>
    <w:rsid w:val="00E71056"/>
    <w:rsid w:val="00E718BD"/>
    <w:rsid w:val="00E722AF"/>
    <w:rsid w:val="00E80CEE"/>
    <w:rsid w:val="00E82C12"/>
    <w:rsid w:val="00E84A38"/>
    <w:rsid w:val="00E95529"/>
    <w:rsid w:val="00EA01AC"/>
    <w:rsid w:val="00EA0B33"/>
    <w:rsid w:val="00EA100C"/>
    <w:rsid w:val="00EA5777"/>
    <w:rsid w:val="00EB4DF2"/>
    <w:rsid w:val="00EB5C29"/>
    <w:rsid w:val="00EC10FD"/>
    <w:rsid w:val="00EC1254"/>
    <w:rsid w:val="00EC14FC"/>
    <w:rsid w:val="00EC4686"/>
    <w:rsid w:val="00EC584F"/>
    <w:rsid w:val="00ED07DF"/>
    <w:rsid w:val="00ED0B9A"/>
    <w:rsid w:val="00ED0D88"/>
    <w:rsid w:val="00ED3D74"/>
    <w:rsid w:val="00ED77E0"/>
    <w:rsid w:val="00ED7B90"/>
    <w:rsid w:val="00EE1282"/>
    <w:rsid w:val="00EE2D47"/>
    <w:rsid w:val="00EE37D3"/>
    <w:rsid w:val="00EF0350"/>
    <w:rsid w:val="00EF0F77"/>
    <w:rsid w:val="00F00E4D"/>
    <w:rsid w:val="00F07436"/>
    <w:rsid w:val="00F078AC"/>
    <w:rsid w:val="00F10AF7"/>
    <w:rsid w:val="00F12497"/>
    <w:rsid w:val="00F21E75"/>
    <w:rsid w:val="00F266D3"/>
    <w:rsid w:val="00F26C6C"/>
    <w:rsid w:val="00F26E96"/>
    <w:rsid w:val="00F2739F"/>
    <w:rsid w:val="00F30797"/>
    <w:rsid w:val="00F35A52"/>
    <w:rsid w:val="00F41CD5"/>
    <w:rsid w:val="00F43570"/>
    <w:rsid w:val="00F45A80"/>
    <w:rsid w:val="00F4720B"/>
    <w:rsid w:val="00F53BD0"/>
    <w:rsid w:val="00F54441"/>
    <w:rsid w:val="00F54766"/>
    <w:rsid w:val="00F65356"/>
    <w:rsid w:val="00F6561C"/>
    <w:rsid w:val="00F65883"/>
    <w:rsid w:val="00F775A7"/>
    <w:rsid w:val="00F81AB7"/>
    <w:rsid w:val="00F83718"/>
    <w:rsid w:val="00F84042"/>
    <w:rsid w:val="00F85133"/>
    <w:rsid w:val="00F87C5E"/>
    <w:rsid w:val="00F9092C"/>
    <w:rsid w:val="00F93BC7"/>
    <w:rsid w:val="00F94421"/>
    <w:rsid w:val="00F946ED"/>
    <w:rsid w:val="00F965BC"/>
    <w:rsid w:val="00FA2A4F"/>
    <w:rsid w:val="00FA2CCF"/>
    <w:rsid w:val="00FA3740"/>
    <w:rsid w:val="00FA3A1B"/>
    <w:rsid w:val="00FA5694"/>
    <w:rsid w:val="00FB0857"/>
    <w:rsid w:val="00FB13A9"/>
    <w:rsid w:val="00FB265C"/>
    <w:rsid w:val="00FB556D"/>
    <w:rsid w:val="00FC033B"/>
    <w:rsid w:val="00FC0B62"/>
    <w:rsid w:val="00FC2011"/>
    <w:rsid w:val="00FC2B90"/>
    <w:rsid w:val="00FC4A2E"/>
    <w:rsid w:val="00FC6726"/>
    <w:rsid w:val="00FD4385"/>
    <w:rsid w:val="00FD5FBD"/>
    <w:rsid w:val="00FE2CB7"/>
    <w:rsid w:val="00FE4969"/>
    <w:rsid w:val="00FE5B14"/>
    <w:rsid w:val="00FF07C1"/>
    <w:rsid w:val="00FF2B51"/>
    <w:rsid w:val="00FF45F4"/>
    <w:rsid w:val="00FF5EC5"/>
    <w:rsid w:val="00FF61E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48E91DB2"/>
  <w15:docId w15:val="{90F0350A-B13C-4AE5-A640-9E301D4E0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7A0A"/>
    <w:rPr>
      <w:rFonts w:ascii="Arial" w:hAnsi="Arial" w:cs="Arial"/>
      <w:sz w:val="22"/>
    </w:rPr>
  </w:style>
  <w:style w:type="paragraph" w:styleId="Heading1">
    <w:name w:val="heading 1"/>
    <w:basedOn w:val="Normal"/>
    <w:next w:val="Normal"/>
    <w:link w:val="Heading1Char"/>
    <w:qFormat/>
    <w:rsid w:val="00BD2B44"/>
    <w:pPr>
      <w:tabs>
        <w:tab w:val="center" w:pos="4153"/>
      </w:tabs>
      <w:spacing w:line="240" w:lineRule="exact"/>
      <w:ind w:right="-680"/>
      <w:jc w:val="right"/>
      <w:outlineLvl w:val="0"/>
    </w:pPr>
    <w:rPr>
      <w:rFonts w:cs="Times New Roman"/>
      <w:sz w:val="18"/>
      <w:szCs w:val="18"/>
    </w:rPr>
  </w:style>
  <w:style w:type="paragraph" w:styleId="Heading2">
    <w:name w:val="heading 2"/>
    <w:basedOn w:val="Heading1"/>
    <w:next w:val="Normal"/>
    <w:link w:val="Heading2Char"/>
    <w:qFormat/>
    <w:rsid w:val="00BD2B44"/>
    <w:pPr>
      <w:outlineLvl w:val="1"/>
    </w:pPr>
    <w:rPr>
      <w:b/>
    </w:rPr>
  </w:style>
  <w:style w:type="paragraph" w:styleId="Heading4">
    <w:name w:val="heading 4"/>
    <w:basedOn w:val="Normal"/>
    <w:next w:val="Normal"/>
    <w:qFormat/>
    <w:rsid w:val="00890996"/>
    <w:pPr>
      <w:keepNext/>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890996"/>
    <w:pPr>
      <w:spacing w:before="240" w:after="60"/>
      <w:outlineLvl w:val="4"/>
    </w:pPr>
    <w:rPr>
      <w:b/>
      <w:bCs/>
      <w:i/>
      <w:iCs/>
      <w:sz w:val="26"/>
      <w:szCs w:val="26"/>
    </w:rPr>
  </w:style>
  <w:style w:type="paragraph" w:styleId="Heading6">
    <w:name w:val="heading 6"/>
    <w:basedOn w:val="Normal"/>
    <w:next w:val="Normal"/>
    <w:qFormat/>
    <w:rsid w:val="00890996"/>
    <w:pPr>
      <w:spacing w:before="240" w:after="60"/>
      <w:outlineLvl w:val="5"/>
    </w:pPr>
    <w:rPr>
      <w:rFonts w:ascii="Times New Roman" w:hAnsi="Times New Roman" w:cs="Times New Roman"/>
      <w:b/>
      <w:bCs/>
      <w:szCs w:val="22"/>
    </w:rPr>
  </w:style>
  <w:style w:type="paragraph" w:styleId="Heading7">
    <w:name w:val="heading 7"/>
    <w:basedOn w:val="Normal"/>
    <w:next w:val="Normal"/>
    <w:qFormat/>
    <w:rsid w:val="00890996"/>
    <w:pPr>
      <w:spacing w:before="240" w:after="60"/>
      <w:outlineLvl w:val="6"/>
    </w:pPr>
    <w:rPr>
      <w:rFonts w:ascii="Times New Roman" w:hAnsi="Times New Roman" w:cs="Times New Roman"/>
      <w:sz w:val="24"/>
      <w:szCs w:val="24"/>
    </w:rPr>
  </w:style>
  <w:style w:type="paragraph" w:styleId="Heading8">
    <w:name w:val="heading 8"/>
    <w:basedOn w:val="Normal"/>
    <w:next w:val="Normal"/>
    <w:qFormat/>
    <w:rsid w:val="00890996"/>
    <w:pPr>
      <w:spacing w:before="240" w:after="60"/>
      <w:outlineLvl w:val="7"/>
    </w:pPr>
    <w:rPr>
      <w:rFonts w:ascii="Times New Roman" w:hAnsi="Times New Roman" w:cs="Times New Roman"/>
      <w:i/>
      <w:iCs/>
      <w:sz w:val="24"/>
      <w:szCs w:val="24"/>
    </w:rPr>
  </w:style>
  <w:style w:type="paragraph" w:styleId="Heading9">
    <w:name w:val="heading 9"/>
    <w:basedOn w:val="Normal"/>
    <w:next w:val="Normal"/>
    <w:qFormat/>
    <w:rsid w:val="00890996"/>
    <w:pPr>
      <w:spacing w:before="240" w:after="6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184B7C"/>
    <w:pPr>
      <w:tabs>
        <w:tab w:val="center" w:pos="4153"/>
        <w:tab w:val="right" w:pos="8306"/>
      </w:tabs>
    </w:pPr>
  </w:style>
  <w:style w:type="paragraph" w:styleId="Header">
    <w:name w:val="header"/>
    <w:basedOn w:val="Normal"/>
    <w:link w:val="HeaderChar"/>
    <w:uiPriority w:val="99"/>
    <w:rsid w:val="00184B7C"/>
    <w:pPr>
      <w:tabs>
        <w:tab w:val="center" w:pos="4153"/>
        <w:tab w:val="right" w:pos="8306"/>
      </w:tabs>
    </w:pPr>
  </w:style>
  <w:style w:type="paragraph" w:styleId="BalloonText">
    <w:name w:val="Balloon Text"/>
    <w:basedOn w:val="Normal"/>
    <w:semiHidden/>
    <w:rsid w:val="00CB5202"/>
    <w:rPr>
      <w:rFonts w:ascii="Tahoma" w:hAnsi="Tahoma" w:cs="Tahoma"/>
      <w:sz w:val="16"/>
      <w:szCs w:val="16"/>
    </w:rPr>
  </w:style>
  <w:style w:type="paragraph" w:customStyle="1" w:styleId="NTTHeaderInfo">
    <w:name w:val="NTT Header Info"/>
    <w:rsid w:val="00713E0D"/>
    <w:pPr>
      <w:spacing w:line="240" w:lineRule="exact"/>
      <w:jc w:val="right"/>
    </w:pPr>
    <w:rPr>
      <w:rFonts w:ascii="Arial" w:hAnsi="Arial"/>
      <w:sz w:val="18"/>
      <w:szCs w:val="18"/>
    </w:rPr>
  </w:style>
  <w:style w:type="character" w:customStyle="1" w:styleId="Heading1Char">
    <w:name w:val="Heading 1 Char"/>
    <w:link w:val="Heading1"/>
    <w:rsid w:val="00BD2B44"/>
    <w:rPr>
      <w:rFonts w:ascii="Arial" w:hAnsi="Arial"/>
      <w:sz w:val="18"/>
      <w:szCs w:val="18"/>
      <w:lang w:val="en-AU" w:eastAsia="en-AU" w:bidi="ar-SA"/>
    </w:rPr>
  </w:style>
  <w:style w:type="character" w:customStyle="1" w:styleId="Heading2Char">
    <w:name w:val="Heading 2 Char"/>
    <w:link w:val="Heading2"/>
    <w:rsid w:val="00BD2B44"/>
    <w:rPr>
      <w:rFonts w:ascii="Arial" w:hAnsi="Arial"/>
      <w:b/>
      <w:sz w:val="18"/>
      <w:szCs w:val="18"/>
      <w:lang w:val="en-AU" w:eastAsia="en-AU" w:bidi="ar-SA"/>
    </w:rPr>
  </w:style>
  <w:style w:type="paragraph" w:customStyle="1" w:styleId="NTTBodyText">
    <w:name w:val="NTT Body Text"/>
    <w:rsid w:val="00E51BC9"/>
    <w:pPr>
      <w:spacing w:after="120" w:line="300" w:lineRule="exact"/>
    </w:pPr>
    <w:rPr>
      <w:rFonts w:ascii="Arial" w:hAnsi="Arial"/>
      <w:sz w:val="22"/>
      <w:szCs w:val="24"/>
    </w:rPr>
  </w:style>
  <w:style w:type="character" w:styleId="PageNumber">
    <w:name w:val="page number"/>
    <w:basedOn w:val="DefaultParagraphFont"/>
    <w:rsid w:val="0019571B"/>
  </w:style>
  <w:style w:type="paragraph" w:customStyle="1" w:styleId="NTTBodyTextTitle">
    <w:name w:val="NTT Body Text Title"/>
    <w:basedOn w:val="NTTBodyText"/>
    <w:rsid w:val="001D7DC4"/>
    <w:rPr>
      <w:b/>
      <w:bCs/>
    </w:rPr>
  </w:style>
  <w:style w:type="table" w:styleId="TableGrid">
    <w:name w:val="Table Grid"/>
    <w:basedOn w:val="TableNormal"/>
    <w:rsid w:val="00C27A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One">
    <w:name w:val="Heading One"/>
    <w:basedOn w:val="Normal"/>
    <w:rsid w:val="00364D5F"/>
    <w:pPr>
      <w:spacing w:after="120"/>
      <w:jc w:val="center"/>
    </w:pPr>
    <w:rPr>
      <w:rFonts w:cs="Times New Roman"/>
      <w:b/>
      <w:bCs/>
      <w:sz w:val="32"/>
    </w:rPr>
  </w:style>
  <w:style w:type="paragraph" w:customStyle="1" w:styleId="HeadingTwo">
    <w:name w:val="Heading Two"/>
    <w:basedOn w:val="Normal"/>
    <w:rsid w:val="00364D5F"/>
    <w:pPr>
      <w:pBdr>
        <w:bottom w:val="single" w:sz="4" w:space="1" w:color="auto"/>
      </w:pBdr>
      <w:spacing w:before="360" w:after="120"/>
    </w:pPr>
    <w:rPr>
      <w:rFonts w:cs="Times New Roman"/>
      <w:b/>
      <w:bCs/>
    </w:rPr>
  </w:style>
  <w:style w:type="numbering" w:customStyle="1" w:styleId="Text">
    <w:name w:val="Text"/>
    <w:rsid w:val="00545D20"/>
    <w:pPr>
      <w:numPr>
        <w:numId w:val="16"/>
      </w:numPr>
    </w:pPr>
  </w:style>
  <w:style w:type="character" w:styleId="Hyperlink">
    <w:name w:val="Hyperlink"/>
    <w:rsid w:val="00545D20"/>
    <w:rPr>
      <w:color w:val="0000FF"/>
      <w:u w:val="single"/>
    </w:rPr>
  </w:style>
  <w:style w:type="paragraph" w:styleId="BlockText">
    <w:name w:val="Block Text"/>
    <w:basedOn w:val="ListNumber"/>
    <w:link w:val="BlockTextChar"/>
    <w:rsid w:val="00F65356"/>
    <w:pPr>
      <w:numPr>
        <w:numId w:val="3"/>
      </w:numPr>
      <w:spacing w:after="120"/>
      <w:jc w:val="both"/>
    </w:pPr>
  </w:style>
  <w:style w:type="paragraph" w:customStyle="1" w:styleId="HeadingThree">
    <w:name w:val="Heading Three"/>
    <w:basedOn w:val="HeadingTwo"/>
    <w:rsid w:val="00545D20"/>
    <w:pPr>
      <w:pBdr>
        <w:bottom w:val="none" w:sz="0" w:space="0" w:color="auto"/>
      </w:pBdr>
    </w:pPr>
    <w:rPr>
      <w:i/>
      <w:iCs/>
    </w:rPr>
  </w:style>
  <w:style w:type="paragraph" w:customStyle="1" w:styleId="HeadingFour">
    <w:name w:val="Heading Four"/>
    <w:basedOn w:val="HeadingThree"/>
    <w:rsid w:val="006034B6"/>
    <w:rPr>
      <w:b w:val="0"/>
      <w:bCs w:val="0"/>
      <w:u w:val="single"/>
    </w:rPr>
  </w:style>
  <w:style w:type="paragraph" w:styleId="BodyText2">
    <w:name w:val="Body Text 2"/>
    <w:basedOn w:val="Normal"/>
    <w:rsid w:val="00513926"/>
    <w:pPr>
      <w:spacing w:after="120"/>
      <w:jc w:val="both"/>
    </w:pPr>
    <w:rPr>
      <w:rFonts w:ascii="Tahoma" w:hAnsi="Tahoma" w:cs="Times New Roman"/>
      <w:b/>
    </w:rPr>
  </w:style>
  <w:style w:type="paragraph" w:styleId="ListNumber">
    <w:name w:val="List Number"/>
    <w:basedOn w:val="Normal"/>
    <w:link w:val="ListNumberChar"/>
    <w:rsid w:val="00890996"/>
    <w:pPr>
      <w:numPr>
        <w:numId w:val="8"/>
      </w:numPr>
    </w:pPr>
  </w:style>
  <w:style w:type="paragraph" w:customStyle="1" w:styleId="ExampleBox">
    <w:name w:val="Example Box"/>
    <w:rsid w:val="00F65356"/>
    <w:pPr>
      <w:pBdr>
        <w:top w:val="single" w:sz="4" w:space="1" w:color="auto"/>
        <w:left w:val="single" w:sz="4" w:space="4" w:color="auto"/>
        <w:bottom w:val="single" w:sz="4" w:space="1" w:color="auto"/>
        <w:right w:val="single" w:sz="4" w:space="4" w:color="auto"/>
      </w:pBdr>
      <w:shd w:val="clear" w:color="auto" w:fill="F3F3F3"/>
      <w:spacing w:before="120" w:after="120"/>
    </w:pPr>
    <w:rPr>
      <w:rFonts w:ascii="Arial" w:hAnsi="Arial"/>
      <w:sz w:val="22"/>
    </w:rPr>
  </w:style>
  <w:style w:type="paragraph" w:customStyle="1" w:styleId="Subheading1">
    <w:name w:val="Subheading 1"/>
    <w:basedOn w:val="Normal"/>
    <w:rsid w:val="00FA5694"/>
    <w:pPr>
      <w:spacing w:before="360" w:line="300" w:lineRule="exact"/>
    </w:pPr>
    <w:rPr>
      <w:rFonts w:cs="Times New Roman"/>
      <w:sz w:val="28"/>
      <w:szCs w:val="28"/>
    </w:rPr>
  </w:style>
  <w:style w:type="paragraph" w:styleId="FootnoteText">
    <w:name w:val="footnote text"/>
    <w:basedOn w:val="Normal"/>
    <w:semiHidden/>
    <w:rsid w:val="00FA5694"/>
    <w:rPr>
      <w:rFonts w:ascii="Times New Roman" w:hAnsi="Times New Roman" w:cs="Times New Roman"/>
      <w:sz w:val="20"/>
    </w:rPr>
  </w:style>
  <w:style w:type="character" w:styleId="FootnoteReference">
    <w:name w:val="footnote reference"/>
    <w:semiHidden/>
    <w:rsid w:val="00FA5694"/>
    <w:rPr>
      <w:vertAlign w:val="superscript"/>
    </w:rPr>
  </w:style>
  <w:style w:type="character" w:customStyle="1" w:styleId="ListNumberChar">
    <w:name w:val="List Number Char"/>
    <w:link w:val="ListNumber"/>
    <w:rsid w:val="00FA5694"/>
    <w:rPr>
      <w:rFonts w:ascii="Arial" w:hAnsi="Arial" w:cs="Arial"/>
      <w:sz w:val="22"/>
      <w:lang w:val="en-AU" w:eastAsia="en-AU" w:bidi="ar-SA"/>
    </w:rPr>
  </w:style>
  <w:style w:type="character" w:customStyle="1" w:styleId="BlockTextChar">
    <w:name w:val="Block Text Char"/>
    <w:basedOn w:val="ListNumberChar"/>
    <w:link w:val="BlockText"/>
    <w:rsid w:val="00FA5694"/>
    <w:rPr>
      <w:rFonts w:ascii="Arial" w:hAnsi="Arial" w:cs="Arial"/>
      <w:sz w:val="22"/>
      <w:lang w:val="en-AU" w:eastAsia="en-AU" w:bidi="ar-SA"/>
    </w:rPr>
  </w:style>
  <w:style w:type="character" w:styleId="FollowedHyperlink">
    <w:name w:val="FollowedHyperlink"/>
    <w:rsid w:val="00BB2AF0"/>
    <w:rPr>
      <w:color w:val="800080"/>
      <w:u w:val="single"/>
    </w:rPr>
  </w:style>
  <w:style w:type="character" w:styleId="CommentReference">
    <w:name w:val="annotation reference"/>
    <w:rsid w:val="00A87CCF"/>
    <w:rPr>
      <w:sz w:val="16"/>
      <w:szCs w:val="16"/>
    </w:rPr>
  </w:style>
  <w:style w:type="paragraph" w:styleId="CommentText">
    <w:name w:val="annotation text"/>
    <w:basedOn w:val="Normal"/>
    <w:link w:val="CommentTextChar"/>
    <w:rsid w:val="00A87CCF"/>
    <w:rPr>
      <w:rFonts w:cs="Times New Roman"/>
      <w:sz w:val="20"/>
      <w:lang w:val="x-none" w:eastAsia="x-none"/>
    </w:rPr>
  </w:style>
  <w:style w:type="character" w:customStyle="1" w:styleId="CommentTextChar">
    <w:name w:val="Comment Text Char"/>
    <w:link w:val="CommentText"/>
    <w:rsid w:val="00A87CCF"/>
    <w:rPr>
      <w:rFonts w:ascii="Arial" w:hAnsi="Arial" w:cs="Arial"/>
    </w:rPr>
  </w:style>
  <w:style w:type="paragraph" w:styleId="CommentSubject">
    <w:name w:val="annotation subject"/>
    <w:basedOn w:val="CommentText"/>
    <w:next w:val="CommentText"/>
    <w:link w:val="CommentSubjectChar"/>
    <w:rsid w:val="00A87CCF"/>
    <w:rPr>
      <w:b/>
      <w:bCs/>
    </w:rPr>
  </w:style>
  <w:style w:type="character" w:customStyle="1" w:styleId="CommentSubjectChar">
    <w:name w:val="Comment Subject Char"/>
    <w:link w:val="CommentSubject"/>
    <w:rsid w:val="00A87CCF"/>
    <w:rPr>
      <w:rFonts w:ascii="Arial" w:hAnsi="Arial" w:cs="Arial"/>
      <w:b/>
      <w:bCs/>
    </w:rPr>
  </w:style>
  <w:style w:type="character" w:customStyle="1" w:styleId="HeaderChar">
    <w:name w:val="Header Char"/>
    <w:link w:val="Header"/>
    <w:uiPriority w:val="99"/>
    <w:rsid w:val="00910152"/>
    <w:rPr>
      <w:rFonts w:ascii="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ntrevenue.ntt@nt.gov.au"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easury.nt.gov.au/PMS/Publications/TaxesRoyaltiesGrants/GeneralAdmin/CG-GEN-001.pdf"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www.treasury.nt.gov.au/PMS/Publications/TaxesRoyaltiesGrants/HomeOwnerIncent/F-HI-001.pdf" TargetMode="Externa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revenue.nt.gov.au/"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_x0020_Type_x0020_Topic xmlns="378e824e-6e02-4c0d-8321-dd86fba681ee" xsi:nil="true"/>
    <Main_x0020_Category xmlns="378e824e-6e02-4c0d-8321-dd86fba681ee">6</Main_x0020_Category>
    <Tax_x0020_Type xmlns="378e824e-6e02-4c0d-8321-dd86fba681ee">Home Incentives (HI)</Tax_x0020_Type>
    <Publication_x0020_Title xmlns="378e824e-6e02-4c0d-8321-dd86fba681ee">De facto relationships</Publication_x0020_Title>
    <Details xmlns="378e824e-6e02-4c0d-8321-dd86fba681ee" xsi:nil="true"/>
    <Identifier xmlns="378e824e-6e02-4c0d-8321-dd86fba681ee">CG-HI-004</Identifier>
    <Publication_x0020_Type xmlns="378e824e-6e02-4c0d-8321-dd86fba681ee">Commissioner's Guidelines (CG)</Publication_x0020_Type>
    <Sub_x0020_Sub_x0020_Category xmlns="378e824e-6e02-4c0d-8321-dd86fba681ee" xsi:nil="true"/>
    <Release_x0020_Date xmlns="378e824e-6e02-4c0d-8321-dd86fba681ee">2016-05-23T14:30:00+00:00</Release_x0020_Date>
    <Sub_x0020_Category xmlns="378e824e-6e02-4c0d-8321-dd86fba681ee">22</Sub_x0020_Category>
    <Notify xmlns="378e824e-6e02-4c0d-8321-dd86fba681ee">false</Notify>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E1D68356F7FB54A917EB6B48522F7AB" ma:contentTypeVersion="18" ma:contentTypeDescription="Create a new document." ma:contentTypeScope="" ma:versionID="5968df1a67298019036e2d468f0f57eb">
  <xsd:schema xmlns:xsd="http://www.w3.org/2001/XMLSchema" xmlns:xs="http://www.w3.org/2001/XMLSchema" xmlns:p="http://schemas.microsoft.com/office/2006/metadata/properties" xmlns:ns2="378e824e-6e02-4c0d-8321-dd86fba681ee" targetNamespace="http://schemas.microsoft.com/office/2006/metadata/properties" ma:root="true" ma:fieldsID="016a859d0580dde8c3c2ff3f02387ef4" ns2:_="">
    <xsd:import namespace="378e824e-6e02-4c0d-8321-dd86fba681ee"/>
    <xsd:element name="properties">
      <xsd:complexType>
        <xsd:sequence>
          <xsd:element name="documentManagement">
            <xsd:complexType>
              <xsd:all>
                <xsd:element ref="ns2:Main_x0020_Category"/>
                <xsd:element ref="ns2:Sub_x0020_Category"/>
                <xsd:element ref="ns2:Sub_x0020_Sub_x0020_Category" minOccurs="0"/>
                <xsd:element ref="ns2:Notify" minOccurs="0"/>
                <xsd:element ref="ns2:Details" minOccurs="0"/>
                <xsd:element ref="ns2:Identifier" minOccurs="0"/>
                <xsd:element ref="ns2:Release_x0020_Date" minOccurs="0"/>
                <xsd:element ref="ns2:Publication_x0020_Title" minOccurs="0"/>
                <xsd:element ref="ns2:Publication_x0020_Type" minOccurs="0"/>
                <xsd:element ref="ns2:Tax_x0020_Type" minOccurs="0"/>
                <xsd:element ref="ns2:Tax_x0020_Type_x0020_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8e824e-6e02-4c0d-8321-dd86fba681ee" elementFormDefault="qualified">
    <xsd:import namespace="http://schemas.microsoft.com/office/2006/documentManagement/types"/>
    <xsd:import namespace="http://schemas.microsoft.com/office/infopath/2007/PartnerControls"/>
    <xsd:element name="Main_x0020_Category" ma:index="8" ma:displayName="Main Category" ma:list="{b3b53843-a8d9-4b92-b7ee-c4efc7605b88}" ma:internalName="Main_x0020_Category" ma:showField="Title" ma:web="ea3f2675-7e45-4831-bae2-8579175e0c68">
      <xsd:simpleType>
        <xsd:restriction base="dms:Lookup"/>
      </xsd:simpleType>
    </xsd:element>
    <xsd:element name="Sub_x0020_Category" ma:index="9" ma:displayName="Sub Category" ma:list="{edf90873-dc2d-4c00-9444-d26c07edafe2}" ma:internalName="Sub_x0020_Category" ma:showField="Title" ma:web="ea3f2675-7e45-4831-bae2-8579175e0c68">
      <xsd:simpleType>
        <xsd:restriction base="dms:Lookup"/>
      </xsd:simpleType>
    </xsd:element>
    <xsd:element name="Sub_x0020_Sub_x0020_Category" ma:index="10" nillable="true" ma:displayName="Sub Sub Category" ma:list="{0fe7fff1-af8b-412b-8409-b42850d3ea63}" ma:internalName="Sub_x0020_Sub_x0020_Category" ma:readOnly="false" ma:showField="Title" ma:web="ea3f2675-7e45-4831-bae2-8579175e0c68">
      <xsd:simpleType>
        <xsd:restriction base="dms:Lookup"/>
      </xsd:simpleType>
    </xsd:element>
    <xsd:element name="Notify" ma:index="11" nillable="true" ma:displayName="Notify On Check In" ma:default="0" ma:description="Check this box if you would like to notify all subscribers about this document once you check it in." ma:internalName="Notify">
      <xsd:simpleType>
        <xsd:restriction base="dms:Boolean"/>
      </xsd:simpleType>
    </xsd:element>
    <xsd:element name="Details" ma:index="12" nillable="true" ma:displayName="Details" ma:internalName="Details">
      <xsd:simpleType>
        <xsd:restriction base="dms:Text">
          <xsd:maxLength value="255"/>
        </xsd:restriction>
      </xsd:simpleType>
    </xsd:element>
    <xsd:element name="Identifier" ma:index="13" nillable="true" ma:displayName="Identifier" ma:internalName="Identifier">
      <xsd:simpleType>
        <xsd:restriction base="dms:Text">
          <xsd:maxLength value="255"/>
        </xsd:restriction>
      </xsd:simpleType>
    </xsd:element>
    <xsd:element name="Release_x0020_Date" ma:index="14" nillable="true" ma:displayName="Release Date" ma:format="DateOnly" ma:internalName="Release_x0020_Date">
      <xsd:simpleType>
        <xsd:restriction base="dms:DateTime"/>
      </xsd:simpleType>
    </xsd:element>
    <xsd:element name="Publication_x0020_Title" ma:index="15" nillable="true" ma:displayName="Publication Name" ma:description="Use for Taxes, Royalties and Grants publications." ma:internalName="Publication_x0020_Title">
      <xsd:simpleType>
        <xsd:restriction base="dms:Text">
          <xsd:maxLength value="255"/>
        </xsd:restriction>
      </xsd:simpleType>
    </xsd:element>
    <xsd:element name="Publication_x0020_Type" ma:index="16" nillable="true" ma:displayName="Publication Type" ma:description="Use for Taxes, Royalties and Grants publications." ma:format="Dropdown" ma:internalName="Publication_x0020_Type">
      <xsd:simpleType>
        <xsd:restriction base="dms:Choice">
          <xsd:enumeration value="Form (F)"/>
          <xsd:enumeration value="Information (I)"/>
          <xsd:enumeration value="Electronic Returns (RET)"/>
          <xsd:enumeration value="Revenue Circulars (RC)"/>
          <xsd:enumeration value="Payroll Tax Rulings (PTA)"/>
          <xsd:enumeration value="Commissioner's Guidelines (CG)"/>
          <xsd:enumeration value="Royalty Guideline (RG)"/>
          <xsd:enumeration value="Mineral Royalty Forms and Returns (RF)"/>
        </xsd:restriction>
      </xsd:simpleType>
    </xsd:element>
    <xsd:element name="Tax_x0020_Type" ma:index="17" nillable="true" ma:displayName="Tax Type" ma:description="Use for Taxes, Royalties and Grants publications." ma:format="Dropdown" ma:internalName="Tax_x0020_Type">
      <xsd:simpleType>
        <xsd:restriction base="dms:Choice">
          <xsd:enumeration value="General (G)"/>
          <xsd:enumeration value="Home Incentives (HI)"/>
          <xsd:enumeration value="Income Tax Equivalent (IT)"/>
          <xsd:enumeration value="Mineral Royalties"/>
          <xsd:enumeration value="Payroll Tax (PRT)"/>
          <xsd:enumeration value="Stamp Duty (SD)"/>
          <xsd:enumeration value="Unclaimed Money (UM)"/>
        </xsd:restriction>
      </xsd:simpleType>
    </xsd:element>
    <xsd:element name="Tax_x0020_Type_x0020_Topic" ma:index="18" nillable="true" ma:displayName="Tax Type Topic" ma:description="Use for Taxes, Royalties and Grants publications." ma:format="Dropdown" ma:internalName="Tax_x0020_Type_x0020_Topic">
      <xsd:simpleType>
        <xsd:restriction base="dms:Choice">
          <xsd:enumeration value="Allowances"/>
          <xsd:enumeration value="Contractors"/>
          <xsd:enumeration value="Employment Agencies"/>
          <xsd:enumeration value="Exemptions"/>
          <xsd:enumeration value="Fringe Benefits"/>
          <xsd:enumeration value="General"/>
          <xsd:enumeration value="Grouping"/>
          <xsd:enumeration value="NT Payroll Tax Liability"/>
          <xsd:enumeration value="Termination Payments"/>
          <xsd:enumeration value="Wages"/>
          <xsd:enumeration value="Conveyance"/>
          <xsd:enumeration value="Insurance"/>
          <xsd:enumeration value="Leases"/>
          <xsd:enumeration value="Motor Vehicl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FE9E691-9A65-4555-8E67-99C421115601}">
  <ds:schemaRefs>
    <ds:schemaRef ds:uri="http://schemas.microsoft.com/office/2006/metadata/properties"/>
    <ds:schemaRef ds:uri="http://schemas.microsoft.com/office/infopath/2007/PartnerControls"/>
    <ds:schemaRef ds:uri="378e824e-6e02-4c0d-8321-dd86fba681ee"/>
  </ds:schemaRefs>
</ds:datastoreItem>
</file>

<file path=customXml/itemProps2.xml><?xml version="1.0" encoding="utf-8"?>
<ds:datastoreItem xmlns:ds="http://schemas.openxmlformats.org/officeDocument/2006/customXml" ds:itemID="{6D2E781D-1EFB-465D-B776-924AB85EB9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8e824e-6e02-4c0d-8321-dd86fba68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82D41F6-CAD5-4306-B2CD-3000950D31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2190</Words>
  <Characters>12483</Characters>
  <Application>Microsoft Office Word</Application>
  <DocSecurity>8</DocSecurity>
  <Lines>104</Lines>
  <Paragraphs>29</Paragraphs>
  <ScaleCrop>false</ScaleCrop>
  <HeadingPairs>
    <vt:vector size="2" baseType="variant">
      <vt:variant>
        <vt:lpstr>Title</vt:lpstr>
      </vt:variant>
      <vt:variant>
        <vt:i4>1</vt:i4>
      </vt:variant>
    </vt:vector>
  </HeadingPairs>
  <TitlesOfParts>
    <vt:vector size="1" baseType="lpstr">
      <vt:lpstr>Our Ref:</vt:lpstr>
    </vt:vector>
  </TitlesOfParts>
  <Company>Northern Territory Government</Company>
  <LinksUpToDate>false</LinksUpToDate>
  <CharactersWithSpaces>14644</CharactersWithSpaces>
  <SharedDoc>false</SharedDoc>
  <HLinks>
    <vt:vector size="24" baseType="variant">
      <vt:variant>
        <vt:i4>5242895</vt:i4>
      </vt:variant>
      <vt:variant>
        <vt:i4>9</vt:i4>
      </vt:variant>
      <vt:variant>
        <vt:i4>0</vt:i4>
      </vt:variant>
      <vt:variant>
        <vt:i4>5</vt:i4>
      </vt:variant>
      <vt:variant>
        <vt:lpwstr>http://www.revenue.nt.gov.au/</vt:lpwstr>
      </vt:variant>
      <vt:variant>
        <vt:lpwstr/>
      </vt:variant>
      <vt:variant>
        <vt:i4>7143509</vt:i4>
      </vt:variant>
      <vt:variant>
        <vt:i4>6</vt:i4>
      </vt:variant>
      <vt:variant>
        <vt:i4>0</vt:i4>
      </vt:variant>
      <vt:variant>
        <vt:i4>5</vt:i4>
      </vt:variant>
      <vt:variant>
        <vt:lpwstr>mailto:ntrevenue.ntt@nt.gov.au</vt:lpwstr>
      </vt:variant>
      <vt:variant>
        <vt:lpwstr/>
      </vt:variant>
      <vt:variant>
        <vt:i4>2883638</vt:i4>
      </vt:variant>
      <vt:variant>
        <vt:i4>3</vt:i4>
      </vt:variant>
      <vt:variant>
        <vt:i4>0</vt:i4>
      </vt:variant>
      <vt:variant>
        <vt:i4>5</vt:i4>
      </vt:variant>
      <vt:variant>
        <vt:lpwstr>http://www.treasury.nt.gov.au/PMS/Publications/TaxesRoyaltiesGrants/GeneralAdmin/CG-GEN-001.pdf</vt:lpwstr>
      </vt:variant>
      <vt:variant>
        <vt:lpwstr/>
      </vt:variant>
      <vt:variant>
        <vt:i4>5439564</vt:i4>
      </vt:variant>
      <vt:variant>
        <vt:i4>0</vt:i4>
      </vt:variant>
      <vt:variant>
        <vt:i4>0</vt:i4>
      </vt:variant>
      <vt:variant>
        <vt:i4>5</vt:i4>
      </vt:variant>
      <vt:variant>
        <vt:lpwstr>http://www.treasury.nt.gov.au/PMS/Publications/TaxesRoyaltiesGrants/HomeOwnerIncent/F-HI-001.pdf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facto relationships</dc:title>
  <dc:creator>sschu</dc:creator>
  <cp:lastModifiedBy>Jessica Symonds</cp:lastModifiedBy>
  <cp:revision>5</cp:revision>
  <cp:lastPrinted>2012-12-07T00:31:00Z</cp:lastPrinted>
  <dcterms:created xsi:type="dcterms:W3CDTF">2016-05-23T01:39:00Z</dcterms:created>
  <dcterms:modified xsi:type="dcterms:W3CDTF">2021-09-10T07:09:00Z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0x010100AE1D68356F7FB54A917EB6B48522F7AB</vt:lpwstr>
  </property>
</Properties>
</file>