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A9F1C" w14:textId="1AAE14A3" w:rsidR="003C4941" w:rsidRPr="00CB53A9" w:rsidRDefault="00855615" w:rsidP="00CB53A9">
      <w:pPr>
        <w:pStyle w:val="Subtitle0"/>
      </w:pPr>
      <w:bookmarkStart w:id="0" w:name="_GoBack"/>
      <w:bookmarkEnd w:id="0"/>
      <w:r w:rsidRPr="00CB53A9">
        <w:t>Commissioner’s Guideline</w:t>
      </w:r>
    </w:p>
    <w:tbl>
      <w:tblPr>
        <w:tblStyle w:val="NTGtable1"/>
        <w:tblW w:w="10312" w:type="dxa"/>
        <w:tblLook w:val="04A0" w:firstRow="1" w:lastRow="0" w:firstColumn="1" w:lastColumn="0" w:noHBand="0" w:noVBand="1"/>
      </w:tblPr>
      <w:tblGrid>
        <w:gridCol w:w="1134"/>
        <w:gridCol w:w="3061"/>
        <w:gridCol w:w="3061"/>
        <w:gridCol w:w="3056"/>
      </w:tblGrid>
      <w:tr w:rsidR="005A685A" w:rsidRPr="00FC7F2D" w14:paraId="4BC8D014" w14:textId="77777777" w:rsidTr="00CB53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vMerge w:val="restart"/>
            <w:tcBorders>
              <w:top w:val="single" w:sz="4" w:space="0" w:color="1F1F5F" w:themeColor="text1"/>
              <w:left w:val="single" w:sz="4" w:space="0" w:color="1F1F5F" w:themeColor="text1"/>
              <w:bottom w:val="single" w:sz="4" w:space="0" w:color="1F1F5F" w:themeColor="text1"/>
              <w:right w:val="single" w:sz="4" w:space="0" w:color="1F1F5F" w:themeColor="text1"/>
            </w:tcBorders>
            <w:vAlign w:val="bottom"/>
          </w:tcPr>
          <w:p w14:paraId="5B76CF89" w14:textId="77777777" w:rsidR="005A685A" w:rsidRPr="0022724D" w:rsidRDefault="005A685A" w:rsidP="00C25A59">
            <w:pPr>
              <w:pStyle w:val="BodyText"/>
              <w:spacing w:after="60"/>
            </w:pPr>
            <w:r w:rsidRPr="005A685A">
              <w:t>Version</w:t>
            </w:r>
          </w:p>
        </w:tc>
        <w:tc>
          <w:tcPr>
            <w:tcW w:w="3061" w:type="dxa"/>
            <w:vMerge w:val="restart"/>
            <w:tcBorders>
              <w:top w:val="single" w:sz="4" w:space="0" w:color="1F1F5F" w:themeColor="text1"/>
              <w:left w:val="single" w:sz="4" w:space="0" w:color="1F1F5F" w:themeColor="text1"/>
              <w:bottom w:val="single" w:sz="4" w:space="0" w:color="1F1F5F" w:themeColor="text1"/>
              <w:right w:val="single" w:sz="4" w:space="0" w:color="1F1F5F" w:themeColor="text1"/>
            </w:tcBorders>
            <w:vAlign w:val="bottom"/>
          </w:tcPr>
          <w:p w14:paraId="780496DA" w14:textId="77777777" w:rsidR="005A685A" w:rsidRPr="0022724D" w:rsidRDefault="005A685A" w:rsidP="00C25A59">
            <w:pPr>
              <w:pStyle w:val="BodyText"/>
              <w:spacing w:after="60"/>
              <w:cnfStyle w:val="100000000000" w:firstRow="1" w:lastRow="0" w:firstColumn="0" w:lastColumn="0" w:oddVBand="0" w:evenVBand="0" w:oddHBand="0" w:evenHBand="0" w:firstRowFirstColumn="0" w:firstRowLastColumn="0" w:lastRowFirstColumn="0" w:lastRowLastColumn="0"/>
            </w:pPr>
            <w:r w:rsidRPr="0022724D">
              <w:t>Issued</w:t>
            </w:r>
          </w:p>
        </w:tc>
        <w:tc>
          <w:tcPr>
            <w:tcW w:w="6117" w:type="dxa"/>
            <w:gridSpan w:val="2"/>
            <w:tcBorders>
              <w:top w:val="single" w:sz="4" w:space="0" w:color="1F1F5F" w:themeColor="text1"/>
              <w:left w:val="single" w:sz="4" w:space="0" w:color="1F1F5F" w:themeColor="text1"/>
              <w:bottom w:val="single" w:sz="4" w:space="0" w:color="FFFFFF" w:themeColor="background1"/>
              <w:right w:val="single" w:sz="4" w:space="0" w:color="1F1F5F" w:themeColor="text1"/>
            </w:tcBorders>
            <w:vAlign w:val="bottom"/>
          </w:tcPr>
          <w:p w14:paraId="631C3276" w14:textId="16155968" w:rsidR="005A685A" w:rsidRPr="008668C6" w:rsidRDefault="005A685A" w:rsidP="0022724D">
            <w:pPr>
              <w:pStyle w:val="BodyText"/>
              <w:spacing w:after="60"/>
              <w:jc w:val="center"/>
              <w:cnfStyle w:val="100000000000" w:firstRow="1" w:lastRow="0" w:firstColumn="0" w:lastColumn="0" w:oddVBand="0" w:evenVBand="0" w:oddHBand="0" w:evenHBand="0" w:firstRowFirstColumn="0" w:firstRowLastColumn="0" w:lastRowFirstColumn="0" w:lastRowLastColumn="0"/>
            </w:pPr>
            <w:r w:rsidRPr="0022724D">
              <w:t>Dates of e</w:t>
            </w:r>
            <w:r w:rsidRPr="008668C6">
              <w:t>ffect</w:t>
            </w:r>
          </w:p>
        </w:tc>
      </w:tr>
      <w:tr w:rsidR="00FC7F2D" w:rsidRPr="00FC7F2D" w14:paraId="20492FCA" w14:textId="77777777" w:rsidTr="00CB53A9">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34" w:type="dxa"/>
            <w:vMerge/>
            <w:tcBorders>
              <w:top w:val="single" w:sz="4" w:space="0" w:color="1F1F5F" w:themeColor="text1"/>
              <w:left w:val="single" w:sz="4" w:space="0" w:color="1F1F5F" w:themeColor="text1"/>
              <w:bottom w:val="nil"/>
              <w:right w:val="single" w:sz="4" w:space="0" w:color="1F1F5F" w:themeColor="text1"/>
            </w:tcBorders>
            <w:vAlign w:val="bottom"/>
          </w:tcPr>
          <w:p w14:paraId="71E368BA" w14:textId="77777777" w:rsidR="00FC7F2D" w:rsidRPr="00C25A59" w:rsidRDefault="00FC7F2D" w:rsidP="00C25A59">
            <w:pPr>
              <w:pStyle w:val="BodyText"/>
              <w:spacing w:before="60" w:after="60"/>
              <w:rPr>
                <w:b/>
              </w:rPr>
            </w:pPr>
          </w:p>
        </w:tc>
        <w:tc>
          <w:tcPr>
            <w:tcW w:w="3061" w:type="dxa"/>
            <w:vMerge/>
            <w:tcBorders>
              <w:top w:val="single" w:sz="4" w:space="0" w:color="1F1F5F" w:themeColor="text1"/>
              <w:left w:val="single" w:sz="4" w:space="0" w:color="1F1F5F" w:themeColor="text1"/>
              <w:bottom w:val="nil"/>
              <w:right w:val="single" w:sz="4" w:space="0" w:color="1F1F5F" w:themeColor="text1"/>
            </w:tcBorders>
            <w:vAlign w:val="bottom"/>
          </w:tcPr>
          <w:p w14:paraId="3C35A321" w14:textId="77777777" w:rsidR="00FC7F2D" w:rsidRPr="00C25A59" w:rsidRDefault="00FC7F2D" w:rsidP="00C25A59">
            <w:pPr>
              <w:pStyle w:val="BodyText"/>
              <w:spacing w:before="60" w:after="60"/>
              <w:cnfStyle w:val="000000100000" w:firstRow="0" w:lastRow="0" w:firstColumn="0" w:lastColumn="0" w:oddVBand="0" w:evenVBand="0" w:oddHBand="1" w:evenHBand="0" w:firstRowFirstColumn="0" w:firstRowLastColumn="0" w:lastRowFirstColumn="0" w:lastRowLastColumn="0"/>
              <w:rPr>
                <w:b/>
              </w:rPr>
            </w:pPr>
          </w:p>
        </w:tc>
        <w:tc>
          <w:tcPr>
            <w:tcW w:w="3061" w:type="dxa"/>
            <w:tcBorders>
              <w:top w:val="single" w:sz="4" w:space="0" w:color="FFFFFF" w:themeColor="background1"/>
              <w:left w:val="single" w:sz="4" w:space="0" w:color="1F1F5F" w:themeColor="text1"/>
              <w:bottom w:val="nil"/>
              <w:right w:val="single" w:sz="4" w:space="0" w:color="1F1F5F" w:themeColor="text1"/>
            </w:tcBorders>
            <w:shd w:val="clear" w:color="auto" w:fill="1F1F5F" w:themeFill="text1"/>
            <w:vAlign w:val="bottom"/>
          </w:tcPr>
          <w:p w14:paraId="70BFF0B1" w14:textId="77777777" w:rsidR="00FC7F2D" w:rsidRPr="00C25A59" w:rsidRDefault="00FC7F2D" w:rsidP="00C25A59">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C25A59">
              <w:rPr>
                <w:b/>
              </w:rPr>
              <w:t>From:</w:t>
            </w:r>
          </w:p>
        </w:tc>
        <w:tc>
          <w:tcPr>
            <w:tcW w:w="3056" w:type="dxa"/>
            <w:tcBorders>
              <w:top w:val="single" w:sz="4" w:space="0" w:color="FFFFFF" w:themeColor="background1"/>
              <w:left w:val="single" w:sz="4" w:space="0" w:color="1F1F5F" w:themeColor="text1"/>
              <w:bottom w:val="nil"/>
              <w:right w:val="single" w:sz="4" w:space="0" w:color="1F1F5F" w:themeColor="text1"/>
            </w:tcBorders>
            <w:shd w:val="clear" w:color="auto" w:fill="1F1F5F" w:themeFill="text1"/>
            <w:vAlign w:val="bottom"/>
          </w:tcPr>
          <w:p w14:paraId="0E81AFFD" w14:textId="77777777" w:rsidR="00FC7F2D" w:rsidRPr="00C25A59" w:rsidRDefault="00FC7F2D" w:rsidP="00C25A59">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C25A59">
              <w:rPr>
                <w:b/>
              </w:rPr>
              <w:t>To:</w:t>
            </w:r>
          </w:p>
        </w:tc>
      </w:tr>
      <w:tr w:rsidR="00FC7F2D" w:rsidRPr="00FC7F2D" w14:paraId="43BE5D68" w14:textId="77777777" w:rsidTr="00CB53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tcBorders>
          </w:tcPr>
          <w:p w14:paraId="32BB18AC" w14:textId="43C90B04" w:rsidR="00FC7F2D" w:rsidRPr="00BF607A" w:rsidRDefault="00855615" w:rsidP="00C25A59">
            <w:pPr>
              <w:pStyle w:val="BodyText"/>
              <w:spacing w:after="40"/>
            </w:pPr>
            <w:r w:rsidRPr="00BF607A">
              <w:t>1</w:t>
            </w:r>
          </w:p>
        </w:tc>
        <w:tc>
          <w:tcPr>
            <w:tcW w:w="3061" w:type="dxa"/>
            <w:tcBorders>
              <w:top w:val="nil"/>
            </w:tcBorders>
          </w:tcPr>
          <w:p w14:paraId="4EAE527A"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28 Sept 2005</w:t>
            </w:r>
          </w:p>
        </w:tc>
        <w:tc>
          <w:tcPr>
            <w:tcW w:w="3061" w:type="dxa"/>
            <w:tcBorders>
              <w:top w:val="nil"/>
            </w:tcBorders>
          </w:tcPr>
          <w:p w14:paraId="109F03EA"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28 Sept 2005</w:t>
            </w:r>
          </w:p>
        </w:tc>
        <w:tc>
          <w:tcPr>
            <w:tcW w:w="3056" w:type="dxa"/>
            <w:tcBorders>
              <w:top w:val="nil"/>
            </w:tcBorders>
          </w:tcPr>
          <w:p w14:paraId="3F65E992"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30 June 2006</w:t>
            </w:r>
          </w:p>
        </w:tc>
      </w:tr>
      <w:tr w:rsidR="00FC7F2D" w:rsidRPr="00FC7F2D" w14:paraId="59C35464" w14:textId="77777777" w:rsidTr="00C25A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791230AD" w14:textId="77777777" w:rsidR="00FC7F2D" w:rsidRPr="00BF607A" w:rsidRDefault="00FC7F2D" w:rsidP="00C25A59">
            <w:pPr>
              <w:pStyle w:val="BodyText"/>
              <w:spacing w:after="40"/>
            </w:pPr>
            <w:r w:rsidRPr="00BF607A">
              <w:t>2</w:t>
            </w:r>
          </w:p>
        </w:tc>
        <w:tc>
          <w:tcPr>
            <w:tcW w:w="3061" w:type="dxa"/>
          </w:tcPr>
          <w:p w14:paraId="49E24B24"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29 June 2006</w:t>
            </w:r>
          </w:p>
        </w:tc>
        <w:tc>
          <w:tcPr>
            <w:tcW w:w="3061" w:type="dxa"/>
          </w:tcPr>
          <w:p w14:paraId="09698C4F"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1 July 2006</w:t>
            </w:r>
          </w:p>
        </w:tc>
        <w:tc>
          <w:tcPr>
            <w:tcW w:w="3056" w:type="dxa"/>
          </w:tcPr>
          <w:p w14:paraId="31385937"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31 December 2007</w:t>
            </w:r>
          </w:p>
        </w:tc>
      </w:tr>
      <w:tr w:rsidR="00FC7F2D" w:rsidRPr="00FC7F2D" w14:paraId="11BA77AA" w14:textId="77777777" w:rsidTr="00C25A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589701F" w14:textId="77777777" w:rsidR="00FC7F2D" w:rsidRPr="00BF607A" w:rsidRDefault="00FC7F2D" w:rsidP="00C25A59">
            <w:pPr>
              <w:pStyle w:val="BodyText"/>
              <w:spacing w:after="40"/>
            </w:pPr>
            <w:r w:rsidRPr="00BF607A">
              <w:t>3</w:t>
            </w:r>
          </w:p>
        </w:tc>
        <w:tc>
          <w:tcPr>
            <w:tcW w:w="3061" w:type="dxa"/>
          </w:tcPr>
          <w:p w14:paraId="749F2F66"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 January 2008</w:t>
            </w:r>
          </w:p>
        </w:tc>
        <w:tc>
          <w:tcPr>
            <w:tcW w:w="3061" w:type="dxa"/>
          </w:tcPr>
          <w:p w14:paraId="19EA499A"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1 January 2008</w:t>
            </w:r>
          </w:p>
        </w:tc>
        <w:tc>
          <w:tcPr>
            <w:tcW w:w="3056" w:type="dxa"/>
          </w:tcPr>
          <w:p w14:paraId="4C166200"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 May 2011</w:t>
            </w:r>
          </w:p>
        </w:tc>
      </w:tr>
      <w:tr w:rsidR="00FC7F2D" w:rsidRPr="00FC7F2D" w14:paraId="738C76C6" w14:textId="77777777" w:rsidTr="00C25A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98D6A2F" w14:textId="77777777" w:rsidR="00FC7F2D" w:rsidRPr="00BF607A" w:rsidRDefault="00FC7F2D" w:rsidP="00C25A59">
            <w:pPr>
              <w:pStyle w:val="BodyText"/>
              <w:spacing w:after="40"/>
            </w:pPr>
            <w:r w:rsidRPr="00BF607A">
              <w:t>4</w:t>
            </w:r>
          </w:p>
        </w:tc>
        <w:tc>
          <w:tcPr>
            <w:tcW w:w="3061" w:type="dxa"/>
          </w:tcPr>
          <w:p w14:paraId="012F541C"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3 May 2011</w:t>
            </w:r>
          </w:p>
        </w:tc>
        <w:tc>
          <w:tcPr>
            <w:tcW w:w="3061" w:type="dxa"/>
          </w:tcPr>
          <w:p w14:paraId="0FBA7125"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3 May 2011</w:t>
            </w:r>
          </w:p>
        </w:tc>
        <w:tc>
          <w:tcPr>
            <w:tcW w:w="3056" w:type="dxa"/>
          </w:tcPr>
          <w:p w14:paraId="7E934A0B"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3 December 2012</w:t>
            </w:r>
          </w:p>
        </w:tc>
      </w:tr>
      <w:tr w:rsidR="00FC7F2D" w:rsidRPr="00FC7F2D" w14:paraId="4AC9B99E" w14:textId="77777777" w:rsidTr="00C25A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EB58C61" w14:textId="77777777" w:rsidR="00FC7F2D" w:rsidRPr="00BF607A" w:rsidRDefault="00FC7F2D" w:rsidP="00C25A59">
            <w:pPr>
              <w:pStyle w:val="BodyText"/>
              <w:spacing w:after="40"/>
            </w:pPr>
            <w:r w:rsidRPr="00BF607A">
              <w:t>5</w:t>
            </w:r>
          </w:p>
        </w:tc>
        <w:tc>
          <w:tcPr>
            <w:tcW w:w="3061" w:type="dxa"/>
          </w:tcPr>
          <w:p w14:paraId="45D74838"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7 December 2012</w:t>
            </w:r>
          </w:p>
        </w:tc>
        <w:tc>
          <w:tcPr>
            <w:tcW w:w="3061" w:type="dxa"/>
          </w:tcPr>
          <w:p w14:paraId="6EFA643B"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4 December 2012</w:t>
            </w:r>
          </w:p>
        </w:tc>
        <w:tc>
          <w:tcPr>
            <w:tcW w:w="3056" w:type="dxa"/>
          </w:tcPr>
          <w:p w14:paraId="16E42E1D"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27 April 2015</w:t>
            </w:r>
          </w:p>
        </w:tc>
      </w:tr>
      <w:tr w:rsidR="00FC7F2D" w:rsidRPr="00FC7F2D" w14:paraId="38EB8043" w14:textId="77777777" w:rsidTr="00C25A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7E2CD3F" w14:textId="77777777" w:rsidR="00FC7F2D" w:rsidRPr="00BF607A" w:rsidRDefault="00FC7F2D" w:rsidP="00C25A59">
            <w:pPr>
              <w:pStyle w:val="BodyText"/>
              <w:spacing w:after="40"/>
            </w:pPr>
            <w:r w:rsidRPr="00BF607A">
              <w:t>6</w:t>
            </w:r>
          </w:p>
        </w:tc>
        <w:tc>
          <w:tcPr>
            <w:tcW w:w="3061" w:type="dxa"/>
          </w:tcPr>
          <w:p w14:paraId="12E8C47A"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28 April 2015</w:t>
            </w:r>
          </w:p>
        </w:tc>
        <w:tc>
          <w:tcPr>
            <w:tcW w:w="3061" w:type="dxa"/>
          </w:tcPr>
          <w:p w14:paraId="06C646F4"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28 April 2015</w:t>
            </w:r>
          </w:p>
        </w:tc>
        <w:tc>
          <w:tcPr>
            <w:tcW w:w="3056" w:type="dxa"/>
          </w:tcPr>
          <w:p w14:paraId="7F9CAED1"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23 May 2016</w:t>
            </w:r>
          </w:p>
        </w:tc>
      </w:tr>
      <w:tr w:rsidR="00FC7F2D" w:rsidRPr="00FC7F2D" w14:paraId="4A1F751E" w14:textId="77777777" w:rsidTr="00C25A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A45964" w14:textId="77777777" w:rsidR="00FC7F2D" w:rsidRPr="00BF607A" w:rsidRDefault="00FC7F2D" w:rsidP="00C25A59">
            <w:pPr>
              <w:pStyle w:val="BodyText"/>
              <w:spacing w:after="40"/>
            </w:pPr>
            <w:r w:rsidRPr="00BF607A">
              <w:t>7</w:t>
            </w:r>
          </w:p>
        </w:tc>
        <w:tc>
          <w:tcPr>
            <w:tcW w:w="3061" w:type="dxa"/>
          </w:tcPr>
          <w:p w14:paraId="65061D01"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24 May 2016</w:t>
            </w:r>
          </w:p>
        </w:tc>
        <w:tc>
          <w:tcPr>
            <w:tcW w:w="3061" w:type="dxa"/>
          </w:tcPr>
          <w:p w14:paraId="36939ABD"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24 May 2016</w:t>
            </w:r>
          </w:p>
        </w:tc>
        <w:tc>
          <w:tcPr>
            <w:tcW w:w="3056" w:type="dxa"/>
          </w:tcPr>
          <w:p w14:paraId="57A4034D" w14:textId="77777777" w:rsidR="00FC7F2D" w:rsidRPr="00BF607A" w:rsidRDefault="00FC7F2D" w:rsidP="00C25A59">
            <w:pPr>
              <w:pStyle w:val="BodyText"/>
              <w:spacing w:after="40"/>
              <w:cnfStyle w:val="000000010000" w:firstRow="0" w:lastRow="0" w:firstColumn="0" w:lastColumn="0" w:oddVBand="0" w:evenVBand="0" w:oddHBand="0" w:evenHBand="1" w:firstRowFirstColumn="0" w:firstRowLastColumn="0" w:lastRowFirstColumn="0" w:lastRowLastColumn="0"/>
            </w:pPr>
            <w:r w:rsidRPr="00BF607A">
              <w:t>30 June 2022</w:t>
            </w:r>
          </w:p>
        </w:tc>
      </w:tr>
      <w:tr w:rsidR="00FC7F2D" w:rsidRPr="00FC7F2D" w14:paraId="65B58AAD" w14:textId="77777777" w:rsidTr="00C25A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3DCD910" w14:textId="77777777" w:rsidR="00FC7F2D" w:rsidRPr="00BF607A" w:rsidRDefault="00FC7F2D" w:rsidP="00C25A59">
            <w:pPr>
              <w:pStyle w:val="BodyText"/>
              <w:spacing w:after="40"/>
            </w:pPr>
            <w:r w:rsidRPr="00BF607A">
              <w:t>8</w:t>
            </w:r>
          </w:p>
        </w:tc>
        <w:tc>
          <w:tcPr>
            <w:tcW w:w="3061" w:type="dxa"/>
          </w:tcPr>
          <w:p w14:paraId="3A801A7F"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1 July 2022</w:t>
            </w:r>
          </w:p>
        </w:tc>
        <w:tc>
          <w:tcPr>
            <w:tcW w:w="3061" w:type="dxa"/>
          </w:tcPr>
          <w:p w14:paraId="5F855240"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1 July 2022</w:t>
            </w:r>
          </w:p>
        </w:tc>
        <w:tc>
          <w:tcPr>
            <w:tcW w:w="3056" w:type="dxa"/>
          </w:tcPr>
          <w:p w14:paraId="18B15278" w14:textId="77777777" w:rsidR="00FC7F2D" w:rsidRPr="00BF607A" w:rsidRDefault="00FC7F2D" w:rsidP="00C25A59">
            <w:pPr>
              <w:pStyle w:val="BodyText"/>
              <w:spacing w:after="40"/>
              <w:cnfStyle w:val="000000100000" w:firstRow="0" w:lastRow="0" w:firstColumn="0" w:lastColumn="0" w:oddVBand="0" w:evenVBand="0" w:oddHBand="1" w:evenHBand="0" w:firstRowFirstColumn="0" w:firstRowLastColumn="0" w:lastRowFirstColumn="0" w:lastRowLastColumn="0"/>
            </w:pPr>
            <w:r w:rsidRPr="00BF607A">
              <w:t>Current</w:t>
            </w:r>
          </w:p>
        </w:tc>
      </w:tr>
    </w:tbl>
    <w:p w14:paraId="0095FAD3" w14:textId="55D1FD5E" w:rsidR="00FC7F2D" w:rsidRDefault="00FC7F2D" w:rsidP="00FC7F2D">
      <w:pPr>
        <w:pStyle w:val="Heading1"/>
      </w:pPr>
      <w:r>
        <w:t>Purpose</w:t>
      </w:r>
    </w:p>
    <w:p w14:paraId="14C41A51" w14:textId="04CADA0B" w:rsidR="00FC7F2D" w:rsidRDefault="00FC7F2D" w:rsidP="0055115B">
      <w:pPr>
        <w:pStyle w:val="Numberlistlevel1ListNumber"/>
      </w:pPr>
      <w:r>
        <w:t xml:space="preserve">This </w:t>
      </w:r>
      <w:r w:rsidR="005A685A">
        <w:t>g</w:t>
      </w:r>
      <w:r>
        <w:t xml:space="preserve">uideline explains the circumstances </w:t>
      </w:r>
      <w:r w:rsidR="005A685A">
        <w:t xml:space="preserve">in which </w:t>
      </w:r>
      <w:r>
        <w:t>the Territory Revenue Office (TRO) will exercise various discretions relating to the eligibility criteria and residence requirements for the first home owner grant (FHOG)</w:t>
      </w:r>
      <w:r w:rsidR="005A685A">
        <w:t>,</w:t>
      </w:r>
      <w:r>
        <w:t xml:space="preserve"> </w:t>
      </w:r>
      <w:r w:rsidR="00343E34">
        <w:t>H</w:t>
      </w:r>
      <w:r>
        <w:t>ouse and land package exemption (HLPE)</w:t>
      </w:r>
      <w:r w:rsidR="005A685A">
        <w:t>,</w:t>
      </w:r>
      <w:r>
        <w:t xml:space="preserve"> Territory home owner discount (THOD)</w:t>
      </w:r>
      <w:r w:rsidR="005A685A">
        <w:t>, and</w:t>
      </w:r>
      <w:r>
        <w:t xml:space="preserve"> senior</w:t>
      </w:r>
      <w:r w:rsidR="008D6971">
        <w:t>,</w:t>
      </w:r>
      <w:r>
        <w:t xml:space="preserve"> pensioner and carer concession (SPCC)</w:t>
      </w:r>
      <w:r w:rsidR="004A7EDC">
        <w:t xml:space="preserve">, which are known </w:t>
      </w:r>
      <w:r>
        <w:t>collectively</w:t>
      </w:r>
      <w:r w:rsidR="004A7EDC">
        <w:t xml:space="preserve"> as </w:t>
      </w:r>
      <w:r>
        <w:t xml:space="preserve">the </w:t>
      </w:r>
      <w:r w:rsidR="005A685A">
        <w:t>‘</w:t>
      </w:r>
      <w:r>
        <w:t>home owner assistance schemes’.</w:t>
      </w:r>
    </w:p>
    <w:p w14:paraId="4232489A" w14:textId="5824F478" w:rsidR="00FC7F2D" w:rsidRPr="0022724D" w:rsidRDefault="005A685A" w:rsidP="00C25A59">
      <w:pPr>
        <w:pStyle w:val="Heading2"/>
      </w:pPr>
      <w:r w:rsidRPr="0022724D">
        <w:t>H</w:t>
      </w:r>
      <w:r w:rsidR="00FC7F2D" w:rsidRPr="0022724D">
        <w:t>ome owner assistance schemes</w:t>
      </w:r>
    </w:p>
    <w:p w14:paraId="1E18239C" w14:textId="1F406D8E" w:rsidR="00FC7F2D" w:rsidRPr="0022724D" w:rsidRDefault="00FC7F2D" w:rsidP="0022724D">
      <w:pPr>
        <w:pStyle w:val="Numberlistlevel1ListNumber"/>
      </w:pPr>
      <w:r w:rsidRPr="0022724D">
        <w:t xml:space="preserve">The </w:t>
      </w:r>
      <w:r w:rsidRPr="008668C6">
        <w:t xml:space="preserve">home owner assistance schemes </w:t>
      </w:r>
      <w:r w:rsidR="005A685A">
        <w:t>are intended</w:t>
      </w:r>
      <w:r w:rsidRPr="0022724D">
        <w:t xml:space="preserve"> to encourage home ownership by providing assistance in the form of a grant for the purchase or construction of a home</w:t>
      </w:r>
      <w:r w:rsidR="005A685A">
        <w:t>,</w:t>
      </w:r>
      <w:r w:rsidRPr="0022724D">
        <w:t xml:space="preserve"> or a reduction of the stamp duty payable on the purchase of land on which there is or will be a home.</w:t>
      </w:r>
    </w:p>
    <w:p w14:paraId="1F1AE9CC" w14:textId="703C0A06" w:rsidR="00FC7F2D" w:rsidRPr="0022724D" w:rsidRDefault="00FC7F2D" w:rsidP="0022724D">
      <w:pPr>
        <w:pStyle w:val="Numberlistlevel1ListNumber"/>
      </w:pPr>
      <w:r w:rsidRPr="0022724D">
        <w:t xml:space="preserve">The eligibility criteria </w:t>
      </w:r>
      <w:r w:rsidR="005A685A">
        <w:t>for</w:t>
      </w:r>
      <w:r w:rsidR="005A685A" w:rsidRPr="0022724D">
        <w:t xml:space="preserve"> </w:t>
      </w:r>
      <w:r w:rsidRPr="0022724D">
        <w:t xml:space="preserve">the home owner assistance schemes are designed to ensure that assistance is provided to home buyers purchasing or building their own home rather than to people purchasing or building a residence for purposes other than as their home, such as an investment property. </w:t>
      </w:r>
    </w:p>
    <w:p w14:paraId="6687ED95" w14:textId="64DDEB49" w:rsidR="00FC7F2D" w:rsidRPr="0022724D" w:rsidRDefault="00FC7F2D" w:rsidP="0022724D">
      <w:pPr>
        <w:pStyle w:val="Numberlistlevel1ListNumber"/>
      </w:pPr>
      <w:r w:rsidRPr="008668C6">
        <w:t xml:space="preserve">See Commissioner’s Guideline </w:t>
      </w:r>
      <w:r w:rsidR="005A685A" w:rsidRPr="00C25A59">
        <w:t>CG-HI-001</w:t>
      </w:r>
      <w:r w:rsidR="00687745" w:rsidRPr="0022724D">
        <w:t xml:space="preserve">: </w:t>
      </w:r>
      <w:r w:rsidR="008D6971" w:rsidRPr="0022724D">
        <w:rPr>
          <w:i/>
        </w:rPr>
        <w:t>Stamp duty home owner assistance schemes</w:t>
      </w:r>
      <w:r w:rsidR="008D6971" w:rsidRPr="0022724D">
        <w:t xml:space="preserve"> </w:t>
      </w:r>
      <w:r w:rsidRPr="0022724D">
        <w:t xml:space="preserve">and the respective home owner assistance scheme application forms for more information on the eligibility criteria </w:t>
      </w:r>
      <w:r w:rsidR="005A685A">
        <w:t>for</w:t>
      </w:r>
      <w:r w:rsidR="005A685A" w:rsidRPr="0022724D">
        <w:t xml:space="preserve"> </w:t>
      </w:r>
      <w:r w:rsidRPr="0022724D">
        <w:t>the home owner assistance schemes.</w:t>
      </w:r>
    </w:p>
    <w:p w14:paraId="07B248FF" w14:textId="30983293" w:rsidR="00FC7F2D" w:rsidRDefault="005A685A">
      <w:pPr>
        <w:pStyle w:val="Heading1"/>
      </w:pPr>
      <w:r>
        <w:lastRenderedPageBreak/>
        <w:t>D</w:t>
      </w:r>
      <w:r w:rsidR="00FC7F2D">
        <w:t>iscretions</w:t>
      </w:r>
    </w:p>
    <w:p w14:paraId="5DA70646" w14:textId="59D9102F" w:rsidR="00FC7F2D" w:rsidRDefault="00FC7F2D" w:rsidP="00C25A59">
      <w:pPr>
        <w:pStyle w:val="Numberlistlevel1ListNumber"/>
        <w:keepLines/>
      </w:pPr>
      <w:r>
        <w:t>The eligibility criteria for the home owner assistance schemes are structured to ensure that entitlement is limited to genuine home buyers. However, there are circumstances where genuine home buyers cannot satisfy some of these criteria. In recognition of this, the legislation for the home owner assistance schemes also provides the Commissioner of Territory Revenue</w:t>
      </w:r>
      <w:r w:rsidR="000160E7">
        <w:t xml:space="preserve"> (Commissioner)</w:t>
      </w:r>
      <w:r>
        <w:t xml:space="preserve"> with certain discretions to exempt or vary some of the eligibility requirements. These discretions are administered by TRO on behalf of the Commissioner and are explained further in this </w:t>
      </w:r>
      <w:r w:rsidR="000160E7">
        <w:t>g</w:t>
      </w:r>
      <w:r>
        <w:t>uideline.</w:t>
      </w:r>
    </w:p>
    <w:p w14:paraId="6BA888A3" w14:textId="77777777" w:rsidR="00FC7F2D" w:rsidRDefault="00FC7F2D" w:rsidP="00FC7F2D">
      <w:pPr>
        <w:pStyle w:val="Heading2"/>
      </w:pPr>
      <w:bookmarkStart w:id="1" w:name="_Minimum_age_of"/>
      <w:bookmarkEnd w:id="1"/>
      <w:r>
        <w:t>Minimum age of 18 years</w:t>
      </w:r>
    </w:p>
    <w:p w14:paraId="3B8ED3EB" w14:textId="77777777" w:rsidR="00FC7F2D" w:rsidRDefault="00FC7F2D" w:rsidP="00FC7F2D">
      <w:pPr>
        <w:pStyle w:val="Heading3"/>
      </w:pPr>
      <w:r>
        <w:t>Purpose of the requirement</w:t>
      </w:r>
    </w:p>
    <w:p w14:paraId="7164BE34" w14:textId="243E1596" w:rsidR="00FC7F2D" w:rsidRDefault="00FC7F2D" w:rsidP="00564C1C">
      <w:pPr>
        <w:pStyle w:val="Numberlistlevel1ListNumber"/>
      </w:pPr>
      <w:r>
        <w:t>All home owner assistance schemes</w:t>
      </w:r>
      <w:r w:rsidR="000160E7">
        <w:t>,</w:t>
      </w:r>
      <w:r>
        <w:t xml:space="preserve"> exc</w:t>
      </w:r>
      <w:r w:rsidR="000160E7">
        <w:t>luding</w:t>
      </w:r>
      <w:r>
        <w:t xml:space="preserve"> </w:t>
      </w:r>
      <w:r w:rsidR="00CA718B">
        <w:t xml:space="preserve">the </w:t>
      </w:r>
      <w:r>
        <w:t>SPCC</w:t>
      </w:r>
      <w:r w:rsidR="000160E7">
        <w:t>,</w:t>
      </w:r>
      <w:r>
        <w:t xml:space="preserve"> require at least one applicant to be</w:t>
      </w:r>
      <w:r w:rsidR="000160E7">
        <w:t xml:space="preserve"> at least</w:t>
      </w:r>
      <w:r>
        <w:t xml:space="preserve"> 18 years of age at the ‘relevant time’.</w:t>
      </w:r>
      <w:r w:rsidR="00C67DD5" w:rsidRPr="00462558">
        <w:rPr>
          <w:vertAlign w:val="superscript"/>
        </w:rPr>
        <w:footnoteReference w:id="1"/>
      </w:r>
      <w:r>
        <w:t xml:space="preserve"> The relevant time is</w:t>
      </w:r>
      <w:r w:rsidR="000160E7">
        <w:t xml:space="preserve"> the date when</w:t>
      </w:r>
      <w:r>
        <w:t>:</w:t>
      </w:r>
    </w:p>
    <w:p w14:paraId="40E1B6F1" w14:textId="294ABF33" w:rsidR="00FC7F2D" w:rsidRDefault="00FC7F2D" w:rsidP="00564C1C">
      <w:pPr>
        <w:pStyle w:val="Numberlistlevel2ListNumber2"/>
      </w:pPr>
      <w:r>
        <w:t>the contract to purchase or build the home is executed</w:t>
      </w:r>
    </w:p>
    <w:p w14:paraId="2E3424AD" w14:textId="3395E0EB" w:rsidR="00FC7F2D" w:rsidRDefault="00FC7F2D" w:rsidP="00564C1C">
      <w:pPr>
        <w:pStyle w:val="Numberlistlevel2ListNumber2"/>
      </w:pPr>
      <w:r>
        <w:t>for an owner builder, laying the foundations for the home commences or another date the Commissioner considers appropriate in the circumstances of the case.</w:t>
      </w:r>
    </w:p>
    <w:p w14:paraId="216FD49F" w14:textId="77777777" w:rsidR="00FC7F2D" w:rsidRDefault="00FC7F2D" w:rsidP="00564C1C">
      <w:pPr>
        <w:pStyle w:val="Numberlistlevel1ListNumber"/>
      </w:pPr>
      <w:r>
        <w:t>The purpose of this criterion is to prevent ineligible persons from taking advantage</w:t>
      </w:r>
      <w:r w:rsidR="00C67DD5">
        <w:t xml:space="preserve"> of the</w:t>
      </w:r>
      <w:r>
        <w:t xml:space="preserve"> relevant home owner assistance scheme by constructing or purchasing the home in the name of a child who has no intention or resources to do so. However, there are circumstances where persons under the age of 18 years are genuinely purchasing or building a home for themselves. This is acknowledged in the legislation by the provision of a discretion to exempt an a</w:t>
      </w:r>
      <w:r w:rsidR="00C67DD5">
        <w:t>pplicant from this requirement.</w:t>
      </w:r>
      <w:r w:rsidR="00C67DD5" w:rsidRPr="00462558">
        <w:rPr>
          <w:vertAlign w:val="superscript"/>
        </w:rPr>
        <w:footnoteReference w:id="2"/>
      </w:r>
    </w:p>
    <w:p w14:paraId="5A3C8E15" w14:textId="17E26599" w:rsidR="00FC7F2D" w:rsidRDefault="00FC7F2D" w:rsidP="00564C1C">
      <w:pPr>
        <w:pStyle w:val="Numberlistlevel1ListNumber"/>
      </w:pPr>
      <w:r>
        <w:t>The discretion will generally be exercised where the applicants demonstrate they are genuinely purchasing a residence to use as a home, and it is the applicants, rather than an ineligible person, who will receive the benefit.</w:t>
      </w:r>
    </w:p>
    <w:p w14:paraId="6023AFEA" w14:textId="77777777" w:rsidR="00FC7F2D" w:rsidRDefault="00FC7F2D" w:rsidP="00564C1C">
      <w:pPr>
        <w:pStyle w:val="Numberlistlevel1ListNumber"/>
      </w:pPr>
      <w:r>
        <w:t>Factors that TRO will consider in determining whether to exempt an applicant include:</w:t>
      </w:r>
    </w:p>
    <w:p w14:paraId="5420A09D" w14:textId="50699E94" w:rsidR="00FC7F2D" w:rsidRDefault="00FC7F2D" w:rsidP="00564C1C">
      <w:pPr>
        <w:pStyle w:val="Numberlistlevel2ListNumber2"/>
      </w:pPr>
      <w:r>
        <w:t>the age of the applicant because, subject to other factors, younger applicant</w:t>
      </w:r>
      <w:r w:rsidR="000160E7">
        <w:t>s</w:t>
      </w:r>
      <w:r>
        <w:t xml:space="preserve"> </w:t>
      </w:r>
      <w:r w:rsidR="000160E7">
        <w:t xml:space="preserve">are </w:t>
      </w:r>
      <w:r>
        <w:t xml:space="preserve">less likely </w:t>
      </w:r>
      <w:r w:rsidR="000160E7">
        <w:t xml:space="preserve">to </w:t>
      </w:r>
      <w:r>
        <w:t>have the resources or intention to purchase or construct the home</w:t>
      </w:r>
    </w:p>
    <w:p w14:paraId="02BE8380" w14:textId="288064B9" w:rsidR="00FC7F2D" w:rsidRDefault="00FC7F2D" w:rsidP="00564C1C">
      <w:pPr>
        <w:pStyle w:val="Numberlistlevel2ListNumber2"/>
      </w:pPr>
      <w:r>
        <w:t>whether the applicant is employed or otherwise has the financial capacity to fund the purchase or construction of the home</w:t>
      </w:r>
    </w:p>
    <w:p w14:paraId="61C77E85" w14:textId="60A4DE5A" w:rsidR="00FC7F2D" w:rsidRDefault="00FC7F2D" w:rsidP="00564C1C">
      <w:pPr>
        <w:pStyle w:val="Numberlistlevel2ListNumber2"/>
      </w:pPr>
      <w:r>
        <w:t>the source of funds used to construct or purchase the home, including the amount contributed by the applicant</w:t>
      </w:r>
    </w:p>
    <w:p w14:paraId="1D375F57" w14:textId="1BEDD5FB" w:rsidR="00A50B3C" w:rsidRDefault="00FC7F2D" w:rsidP="00564C1C">
      <w:pPr>
        <w:pStyle w:val="Numberlistlevel2ListNumber2"/>
      </w:pPr>
      <w:r>
        <w:t xml:space="preserve">where there are other person(s) who will occupy the </w:t>
      </w:r>
      <w:r w:rsidR="000160E7">
        <w:t>home:</w:t>
      </w:r>
    </w:p>
    <w:p w14:paraId="4AE0C752" w14:textId="66892CB0" w:rsidR="00A50B3C" w:rsidRDefault="00FC7F2D" w:rsidP="00C25A59">
      <w:pPr>
        <w:pStyle w:val="Numberlistlevel3ListNumber3"/>
      </w:pPr>
      <w:r>
        <w:t>their relationship to the applicant</w:t>
      </w:r>
    </w:p>
    <w:p w14:paraId="7A0070D2" w14:textId="77777777" w:rsidR="00A50B3C" w:rsidRDefault="00FC7F2D" w:rsidP="00C25A59">
      <w:pPr>
        <w:pStyle w:val="Numberlistlevel3ListNumber3"/>
      </w:pPr>
      <w:r>
        <w:t>their own eligibility for the relevant home owner assistance scheme</w:t>
      </w:r>
    </w:p>
    <w:p w14:paraId="3D4D96ED" w14:textId="6ABD9E63" w:rsidR="00FC7F2D" w:rsidRDefault="00FC7F2D" w:rsidP="00C25A59">
      <w:pPr>
        <w:pStyle w:val="Numberlistlevel3ListNumber3"/>
      </w:pPr>
      <w:r>
        <w:t xml:space="preserve">any contributions they make to the purchase price or construction cost of the home </w:t>
      </w:r>
      <w:r w:rsidR="00A50B3C">
        <w:t>including </w:t>
      </w:r>
      <w:r>
        <w:t xml:space="preserve">the deposit, ongoing mortgage payments, and the provision of security or </w:t>
      </w:r>
      <w:r w:rsidR="00A50B3C">
        <w:t>similar </w:t>
      </w:r>
      <w:r>
        <w:t>contributions.</w:t>
      </w:r>
    </w:p>
    <w:p w14:paraId="64A3CE13" w14:textId="28050EEE" w:rsidR="00FC7F2D" w:rsidRDefault="00FC7F2D" w:rsidP="000160E7">
      <w:pPr>
        <w:pStyle w:val="Numberlistlevel1ListNumber"/>
      </w:pPr>
      <w:r>
        <w:lastRenderedPageBreak/>
        <w:t xml:space="preserve">Generally, unless there are special reasons to suggest otherwise, discretion will be exercised where an applicant will turn 18 years of age within the 12 month residence period (see </w:t>
      </w:r>
      <w:hyperlink w:anchor="_Residence_and_occupancy" w:history="1">
        <w:r w:rsidR="000160E7" w:rsidRPr="0022724D">
          <w:rPr>
            <w:rStyle w:val="Hyperlink"/>
          </w:rPr>
          <w:t>Residence and occupancy requirements</w:t>
        </w:r>
      </w:hyperlink>
      <w:r>
        <w:t>).</w:t>
      </w:r>
    </w:p>
    <w:p w14:paraId="7B258FC8" w14:textId="5DB908E3" w:rsidR="00FC7F2D" w:rsidRDefault="00912A21" w:rsidP="00C25A59">
      <w:pPr>
        <w:pStyle w:val="Example-Heading"/>
      </w:pPr>
      <w:r w:rsidRPr="008668C6">
        <w:t>Example</w:t>
      </w:r>
      <w:r w:rsidR="00834CD1">
        <w:t>s</w:t>
      </w:r>
    </w:p>
    <w:p w14:paraId="4D113131" w14:textId="48468A7A" w:rsidR="00912A21" w:rsidRPr="00C25A59" w:rsidRDefault="009C3F33" w:rsidP="00C25A59">
      <w:pPr>
        <w:pStyle w:val="Example-Bodytext"/>
        <w:rPr>
          <w:i/>
        </w:rPr>
      </w:pPr>
      <w:r>
        <w:rPr>
          <w:i/>
        </w:rPr>
        <w:t>These are examples of c</w:t>
      </w:r>
      <w:r w:rsidR="00912A21" w:rsidRPr="00C25A59">
        <w:rPr>
          <w:i/>
        </w:rPr>
        <w:t>ircumstances in which applicant</w:t>
      </w:r>
      <w:r>
        <w:rPr>
          <w:i/>
        </w:rPr>
        <w:t>s</w:t>
      </w:r>
      <w:r w:rsidR="00912A21" w:rsidRPr="00C25A59">
        <w:rPr>
          <w:i/>
        </w:rPr>
        <w:t xml:space="preserve"> </w:t>
      </w:r>
      <w:r w:rsidR="00912A21" w:rsidRPr="00C25A59">
        <w:rPr>
          <w:b/>
          <w:i/>
        </w:rPr>
        <w:t>would be exempt</w:t>
      </w:r>
      <w:r w:rsidR="00823668" w:rsidRPr="00C25A59">
        <w:rPr>
          <w:b/>
          <w:i/>
        </w:rPr>
        <w:t xml:space="preserve"> from the minimum </w:t>
      </w:r>
      <w:r w:rsidR="00343E34" w:rsidRPr="00C25A59">
        <w:rPr>
          <w:b/>
          <w:i/>
        </w:rPr>
        <w:t>age</w:t>
      </w:r>
      <w:r w:rsidR="00343E34">
        <w:rPr>
          <w:b/>
          <w:i/>
        </w:rPr>
        <w:t> </w:t>
      </w:r>
      <w:r w:rsidR="00823668" w:rsidRPr="00C25A59">
        <w:rPr>
          <w:b/>
          <w:i/>
        </w:rPr>
        <w:t>requirement</w:t>
      </w:r>
      <w:r>
        <w:rPr>
          <w:i/>
        </w:rPr>
        <w:t>.</w:t>
      </w:r>
    </w:p>
    <w:p w14:paraId="153AA2B1" w14:textId="6F393994" w:rsidR="00912A21" w:rsidRPr="00793BD5" w:rsidRDefault="009C3F33" w:rsidP="00C25A59">
      <w:pPr>
        <w:pStyle w:val="Example-BulletlistL1"/>
      </w:pPr>
      <w:r>
        <w:t>A</w:t>
      </w:r>
      <w:r w:rsidR="00912A21" w:rsidRPr="00793BD5">
        <w:t>pplicant couples who are both under 18 years of age who buy a home, both work, have saved sufficient monies for a deposit for the home and have sufficient combined income to service the</w:t>
      </w:r>
      <w:r w:rsidR="00916D5F" w:rsidRPr="00793BD5">
        <w:t> </w:t>
      </w:r>
      <w:r w:rsidR="00912A21" w:rsidRPr="00576798">
        <w:t>mortgage</w:t>
      </w:r>
      <w:r>
        <w:t>.</w:t>
      </w:r>
    </w:p>
    <w:p w14:paraId="55EFB04E" w14:textId="1D8CF0CB" w:rsidR="00912A21" w:rsidRPr="006A230D" w:rsidRDefault="009C3F33" w:rsidP="00C25A59">
      <w:pPr>
        <w:pStyle w:val="Example-BulletlistL1"/>
      </w:pPr>
      <w:r>
        <w:t>A</w:t>
      </w:r>
      <w:r w:rsidR="00912A21" w:rsidRPr="00793BD5">
        <w:t>n applicant aged under 18 years of age whose parents contribute to the deposit for a home loan where</w:t>
      </w:r>
      <w:r w:rsidR="00916D5F" w:rsidRPr="00793BD5">
        <w:t xml:space="preserve"> the applicant is employed</w:t>
      </w:r>
      <w:r w:rsidR="00A34142">
        <w:t xml:space="preserve"> and </w:t>
      </w:r>
      <w:r w:rsidR="00A34142" w:rsidRPr="00576798">
        <w:t>solely responsib</w:t>
      </w:r>
      <w:r w:rsidR="00A34142" w:rsidRPr="00A34142">
        <w:t xml:space="preserve">le for the mortgage </w:t>
      </w:r>
      <w:r w:rsidR="00C25A59" w:rsidRPr="00A34142">
        <w:t>repayment</w:t>
      </w:r>
      <w:r w:rsidR="00C25A59">
        <w:t xml:space="preserve">. </w:t>
      </w:r>
      <w:r w:rsidR="00C25A59" w:rsidRPr="00A34142">
        <w:t>The</w:t>
      </w:r>
      <w:r w:rsidR="00912A21" w:rsidRPr="00A34142">
        <w:t xml:space="preserve"> applicant’s parents have no title to or interest in the home and live in a diffe</w:t>
      </w:r>
      <w:r w:rsidR="00916D5F" w:rsidRPr="00A34142">
        <w:t xml:space="preserve">rent home to the applicant and </w:t>
      </w:r>
      <w:r w:rsidR="00912A21" w:rsidRPr="00A34142">
        <w:t>suitable confirmation is provided that indicates the only intention of the parents in assisting with the deposit is to aid the ap</w:t>
      </w:r>
      <w:r w:rsidR="00D90C3E" w:rsidRPr="00A34142">
        <w:t>plicant in becoming independent</w:t>
      </w:r>
      <w:r>
        <w:t>.</w:t>
      </w:r>
    </w:p>
    <w:p w14:paraId="2ABA92D6" w14:textId="04E70EDF" w:rsidR="00916D5F" w:rsidRPr="00A34142" w:rsidRDefault="009C3F33" w:rsidP="00C25A59">
      <w:pPr>
        <w:pStyle w:val="Example-BulletlistL1"/>
      </w:pPr>
      <w:r>
        <w:t>A</w:t>
      </w:r>
      <w:r w:rsidR="00916D5F" w:rsidRPr="00793BD5">
        <w:t>n applicant who is aged under 18 years of age and was severely disabled in an accident and whose trustee has used a compensation payment to purchase a home that is modified to suit the</w:t>
      </w:r>
      <w:r w:rsidR="00916D5F" w:rsidRPr="00A34142">
        <w:t> applicant’s needs and the parents are to reside with the applicant to assist in providing necessary care.</w:t>
      </w:r>
    </w:p>
    <w:p w14:paraId="5115CA66" w14:textId="77777777" w:rsidR="00BF607A" w:rsidRPr="00BF607A" w:rsidRDefault="00BF607A" w:rsidP="0055115B">
      <w:pPr>
        <w:pStyle w:val="Hidden"/>
      </w:pPr>
    </w:p>
    <w:p w14:paraId="7EC5CC16" w14:textId="5AE09E72" w:rsidR="00FC7F2D" w:rsidRDefault="00FC7F2D" w:rsidP="00C25A59">
      <w:pPr>
        <w:pStyle w:val="Numberlistlevel1ListNumber"/>
      </w:pPr>
      <w:r w:rsidRPr="00916D5F">
        <w:t>Special rules apply to the guardians of persons under a legal disability that ensure the guardian is not</w:t>
      </w:r>
      <w:r>
        <w:t xml:space="preserve"> considered to be the applicant for the purposes of the home owner assistance schemes.</w:t>
      </w:r>
      <w:r w:rsidR="00C67DD5" w:rsidRPr="00147CCF">
        <w:rPr>
          <w:vertAlign w:val="superscript"/>
        </w:rPr>
        <w:footnoteReference w:id="3"/>
      </w:r>
      <w:r>
        <w:t xml:space="preserve"> For more information on this</w:t>
      </w:r>
      <w:r w:rsidR="008D6971">
        <w:t>,</w:t>
      </w:r>
      <w:r>
        <w:t xml:space="preserve"> please contact TRO directly (see the last page of this </w:t>
      </w:r>
      <w:r w:rsidR="00916D5F">
        <w:t>g</w:t>
      </w:r>
      <w:r>
        <w:t>uideline for contact details).</w:t>
      </w:r>
    </w:p>
    <w:p w14:paraId="7152807A" w14:textId="762B577F" w:rsidR="00916D5F" w:rsidRDefault="00FC7F2D" w:rsidP="00C25A59">
      <w:pPr>
        <w:pStyle w:val="Example-Heading"/>
      </w:pPr>
      <w:r w:rsidRPr="00146243">
        <w:t>Example</w:t>
      </w:r>
    </w:p>
    <w:p w14:paraId="6B262762" w14:textId="307E2CB5" w:rsidR="00916D5F" w:rsidRDefault="00916D5F" w:rsidP="00C25A59">
      <w:pPr>
        <w:pStyle w:val="Example-Bodytext"/>
      </w:pPr>
      <w:r>
        <w:t>One circumstance in which</w:t>
      </w:r>
      <w:r w:rsidR="00FC7F2D" w:rsidRPr="00146243">
        <w:t xml:space="preserve"> </w:t>
      </w:r>
      <w:r>
        <w:t xml:space="preserve">an applicant </w:t>
      </w:r>
      <w:r w:rsidRPr="00C25A59">
        <w:rPr>
          <w:b/>
        </w:rPr>
        <w:t xml:space="preserve">would not be exempt </w:t>
      </w:r>
      <w:r w:rsidR="00823668" w:rsidRPr="00C25A59">
        <w:rPr>
          <w:b/>
        </w:rPr>
        <w:t>from the minimum age requirement</w:t>
      </w:r>
      <w:r w:rsidR="00823668">
        <w:t xml:space="preserve"> </w:t>
      </w:r>
      <w:r>
        <w:t>is if t</w:t>
      </w:r>
      <w:r w:rsidRPr="006A230D">
        <w:t>he applicant is a child (for example, five years old) and</w:t>
      </w:r>
      <w:r>
        <w:t>:</w:t>
      </w:r>
    </w:p>
    <w:p w14:paraId="6FFBE4A9" w14:textId="77777777" w:rsidR="00916D5F" w:rsidRDefault="00916D5F" w:rsidP="00C25A59">
      <w:pPr>
        <w:pStyle w:val="Example-NumberlistL1"/>
        <w:ind w:left="850"/>
      </w:pPr>
      <w:r w:rsidRPr="006A230D">
        <w:t xml:space="preserve">lives with </w:t>
      </w:r>
      <w:r>
        <w:t>their</w:t>
      </w:r>
      <w:r w:rsidRPr="006A230D">
        <w:t xml:space="preserve"> parents in their own home</w:t>
      </w:r>
    </w:p>
    <w:p w14:paraId="5756D6DE" w14:textId="77777777" w:rsidR="00D90C3E" w:rsidRDefault="00916D5F" w:rsidP="00C25A59">
      <w:pPr>
        <w:pStyle w:val="Example-NumberlistL1"/>
        <w:ind w:left="850"/>
      </w:pPr>
      <w:r>
        <w:t>their</w:t>
      </w:r>
      <w:r w:rsidRPr="006A230D">
        <w:t xml:space="preserve"> parents decide to sell their existing home and purchase a new home in the applicant’s name using a deposit provided by them</w:t>
      </w:r>
    </w:p>
    <w:p w14:paraId="1126989A" w14:textId="0761DF5C" w:rsidR="00916D5F" w:rsidRDefault="00D90C3E" w:rsidP="00C25A59">
      <w:pPr>
        <w:pStyle w:val="Example-NumberlistL1"/>
        <w:ind w:left="850"/>
      </w:pPr>
      <w:r>
        <w:t>their parents</w:t>
      </w:r>
      <w:r w:rsidR="00916D5F" w:rsidRPr="006A230D">
        <w:t xml:space="preserve"> also service the mortgage repayments</w:t>
      </w:r>
    </w:p>
    <w:p w14:paraId="7950A973" w14:textId="3688EE5D" w:rsidR="00916D5F" w:rsidRPr="00793BD5" w:rsidRDefault="00916D5F" w:rsidP="00C25A59">
      <w:pPr>
        <w:pStyle w:val="Example-NumberlistL1"/>
        <w:ind w:left="850"/>
      </w:pPr>
      <w:r>
        <w:t>t</w:t>
      </w:r>
      <w:r w:rsidRPr="006A230D">
        <w:t xml:space="preserve">he applicant and </w:t>
      </w:r>
      <w:r w:rsidR="00D90C3E">
        <w:t>their</w:t>
      </w:r>
      <w:r w:rsidRPr="006A230D">
        <w:t xml:space="preserve"> parents live in the new home and the parents no longer own another</w:t>
      </w:r>
      <w:r w:rsidR="00D90C3E">
        <w:t> </w:t>
      </w:r>
      <w:r w:rsidRPr="006A230D">
        <w:t>home.</w:t>
      </w:r>
    </w:p>
    <w:p w14:paraId="77F3A407" w14:textId="77777777" w:rsidR="00FC7F2D" w:rsidRDefault="00FC7F2D" w:rsidP="00146243">
      <w:pPr>
        <w:pStyle w:val="Heading2"/>
      </w:pPr>
      <w:r>
        <w:t>Right to take possession of home or land within 12 months of purchase</w:t>
      </w:r>
    </w:p>
    <w:p w14:paraId="58E89AC0" w14:textId="7D26DECA" w:rsidR="00FC7F2D" w:rsidRDefault="00FC7F2D" w:rsidP="00BF607A">
      <w:pPr>
        <w:pStyle w:val="Numberlistlevel1ListNumber"/>
      </w:pPr>
      <w:r>
        <w:t xml:space="preserve">It is a requirement of the home owner assistance schemes that the purchaser must become entitled to take possession of the home or land on which a home is to be built within 12 months after the purchase </w:t>
      </w:r>
      <w:r w:rsidR="008D6971">
        <w:t>i</w:t>
      </w:r>
      <w:r>
        <w:t>s completed.</w:t>
      </w:r>
    </w:p>
    <w:p w14:paraId="6E859B7A" w14:textId="71D3006D" w:rsidR="00FC7F2D" w:rsidRDefault="00FC7F2D" w:rsidP="00BF607A">
      <w:pPr>
        <w:pStyle w:val="Numberlistlevel1ListNumber"/>
      </w:pPr>
      <w:r>
        <w:t>This reflects the intention of the schemes to assist persons who are genuinely purchasing a property for their own occupation, not for other purposes such as for rental or investment.</w:t>
      </w:r>
    </w:p>
    <w:p w14:paraId="16AA8E76" w14:textId="77777777" w:rsidR="00FC7F2D" w:rsidRDefault="00FC7F2D" w:rsidP="00BF607A">
      <w:pPr>
        <w:pStyle w:val="Numberlistlevel1ListNumber"/>
      </w:pPr>
      <w:r>
        <w:lastRenderedPageBreak/>
        <w:t>Generally, an owner gives up the right to use and possession of a property when they grant a lease over the property to another. They do not regain the use or possession of the property until the lease expires or it is terminated.</w:t>
      </w:r>
    </w:p>
    <w:p w14:paraId="2827F127" w14:textId="5D487AA5" w:rsidR="00FC7F2D" w:rsidRDefault="00FC7F2D" w:rsidP="00BF607A">
      <w:pPr>
        <w:pStyle w:val="Numberlistlevel1ListNumber"/>
      </w:pPr>
      <w:r>
        <w:t>The 12</w:t>
      </w:r>
      <w:r w:rsidR="00D316F7">
        <w:noBreakHyphen/>
      </w:r>
      <w:r>
        <w:t xml:space="preserve">month period reflects a reasonable period for a person who is genuinely purchasing a home </w:t>
      </w:r>
      <w:r w:rsidR="00D316F7">
        <w:t>to </w:t>
      </w:r>
      <w:r>
        <w:t xml:space="preserve">take possession of the home for their own occupation, recognising that some properties may be purchased with short term tenancies in place that prevent the purchaser from taking </w:t>
      </w:r>
      <w:r w:rsidR="00D316F7">
        <w:t>immediate </w:t>
      </w:r>
      <w:r>
        <w:t>occupation.</w:t>
      </w:r>
    </w:p>
    <w:p w14:paraId="1F5B260F" w14:textId="4095E601" w:rsidR="00FC7F2D" w:rsidRDefault="00FC7F2D" w:rsidP="00BF607A">
      <w:pPr>
        <w:pStyle w:val="Numberlistlevel1ListNumber"/>
      </w:pPr>
      <w:r>
        <w:t>However, there may be limited circumstances where a genuine home buyer does not become entitled to possession within the required 12</w:t>
      </w:r>
      <w:r w:rsidR="00D316F7">
        <w:noBreakHyphen/>
      </w:r>
      <w:r>
        <w:t>month period. This is acknowledged in the legislation by providing the Commissioner with a discretion to extend the period in which a person must</w:t>
      </w:r>
      <w:r w:rsidR="00C67DD5">
        <w:t xml:space="preserve"> become entitled to possession.</w:t>
      </w:r>
      <w:r w:rsidR="00C67DD5">
        <w:rPr>
          <w:rStyle w:val="FootnoteReference"/>
          <w:sz w:val="24"/>
          <w:szCs w:val="24"/>
        </w:rPr>
        <w:footnoteReference w:id="4"/>
      </w:r>
    </w:p>
    <w:p w14:paraId="06CFCC78" w14:textId="51A59AF0" w:rsidR="00FC7F2D" w:rsidRDefault="00FC7F2D" w:rsidP="00BF607A">
      <w:pPr>
        <w:pStyle w:val="Numberlistlevel1ListNumber"/>
      </w:pPr>
      <w:r>
        <w:t>This discretion will only be exercised in limited circumstances where the applicants demonstrate they did not obtain possession because of circumstances outside of their control which arose after the relevant time. For example, the discretion will not be exercised where a person makes a choice to purchase a home the subject of an existing long term lease.</w:t>
      </w:r>
    </w:p>
    <w:p w14:paraId="6CE3C1DA" w14:textId="025BE91E" w:rsidR="00FC7F2D" w:rsidRDefault="00FC7F2D" w:rsidP="00BF607A">
      <w:pPr>
        <w:pStyle w:val="Numberlistlevel1ListNumber"/>
      </w:pPr>
      <w:r>
        <w:t xml:space="preserve">For further information on the implications of purchasing a home subject to an existing lease, refer to Commissioner’s Guideline </w:t>
      </w:r>
      <w:r w:rsidR="00D316F7" w:rsidRPr="00C25A59">
        <w:t>CG-HI-010</w:t>
      </w:r>
      <w:r>
        <w:t xml:space="preserve">: </w:t>
      </w:r>
      <w:r w:rsidRPr="002F7ECB">
        <w:rPr>
          <w:i/>
        </w:rPr>
        <w:t>Purchasing a home subject to an existing lease</w:t>
      </w:r>
      <w:r>
        <w:t>.</w:t>
      </w:r>
    </w:p>
    <w:p w14:paraId="7890B31D" w14:textId="774F503D" w:rsidR="00FC7F2D" w:rsidRDefault="00FC7F2D" w:rsidP="00C67DD5">
      <w:pPr>
        <w:pStyle w:val="Heading2"/>
      </w:pPr>
      <w:bookmarkStart w:id="2" w:name="_Residence_and_occupancy"/>
      <w:bookmarkEnd w:id="2"/>
      <w:r>
        <w:t xml:space="preserve">Residence </w:t>
      </w:r>
      <w:r w:rsidR="0022724D">
        <w:t>and o</w:t>
      </w:r>
      <w:r>
        <w:t>ccupancy requirements</w:t>
      </w:r>
    </w:p>
    <w:p w14:paraId="62346787" w14:textId="77777777" w:rsidR="00FC7F2D" w:rsidRDefault="00FC7F2D" w:rsidP="00BF607A">
      <w:pPr>
        <w:pStyle w:val="Numberlistlevel1ListNumber"/>
      </w:pPr>
      <w:r>
        <w:t>A central requirement of the home owner assistance schemes is that applicants must occupy the home as their principal place of residence for a continuous period of at least six months commencing:</w:t>
      </w:r>
    </w:p>
    <w:p w14:paraId="0F7499F6" w14:textId="4F0486F3" w:rsidR="00FC7F2D" w:rsidRDefault="00FC7F2D" w:rsidP="00BF607A">
      <w:pPr>
        <w:pStyle w:val="Numberlistlevel2ListNumber2"/>
      </w:pPr>
      <w:r>
        <w:t xml:space="preserve">in the case of </w:t>
      </w:r>
      <w:r w:rsidR="00D316F7">
        <w:t>the</w:t>
      </w:r>
      <w:r>
        <w:t xml:space="preserve"> purchase of a home (including off-the-plan</w:t>
      </w:r>
      <w:r w:rsidR="00D316F7">
        <w:t xml:space="preserve">), </w:t>
      </w:r>
      <w:r>
        <w:t xml:space="preserve">within 12 months after becoming entitled to possession of the home, which must occur within 12 months after the purchase </w:t>
      </w:r>
      <w:r w:rsidR="00D316F7">
        <w:t>was </w:t>
      </w:r>
      <w:r>
        <w:t>settled</w:t>
      </w:r>
    </w:p>
    <w:p w14:paraId="074325C6" w14:textId="596A11BF" w:rsidR="00FC7F2D" w:rsidRDefault="00FC7F2D" w:rsidP="00BF607A">
      <w:pPr>
        <w:pStyle w:val="Numberlistlevel2ListNumber2"/>
      </w:pPr>
      <w:r>
        <w:t>in the case of building a home</w:t>
      </w:r>
      <w:r w:rsidR="00D316F7">
        <w:t>, for the</w:t>
      </w:r>
      <w:r>
        <w:t>:</w:t>
      </w:r>
    </w:p>
    <w:p w14:paraId="360CC145" w14:textId="27819AF6" w:rsidR="00FC7F2D" w:rsidRDefault="00FC7F2D" w:rsidP="00BF607A">
      <w:pPr>
        <w:pStyle w:val="Numberlistlevel3ListNumber3"/>
      </w:pPr>
      <w:r>
        <w:t>FHOG, within 12 months after the home is completed and is ready for occupation</w:t>
      </w:r>
    </w:p>
    <w:p w14:paraId="225F5194" w14:textId="72CE5572" w:rsidR="00FC7F2D" w:rsidRDefault="00FC7F2D" w:rsidP="00BF607A">
      <w:pPr>
        <w:pStyle w:val="Numberlistlevel3ListNumber3"/>
      </w:pPr>
      <w:r>
        <w:t>HLPE, THOD and SPCC, the earlier of:</w:t>
      </w:r>
    </w:p>
    <w:p w14:paraId="3DC9689E" w14:textId="70B0EEF9" w:rsidR="00FC7F2D" w:rsidRDefault="00FC7F2D">
      <w:pPr>
        <w:pStyle w:val="Numberlistlevel4ListNumber4"/>
      </w:pPr>
      <w:r>
        <w:t>five years after taking possession of the land, which must occur within 12</w:t>
      </w:r>
      <w:r w:rsidR="005F21CC">
        <w:t> </w:t>
      </w:r>
      <w:r>
        <w:t>months after the purchase of the land was settled</w:t>
      </w:r>
    </w:p>
    <w:p w14:paraId="72BF44AB" w14:textId="77777777" w:rsidR="00FC7F2D" w:rsidRDefault="00FC7F2D" w:rsidP="00BF607A">
      <w:pPr>
        <w:pStyle w:val="Numberlistlevel4ListNumber4"/>
      </w:pPr>
      <w:r>
        <w:t>12 months after the home is completed and is rea</w:t>
      </w:r>
      <w:r w:rsidR="00C67DD5">
        <w:t>dy for occupation.</w:t>
      </w:r>
      <w:r w:rsidR="00C67DD5" w:rsidRPr="006C26ED">
        <w:rPr>
          <w:rStyle w:val="FootnoteReference"/>
          <w:szCs w:val="24"/>
        </w:rPr>
        <w:footnoteReference w:id="5"/>
      </w:r>
    </w:p>
    <w:p w14:paraId="2EBA5B11" w14:textId="4ECCAA56" w:rsidR="00FC7F2D" w:rsidRDefault="00FC7F2D" w:rsidP="00BF607A">
      <w:pPr>
        <w:pStyle w:val="Numberlistlevel1ListNumber"/>
      </w:pPr>
      <w:r>
        <w:t xml:space="preserve">For more information on what constitutes occupying a home as a principal place of residence, refer to Commissioner’s Guideline </w:t>
      </w:r>
      <w:r w:rsidR="00D316F7" w:rsidRPr="00C25A59">
        <w:t>CG-HI-005</w:t>
      </w:r>
      <w:r>
        <w:t xml:space="preserve">: </w:t>
      </w:r>
      <w:r w:rsidRPr="002F7ECB">
        <w:rPr>
          <w:i/>
        </w:rPr>
        <w:t>Principal place of residence</w:t>
      </w:r>
      <w:r>
        <w:t>.</w:t>
      </w:r>
    </w:p>
    <w:p w14:paraId="3E447A43" w14:textId="1CAF8407" w:rsidR="00FC7F2D" w:rsidRDefault="00FC7F2D" w:rsidP="00BF607A">
      <w:pPr>
        <w:pStyle w:val="Numberlistlevel1ListNumber"/>
      </w:pPr>
      <w:r>
        <w:t>An applicant is automatically exempt from the residence</w:t>
      </w:r>
      <w:r w:rsidR="00D316F7">
        <w:t xml:space="preserve"> and </w:t>
      </w:r>
      <w:r>
        <w:t>occupancy requirements if:</w:t>
      </w:r>
    </w:p>
    <w:p w14:paraId="4D35555C" w14:textId="14442226" w:rsidR="00FC7F2D" w:rsidRDefault="00C67DD5" w:rsidP="00BF607A">
      <w:pPr>
        <w:pStyle w:val="Numberlistlevel2ListNumber2"/>
      </w:pPr>
      <w:r>
        <w:t>a</w:t>
      </w:r>
      <w:r w:rsidR="00FC7F2D">
        <w:t>t least one other applicant complies with the requirements</w:t>
      </w:r>
    </w:p>
    <w:p w14:paraId="121892E0" w14:textId="14DECC65" w:rsidR="00FC7F2D" w:rsidRDefault="00FC7F2D" w:rsidP="00BF607A">
      <w:pPr>
        <w:pStyle w:val="Numberlistlevel2ListNumber2"/>
      </w:pPr>
      <w:r>
        <w:t>in the case of the SPCC, the occupying applicant is over 60 years old or the holder of a Northern Territory Pensioner and Carer Concession card</w:t>
      </w:r>
      <w:r w:rsidR="005F21CC">
        <w:t xml:space="preserve"> or Northern Territory Concession Scheme </w:t>
      </w:r>
      <w:r w:rsidR="00D316F7">
        <w:t>c</w:t>
      </w:r>
      <w:r w:rsidR="005F21CC">
        <w:t>ard</w:t>
      </w:r>
      <w:r>
        <w:t>.</w:t>
      </w:r>
    </w:p>
    <w:p w14:paraId="53C756CB" w14:textId="77777777" w:rsidR="00FC7F2D" w:rsidRDefault="00FC7F2D" w:rsidP="00C67DD5">
      <w:pPr>
        <w:pStyle w:val="Heading3"/>
      </w:pPr>
      <w:r>
        <w:lastRenderedPageBreak/>
        <w:t>Purpose of the requirements</w:t>
      </w:r>
    </w:p>
    <w:p w14:paraId="21598529" w14:textId="2CCB4746" w:rsidR="00FC7F2D" w:rsidRDefault="00FC7F2D" w:rsidP="00BF607A">
      <w:pPr>
        <w:pStyle w:val="Numberlistlevel1ListNumber"/>
      </w:pPr>
      <w:r>
        <w:t xml:space="preserve">These requirements are designed to ensure the home owner assistance schemes are available </w:t>
      </w:r>
      <w:r w:rsidR="00BF47D1">
        <w:t xml:space="preserve">only </w:t>
      </w:r>
      <w:r>
        <w:t>to genuine home buyers. However, in recognition that some genuine home buyers may not be able to satisfy all of these requirements for reasons beyond their control, the Commissioner has the ability, where satisfied that there are special reasons to do so, to:</w:t>
      </w:r>
    </w:p>
    <w:p w14:paraId="02564074" w14:textId="0D7A0B7E" w:rsidR="00FC7F2D" w:rsidRDefault="00FC7F2D" w:rsidP="0055115B">
      <w:pPr>
        <w:pStyle w:val="Numberlistlevel2ListNumber2"/>
      </w:pPr>
      <w:r>
        <w:t>extend the period for commencing occupation of the home</w:t>
      </w:r>
    </w:p>
    <w:p w14:paraId="41F34B5A" w14:textId="1E17AA0E" w:rsidR="00FC7F2D" w:rsidRDefault="00FC7F2D" w:rsidP="0055115B">
      <w:pPr>
        <w:pStyle w:val="Numberlistlevel2ListNumber2"/>
      </w:pPr>
      <w:r>
        <w:t>shorten the period for continuous occupation of the home</w:t>
      </w:r>
    </w:p>
    <w:p w14:paraId="2D9E91CB" w14:textId="77777777" w:rsidR="00FC7F2D" w:rsidRDefault="00FC7F2D" w:rsidP="0055115B">
      <w:pPr>
        <w:pStyle w:val="Numberlistlevel2ListNumber2"/>
      </w:pPr>
      <w:r>
        <w:t>exempt all applicants from the reside</w:t>
      </w:r>
      <w:r w:rsidR="00C67DD5">
        <w:t>nce or occupancy requirements.</w:t>
      </w:r>
      <w:r w:rsidR="00C67DD5" w:rsidRPr="006C26ED">
        <w:rPr>
          <w:rStyle w:val="FootnoteReference"/>
          <w:szCs w:val="24"/>
        </w:rPr>
        <w:footnoteReference w:id="6"/>
      </w:r>
    </w:p>
    <w:p w14:paraId="374BD7E9" w14:textId="77777777" w:rsidR="00FC7F2D" w:rsidRDefault="00FC7F2D" w:rsidP="00C67DD5">
      <w:pPr>
        <w:pStyle w:val="Heading3"/>
      </w:pPr>
      <w:r>
        <w:t>Reducing the six-month occupation period</w:t>
      </w:r>
    </w:p>
    <w:p w14:paraId="73A6E434" w14:textId="59CD4207" w:rsidR="00FC7F2D" w:rsidRDefault="00FC7F2D" w:rsidP="0055115B">
      <w:pPr>
        <w:pStyle w:val="Numberlistlevel1ListNumber"/>
      </w:pPr>
      <w:r>
        <w:t xml:space="preserve">Where applicants are prevented from complying with the six-month continuous occupancy requirement, the period may be reduced. This discretion recognises applicants who have </w:t>
      </w:r>
      <w:r w:rsidR="00767CEC">
        <w:t>commenced </w:t>
      </w:r>
      <w:r>
        <w:t xml:space="preserve">occupying a property as their home and </w:t>
      </w:r>
      <w:r w:rsidR="00767CEC">
        <w:t>experienced a change in</w:t>
      </w:r>
      <w:r w:rsidRPr="00C25A59">
        <w:t xml:space="preserve"> circumstances</w:t>
      </w:r>
      <w:r>
        <w:t xml:space="preserve"> that has prevented them from remaining in occupation for the continuous period of at least six months (‘the six-month period’).</w:t>
      </w:r>
    </w:p>
    <w:p w14:paraId="648D8192" w14:textId="326AEF72" w:rsidR="00FC7F2D" w:rsidRDefault="00767CEC" w:rsidP="0055115B">
      <w:pPr>
        <w:pStyle w:val="Numberlistlevel1ListNumber"/>
      </w:pPr>
      <w:r>
        <w:t>D</w:t>
      </w:r>
      <w:r w:rsidR="00FC7F2D">
        <w:t>iscretion will generally be exercised where the applicants demonstrate that:</w:t>
      </w:r>
    </w:p>
    <w:p w14:paraId="23B0A06C" w14:textId="43FC2FED" w:rsidR="00FC7F2D" w:rsidRDefault="00FC7F2D" w:rsidP="0055115B">
      <w:pPr>
        <w:pStyle w:val="Numberlistlevel2ListNumber2"/>
      </w:pPr>
      <w:r>
        <w:t xml:space="preserve">at the relevant time, they intended to occupy the home and were objectively capable of occupying it as their principal place of residence beginning within the required time for the </w:t>
      </w:r>
      <w:r w:rsidR="008F6DF6">
        <w:t>six</w:t>
      </w:r>
      <w:r w:rsidR="008F6DF6">
        <w:noBreakHyphen/>
      </w:r>
      <w:r>
        <w:t>month period</w:t>
      </w:r>
    </w:p>
    <w:p w14:paraId="4A0715AB" w14:textId="3CC770F0" w:rsidR="00FC7F2D" w:rsidRDefault="00FC7F2D" w:rsidP="0055115B">
      <w:pPr>
        <w:pStyle w:val="Numberlistlevel2ListNumber2"/>
      </w:pPr>
      <w:r>
        <w:t>they actually commenced occupying the home as their principal place of residence</w:t>
      </w:r>
    </w:p>
    <w:p w14:paraId="31B6B21C" w14:textId="3FDD6950" w:rsidR="005F21CC" w:rsidRDefault="00FC7F2D" w:rsidP="0055115B">
      <w:pPr>
        <w:pStyle w:val="Numberlistlevel2ListNumber2"/>
      </w:pPr>
      <w:r>
        <w:t>there was a change in their circumstances that could not reasonably have been expected</w:t>
      </w:r>
      <w:r w:rsidR="008F6DF6">
        <w:t>,</w:t>
      </w:r>
      <w:r>
        <w:t xml:space="preserve"> </w:t>
      </w:r>
      <w:r w:rsidR="008F6DF6">
        <w:t xml:space="preserve">which </w:t>
      </w:r>
      <w:r>
        <w:t xml:space="preserve">prevented one or more of them from occupying the home for the </w:t>
      </w:r>
      <w:r w:rsidR="008F6DF6">
        <w:t>six</w:t>
      </w:r>
      <w:r w:rsidR="008F6DF6">
        <w:noBreakHyphen/>
      </w:r>
      <w:r>
        <w:t>month period.</w:t>
      </w:r>
    </w:p>
    <w:p w14:paraId="48DBBC74" w14:textId="4A268118" w:rsidR="00FC7F2D" w:rsidRDefault="00FC7F2D" w:rsidP="0055115B">
      <w:pPr>
        <w:pStyle w:val="Numberlistlevel1ListNumber"/>
      </w:pPr>
      <w:r>
        <w:t xml:space="preserve">TRO </w:t>
      </w:r>
      <w:r w:rsidR="00767CEC">
        <w:t>will consider these factors when</w:t>
      </w:r>
      <w:r>
        <w:t xml:space="preserve"> determining whether to reduce the period of occupation:</w:t>
      </w:r>
    </w:p>
    <w:p w14:paraId="30D997A4" w14:textId="42334B5D" w:rsidR="00FC7F2D" w:rsidRDefault="00FC7F2D" w:rsidP="0055115B">
      <w:pPr>
        <w:pStyle w:val="Numberlistlevel2ListNumber2"/>
      </w:pPr>
      <w:r>
        <w:t>whether all or only some of the applicants are unable to occupy the home as their principal place of residence for the six-month period</w:t>
      </w:r>
    </w:p>
    <w:p w14:paraId="269B3ED4" w14:textId="39246D46" w:rsidR="00FC7F2D" w:rsidRDefault="00FC7F2D" w:rsidP="0055115B">
      <w:pPr>
        <w:pStyle w:val="Numberlistlevel2ListNumber2"/>
      </w:pPr>
      <w:r>
        <w:t>the length of time the applicants actually occupied the home as their principal place of residence</w:t>
      </w:r>
    </w:p>
    <w:p w14:paraId="2CC61319" w14:textId="4580F60A" w:rsidR="00FC7F2D" w:rsidRDefault="00FC7F2D" w:rsidP="0055115B">
      <w:pPr>
        <w:pStyle w:val="Numberlistlevel2ListNumber2"/>
      </w:pPr>
      <w:r>
        <w:t>whether the applicants intend to return and occupy the home as their principal place of residence in the future</w:t>
      </w:r>
    </w:p>
    <w:p w14:paraId="45D775E1" w14:textId="7F6BAEC7" w:rsidR="00FC7F2D" w:rsidRDefault="00FC7F2D" w:rsidP="0055115B">
      <w:pPr>
        <w:pStyle w:val="Numberlistlevel2ListNumber2"/>
      </w:pPr>
      <w:r>
        <w:t>the nature of the circumstances that prevent the applicants from meeting this residence requirement</w:t>
      </w:r>
    </w:p>
    <w:p w14:paraId="75D223BC" w14:textId="611CFDA1" w:rsidR="00FC7F2D" w:rsidRDefault="00FC7F2D" w:rsidP="0055115B">
      <w:pPr>
        <w:pStyle w:val="Numberlistlevel2ListNumber2"/>
      </w:pPr>
      <w:r>
        <w:t>whether the applicants apply for the reduction of the six</w:t>
      </w:r>
      <w:r w:rsidR="008F6DF6">
        <w:noBreakHyphen/>
      </w:r>
      <w:r>
        <w:t>month period as soon as they become aware of the change in circumstances.</w:t>
      </w:r>
    </w:p>
    <w:p w14:paraId="3BF18B3A" w14:textId="16D468DE" w:rsidR="008F6DF6" w:rsidRDefault="00FC7F2D" w:rsidP="00C25A59">
      <w:pPr>
        <w:pStyle w:val="Example-Heading"/>
        <w:ind w:left="0"/>
      </w:pPr>
      <w:r>
        <w:t>Example</w:t>
      </w:r>
      <w:r w:rsidR="00834CD1">
        <w:t>s</w:t>
      </w:r>
    </w:p>
    <w:p w14:paraId="19B1CBD3" w14:textId="303AF4B6" w:rsidR="00FC7F2D" w:rsidRDefault="007017F5" w:rsidP="00C25A59">
      <w:pPr>
        <w:pStyle w:val="Example-Bodytext"/>
        <w:ind w:left="0"/>
      </w:pPr>
      <w:r>
        <w:t>U</w:t>
      </w:r>
      <w:r w:rsidR="00FC7F2D">
        <w:t xml:space="preserve">nexpected changes in circumstances where TRO would </w:t>
      </w:r>
      <w:r w:rsidR="00FC7F2D" w:rsidRPr="00C25A59">
        <w:rPr>
          <w:b/>
        </w:rPr>
        <w:t>generally exercise the discretion to reduce the six-month period</w:t>
      </w:r>
      <w:r>
        <w:t xml:space="preserve"> include</w:t>
      </w:r>
      <w:r w:rsidR="00A204C8">
        <w:t xml:space="preserve"> where</w:t>
      </w:r>
      <w:r w:rsidR="00FC7F2D">
        <w:t>:</w:t>
      </w:r>
    </w:p>
    <w:p w14:paraId="1743C1F9" w14:textId="54203D37" w:rsidR="008F6DF6" w:rsidRPr="00A34142" w:rsidRDefault="00A204C8" w:rsidP="00C25A59">
      <w:pPr>
        <w:pStyle w:val="Example-BulletlistL1"/>
        <w:ind w:left="425" w:hanging="425"/>
      </w:pPr>
      <w:r>
        <w:t>the applicant is</w:t>
      </w:r>
      <w:r w:rsidR="008F6DF6" w:rsidRPr="00793BD5">
        <w:t xml:space="preserve"> unable t</w:t>
      </w:r>
      <w:r w:rsidRPr="00793BD5">
        <w:t>o occupy the home due to health-</w:t>
      </w:r>
      <w:r w:rsidR="008F6DF6" w:rsidRPr="00793BD5">
        <w:t xml:space="preserve">related reasons, such as hospitalisation, rehabilitation or nursing </w:t>
      </w:r>
      <w:r w:rsidR="008F6DF6" w:rsidRPr="00A34142">
        <w:t>home care</w:t>
      </w:r>
      <w:r w:rsidR="00D52D64" w:rsidRPr="00A34142">
        <w:t>;</w:t>
      </w:r>
      <w:r w:rsidR="008F6DF6" w:rsidRPr="00A34142">
        <w:t xml:space="preserve"> or a change in the health of a relative of the applicant, such as where the applicant becomes a permanent carer for</w:t>
      </w:r>
      <w:r w:rsidR="007017F5" w:rsidRPr="00A34142">
        <w:t xml:space="preserve"> an invalid relative</w:t>
      </w:r>
    </w:p>
    <w:p w14:paraId="2011DA75" w14:textId="2E9FABA8" w:rsidR="008F6DF6" w:rsidRPr="00A34142" w:rsidRDefault="00A204C8" w:rsidP="00C25A59">
      <w:pPr>
        <w:pStyle w:val="Example-BulletlistL1"/>
        <w:ind w:left="425" w:hanging="425"/>
      </w:pPr>
      <w:r>
        <w:lastRenderedPageBreak/>
        <w:t xml:space="preserve">the applicant experiences </w:t>
      </w:r>
      <w:r w:rsidR="007017F5" w:rsidRPr="00793BD5">
        <w:t>a</w:t>
      </w:r>
      <w:r w:rsidR="008F6DF6" w:rsidRPr="00793BD5">
        <w:t xml:space="preserve"> family tragedy, such as the death of a person in the home, that results in the applicant not being able</w:t>
      </w:r>
      <w:r w:rsidR="00D52D64" w:rsidRPr="00A34142">
        <w:t xml:space="preserve"> to continue occupying the home</w:t>
      </w:r>
    </w:p>
    <w:p w14:paraId="309ECC83" w14:textId="48E047B3" w:rsidR="008F6DF6" w:rsidRPr="00793BD5" w:rsidRDefault="00D52D64" w:rsidP="00C25A59">
      <w:pPr>
        <w:pStyle w:val="Example-BulletlistL1"/>
        <w:ind w:left="425" w:hanging="425"/>
      </w:pPr>
      <w:r>
        <w:t>t</w:t>
      </w:r>
      <w:r w:rsidR="00A204C8" w:rsidRPr="00793BD5">
        <w:t>he home becomes</w:t>
      </w:r>
      <w:r w:rsidR="008F6DF6" w:rsidRPr="00793BD5">
        <w:t xml:space="preserve"> uninhabitable after the applicant commences occupation through no fault or</w:t>
      </w:r>
      <w:r w:rsidR="00767CEC">
        <w:t> </w:t>
      </w:r>
      <w:r w:rsidR="008F6DF6" w:rsidRPr="00793BD5">
        <w:t>wilful action of the applicant, such as the home being destroyed or badl</w:t>
      </w:r>
      <w:r w:rsidRPr="00793BD5">
        <w:t>y damaged by a natural</w:t>
      </w:r>
      <w:r w:rsidR="00767CEC">
        <w:t> </w:t>
      </w:r>
      <w:r w:rsidRPr="00793BD5">
        <w:t>disaster</w:t>
      </w:r>
    </w:p>
    <w:p w14:paraId="21A7DFD9" w14:textId="3A8A1500" w:rsidR="00D52D64" w:rsidRPr="00A34142" w:rsidRDefault="00022DFB" w:rsidP="00C25A59">
      <w:pPr>
        <w:pStyle w:val="Example-BulletlistL1"/>
        <w:ind w:left="425" w:hanging="425"/>
      </w:pPr>
      <w:r>
        <w:t xml:space="preserve">the applicant experiences </w:t>
      </w:r>
      <w:r w:rsidR="00D52D64">
        <w:t>c</w:t>
      </w:r>
      <w:r w:rsidR="00D52D64" w:rsidRPr="00793BD5">
        <w:t>hanges in employment circumstances that ar</w:t>
      </w:r>
      <w:r w:rsidR="00D52D64">
        <w:t>i</w:t>
      </w:r>
      <w:r w:rsidR="00D52D64" w:rsidRPr="00793BD5">
        <w:t>se after the purchase of the home. This could include: a change in the place of employment; loss of employment</w:t>
      </w:r>
      <w:r w:rsidR="00D52D64" w:rsidRPr="00576798">
        <w:t xml:space="preserve"> of the applicant (or the applicant’s spouse) through the closure</w:t>
      </w:r>
      <w:r w:rsidR="00D52D64" w:rsidRPr="00A34142">
        <w:t xml:space="preserve"> of the local office or factory; changes in posting of defence force personnel or police; compulsory transfer by the applicant’s employer that requires relocation of the applicant to continue their usual employment; redundancy</w:t>
      </w:r>
      <w:r w:rsidR="00D52D64">
        <w:t xml:space="preserve">; </w:t>
      </w:r>
      <w:r w:rsidR="00D52D64" w:rsidRPr="00793BD5">
        <w:t xml:space="preserve">moving from unemployment to employment; </w:t>
      </w:r>
      <w:r w:rsidR="00D52D64" w:rsidRPr="00A34142">
        <w:t>change of employment or career, or promotion, which requires change of location.</w:t>
      </w:r>
    </w:p>
    <w:p w14:paraId="14F7F51E" w14:textId="60CAC12F" w:rsidR="00FC7F2D" w:rsidRDefault="00FC7F2D" w:rsidP="0065312F">
      <w:pPr>
        <w:pStyle w:val="Heading3"/>
      </w:pPr>
      <w:r>
        <w:t>Extending the period to commence occupation</w:t>
      </w:r>
    </w:p>
    <w:p w14:paraId="07832DD5" w14:textId="1451FB49" w:rsidR="00FC7F2D" w:rsidRDefault="00FC7F2D" w:rsidP="0055115B">
      <w:pPr>
        <w:pStyle w:val="Numberlistlevel1ListNumber"/>
      </w:pPr>
      <w:r>
        <w:t>The period for commencing occupation of the home can be extended. This discretion recognises there can be temporary circumstances that may prevent a person from commencing occupation within the required period.</w:t>
      </w:r>
    </w:p>
    <w:p w14:paraId="4E82051E" w14:textId="1F207575" w:rsidR="00FC7F2D" w:rsidRDefault="00FC7F2D" w:rsidP="0055115B">
      <w:pPr>
        <w:pStyle w:val="Numberlistlevel1ListNumber"/>
      </w:pPr>
      <w:r>
        <w:t>The discretion will generally be exercised to provide a suitable extension of time where the applicants demonstrate they are genuinely purchasing a residence to use as a home</w:t>
      </w:r>
      <w:r w:rsidR="007F79CC">
        <w:t xml:space="preserve"> </w:t>
      </w:r>
      <w:r>
        <w:t>and there are temporary circumstances prevent</w:t>
      </w:r>
      <w:r w:rsidR="007F79CC">
        <w:t>ing</w:t>
      </w:r>
      <w:r>
        <w:t xml:space="preserve"> them from occupying the home as their principal place of residence within the required period.</w:t>
      </w:r>
    </w:p>
    <w:p w14:paraId="6D0B2756" w14:textId="3B46DD59" w:rsidR="00FC7F2D" w:rsidRDefault="00FC7F2D" w:rsidP="0055115B">
      <w:pPr>
        <w:pStyle w:val="Numberlistlevel1ListNumber"/>
      </w:pPr>
      <w:r>
        <w:t>Factors TRO will consider in determining whether to extend the period include:</w:t>
      </w:r>
    </w:p>
    <w:p w14:paraId="5FF10D78" w14:textId="28A682FD" w:rsidR="00FC7F2D" w:rsidRDefault="00FC7F2D" w:rsidP="0055115B">
      <w:pPr>
        <w:pStyle w:val="Numberlistlevel2ListNumber2"/>
      </w:pPr>
      <w:r>
        <w:t>the intention of the applicants at the relevant time</w:t>
      </w:r>
    </w:p>
    <w:p w14:paraId="3D9E9EEB" w14:textId="16FBEDB8" w:rsidR="00FC7F2D" w:rsidRDefault="00FC7F2D" w:rsidP="0055115B">
      <w:pPr>
        <w:pStyle w:val="Numberlistlevel2ListNumber2"/>
      </w:pPr>
      <w:r>
        <w:t>the nature of the circumstances prevent</w:t>
      </w:r>
      <w:r w:rsidR="007F79CC">
        <w:t>ing</w:t>
      </w:r>
      <w:r>
        <w:t xml:space="preserve"> the applicants from occupying the home within the required period, including whether:</w:t>
      </w:r>
    </w:p>
    <w:p w14:paraId="09436D8C" w14:textId="4F690405" w:rsidR="00FC7F2D" w:rsidRDefault="00FC7F2D" w:rsidP="0055115B">
      <w:pPr>
        <w:pStyle w:val="Numberlistlevel3ListNumber3"/>
      </w:pPr>
      <w:r>
        <w:t>the circumstances arise from a voluntary course of action taken by the applicants that preven</w:t>
      </w:r>
      <w:r w:rsidR="007F79CC">
        <w:t>ts</w:t>
      </w:r>
      <w:r>
        <w:t xml:space="preserve"> them from taking occupation within the required period, such as renting the property rather than taking occupation of it </w:t>
      </w:r>
    </w:p>
    <w:p w14:paraId="7ACE54F8" w14:textId="0ACC24F6" w:rsidR="00FC7F2D" w:rsidRDefault="00FC7F2D" w:rsidP="0055115B">
      <w:pPr>
        <w:pStyle w:val="Numberlistlevel3ListNumber3"/>
      </w:pPr>
      <w:r>
        <w:t>the circumstances are beyond the control of the applicants, such as an existing tenancy in place in the home</w:t>
      </w:r>
    </w:p>
    <w:p w14:paraId="589EA860" w14:textId="54B2AF7B" w:rsidR="00FC7F2D" w:rsidRDefault="00FC7F2D" w:rsidP="0055115B">
      <w:pPr>
        <w:pStyle w:val="Numberlistlevel3ListNumber3"/>
      </w:pPr>
      <w:r>
        <w:t>the applicants knew at the relevant time that circumstances existed that would prevent them commencing occupation within the required period</w:t>
      </w:r>
    </w:p>
    <w:p w14:paraId="59AE557F" w14:textId="6602F1C6" w:rsidR="00FC7F2D" w:rsidRDefault="00FC7F2D" w:rsidP="0055115B">
      <w:pPr>
        <w:pStyle w:val="Numberlistlevel3ListNumber3"/>
      </w:pPr>
      <w:r>
        <w:t>the circumstances have arisen subsequent to the relevant time (such as the changes in circumstances listed above as examples that may prevent an applicant from occupying the home for the six-month period where TRO would generally exercise the discretion to reduce the period)</w:t>
      </w:r>
    </w:p>
    <w:p w14:paraId="1012D530" w14:textId="1A022EF2" w:rsidR="00FC7F2D" w:rsidRDefault="00FC7F2D" w:rsidP="0055115B">
      <w:pPr>
        <w:pStyle w:val="Numberlistlevel2ListNumber2"/>
      </w:pPr>
      <w:r>
        <w:t>the length of time that the applicants will be prevented from commencing occupation of the home as their principal place of residence</w:t>
      </w:r>
    </w:p>
    <w:p w14:paraId="3D894311" w14:textId="60CFB09C" w:rsidR="00FC7F2D" w:rsidRDefault="00FC7F2D" w:rsidP="0055115B">
      <w:pPr>
        <w:pStyle w:val="Numberlistlevel2ListNumber2"/>
      </w:pPr>
      <w:r>
        <w:t>whether the applicants apply for the extension of time prior to the expiry of the required period</w:t>
      </w:r>
    </w:p>
    <w:p w14:paraId="55DEB898" w14:textId="1AB74171" w:rsidR="00FC7F2D" w:rsidRDefault="00FC7F2D" w:rsidP="0055115B">
      <w:pPr>
        <w:pStyle w:val="Numberlistlevel2ListNumber2"/>
      </w:pPr>
      <w:r>
        <w:t>how the residence is to be used when the applicants are not occupying it as their principal place of residence</w:t>
      </w:r>
    </w:p>
    <w:p w14:paraId="7F027DB7" w14:textId="03564DB1" w:rsidR="001A39AE" w:rsidRDefault="00FC7F2D" w:rsidP="00C25A59">
      <w:pPr>
        <w:pStyle w:val="Example-Heading"/>
        <w:ind w:left="0"/>
      </w:pPr>
      <w:r>
        <w:lastRenderedPageBreak/>
        <w:t>Example</w:t>
      </w:r>
      <w:r w:rsidR="00834CD1">
        <w:t>s</w:t>
      </w:r>
    </w:p>
    <w:p w14:paraId="208B303F" w14:textId="20EF3746" w:rsidR="00834CD1" w:rsidRDefault="00B56203" w:rsidP="00C25A59">
      <w:pPr>
        <w:pStyle w:val="Example-Bodytext"/>
        <w:ind w:left="0"/>
      </w:pPr>
      <w:r>
        <w:t xml:space="preserve">One circumstance in which </w:t>
      </w:r>
      <w:r w:rsidR="00FC7F2D">
        <w:t xml:space="preserve">TRO would generally </w:t>
      </w:r>
      <w:r w:rsidR="00FC7F2D" w:rsidRPr="00C25A59">
        <w:rPr>
          <w:b/>
        </w:rPr>
        <w:t>extend t</w:t>
      </w:r>
      <w:r w:rsidR="0065312F" w:rsidRPr="00C25A59">
        <w:rPr>
          <w:b/>
        </w:rPr>
        <w:t>he period to commence occupation</w:t>
      </w:r>
      <w:r w:rsidR="001A39AE">
        <w:t xml:space="preserve"> </w:t>
      </w:r>
      <w:r w:rsidR="00834CD1">
        <w:t>is where</w:t>
      </w:r>
      <w:r w:rsidR="00823668">
        <w:t xml:space="preserve"> </w:t>
      </w:r>
      <w:r w:rsidR="001A39AE">
        <w:t>a</w:t>
      </w:r>
      <w:r w:rsidR="001A39AE" w:rsidRPr="0055115B">
        <w:t>n applicant</w:t>
      </w:r>
      <w:r w:rsidR="00834CD1">
        <w:t>:</w:t>
      </w:r>
    </w:p>
    <w:p w14:paraId="6C13399F" w14:textId="3EBD68C3" w:rsidR="00834CD1" w:rsidRDefault="00834CD1" w:rsidP="00C25A59">
      <w:pPr>
        <w:pStyle w:val="Example-NumberlistL1"/>
        <w:numPr>
          <w:ilvl w:val="0"/>
          <w:numId w:val="29"/>
        </w:numPr>
      </w:pPr>
      <w:r>
        <w:t>is</w:t>
      </w:r>
      <w:r w:rsidR="001A39AE" w:rsidRPr="0055115B">
        <w:t xml:space="preserve"> </w:t>
      </w:r>
      <w:r w:rsidR="00B56203">
        <w:t>living</w:t>
      </w:r>
      <w:r w:rsidR="001A39AE" w:rsidRPr="0055115B">
        <w:t xml:space="preserve"> interstate </w:t>
      </w:r>
      <w:r w:rsidR="00B642FB">
        <w:t xml:space="preserve">and </w:t>
      </w:r>
      <w:r w:rsidR="001A39AE" w:rsidRPr="0055115B">
        <w:t>decide</w:t>
      </w:r>
      <w:r w:rsidR="00B56203">
        <w:t>s</w:t>
      </w:r>
      <w:r w:rsidR="001A39AE" w:rsidRPr="0055115B">
        <w:t xml:space="preserve"> to move to Darwin to be with </w:t>
      </w:r>
      <w:r w:rsidR="001A39AE">
        <w:t>their</w:t>
      </w:r>
      <w:r w:rsidR="001A39AE" w:rsidRPr="0055115B">
        <w:t xml:space="preserve"> family</w:t>
      </w:r>
    </w:p>
    <w:p w14:paraId="60A0C382" w14:textId="024809AB" w:rsidR="00834CD1" w:rsidRDefault="00834CD1" w:rsidP="00C25A59">
      <w:pPr>
        <w:pStyle w:val="Example-NumberlistL1"/>
      </w:pPr>
      <w:r>
        <w:t>purchases</w:t>
      </w:r>
      <w:r w:rsidRPr="0055115B">
        <w:t xml:space="preserve"> a residence in Darwin</w:t>
      </w:r>
      <w:r>
        <w:t xml:space="preserve"> </w:t>
      </w:r>
      <w:r w:rsidR="00B56203">
        <w:t xml:space="preserve">in </w:t>
      </w:r>
      <w:r w:rsidR="001A39AE" w:rsidRPr="0055115B">
        <w:t xml:space="preserve">contemplation of </w:t>
      </w:r>
      <w:r w:rsidR="00B56203">
        <w:t>their</w:t>
      </w:r>
      <w:r w:rsidR="001A39AE" w:rsidRPr="0055115B">
        <w:t xml:space="preserve"> move</w:t>
      </w:r>
    </w:p>
    <w:p w14:paraId="1A962003" w14:textId="77777777" w:rsidR="00834CD1" w:rsidRDefault="00B56203" w:rsidP="00C25A59">
      <w:pPr>
        <w:pStyle w:val="Example-NumberlistL1"/>
      </w:pPr>
      <w:r>
        <w:t>before</w:t>
      </w:r>
      <w:r w:rsidR="001A39AE" w:rsidRPr="0055115B">
        <w:t xml:space="preserve"> </w:t>
      </w:r>
      <w:r>
        <w:t>relocating</w:t>
      </w:r>
      <w:r w:rsidR="001A39AE" w:rsidRPr="0055115B">
        <w:t>,</w:t>
      </w:r>
      <w:r>
        <w:t xml:space="preserve"> </w:t>
      </w:r>
      <w:r w:rsidR="001A39AE" w:rsidRPr="0055115B">
        <w:t>develops a serious medical condition that requires ongoing specialist</w:t>
      </w:r>
      <w:r>
        <w:t> </w:t>
      </w:r>
      <w:r w:rsidR="001A39AE" w:rsidRPr="0055115B">
        <w:t>treatment</w:t>
      </w:r>
    </w:p>
    <w:p w14:paraId="1AA5A5BA" w14:textId="79D2B67B" w:rsidR="001A39AE" w:rsidRDefault="001A39AE" w:rsidP="00C25A59">
      <w:pPr>
        <w:pStyle w:val="Example-NumberlistL1"/>
      </w:pPr>
      <w:r w:rsidRPr="0055115B">
        <w:t xml:space="preserve">satisfies the Commissioner that </w:t>
      </w:r>
      <w:r w:rsidR="00B56203">
        <w:t>they intend</w:t>
      </w:r>
      <w:r w:rsidRPr="0055115B">
        <w:t xml:space="preserve"> to commence occupying the residence as soon as the course of treatment is completed.</w:t>
      </w:r>
    </w:p>
    <w:p w14:paraId="0AA42D09" w14:textId="65EEAD08" w:rsidR="000F2A9B" w:rsidRDefault="000F2A9B" w:rsidP="00C25A59">
      <w:pPr>
        <w:pStyle w:val="Example-Bodytext"/>
        <w:ind w:left="0"/>
      </w:pPr>
      <w:r>
        <w:t xml:space="preserve">Circumstances in which TRO would generally </w:t>
      </w:r>
      <w:r w:rsidRPr="00C25A59">
        <w:rPr>
          <w:b/>
        </w:rPr>
        <w:t>not extend the period to commence occupation</w:t>
      </w:r>
      <w:r>
        <w:t xml:space="preserve"> include where applicant</w:t>
      </w:r>
      <w:r w:rsidR="00834CD1">
        <w:t xml:space="preserve">s purchase </w:t>
      </w:r>
      <w:r>
        <w:t>a home:</w:t>
      </w:r>
    </w:p>
    <w:p w14:paraId="57606F7C" w14:textId="4C4A7E7F" w:rsidR="000F2A9B" w:rsidRDefault="000F2A9B" w:rsidP="00C25A59">
      <w:pPr>
        <w:pStyle w:val="Example-BulletlistL1"/>
        <w:ind w:left="425" w:hanging="425"/>
      </w:pPr>
      <w:r>
        <w:t>with vacant possession at settlement and, rather than move into the home, rents the property for a year to derive rental income to assist in reducing the mortgage on the property.</w:t>
      </w:r>
    </w:p>
    <w:p w14:paraId="1C8902C6" w14:textId="443D47A2" w:rsidR="000F2A9B" w:rsidRPr="00793BD5" w:rsidRDefault="000F2A9B" w:rsidP="00C25A59">
      <w:pPr>
        <w:pStyle w:val="Example-BulletlistL1"/>
        <w:ind w:left="425" w:hanging="425"/>
      </w:pPr>
      <w:r>
        <w:t>that is rented, but the lease is shortly due to expire</w:t>
      </w:r>
      <w:r w:rsidR="00834CD1">
        <w:t xml:space="preserve"> and</w:t>
      </w:r>
      <w:r>
        <w:t xml:space="preserve"> intend to use the property as an investment property before moving in so arrange with the seller of the property to renew the tenant’s lease prior to the sale of the property in an attempt to make it appear there are circumstances beyond the applicant’s control that prevent them occupying the property.</w:t>
      </w:r>
    </w:p>
    <w:p w14:paraId="6179C52C" w14:textId="05E13741" w:rsidR="0055115B" w:rsidRDefault="0055115B" w:rsidP="0055115B">
      <w:pPr>
        <w:pStyle w:val="Hidden"/>
      </w:pPr>
    </w:p>
    <w:p w14:paraId="626450FD" w14:textId="4E6C7DA7" w:rsidR="00FC7F2D" w:rsidRDefault="00FC7F2D">
      <w:pPr>
        <w:pStyle w:val="Heading3"/>
      </w:pPr>
      <w:r>
        <w:t xml:space="preserve">Exempting applicants from the residence </w:t>
      </w:r>
      <w:r w:rsidR="000F2A9B">
        <w:t xml:space="preserve">and </w:t>
      </w:r>
      <w:r>
        <w:t>occupancy requirements</w:t>
      </w:r>
    </w:p>
    <w:p w14:paraId="3D83F71E" w14:textId="6D467772" w:rsidR="00FC7F2D" w:rsidRDefault="000F2A9B" w:rsidP="0055115B">
      <w:pPr>
        <w:pStyle w:val="Numberlistlevel1ListNumber"/>
      </w:pPr>
      <w:r>
        <w:t>The Commissioner may exempt all applicants from the residence requirements w</w:t>
      </w:r>
      <w:r w:rsidR="00FC7F2D">
        <w:t>here satisfied there are special reasons to do so</w:t>
      </w:r>
      <w:r w:rsidR="00FE0CEC">
        <w:t>.</w:t>
      </w:r>
      <w:r w:rsidR="00FE0CEC" w:rsidRPr="00462558">
        <w:rPr>
          <w:rStyle w:val="FootnoteReference"/>
          <w:sz w:val="24"/>
          <w:szCs w:val="24"/>
        </w:rPr>
        <w:footnoteReference w:id="7"/>
      </w:r>
      <w:r w:rsidR="00FC7F2D">
        <w:t xml:space="preserve"> However, an exempt applicant must still satisfy all of the other relevant eligibility criteria.</w:t>
      </w:r>
    </w:p>
    <w:p w14:paraId="0AAC0162" w14:textId="71318499" w:rsidR="00FC7F2D" w:rsidRDefault="00FC7F2D" w:rsidP="0055115B">
      <w:pPr>
        <w:pStyle w:val="Numberlistlevel1ListNumber"/>
      </w:pPr>
      <w:r>
        <w:t>The discretion will generally be exercised where the applicants demonstrate they are genuinely purchasing a</w:t>
      </w:r>
      <w:r w:rsidR="00426695">
        <w:t xml:space="preserve"> home</w:t>
      </w:r>
      <w:r>
        <w:t xml:space="preserve"> to use as their </w:t>
      </w:r>
      <w:r w:rsidR="00426695">
        <w:t>residence</w:t>
      </w:r>
      <w:r>
        <w:t xml:space="preserve"> and there are special circumstances which prevent them from complying with the residence requirements.</w:t>
      </w:r>
    </w:p>
    <w:p w14:paraId="03BDCB05" w14:textId="11273E97" w:rsidR="00FC7F2D" w:rsidRDefault="000F2A9B" w:rsidP="0055115B">
      <w:pPr>
        <w:pStyle w:val="Numberlistlevel1ListNumber"/>
      </w:pPr>
      <w:r>
        <w:t xml:space="preserve">These are the factors </w:t>
      </w:r>
      <w:r w:rsidR="00FC7F2D">
        <w:t>TRO will consider</w:t>
      </w:r>
      <w:r>
        <w:t xml:space="preserve"> </w:t>
      </w:r>
      <w:r w:rsidR="00FC7F2D">
        <w:t>in determining whether to exempt an applicant:</w:t>
      </w:r>
    </w:p>
    <w:p w14:paraId="23223E0F" w14:textId="666492EA" w:rsidR="00FC7F2D" w:rsidRDefault="00FC7F2D" w:rsidP="0055115B">
      <w:pPr>
        <w:pStyle w:val="Numberlistlevel2ListNumber2"/>
      </w:pPr>
      <w:r>
        <w:t xml:space="preserve">whether the applicant intends to occupy the residence as their principal place of residence in </w:t>
      </w:r>
      <w:r w:rsidR="002E248D">
        <w:t>the </w:t>
      </w:r>
      <w:r>
        <w:t>future</w:t>
      </w:r>
    </w:p>
    <w:p w14:paraId="73B3849C" w14:textId="3B64FE23" w:rsidR="00CE5EFE" w:rsidRDefault="00FC7F2D" w:rsidP="0055115B">
      <w:pPr>
        <w:pStyle w:val="Numberlistlevel2ListNumber2"/>
      </w:pPr>
      <w:r>
        <w:t>the circumstances prevent</w:t>
      </w:r>
      <w:r w:rsidR="002E248D">
        <w:t>ing</w:t>
      </w:r>
      <w:r>
        <w:t xml:space="preserve"> the applicant(s) from meeting the residence requirements.</w:t>
      </w:r>
    </w:p>
    <w:p w14:paraId="267580D1" w14:textId="0A8EC80B" w:rsidR="00CE5EFE" w:rsidRDefault="00CE5EFE" w:rsidP="00C25A59">
      <w:pPr>
        <w:pStyle w:val="Example-Heading"/>
        <w:ind w:left="0"/>
      </w:pPr>
      <w:r>
        <w:t>Example</w:t>
      </w:r>
      <w:r w:rsidR="00834CD1">
        <w:t>s</w:t>
      </w:r>
    </w:p>
    <w:p w14:paraId="4929FEDA" w14:textId="689C6ACB" w:rsidR="00CE5EFE" w:rsidRDefault="00CE5EFE" w:rsidP="00C25A59">
      <w:pPr>
        <w:pStyle w:val="Example-Bodytext"/>
        <w:ind w:left="0"/>
      </w:pPr>
      <w:r>
        <w:t xml:space="preserve">Circumstances in which TRO would generally </w:t>
      </w:r>
      <w:r w:rsidRPr="00C25A59">
        <w:rPr>
          <w:b/>
        </w:rPr>
        <w:t>exempt all applicants from the residence and occupancy requirements</w:t>
      </w:r>
      <w:r>
        <w:t xml:space="preserve"> include where applicants:</w:t>
      </w:r>
    </w:p>
    <w:p w14:paraId="41377168" w14:textId="28B624C3" w:rsidR="004D6222" w:rsidRDefault="00CE5EFE">
      <w:pPr>
        <w:pStyle w:val="Example-BulletlistL1"/>
        <w:ind w:left="425" w:hanging="425"/>
      </w:pPr>
      <w:r w:rsidRPr="00CE5EFE">
        <w:t>purchase a home to occupy as their principal place of residence and the home becomes uninhabitable prior to commencing occupation through no fault or wilful action of the applicants, such as the home being destroyed or badly damaged by a natural disaster</w:t>
      </w:r>
      <w:r w:rsidR="004D6222">
        <w:br w:type="page"/>
      </w:r>
    </w:p>
    <w:p w14:paraId="0D4A5542" w14:textId="673E5230" w:rsidR="006A230D" w:rsidRDefault="00CE5EFE">
      <w:pPr>
        <w:pStyle w:val="Example-BulletlistL1"/>
        <w:ind w:left="425" w:hanging="425"/>
      </w:pPr>
      <w:r w:rsidRPr="00CE5EFE">
        <w:lastRenderedPageBreak/>
        <w:t>who are spouses purchase a home to occupy as their principal place of residence and it is compulsory for one of the applicants to relocate prior to commencing occupation to continue their usual employment (for example, as defence personnel) and at the date of entry into the contract to purchase the home the applicants were unaware that they would be relocated.</w:t>
      </w:r>
    </w:p>
    <w:p w14:paraId="773B4453" w14:textId="5E4D751E" w:rsidR="006A230D" w:rsidRDefault="00CE5EFE" w:rsidP="00C25A59">
      <w:pPr>
        <w:pStyle w:val="Example-Bodytext"/>
        <w:ind w:left="0"/>
      </w:pPr>
      <w:r>
        <w:t xml:space="preserve">One circumstance in which </w:t>
      </w:r>
      <w:r w:rsidRPr="00CE5EFE">
        <w:t xml:space="preserve">TRO would generally </w:t>
      </w:r>
      <w:r w:rsidRPr="00C25A59">
        <w:rPr>
          <w:b/>
        </w:rPr>
        <w:t>not exempt an applicant from the residency and occupancy requirements</w:t>
      </w:r>
      <w:r>
        <w:t xml:space="preserve"> </w:t>
      </w:r>
      <w:r w:rsidR="00834CD1">
        <w:t>is where</w:t>
      </w:r>
      <w:r w:rsidR="00823668">
        <w:t xml:space="preserve"> </w:t>
      </w:r>
      <w:r>
        <w:t>a</w:t>
      </w:r>
      <w:r w:rsidRPr="00CE5EFE">
        <w:t>n applicant</w:t>
      </w:r>
      <w:r w:rsidR="00834CD1">
        <w:t>:</w:t>
      </w:r>
    </w:p>
    <w:p w14:paraId="6EE0D99B" w14:textId="77777777" w:rsidR="006A230D" w:rsidRDefault="00CE5EFE" w:rsidP="00C25A59">
      <w:pPr>
        <w:pStyle w:val="Example-NumberlistL1"/>
        <w:numPr>
          <w:ilvl w:val="0"/>
          <w:numId w:val="28"/>
        </w:numPr>
      </w:pPr>
      <w:r w:rsidRPr="00CE5EFE">
        <w:t xml:space="preserve">has been looking to buy </w:t>
      </w:r>
      <w:r>
        <w:t>t</w:t>
      </w:r>
      <w:r w:rsidRPr="00CE5EFE">
        <w:t>he</w:t>
      </w:r>
      <w:r>
        <w:t>i</w:t>
      </w:r>
      <w:r w:rsidRPr="00CE5EFE">
        <w:t>r own home and has found a unit th</w:t>
      </w:r>
      <w:r>
        <w:t>ey</w:t>
      </w:r>
      <w:r w:rsidRPr="00CE5EFE">
        <w:t xml:space="preserve"> like</w:t>
      </w:r>
    </w:p>
    <w:p w14:paraId="32C04BEF" w14:textId="77777777" w:rsidR="006A230D" w:rsidRDefault="00CE5EFE" w:rsidP="00C25A59">
      <w:pPr>
        <w:pStyle w:val="Example-NumberlistL1"/>
      </w:pPr>
      <w:r w:rsidRPr="00CE5EFE">
        <w:t>enter</w:t>
      </w:r>
      <w:r w:rsidR="006A230D">
        <w:t>s</w:t>
      </w:r>
      <w:r w:rsidRPr="00CE5EFE">
        <w:t xml:space="preserve"> into a contract to</w:t>
      </w:r>
      <w:r w:rsidR="00823668">
        <w:t xml:space="preserve"> purchase the unit off the plan</w:t>
      </w:r>
    </w:p>
    <w:p w14:paraId="082194DE" w14:textId="70FF62F6" w:rsidR="00CE5EFE" w:rsidRDefault="00CE5EFE" w:rsidP="00C25A59">
      <w:pPr>
        <w:pStyle w:val="Example-NumberlistL1"/>
      </w:pPr>
      <w:r w:rsidRPr="00CE5EFE">
        <w:t>prior to settlement, agrees to a lease back arrangement with the developer for an 18</w:t>
      </w:r>
      <w:r>
        <w:t> </w:t>
      </w:r>
      <w:r w:rsidRPr="00CE5EFE">
        <w:t>month period.</w:t>
      </w:r>
    </w:p>
    <w:p w14:paraId="549E7D01" w14:textId="77777777" w:rsidR="00FC7F2D" w:rsidRDefault="00FC7F2D" w:rsidP="00FE0CEC">
      <w:pPr>
        <w:pStyle w:val="Heading1"/>
      </w:pPr>
      <w:r>
        <w:t>Applications for exemptions or variation of requirements</w:t>
      </w:r>
    </w:p>
    <w:p w14:paraId="5F2E65D4" w14:textId="724164FB" w:rsidR="00FC7F2D" w:rsidRDefault="00FC7F2D" w:rsidP="0055115B">
      <w:pPr>
        <w:pStyle w:val="Numberlistlevel1ListNumber"/>
      </w:pPr>
      <w:r>
        <w:t xml:space="preserve">Applicants seeking exemption from the </w:t>
      </w:r>
      <w:hyperlink w:anchor="_Minimum_age_of" w:history="1">
        <w:r w:rsidRPr="00823668">
          <w:rPr>
            <w:rStyle w:val="Hyperlink"/>
          </w:rPr>
          <w:t>18-year minimum age requirement</w:t>
        </w:r>
      </w:hyperlink>
      <w:r>
        <w:t xml:space="preserve"> should make a written application to TRO at the time they make application for the FHOG, HLPE or THOD.</w:t>
      </w:r>
    </w:p>
    <w:p w14:paraId="12056763" w14:textId="13A86660" w:rsidR="00FC7F2D" w:rsidRDefault="00FC7F2D" w:rsidP="0055115B">
      <w:pPr>
        <w:pStyle w:val="Numberlistlevel1ListNumber"/>
      </w:pPr>
      <w:r>
        <w:t xml:space="preserve">Applicants seeking a variation to the </w:t>
      </w:r>
      <w:hyperlink w:anchor="_Residence_and_occupancy" w:history="1">
        <w:r w:rsidRPr="00823668">
          <w:rPr>
            <w:rStyle w:val="Hyperlink"/>
          </w:rPr>
          <w:t xml:space="preserve">residence </w:t>
        </w:r>
        <w:r w:rsidR="00823668">
          <w:rPr>
            <w:rStyle w:val="Hyperlink"/>
          </w:rPr>
          <w:t xml:space="preserve">and occupancy </w:t>
        </w:r>
        <w:r w:rsidRPr="00823668">
          <w:rPr>
            <w:rStyle w:val="Hyperlink"/>
          </w:rPr>
          <w:t>requirements</w:t>
        </w:r>
      </w:hyperlink>
      <w:r>
        <w:t xml:space="preserve"> should make </w:t>
      </w:r>
      <w:r w:rsidR="006A230D">
        <w:t xml:space="preserve">a </w:t>
      </w:r>
      <w:r>
        <w:t xml:space="preserve">written application to TRO </w:t>
      </w:r>
      <w:r w:rsidRPr="00C25A59">
        <w:t>as soon</w:t>
      </w:r>
      <w:r>
        <w:t xml:space="preserve"> as they become aware they cannot comply with the requirements.</w:t>
      </w:r>
    </w:p>
    <w:p w14:paraId="745BED9F" w14:textId="77777777" w:rsidR="00FC7F2D" w:rsidRDefault="00FC7F2D" w:rsidP="0055115B">
      <w:pPr>
        <w:pStyle w:val="Numberlistlevel1ListNumber"/>
      </w:pPr>
      <w:r>
        <w:t>In either case, applicants should provide relevant information in support of their application.</w:t>
      </w:r>
    </w:p>
    <w:p w14:paraId="05B7D07F" w14:textId="2DDC7808" w:rsidR="00FC7F2D" w:rsidRDefault="00823668" w:rsidP="00FE0CEC">
      <w:pPr>
        <w:pStyle w:val="Heading1"/>
      </w:pPr>
      <w:r>
        <w:t>D</w:t>
      </w:r>
      <w:r w:rsidR="00FC7F2D">
        <w:t xml:space="preserve">iscretion to extend time to apply for the </w:t>
      </w:r>
      <w:r w:rsidR="00756686">
        <w:t>first home owner grant</w:t>
      </w:r>
    </w:p>
    <w:p w14:paraId="77C6429E" w14:textId="7DF59CF3" w:rsidR="00FC7F2D" w:rsidRDefault="00FC7F2D" w:rsidP="0055115B">
      <w:pPr>
        <w:pStyle w:val="Numberlistlevel1ListNumber"/>
      </w:pPr>
      <w:r>
        <w:t>A person may apply for the FHOG within the period starting at the commencement date of the eligible transaction and for up to 12 months after the completion of the eligible tr</w:t>
      </w:r>
      <w:r w:rsidR="00FE0CEC">
        <w:t>ansaction.</w:t>
      </w:r>
      <w:r w:rsidR="00FE0CEC" w:rsidRPr="00462558">
        <w:rPr>
          <w:rStyle w:val="FootnoteReference"/>
          <w:sz w:val="24"/>
          <w:szCs w:val="24"/>
        </w:rPr>
        <w:footnoteReference w:id="8"/>
      </w:r>
      <w:r w:rsidR="00FE0CEC">
        <w:t xml:space="preserve"> </w:t>
      </w:r>
      <w:r>
        <w:t>However, the Commissioner has the discretion to extend the time in whi</w:t>
      </w:r>
      <w:r w:rsidR="00FE0CEC">
        <w:t>ch an application can be made.</w:t>
      </w:r>
      <w:r w:rsidR="00FE0CEC" w:rsidRPr="00462558">
        <w:rPr>
          <w:rStyle w:val="FootnoteReference"/>
          <w:sz w:val="24"/>
          <w:szCs w:val="24"/>
        </w:rPr>
        <w:footnoteReference w:id="9"/>
      </w:r>
    </w:p>
    <w:p w14:paraId="0BF6A73B" w14:textId="0C74885E" w:rsidR="00FC7F2D" w:rsidRDefault="006A230D" w:rsidP="0055115B">
      <w:pPr>
        <w:pStyle w:val="Numberlistlevel1ListNumber"/>
      </w:pPr>
      <w:r>
        <w:t>T</w:t>
      </w:r>
      <w:r w:rsidR="00FC7F2D">
        <w:t>he Commissioner</w:t>
      </w:r>
      <w:r>
        <w:t xml:space="preserve"> will</w:t>
      </w:r>
      <w:r w:rsidR="00FC7F2D">
        <w:t xml:space="preserve"> take into account</w:t>
      </w:r>
      <w:r>
        <w:t>,</w:t>
      </w:r>
      <w:r w:rsidR="00FC7F2D">
        <w:t xml:space="preserve"> when considering whether to extend the application period</w:t>
      </w:r>
      <w:r>
        <w:t>,</w:t>
      </w:r>
      <w:r w:rsidR="00FC7F2D">
        <w:t xml:space="preserve"> whether an applicant has not applied for the FHOG because they were waiting to become an Australian citizen or permanent resident in order to be eligible for the FHOG (as that eligibility requirement must be fulfill</w:t>
      </w:r>
      <w:r w:rsidR="00FE0CEC">
        <w:t>ed at the date of application).</w:t>
      </w:r>
      <w:r w:rsidR="00FE0CEC" w:rsidRPr="00462558">
        <w:rPr>
          <w:rStyle w:val="FootnoteReference"/>
          <w:sz w:val="24"/>
          <w:szCs w:val="24"/>
        </w:rPr>
        <w:footnoteReference w:id="10"/>
      </w:r>
    </w:p>
    <w:p w14:paraId="34133F8B" w14:textId="2265C584" w:rsidR="00834CD1" w:rsidRDefault="00834CD1" w:rsidP="00C25A59">
      <w:pPr>
        <w:pStyle w:val="Example-Heading"/>
        <w:ind w:left="0"/>
      </w:pPr>
      <w:r>
        <w:t>Examples</w:t>
      </w:r>
    </w:p>
    <w:p w14:paraId="11F6E8BE" w14:textId="684719F0" w:rsidR="00834CD1" w:rsidRDefault="00834CD1" w:rsidP="00C25A59">
      <w:pPr>
        <w:pStyle w:val="Example-Bodytext"/>
        <w:ind w:left="0"/>
      </w:pPr>
      <w:r>
        <w:t xml:space="preserve">One circumstance in which TRO would generally </w:t>
      </w:r>
      <w:r w:rsidRPr="00C25A59">
        <w:rPr>
          <w:b/>
        </w:rPr>
        <w:t>extend the time in which an application can be made</w:t>
      </w:r>
      <w:r>
        <w:t xml:space="preserve"> is where an applicant:</w:t>
      </w:r>
    </w:p>
    <w:p w14:paraId="40226DB9" w14:textId="77777777" w:rsidR="00834CD1" w:rsidRDefault="00834CD1" w:rsidP="00C25A59">
      <w:pPr>
        <w:pStyle w:val="Example-NumberlistL1"/>
        <w:numPr>
          <w:ilvl w:val="0"/>
          <w:numId w:val="31"/>
        </w:numPr>
      </w:pPr>
      <w:r>
        <w:t>lodges an application to become a permanent resident before purchasing a home</w:t>
      </w:r>
    </w:p>
    <w:p w14:paraId="7D638C57" w14:textId="348272B3" w:rsidR="00022DFB" w:rsidRDefault="00834CD1">
      <w:pPr>
        <w:pStyle w:val="Example-NumberlistL1"/>
      </w:pPr>
      <w:r>
        <w:t>is not granted permanent residency until more than 12 months after completion of the purchase due to delays in processing the application by the Australian Government.</w:t>
      </w:r>
      <w:r w:rsidR="00022DFB">
        <w:br w:type="page"/>
      </w:r>
    </w:p>
    <w:p w14:paraId="19C8739E" w14:textId="77777777" w:rsidR="00834CD1" w:rsidRDefault="00834CD1" w:rsidP="00C25A59">
      <w:pPr>
        <w:pStyle w:val="Example-Bodytext"/>
        <w:ind w:left="0"/>
      </w:pPr>
      <w:r>
        <w:lastRenderedPageBreak/>
        <w:t xml:space="preserve">One circumstance in which TRO would generally </w:t>
      </w:r>
      <w:r w:rsidRPr="00C25A59">
        <w:rPr>
          <w:b/>
        </w:rPr>
        <w:t>not extend the time in which an application can be made</w:t>
      </w:r>
      <w:r>
        <w:t xml:space="preserve"> is where an applicant:</w:t>
      </w:r>
    </w:p>
    <w:p w14:paraId="07F10E2D" w14:textId="284FA89F" w:rsidR="00834CD1" w:rsidRPr="00834CD1" w:rsidRDefault="00834CD1" w:rsidP="00C25A59">
      <w:pPr>
        <w:pStyle w:val="Example-NumberlistL1"/>
        <w:numPr>
          <w:ilvl w:val="0"/>
          <w:numId w:val="27"/>
        </w:numPr>
      </w:pPr>
      <w:r w:rsidRPr="00834CD1">
        <w:t>purchases a home while in Australia under a student visa</w:t>
      </w:r>
    </w:p>
    <w:p w14:paraId="36694100" w14:textId="77777777" w:rsidR="00834CD1" w:rsidRPr="00834CD1" w:rsidRDefault="00834CD1" w:rsidP="00C25A59">
      <w:pPr>
        <w:pStyle w:val="Example-NumberlistL1"/>
      </w:pPr>
      <w:r w:rsidRPr="00834CD1">
        <w:t>is not eligible to apply for permanent residency until more than 12 months after the purchase is completed</w:t>
      </w:r>
    </w:p>
    <w:p w14:paraId="2427D97B" w14:textId="2246506C" w:rsidR="00834CD1" w:rsidRPr="00834CD1" w:rsidRDefault="00834CD1" w:rsidP="00C25A59">
      <w:pPr>
        <w:pStyle w:val="Example-NumberlistL1"/>
      </w:pPr>
      <w:r w:rsidRPr="00834CD1">
        <w:t>applies for permanent residency and becomes a permanent resident 18 months after the purchase is completed.</w:t>
      </w:r>
    </w:p>
    <w:p w14:paraId="030C12ED" w14:textId="77777777" w:rsidR="00FC7F2D" w:rsidRDefault="00FC7F2D" w:rsidP="00FE0CEC">
      <w:pPr>
        <w:pStyle w:val="Heading1"/>
      </w:pPr>
      <w:r>
        <w:t>Legislation</w:t>
      </w:r>
    </w:p>
    <w:p w14:paraId="013EB60A" w14:textId="77777777" w:rsidR="00FC7F2D" w:rsidRDefault="00FC7F2D" w:rsidP="00832D00">
      <w:pPr>
        <w:pStyle w:val="Numberlistlevel1ListNumber"/>
      </w:pPr>
      <w:r>
        <w:t xml:space="preserve">Refer to the </w:t>
      </w:r>
      <w:r w:rsidRPr="00DB06F3">
        <w:rPr>
          <w:i/>
        </w:rPr>
        <w:t>First Home Owner Grant Act</w:t>
      </w:r>
      <w:r w:rsidR="006F0755">
        <w:rPr>
          <w:i/>
        </w:rPr>
        <w:t xml:space="preserve"> 2000</w:t>
      </w:r>
      <w:r>
        <w:t xml:space="preserve"> and the </w:t>
      </w:r>
      <w:r w:rsidRPr="00DB06F3">
        <w:rPr>
          <w:i/>
        </w:rPr>
        <w:t>Stamp Duty Act</w:t>
      </w:r>
      <w:r w:rsidR="006F0755">
        <w:rPr>
          <w:i/>
        </w:rPr>
        <w:t xml:space="preserve"> 1978</w:t>
      </w:r>
      <w:r>
        <w:t xml:space="preserve"> for the legislative basis for the home owner assistance schemes.</w:t>
      </w:r>
    </w:p>
    <w:p w14:paraId="5DDA49FE" w14:textId="0E4B8EA4" w:rsidR="00FC7F2D" w:rsidRDefault="00FC7F2D" w:rsidP="00FE0CEC">
      <w:pPr>
        <w:pStyle w:val="Heading1"/>
      </w:pPr>
      <w:r>
        <w:t xml:space="preserve">Commissioner’s </w:t>
      </w:r>
      <w:r w:rsidR="006A230D">
        <w:t>g</w:t>
      </w:r>
      <w:r>
        <w:t>uidelines</w:t>
      </w:r>
    </w:p>
    <w:p w14:paraId="1A557421" w14:textId="6B012C8A" w:rsidR="00FC7F2D" w:rsidRDefault="00FC7F2D" w:rsidP="006A230D">
      <w:pPr>
        <w:pStyle w:val="Numberlistlevel1ListNumber"/>
      </w:pPr>
      <w:r>
        <w:t xml:space="preserve">Commissioner’s Guideline </w:t>
      </w:r>
      <w:r w:rsidR="006A230D" w:rsidRPr="00C25A59">
        <w:t>CG-GEN-001</w:t>
      </w:r>
      <w:r w:rsidR="006A230D">
        <w:t xml:space="preserve">: </w:t>
      </w:r>
      <w:r w:rsidR="006A230D" w:rsidRPr="00C25A59">
        <w:rPr>
          <w:i/>
        </w:rPr>
        <w:t>Revenue Circulars, Commissioner’s Guidelines and Payroll Tax Rulings: explanation and status</w:t>
      </w:r>
      <w:r w:rsidR="006A230D">
        <w:t>,</w:t>
      </w:r>
      <w:r>
        <w:t xml:space="preserve"> which sets out information on the revenue publication system, is incorporated into and</w:t>
      </w:r>
      <w:r w:rsidR="00CA718B">
        <w:t xml:space="preserve"> to be</w:t>
      </w:r>
      <w:r>
        <w:t xml:space="preserve"> read as one with this </w:t>
      </w:r>
      <w:r w:rsidR="006A230D">
        <w:t>guideline</w:t>
      </w:r>
      <w:r>
        <w:t xml:space="preserve">. All </w:t>
      </w:r>
      <w:r w:rsidR="006A230D">
        <w:t>c</w:t>
      </w:r>
      <w:r>
        <w:t xml:space="preserve">irculars and </w:t>
      </w:r>
      <w:r w:rsidR="006A230D">
        <w:t>g</w:t>
      </w:r>
      <w:r>
        <w:t xml:space="preserve">uidelines are available </w:t>
      </w:r>
      <w:r w:rsidR="006A230D">
        <w:t xml:space="preserve">on the </w:t>
      </w:r>
      <w:r>
        <w:t>TRO website.</w:t>
      </w:r>
    </w:p>
    <w:p w14:paraId="5B54DB12" w14:textId="77777777" w:rsidR="00FC7F2D" w:rsidRDefault="00FC7F2D" w:rsidP="00FE0CEC">
      <w:pPr>
        <w:pStyle w:val="Heading1"/>
      </w:pPr>
      <w:r>
        <w:t>Date of effect</w:t>
      </w:r>
    </w:p>
    <w:p w14:paraId="61652D82" w14:textId="2716998E" w:rsidR="00FC7F2D" w:rsidRDefault="00FC7F2D" w:rsidP="00832D00">
      <w:pPr>
        <w:pStyle w:val="Numberlistlevel1ListNumber"/>
      </w:pPr>
      <w:r>
        <w:t xml:space="preserve">This version of the </w:t>
      </w:r>
      <w:r w:rsidR="006A230D">
        <w:t>g</w:t>
      </w:r>
      <w:r>
        <w:t>uideline takes effect from 1 July 2022.</w:t>
      </w:r>
    </w:p>
    <w:p w14:paraId="0B485B12" w14:textId="77777777" w:rsidR="00E8500D" w:rsidRDefault="00E8500D" w:rsidP="006A230D">
      <w:pPr>
        <w:pStyle w:val="BodyText"/>
        <w:rPr>
          <w:sz w:val="20"/>
          <w:szCs w:val="20"/>
        </w:rPr>
      </w:pPr>
      <w:r>
        <w:rPr>
          <w:noProof/>
          <w:lang w:eastAsia="en-AU"/>
        </w:rPr>
        <w:drawing>
          <wp:inline distT="0" distB="0" distL="0" distR="0" wp14:anchorId="3597D319" wp14:editId="1C8A37FB">
            <wp:extent cx="1311275" cy="78676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1940"/>
                    <a:stretch/>
                  </pic:blipFill>
                  <pic:spPr bwMode="auto">
                    <a:xfrm>
                      <a:off x="0" y="0"/>
                      <a:ext cx="1311275" cy="786765"/>
                    </a:xfrm>
                    <a:prstGeom prst="rect">
                      <a:avLst/>
                    </a:prstGeom>
                    <a:noFill/>
                    <a:ln>
                      <a:noFill/>
                    </a:ln>
                    <a:extLst>
                      <a:ext uri="{53640926-AAD7-44D8-BBD7-CCE9431645EC}">
                        <a14:shadowObscured xmlns:a14="http://schemas.microsoft.com/office/drawing/2010/main"/>
                      </a:ext>
                    </a:extLst>
                  </pic:spPr>
                </pic:pic>
              </a:graphicData>
            </a:graphic>
          </wp:inline>
        </w:drawing>
      </w:r>
    </w:p>
    <w:p w14:paraId="082040BA" w14:textId="23E109F9" w:rsidR="006A230D" w:rsidRPr="007164BE" w:rsidRDefault="006A230D" w:rsidP="006A230D">
      <w:pPr>
        <w:pStyle w:val="BodyText"/>
        <w:rPr>
          <w:sz w:val="20"/>
          <w:szCs w:val="20"/>
        </w:rPr>
      </w:pPr>
      <w:r>
        <w:rPr>
          <w:sz w:val="20"/>
          <w:szCs w:val="20"/>
        </w:rPr>
        <w:t>Sarah Rummery</w:t>
      </w:r>
    </w:p>
    <w:p w14:paraId="585FD48B" w14:textId="77777777" w:rsidR="006A230D" w:rsidRPr="00046BA8" w:rsidRDefault="006A230D" w:rsidP="006A230D">
      <w:pPr>
        <w:pStyle w:val="BodyText"/>
        <w:rPr>
          <w:b/>
          <w:sz w:val="20"/>
          <w:szCs w:val="20"/>
        </w:rPr>
      </w:pPr>
      <w:r w:rsidRPr="00046BA8">
        <w:rPr>
          <w:b/>
          <w:sz w:val="20"/>
          <w:szCs w:val="20"/>
        </w:rPr>
        <w:t>COMMISSIONER OF TERRITORY REVENUE</w:t>
      </w:r>
    </w:p>
    <w:p w14:paraId="6F69C271" w14:textId="77777777" w:rsidR="006A230D" w:rsidRPr="00315604" w:rsidRDefault="006A230D" w:rsidP="006A230D">
      <w:pPr>
        <w:pStyle w:val="BodyText"/>
        <w:rPr>
          <w:sz w:val="20"/>
          <w:szCs w:val="20"/>
        </w:rPr>
      </w:pPr>
      <w:r w:rsidRPr="00315604">
        <w:rPr>
          <w:sz w:val="20"/>
          <w:szCs w:val="20"/>
        </w:rPr>
        <w:t>Date of issue: 1 July 2022</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6A230D" w:rsidRPr="00DD1818" w14:paraId="31C7FEF7" w14:textId="77777777" w:rsidTr="00315604">
        <w:tc>
          <w:tcPr>
            <w:tcW w:w="5000" w:type="pct"/>
            <w:gridSpan w:val="2"/>
          </w:tcPr>
          <w:p w14:paraId="4755631C" w14:textId="77777777" w:rsidR="006A230D" w:rsidRPr="00315604" w:rsidRDefault="006A230D" w:rsidP="00315604">
            <w:pPr>
              <w:pStyle w:val="BodyText"/>
              <w:spacing w:before="60" w:after="60"/>
              <w:rPr>
                <w:rFonts w:cs="Arial"/>
                <w:sz w:val="20"/>
                <w:szCs w:val="20"/>
              </w:rPr>
            </w:pPr>
            <w:r w:rsidRPr="00315604">
              <w:rPr>
                <w:rFonts w:cs="Arial"/>
                <w:sz w:val="20"/>
                <w:szCs w:val="20"/>
              </w:rPr>
              <w:t>For further information, contact the Territory Revenue Office</w:t>
            </w:r>
          </w:p>
        </w:tc>
      </w:tr>
      <w:tr w:rsidR="006A230D" w:rsidRPr="00DD1818" w14:paraId="08FF1B13" w14:textId="77777777" w:rsidTr="00315604">
        <w:tc>
          <w:tcPr>
            <w:tcW w:w="2314" w:type="pct"/>
          </w:tcPr>
          <w:p w14:paraId="608D22BE" w14:textId="77777777" w:rsidR="006A230D" w:rsidRPr="00315604" w:rsidRDefault="006A230D" w:rsidP="00315604">
            <w:pPr>
              <w:pStyle w:val="BodyText"/>
              <w:spacing w:before="60" w:after="60"/>
              <w:rPr>
                <w:rFonts w:cs="Arial"/>
                <w:sz w:val="20"/>
                <w:szCs w:val="20"/>
              </w:rPr>
            </w:pPr>
            <w:r w:rsidRPr="00315604">
              <w:rPr>
                <w:rFonts w:cs="Arial"/>
                <w:sz w:val="20"/>
                <w:szCs w:val="20"/>
              </w:rPr>
              <w:t>GPO Box 1974</w:t>
            </w:r>
          </w:p>
          <w:p w14:paraId="217ACB23" w14:textId="77777777" w:rsidR="006A230D" w:rsidRPr="00315604" w:rsidRDefault="006A230D" w:rsidP="00315604">
            <w:pPr>
              <w:pStyle w:val="BodyText"/>
              <w:spacing w:before="60" w:after="60"/>
              <w:rPr>
                <w:rFonts w:cs="Arial"/>
                <w:sz w:val="20"/>
                <w:szCs w:val="20"/>
              </w:rPr>
            </w:pPr>
            <w:r w:rsidRPr="00315604">
              <w:rPr>
                <w:rFonts w:cs="Arial"/>
                <w:sz w:val="20"/>
                <w:szCs w:val="20"/>
              </w:rPr>
              <w:t>Darwin NT 0801</w:t>
            </w:r>
          </w:p>
          <w:p w14:paraId="7ECFB7B5" w14:textId="77777777" w:rsidR="006A230D" w:rsidRPr="00315604" w:rsidRDefault="006A230D" w:rsidP="00315604">
            <w:pPr>
              <w:pStyle w:val="BodyText"/>
              <w:spacing w:before="60" w:after="60"/>
              <w:rPr>
                <w:rFonts w:cs="Arial"/>
                <w:sz w:val="20"/>
                <w:szCs w:val="20"/>
              </w:rPr>
            </w:pPr>
            <w:r w:rsidRPr="00315604">
              <w:rPr>
                <w:rFonts w:cs="Arial"/>
                <w:sz w:val="20"/>
                <w:szCs w:val="20"/>
              </w:rPr>
              <w:t xml:space="preserve">Email: </w:t>
            </w:r>
            <w:hyperlink r:id="rId10" w:history="1">
              <w:r w:rsidRPr="00315604">
                <w:rPr>
                  <w:rFonts w:cs="Arial"/>
                  <w:color w:val="0563C1"/>
                  <w:sz w:val="20"/>
                  <w:szCs w:val="20"/>
                  <w:u w:val="single"/>
                </w:rPr>
                <w:t>ntrevenue@nt.gov.au</w:t>
              </w:r>
            </w:hyperlink>
          </w:p>
        </w:tc>
        <w:tc>
          <w:tcPr>
            <w:tcW w:w="2686" w:type="pct"/>
          </w:tcPr>
          <w:p w14:paraId="01C78B3A" w14:textId="77777777" w:rsidR="006A230D" w:rsidRPr="00315604" w:rsidRDefault="006A230D" w:rsidP="00315604">
            <w:pPr>
              <w:pStyle w:val="BodyText"/>
              <w:spacing w:before="60" w:after="60"/>
              <w:rPr>
                <w:rFonts w:cs="Arial"/>
                <w:sz w:val="20"/>
                <w:szCs w:val="20"/>
              </w:rPr>
            </w:pPr>
            <w:r w:rsidRPr="00315604">
              <w:rPr>
                <w:rFonts w:cs="Arial"/>
                <w:sz w:val="20"/>
                <w:szCs w:val="20"/>
              </w:rPr>
              <w:t>Phone: 1300 305 353</w:t>
            </w:r>
          </w:p>
          <w:p w14:paraId="5F34D5E8" w14:textId="77777777" w:rsidR="006A230D" w:rsidRPr="00315604" w:rsidRDefault="006A230D" w:rsidP="00315604">
            <w:pPr>
              <w:pStyle w:val="BodyText"/>
              <w:spacing w:before="60" w:after="60"/>
              <w:rPr>
                <w:rFonts w:cs="Arial"/>
                <w:bCs/>
                <w:sz w:val="20"/>
                <w:szCs w:val="20"/>
              </w:rPr>
            </w:pPr>
            <w:r w:rsidRPr="00315604">
              <w:rPr>
                <w:rFonts w:cs="Arial"/>
                <w:sz w:val="20"/>
                <w:szCs w:val="20"/>
              </w:rPr>
              <w:t xml:space="preserve">Website: </w:t>
            </w:r>
            <w:hyperlink r:id="rId11" w:history="1">
              <w:r w:rsidRPr="00315604">
                <w:rPr>
                  <w:rFonts w:cs="Arial"/>
                  <w:color w:val="0563C1"/>
                  <w:sz w:val="20"/>
                  <w:szCs w:val="20"/>
                  <w:u w:val="single"/>
                </w:rPr>
                <w:t>www.revenue.nt.gov.au</w:t>
              </w:r>
            </w:hyperlink>
          </w:p>
        </w:tc>
      </w:tr>
    </w:tbl>
    <w:p w14:paraId="53D5D53F" w14:textId="64ADD674" w:rsidR="00B14257" w:rsidRPr="00B0299A" w:rsidRDefault="00B14257" w:rsidP="006A230D">
      <w:pPr>
        <w:pStyle w:val="BodyText1"/>
        <w:rPr>
          <w:sz w:val="20"/>
        </w:rPr>
      </w:pPr>
    </w:p>
    <w:sectPr w:rsidR="00B14257" w:rsidRPr="00B0299A"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F7D9" w14:textId="77777777" w:rsidR="007C1FF6" w:rsidRDefault="007C1FF6" w:rsidP="007332FF">
      <w:r>
        <w:separator/>
      </w:r>
    </w:p>
  </w:endnote>
  <w:endnote w:type="continuationSeparator" w:id="0">
    <w:p w14:paraId="35BF476D" w14:textId="77777777" w:rsidR="007C1FF6" w:rsidRDefault="007C1FF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2DC0"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615CDBC" w14:textId="77777777" w:rsidTr="00D47DC7">
      <w:trPr>
        <w:cantSplit/>
        <w:trHeight w:hRule="exact" w:val="850"/>
      </w:trPr>
      <w:tc>
        <w:tcPr>
          <w:tcW w:w="10318" w:type="dxa"/>
          <w:vAlign w:val="bottom"/>
        </w:tcPr>
        <w:p w14:paraId="0148D095" w14:textId="77777777" w:rsidR="00D47DC7" w:rsidRDefault="00D47DC7" w:rsidP="00D47DC7">
          <w:pPr>
            <w:spacing w:after="0"/>
            <w:rPr>
              <w:rStyle w:val="PageNumber"/>
              <w:b/>
            </w:rPr>
          </w:pPr>
          <w:r>
            <w:rPr>
              <w:rStyle w:val="PageNumber"/>
            </w:rPr>
            <w:t xml:space="preserve">Department of </w:t>
          </w:r>
          <w:r w:rsidR="00FE0CEC">
            <w:rPr>
              <w:rStyle w:val="PageNumber"/>
              <w:b/>
            </w:rPr>
            <w:t>TREASURY AND FINANCE</w:t>
          </w:r>
        </w:p>
        <w:p w14:paraId="61768F96" w14:textId="23EBB8EA" w:rsidR="00D47DC7" w:rsidRPr="00CE6614" w:rsidRDefault="007C1FF6"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FE0CEC">
                <w:rPr>
                  <w:rStyle w:val="PageNumber"/>
                </w:rPr>
                <w:t>1 July 2022</w:t>
              </w:r>
            </w:sdtContent>
          </w:sdt>
          <w:r w:rsidR="00FE0CEC">
            <w:rPr>
              <w:rStyle w:val="PageNumber"/>
            </w:rPr>
            <w:t xml:space="preserve"> | Version </w:t>
          </w:r>
          <w:r w:rsidR="00832D00">
            <w:rPr>
              <w:rStyle w:val="PageNumber"/>
            </w:rPr>
            <w:t>1</w:t>
          </w:r>
          <w:r w:rsidR="00797985">
            <w:rPr>
              <w:rStyle w:val="PageNumber"/>
            </w:rPr>
            <w:t>6</w:t>
          </w:r>
        </w:p>
        <w:p w14:paraId="1C6F54D2" w14:textId="47382EF8"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85569">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85569">
            <w:rPr>
              <w:rStyle w:val="PageNumber"/>
              <w:noProof/>
            </w:rPr>
            <w:t>9</w:t>
          </w:r>
          <w:r w:rsidRPr="00AC4488">
            <w:rPr>
              <w:rStyle w:val="PageNumber"/>
            </w:rPr>
            <w:fldChar w:fldCharType="end"/>
          </w:r>
        </w:p>
      </w:tc>
    </w:tr>
  </w:tbl>
  <w:p w14:paraId="54E0B62E" w14:textId="77777777" w:rsidR="008A191E" w:rsidRPr="00C25A59" w:rsidRDefault="008A191E" w:rsidP="00C25A59">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CB9D"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326F6C59" w14:textId="77777777" w:rsidTr="008921B4">
      <w:trPr>
        <w:cantSplit/>
        <w:trHeight w:hRule="exact" w:val="1134"/>
      </w:trPr>
      <w:tc>
        <w:tcPr>
          <w:tcW w:w="7767" w:type="dxa"/>
          <w:vAlign w:val="bottom"/>
        </w:tcPr>
        <w:p w14:paraId="5C731E00"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E0CEC">
                <w:rPr>
                  <w:rStyle w:val="PageNumber"/>
                  <w:b/>
                </w:rPr>
                <w:t>TREASURY AND FINANCE</w:t>
              </w:r>
            </w:sdtContent>
          </w:sdt>
        </w:p>
        <w:p w14:paraId="4752C948" w14:textId="36B5C140" w:rsidR="00D47DC7" w:rsidRPr="00CE6614" w:rsidRDefault="007C1FF6"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FE0CEC">
                <w:rPr>
                  <w:rStyle w:val="PageNumber"/>
                </w:rPr>
                <w:t>1 July 2022</w:t>
              </w:r>
            </w:sdtContent>
          </w:sdt>
          <w:r w:rsidR="00FE0CEC">
            <w:rPr>
              <w:rStyle w:val="PageNumber"/>
            </w:rPr>
            <w:t xml:space="preserve"> | Version </w:t>
          </w:r>
          <w:r w:rsidR="00832D00">
            <w:rPr>
              <w:rStyle w:val="PageNumber"/>
            </w:rPr>
            <w:t>1</w:t>
          </w:r>
          <w:r w:rsidR="00D35E2E">
            <w:rPr>
              <w:rStyle w:val="PageNumber"/>
            </w:rPr>
            <w:t>6</w:t>
          </w:r>
        </w:p>
        <w:p w14:paraId="4E009C7B" w14:textId="41F1B9F8"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8556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85569">
            <w:rPr>
              <w:rStyle w:val="PageNumber"/>
              <w:noProof/>
            </w:rPr>
            <w:t>9</w:t>
          </w:r>
          <w:r w:rsidRPr="00AC4488">
            <w:rPr>
              <w:rStyle w:val="PageNumber"/>
            </w:rPr>
            <w:fldChar w:fldCharType="end"/>
          </w:r>
        </w:p>
      </w:tc>
      <w:tc>
        <w:tcPr>
          <w:tcW w:w="2551" w:type="dxa"/>
          <w:vAlign w:val="bottom"/>
        </w:tcPr>
        <w:p w14:paraId="088005E9" w14:textId="77777777" w:rsidR="0071700C" w:rsidRPr="001E14EB" w:rsidRDefault="0071700C" w:rsidP="0071700C">
          <w:pPr>
            <w:spacing w:after="0"/>
            <w:jc w:val="right"/>
          </w:pPr>
          <w:r>
            <w:rPr>
              <w:noProof/>
              <w:lang w:eastAsia="en-AU"/>
            </w:rPr>
            <w:drawing>
              <wp:inline distT="0" distB="0" distL="0" distR="0" wp14:anchorId="536AED51" wp14:editId="481F0C4D">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79C6EB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936C" w14:textId="77777777" w:rsidR="007C1FF6" w:rsidRDefault="007C1FF6" w:rsidP="007332FF">
      <w:r>
        <w:separator/>
      </w:r>
    </w:p>
  </w:footnote>
  <w:footnote w:type="continuationSeparator" w:id="0">
    <w:p w14:paraId="37300DE7" w14:textId="77777777" w:rsidR="007C1FF6" w:rsidRDefault="007C1FF6" w:rsidP="007332FF">
      <w:r>
        <w:continuationSeparator/>
      </w:r>
    </w:p>
  </w:footnote>
  <w:footnote w:id="1">
    <w:p w14:paraId="6A27B193" w14:textId="77777777" w:rsidR="00C67DD5" w:rsidRPr="00C67DD5" w:rsidRDefault="00C67DD5" w:rsidP="00C67DD5">
      <w:pPr>
        <w:pStyle w:val="FootnoteText"/>
        <w:rPr>
          <w:rFonts w:asciiTheme="minorHAnsi" w:hAnsiTheme="minorHAnsi" w:cs="Arial"/>
          <w:sz w:val="18"/>
          <w:szCs w:val="18"/>
        </w:rPr>
      </w:pPr>
      <w:r w:rsidRPr="00C67DD5">
        <w:rPr>
          <w:rStyle w:val="FootnoteReference"/>
          <w:rFonts w:asciiTheme="minorHAnsi" w:hAnsiTheme="minorHAnsi"/>
          <w:sz w:val="18"/>
          <w:szCs w:val="18"/>
        </w:rPr>
        <w:footnoteRef/>
      </w:r>
      <w:r w:rsidRPr="00C67DD5">
        <w:rPr>
          <w:rFonts w:asciiTheme="minorHAnsi" w:hAnsiTheme="minorHAnsi" w:cs="Arial"/>
          <w:sz w:val="18"/>
          <w:szCs w:val="18"/>
        </w:rPr>
        <w:t xml:space="preserve"> Section 8(1)(b) of the </w:t>
      </w:r>
      <w:r w:rsidRPr="00C67DD5">
        <w:rPr>
          <w:rFonts w:asciiTheme="minorHAnsi" w:hAnsiTheme="minorHAnsi" w:cs="Arial"/>
          <w:i/>
          <w:sz w:val="18"/>
          <w:szCs w:val="18"/>
        </w:rPr>
        <w:t>First Home Owner Grant Act</w:t>
      </w:r>
      <w:r w:rsidR="008D6971">
        <w:rPr>
          <w:rFonts w:asciiTheme="minorHAnsi" w:hAnsiTheme="minorHAnsi" w:cs="Arial"/>
          <w:i/>
          <w:sz w:val="18"/>
          <w:szCs w:val="18"/>
        </w:rPr>
        <w:t xml:space="preserve"> 2000</w:t>
      </w:r>
      <w:r w:rsidRPr="00C67DD5">
        <w:rPr>
          <w:rFonts w:asciiTheme="minorHAnsi" w:hAnsiTheme="minorHAnsi" w:cs="Arial"/>
          <w:i/>
          <w:sz w:val="18"/>
          <w:szCs w:val="18"/>
        </w:rPr>
        <w:t xml:space="preserve"> </w:t>
      </w:r>
      <w:r w:rsidRPr="00C67DD5">
        <w:rPr>
          <w:rFonts w:asciiTheme="minorHAnsi" w:hAnsiTheme="minorHAnsi" w:cs="Arial"/>
          <w:sz w:val="18"/>
          <w:szCs w:val="18"/>
        </w:rPr>
        <w:t xml:space="preserve">(FHOGA); section 88(1) of the </w:t>
      </w:r>
      <w:r w:rsidRPr="00C67DD5">
        <w:rPr>
          <w:rFonts w:asciiTheme="minorHAnsi" w:hAnsiTheme="minorHAnsi" w:cs="Arial"/>
          <w:i/>
          <w:sz w:val="18"/>
          <w:szCs w:val="18"/>
        </w:rPr>
        <w:t>Stamp Duty Act 1978</w:t>
      </w:r>
      <w:r w:rsidRPr="00C67DD5">
        <w:rPr>
          <w:rFonts w:asciiTheme="minorHAnsi" w:hAnsiTheme="minorHAnsi" w:cs="Arial"/>
          <w:sz w:val="18"/>
          <w:szCs w:val="18"/>
        </w:rPr>
        <w:t xml:space="preserve"> (SDA).</w:t>
      </w:r>
    </w:p>
  </w:footnote>
  <w:footnote w:id="2">
    <w:p w14:paraId="0FD438CF" w14:textId="77777777" w:rsidR="00C67DD5" w:rsidRPr="00C67DD5" w:rsidRDefault="00C67DD5" w:rsidP="00C67DD5">
      <w:pPr>
        <w:pStyle w:val="FootnoteText"/>
        <w:rPr>
          <w:rFonts w:asciiTheme="minorHAnsi" w:hAnsiTheme="minorHAnsi"/>
        </w:rPr>
      </w:pPr>
      <w:r w:rsidRPr="00C67DD5">
        <w:rPr>
          <w:rStyle w:val="FootnoteReference"/>
          <w:rFonts w:asciiTheme="minorHAnsi" w:hAnsiTheme="minorHAnsi"/>
          <w:sz w:val="18"/>
          <w:szCs w:val="18"/>
        </w:rPr>
        <w:footnoteRef/>
      </w:r>
      <w:r w:rsidRPr="00C67DD5">
        <w:rPr>
          <w:rFonts w:asciiTheme="minorHAnsi" w:hAnsiTheme="minorHAnsi" w:cs="Arial"/>
          <w:sz w:val="18"/>
          <w:szCs w:val="18"/>
        </w:rPr>
        <w:t xml:space="preserve"> Section 8(1)(b) of the FHOGA; sections 89AAB(10) and 90D(7) of the SDA.</w:t>
      </w:r>
    </w:p>
  </w:footnote>
  <w:footnote w:id="3">
    <w:p w14:paraId="5B941FF5" w14:textId="77777777" w:rsidR="00C67DD5" w:rsidRPr="00C67DD5" w:rsidRDefault="00C67DD5" w:rsidP="00C67DD5">
      <w:pPr>
        <w:pStyle w:val="FootnoteText"/>
        <w:rPr>
          <w:rFonts w:asciiTheme="minorHAnsi" w:hAnsiTheme="minorHAnsi" w:cs="Arial"/>
          <w:sz w:val="18"/>
          <w:szCs w:val="18"/>
        </w:rPr>
      </w:pPr>
      <w:r w:rsidRPr="00C67DD5">
        <w:rPr>
          <w:rStyle w:val="FootnoteReference"/>
          <w:rFonts w:asciiTheme="minorHAnsi" w:hAnsiTheme="minorHAnsi"/>
          <w:sz w:val="18"/>
          <w:szCs w:val="18"/>
        </w:rPr>
        <w:footnoteRef/>
      </w:r>
      <w:r w:rsidRPr="00C67DD5">
        <w:rPr>
          <w:rFonts w:asciiTheme="minorHAnsi" w:hAnsiTheme="minorHAnsi" w:cs="Arial"/>
          <w:sz w:val="18"/>
          <w:szCs w:val="18"/>
        </w:rPr>
        <w:t xml:space="preserve"> Sections 3 (‘guardian’), 5(3)(c) and 16 of the FHOGA; and sections 89AAB(8), 89A(9) and 90D(4) of the SDA.</w:t>
      </w:r>
    </w:p>
  </w:footnote>
  <w:footnote w:id="4">
    <w:p w14:paraId="5C9AF423" w14:textId="77777777" w:rsidR="00C67DD5" w:rsidRPr="00C67DD5" w:rsidRDefault="00C67DD5" w:rsidP="00C67DD5">
      <w:pPr>
        <w:pStyle w:val="FootnoteText"/>
        <w:rPr>
          <w:rFonts w:ascii="Lato" w:hAnsi="Lato" w:cs="Arial"/>
          <w:sz w:val="18"/>
          <w:szCs w:val="18"/>
        </w:rPr>
      </w:pPr>
      <w:r w:rsidRPr="00C67DD5">
        <w:rPr>
          <w:rStyle w:val="FootnoteReference"/>
          <w:rFonts w:ascii="Lato" w:hAnsi="Lato"/>
          <w:sz w:val="18"/>
          <w:szCs w:val="18"/>
        </w:rPr>
        <w:footnoteRef/>
      </w:r>
      <w:r w:rsidRPr="00C67DD5">
        <w:rPr>
          <w:rFonts w:ascii="Lato" w:hAnsi="Lato" w:cs="Arial"/>
          <w:sz w:val="18"/>
          <w:szCs w:val="18"/>
        </w:rPr>
        <w:t xml:space="preserve"> Section 5(3)(a) of the FHOGA; sections 89AAB(2)(i), 89A(1)(i) and 90D(2)(j) of the SDA.</w:t>
      </w:r>
    </w:p>
  </w:footnote>
  <w:footnote w:id="5">
    <w:p w14:paraId="3F94BF67" w14:textId="78DBF771" w:rsidR="00C67DD5" w:rsidRPr="00C67DD5" w:rsidRDefault="00C67DD5" w:rsidP="00C67DD5">
      <w:pPr>
        <w:pStyle w:val="FootnoteText"/>
        <w:rPr>
          <w:rFonts w:ascii="Lato" w:hAnsi="Lato" w:cs="Arial"/>
          <w:sz w:val="18"/>
          <w:szCs w:val="18"/>
        </w:rPr>
      </w:pPr>
      <w:r w:rsidRPr="00C67DD5">
        <w:rPr>
          <w:rStyle w:val="FootnoteReference"/>
          <w:rFonts w:ascii="Lato" w:hAnsi="Lato"/>
          <w:sz w:val="18"/>
          <w:szCs w:val="18"/>
        </w:rPr>
        <w:footnoteRef/>
      </w:r>
      <w:r w:rsidRPr="00C67DD5">
        <w:rPr>
          <w:rFonts w:ascii="Lato" w:hAnsi="Lato" w:cs="Arial"/>
          <w:sz w:val="18"/>
          <w:szCs w:val="18"/>
        </w:rPr>
        <w:t xml:space="preserve"> Sections 5(3), 12 and 13(6) of the</w:t>
      </w:r>
      <w:r w:rsidRPr="00C67DD5">
        <w:rPr>
          <w:rFonts w:ascii="Lato" w:hAnsi="Lato" w:cs="Arial"/>
          <w:i/>
          <w:sz w:val="18"/>
          <w:szCs w:val="18"/>
        </w:rPr>
        <w:t xml:space="preserve"> </w:t>
      </w:r>
      <w:r w:rsidRPr="00C67DD5">
        <w:rPr>
          <w:rFonts w:ascii="Lato" w:hAnsi="Lato" w:cs="Arial"/>
          <w:sz w:val="18"/>
          <w:szCs w:val="18"/>
        </w:rPr>
        <w:t>FHOGA</w:t>
      </w:r>
      <w:r w:rsidRPr="00C67DD5">
        <w:rPr>
          <w:rFonts w:ascii="Lato" w:hAnsi="Lato" w:cs="Arial"/>
          <w:i/>
          <w:sz w:val="18"/>
          <w:szCs w:val="18"/>
        </w:rPr>
        <w:t>;</w:t>
      </w:r>
      <w:r w:rsidRPr="00C67DD5">
        <w:rPr>
          <w:rFonts w:ascii="Lato" w:hAnsi="Lato" w:cs="Arial"/>
          <w:sz w:val="18"/>
          <w:szCs w:val="18"/>
        </w:rPr>
        <w:t xml:space="preserve"> sections 89AAB(2)(h), 89A(1)(g) and 90D(2)(i) of the SDA and ‘period of occupancy’ and ‘prescribed period’ at section 88(1) of the SDA.</w:t>
      </w:r>
    </w:p>
  </w:footnote>
  <w:footnote w:id="6">
    <w:p w14:paraId="487FA058" w14:textId="77777777" w:rsidR="00C67DD5" w:rsidRPr="00197DE7" w:rsidRDefault="00C67DD5" w:rsidP="00C67DD5">
      <w:pPr>
        <w:pStyle w:val="FootnoteText"/>
        <w:rPr>
          <w:rFonts w:ascii="Arial" w:hAnsi="Arial" w:cs="Arial"/>
          <w:sz w:val="18"/>
          <w:szCs w:val="18"/>
        </w:rPr>
      </w:pPr>
      <w:r w:rsidRPr="00C67DD5">
        <w:rPr>
          <w:rStyle w:val="FootnoteReference"/>
          <w:rFonts w:ascii="Lato" w:hAnsi="Lato"/>
          <w:sz w:val="18"/>
        </w:rPr>
        <w:footnoteRef/>
      </w:r>
      <w:r w:rsidRPr="00C67DD5">
        <w:rPr>
          <w:rFonts w:ascii="Lato" w:hAnsi="Lato"/>
        </w:rPr>
        <w:t xml:space="preserve"> </w:t>
      </w:r>
      <w:r w:rsidRPr="00C67DD5">
        <w:rPr>
          <w:rFonts w:ascii="Lato" w:hAnsi="Lato" w:cs="Arial"/>
          <w:sz w:val="18"/>
          <w:szCs w:val="18"/>
        </w:rPr>
        <w:t>Sections 5(3), 12 of the FHOGA and sections 89AAB(11), 89A(11) and (11A) and 90D(2)(i) and (j) of the SDA.</w:t>
      </w:r>
    </w:p>
  </w:footnote>
  <w:footnote w:id="7">
    <w:p w14:paraId="63372636" w14:textId="77777777" w:rsidR="00FE0CEC" w:rsidRPr="00FE0CEC" w:rsidRDefault="00FE0CEC" w:rsidP="00FE0CEC">
      <w:pPr>
        <w:pStyle w:val="FootnoteText"/>
        <w:rPr>
          <w:rFonts w:asciiTheme="minorHAnsi" w:hAnsiTheme="minorHAnsi" w:cs="Arial"/>
          <w:sz w:val="18"/>
          <w:szCs w:val="18"/>
        </w:rPr>
      </w:pPr>
      <w:r w:rsidRPr="00FE0CEC">
        <w:rPr>
          <w:rStyle w:val="FootnoteReference"/>
          <w:rFonts w:asciiTheme="minorHAnsi" w:hAnsiTheme="minorHAnsi"/>
          <w:sz w:val="18"/>
          <w:szCs w:val="18"/>
        </w:rPr>
        <w:footnoteRef/>
      </w:r>
      <w:r w:rsidRPr="00FE0CEC">
        <w:rPr>
          <w:rFonts w:asciiTheme="minorHAnsi" w:hAnsiTheme="minorHAnsi" w:cs="Arial"/>
          <w:sz w:val="18"/>
          <w:szCs w:val="18"/>
        </w:rPr>
        <w:t xml:space="preserve"> Section 12 of the FHOGA; sections 89AAB(14)(b), 89A(11)(b) and 90D(2)(i) of the SDA.</w:t>
      </w:r>
    </w:p>
  </w:footnote>
  <w:footnote w:id="8">
    <w:p w14:paraId="55C1C214" w14:textId="77777777" w:rsidR="00FE0CEC" w:rsidRPr="00FE0CEC" w:rsidRDefault="00FE0CEC" w:rsidP="00FE0CEC">
      <w:pPr>
        <w:pStyle w:val="FootnoteText"/>
        <w:rPr>
          <w:rFonts w:asciiTheme="minorHAnsi" w:hAnsiTheme="minorHAnsi" w:cs="Arial"/>
          <w:sz w:val="18"/>
          <w:szCs w:val="18"/>
        </w:rPr>
      </w:pPr>
      <w:r w:rsidRPr="00FE0CEC">
        <w:rPr>
          <w:rStyle w:val="FootnoteReference"/>
          <w:rFonts w:asciiTheme="minorHAnsi" w:hAnsiTheme="minorHAnsi"/>
          <w:sz w:val="18"/>
          <w:szCs w:val="18"/>
        </w:rPr>
        <w:footnoteRef/>
      </w:r>
      <w:r w:rsidRPr="00FE0CEC">
        <w:rPr>
          <w:rFonts w:asciiTheme="minorHAnsi" w:hAnsiTheme="minorHAnsi" w:cs="Arial"/>
          <w:sz w:val="18"/>
          <w:szCs w:val="18"/>
        </w:rPr>
        <w:t xml:space="preserve"> Section 14(5) of the FHOGA.</w:t>
      </w:r>
    </w:p>
  </w:footnote>
  <w:footnote w:id="9">
    <w:p w14:paraId="053F58A7" w14:textId="77777777" w:rsidR="00FE0CEC" w:rsidRPr="00FE0CEC" w:rsidRDefault="00FE0CEC" w:rsidP="00FE0CEC">
      <w:pPr>
        <w:pStyle w:val="FootnoteText"/>
        <w:rPr>
          <w:rFonts w:asciiTheme="minorHAnsi" w:hAnsiTheme="minorHAnsi" w:cs="Arial"/>
          <w:szCs w:val="16"/>
        </w:rPr>
      </w:pPr>
      <w:r w:rsidRPr="00FE0CEC">
        <w:rPr>
          <w:rStyle w:val="FootnoteReference"/>
          <w:rFonts w:asciiTheme="minorHAnsi" w:hAnsiTheme="minorHAnsi"/>
          <w:sz w:val="18"/>
          <w:szCs w:val="18"/>
        </w:rPr>
        <w:footnoteRef/>
      </w:r>
      <w:r w:rsidRPr="00FE0CEC">
        <w:rPr>
          <w:rFonts w:asciiTheme="minorHAnsi" w:hAnsiTheme="minorHAnsi" w:cs="Arial"/>
          <w:sz w:val="18"/>
          <w:szCs w:val="18"/>
        </w:rPr>
        <w:t xml:space="preserve"> Section 14(6) of the FHOGA.</w:t>
      </w:r>
    </w:p>
  </w:footnote>
  <w:footnote w:id="10">
    <w:p w14:paraId="6A38BAE8" w14:textId="77777777" w:rsidR="00FE0CEC" w:rsidRPr="005D38F6" w:rsidRDefault="00FE0CEC" w:rsidP="00FE0CEC">
      <w:pPr>
        <w:pStyle w:val="FootnoteText"/>
        <w:rPr>
          <w:rFonts w:cs="Arial"/>
          <w:sz w:val="18"/>
          <w:szCs w:val="18"/>
        </w:rPr>
      </w:pPr>
      <w:r w:rsidRPr="00FE0CEC">
        <w:rPr>
          <w:rStyle w:val="FootnoteReference"/>
          <w:rFonts w:asciiTheme="minorHAnsi" w:hAnsiTheme="minorHAnsi"/>
          <w:sz w:val="18"/>
          <w:szCs w:val="18"/>
        </w:rPr>
        <w:footnoteRef/>
      </w:r>
      <w:r w:rsidRPr="00FE0CEC">
        <w:rPr>
          <w:rFonts w:asciiTheme="minorHAnsi" w:hAnsiTheme="minorHAnsi" w:cs="Arial"/>
          <w:sz w:val="18"/>
          <w:szCs w:val="18"/>
        </w:rPr>
        <w:t xml:space="preserve"> Section 9(1) of the FHOGA.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1BD5" w14:textId="061B5FC2" w:rsidR="008A191E" w:rsidRDefault="007C1FF6" w:rsidP="00C25A59">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832D00">
          <w:t>CG-HI-003: Commissioner’s discretion to exempt or vary compliance with the eligibility criteria</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Cs w:val="0"/>
        <w:noProof/>
        <w:lang w:eastAsia="en-AU"/>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7E1CC870" w14:textId="464339B6" w:rsidR="008A191E" w:rsidRDefault="00855615" w:rsidP="00C25A59">
        <w:pPr>
          <w:pStyle w:val="Title"/>
        </w:pPr>
        <w:r w:rsidRPr="00855615">
          <w:rPr>
            <w:noProof/>
            <w:lang w:eastAsia="en-AU"/>
          </w:rPr>
          <w:t>CG-HI-003: Commissioner’s discretion to exempt or vary compliance with the eligibility criteria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942170"/>
    <w:multiLevelType w:val="multilevel"/>
    <w:tmpl w:val="24288E1E"/>
    <w:lvl w:ilvl="0">
      <w:start w:val="1"/>
      <w:numFmt w:val="decimal"/>
      <w:pStyle w:val="Numberlistlevel1ListNumber"/>
      <w:lvlText w:val="%1."/>
      <w:lvlJc w:val="left"/>
      <w:pPr>
        <w:ind w:left="425" w:hanging="425"/>
      </w:pPr>
      <w:rPr>
        <w:rFonts w:hint="default"/>
      </w:rPr>
    </w:lvl>
    <w:lvl w:ilvl="1">
      <w:start w:val="1"/>
      <w:numFmt w:val="lowerLetter"/>
      <w:pStyle w:val="Numberlistlevel2ListNumber2"/>
      <w:lvlText w:val="%2."/>
      <w:lvlJc w:val="left"/>
      <w:pPr>
        <w:ind w:left="850" w:hanging="425"/>
      </w:pPr>
      <w:rPr>
        <w:rFonts w:hint="default"/>
      </w:rPr>
    </w:lvl>
    <w:lvl w:ilvl="2">
      <w:start w:val="1"/>
      <w:numFmt w:val="lowerRoman"/>
      <w:pStyle w:val="Numberlistlevel3ListNumber3"/>
      <w:lvlText w:val="%3."/>
      <w:lvlJc w:val="left"/>
      <w:pPr>
        <w:ind w:left="1275" w:hanging="425"/>
      </w:pPr>
      <w:rPr>
        <w:rFonts w:hint="default"/>
      </w:rPr>
    </w:lvl>
    <w:lvl w:ilvl="3">
      <w:start w:val="1"/>
      <w:numFmt w:val="decimal"/>
      <w:pStyle w:val="Numberlistlevel4ListNumber4"/>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2403227"/>
    <w:multiLevelType w:val="hybridMultilevel"/>
    <w:tmpl w:val="5BECD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B53C73FE"/>
    <w:lvl w:ilvl="0">
      <w:start w:val="1"/>
      <w:numFmt w:val="bullet"/>
      <w:pStyle w:val="Example-BulletlistL1"/>
      <w:lvlText w:val=""/>
      <w:lvlJc w:val="left"/>
      <w:pPr>
        <w:ind w:left="851" w:hanging="426"/>
      </w:pPr>
      <w:rPr>
        <w:rFonts w:ascii="Symbol" w:hAnsi="Symbol" w:hint="default"/>
        <w:color w:val="auto"/>
      </w:rPr>
    </w:lvl>
    <w:lvl w:ilvl="1">
      <w:start w:val="1"/>
      <w:numFmt w:val="bullet"/>
      <w:lvlText w:val="o"/>
      <w:lvlJc w:val="left"/>
      <w:pPr>
        <w:ind w:left="1276" w:hanging="426"/>
      </w:pPr>
      <w:rPr>
        <w:rFonts w:ascii="Courier New" w:hAnsi="Courier New" w:hint="default"/>
      </w:rPr>
    </w:lvl>
    <w:lvl w:ilvl="2">
      <w:start w:val="1"/>
      <w:numFmt w:val="bullet"/>
      <w:lvlText w:val=""/>
      <w:lvlJc w:val="left"/>
      <w:pPr>
        <w:ind w:left="1701" w:hanging="426"/>
      </w:pPr>
      <w:rPr>
        <w:rFonts w:ascii="Wingdings" w:hAnsi="Wingdings" w:hint="default"/>
      </w:rPr>
    </w:lvl>
    <w:lvl w:ilvl="3">
      <w:start w:val="1"/>
      <w:numFmt w:val="bullet"/>
      <w:lvlText w:val=""/>
      <w:lvlJc w:val="left"/>
      <w:pPr>
        <w:ind w:left="2126" w:hanging="426"/>
      </w:pPr>
      <w:rPr>
        <w:rFonts w:ascii="Symbol" w:hAnsi="Symbol" w:hint="default"/>
      </w:rPr>
    </w:lvl>
    <w:lvl w:ilvl="4">
      <w:start w:val="1"/>
      <w:numFmt w:val="bullet"/>
      <w:lvlText w:val="o"/>
      <w:lvlJc w:val="left"/>
      <w:pPr>
        <w:ind w:left="2551" w:hanging="426"/>
      </w:pPr>
      <w:rPr>
        <w:rFonts w:ascii="Courier New" w:hAnsi="Courier New" w:hint="default"/>
      </w:rPr>
    </w:lvl>
    <w:lvl w:ilvl="5">
      <w:start w:val="1"/>
      <w:numFmt w:val="bullet"/>
      <w:lvlText w:val=""/>
      <w:lvlJc w:val="left"/>
      <w:pPr>
        <w:ind w:left="2976" w:hanging="426"/>
      </w:pPr>
      <w:rPr>
        <w:rFonts w:ascii="Wingdings" w:hAnsi="Wingdings" w:hint="default"/>
      </w:rPr>
    </w:lvl>
    <w:lvl w:ilvl="6">
      <w:start w:val="1"/>
      <w:numFmt w:val="bullet"/>
      <w:lvlText w:val=""/>
      <w:lvlJc w:val="left"/>
      <w:pPr>
        <w:ind w:left="3401" w:hanging="426"/>
      </w:pPr>
      <w:rPr>
        <w:rFonts w:ascii="Symbol" w:hAnsi="Symbol" w:hint="default"/>
      </w:rPr>
    </w:lvl>
    <w:lvl w:ilvl="7">
      <w:start w:val="1"/>
      <w:numFmt w:val="bullet"/>
      <w:lvlText w:val="o"/>
      <w:lvlJc w:val="left"/>
      <w:pPr>
        <w:ind w:left="3826" w:hanging="426"/>
      </w:pPr>
      <w:rPr>
        <w:rFonts w:ascii="Courier New" w:hAnsi="Courier New" w:cs="Courier New" w:hint="default"/>
      </w:rPr>
    </w:lvl>
    <w:lvl w:ilvl="8">
      <w:start w:val="1"/>
      <w:numFmt w:val="bullet"/>
      <w:lvlText w:val=""/>
      <w:lvlJc w:val="left"/>
      <w:pPr>
        <w:ind w:left="4251" w:hanging="426"/>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045826"/>
    <w:multiLevelType w:val="multilevel"/>
    <w:tmpl w:val="C66A4BE4"/>
    <w:lvl w:ilvl="0">
      <w:start w:val="1"/>
      <w:numFmt w:val="decimal"/>
      <w:pStyle w:val="Example-NumberlistL1"/>
      <w:lvlText w:val="%1."/>
      <w:lvlJc w:val="left"/>
      <w:pPr>
        <w:ind w:left="425" w:hanging="425"/>
      </w:pPr>
      <w:rPr>
        <w:rFonts w:hint="default"/>
        <w:color w:val="auto"/>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3851416"/>
    <w:multiLevelType w:val="hybridMultilevel"/>
    <w:tmpl w:val="0E4E0C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7F4A0C75"/>
    <w:multiLevelType w:val="hybridMultilevel"/>
    <w:tmpl w:val="6DDAD226"/>
    <w:lvl w:ilvl="0" w:tplc="8CB8CF96">
      <w:start w:val="1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7"/>
  </w:num>
  <w:num w:numId="4">
    <w:abstractNumId w:val="26"/>
  </w:num>
  <w:num w:numId="5">
    <w:abstractNumId w:val="17"/>
  </w:num>
  <w:num w:numId="6">
    <w:abstractNumId w:val="8"/>
  </w:num>
  <w:num w:numId="7">
    <w:abstractNumId w:val="28"/>
  </w:num>
  <w:num w:numId="8">
    <w:abstractNumId w:val="16"/>
  </w:num>
  <w:num w:numId="9">
    <w:abstractNumId w:val="24"/>
  </w:num>
  <w:num w:numId="10">
    <w:abstractNumId w:val="13"/>
  </w:num>
  <w:num w:numId="11">
    <w:abstractNumId w:val="3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tSfGgt2AmfhqReSh3BH/CBx1l2syeixVoKM/acvD8p6iMcRg514H7GgDpXuqkeWwhLzAgjPesut5RWHihG03w==" w:salt="UUHqTxuA/qgOzyz4CWM2IQ=="/>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2D"/>
    <w:rsid w:val="0000122F"/>
    <w:rsid w:val="00001DDF"/>
    <w:rsid w:val="0000322D"/>
    <w:rsid w:val="00007670"/>
    <w:rsid w:val="00010665"/>
    <w:rsid w:val="00015750"/>
    <w:rsid w:val="000160E7"/>
    <w:rsid w:val="00022DFB"/>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2A9B"/>
    <w:rsid w:val="000F3850"/>
    <w:rsid w:val="000F604F"/>
    <w:rsid w:val="00104E7F"/>
    <w:rsid w:val="001137EC"/>
    <w:rsid w:val="001152F5"/>
    <w:rsid w:val="00117743"/>
    <w:rsid w:val="00117F5B"/>
    <w:rsid w:val="00132658"/>
    <w:rsid w:val="00146243"/>
    <w:rsid w:val="00150DC0"/>
    <w:rsid w:val="0015394D"/>
    <w:rsid w:val="00156CD4"/>
    <w:rsid w:val="0016153B"/>
    <w:rsid w:val="00162207"/>
    <w:rsid w:val="00164A3E"/>
    <w:rsid w:val="00166FF6"/>
    <w:rsid w:val="00176123"/>
    <w:rsid w:val="00181620"/>
    <w:rsid w:val="00187130"/>
    <w:rsid w:val="001957AD"/>
    <w:rsid w:val="00196F8E"/>
    <w:rsid w:val="001A2B7F"/>
    <w:rsid w:val="001A39AE"/>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2724D"/>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248D"/>
    <w:rsid w:val="002E4290"/>
    <w:rsid w:val="002E66A6"/>
    <w:rsid w:val="002F0DB1"/>
    <w:rsid w:val="002F2885"/>
    <w:rsid w:val="002F45A1"/>
    <w:rsid w:val="002F7ECB"/>
    <w:rsid w:val="0030203D"/>
    <w:rsid w:val="003037F9"/>
    <w:rsid w:val="0030583E"/>
    <w:rsid w:val="00307FE1"/>
    <w:rsid w:val="003164BA"/>
    <w:rsid w:val="003258E6"/>
    <w:rsid w:val="00342283"/>
    <w:rsid w:val="00343A87"/>
    <w:rsid w:val="00343E34"/>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22A9"/>
    <w:rsid w:val="003D42C0"/>
    <w:rsid w:val="003D4A8F"/>
    <w:rsid w:val="003D5B29"/>
    <w:rsid w:val="003D7818"/>
    <w:rsid w:val="003E2445"/>
    <w:rsid w:val="003E3BB2"/>
    <w:rsid w:val="003E49CA"/>
    <w:rsid w:val="003F5B58"/>
    <w:rsid w:val="0040222A"/>
    <w:rsid w:val="004047BC"/>
    <w:rsid w:val="004100F7"/>
    <w:rsid w:val="00414CB3"/>
    <w:rsid w:val="0041563D"/>
    <w:rsid w:val="00426695"/>
    <w:rsid w:val="00426E25"/>
    <w:rsid w:val="00427D9C"/>
    <w:rsid w:val="00427E7E"/>
    <w:rsid w:val="0043465D"/>
    <w:rsid w:val="00435082"/>
    <w:rsid w:val="00443B6E"/>
    <w:rsid w:val="00450636"/>
    <w:rsid w:val="0045420A"/>
    <w:rsid w:val="004554D4"/>
    <w:rsid w:val="00461744"/>
    <w:rsid w:val="00464DCC"/>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A7EDC"/>
    <w:rsid w:val="004B0C15"/>
    <w:rsid w:val="004B35EA"/>
    <w:rsid w:val="004B3DA0"/>
    <w:rsid w:val="004B69E4"/>
    <w:rsid w:val="004C6C39"/>
    <w:rsid w:val="004D075F"/>
    <w:rsid w:val="004D1B76"/>
    <w:rsid w:val="004D344E"/>
    <w:rsid w:val="004D464A"/>
    <w:rsid w:val="004D6222"/>
    <w:rsid w:val="004E019E"/>
    <w:rsid w:val="004E06EC"/>
    <w:rsid w:val="004E0A3F"/>
    <w:rsid w:val="004E2CB7"/>
    <w:rsid w:val="004F0050"/>
    <w:rsid w:val="004F016A"/>
    <w:rsid w:val="004F7A8F"/>
    <w:rsid w:val="00500F94"/>
    <w:rsid w:val="00502FB3"/>
    <w:rsid w:val="00503DE9"/>
    <w:rsid w:val="0050530C"/>
    <w:rsid w:val="00505DEA"/>
    <w:rsid w:val="00507782"/>
    <w:rsid w:val="00512A04"/>
    <w:rsid w:val="00520499"/>
    <w:rsid w:val="005249F5"/>
    <w:rsid w:val="005260F7"/>
    <w:rsid w:val="00543BD1"/>
    <w:rsid w:val="0055115B"/>
    <w:rsid w:val="00556113"/>
    <w:rsid w:val="00564C12"/>
    <w:rsid w:val="00564C1C"/>
    <w:rsid w:val="005654B8"/>
    <w:rsid w:val="005708C1"/>
    <w:rsid w:val="00570D94"/>
    <w:rsid w:val="005762CC"/>
    <w:rsid w:val="00576798"/>
    <w:rsid w:val="00582D3D"/>
    <w:rsid w:val="00590040"/>
    <w:rsid w:val="00595386"/>
    <w:rsid w:val="00597234"/>
    <w:rsid w:val="005A4AC0"/>
    <w:rsid w:val="005A539B"/>
    <w:rsid w:val="005A5FDF"/>
    <w:rsid w:val="005A685A"/>
    <w:rsid w:val="005B0FB7"/>
    <w:rsid w:val="005B122A"/>
    <w:rsid w:val="005B1FCB"/>
    <w:rsid w:val="005B5AC2"/>
    <w:rsid w:val="005C2833"/>
    <w:rsid w:val="005E10C1"/>
    <w:rsid w:val="005E144D"/>
    <w:rsid w:val="005E1500"/>
    <w:rsid w:val="005E3A43"/>
    <w:rsid w:val="005F0B17"/>
    <w:rsid w:val="005F21CC"/>
    <w:rsid w:val="005F6602"/>
    <w:rsid w:val="005F77C7"/>
    <w:rsid w:val="00615D6F"/>
    <w:rsid w:val="00620675"/>
    <w:rsid w:val="00622910"/>
    <w:rsid w:val="006254B6"/>
    <w:rsid w:val="00627FC8"/>
    <w:rsid w:val="006433C3"/>
    <w:rsid w:val="00650F5B"/>
    <w:rsid w:val="0065312F"/>
    <w:rsid w:val="006670D7"/>
    <w:rsid w:val="006719EA"/>
    <w:rsid w:val="00671F13"/>
    <w:rsid w:val="0067400A"/>
    <w:rsid w:val="006847AD"/>
    <w:rsid w:val="00687745"/>
    <w:rsid w:val="0069114B"/>
    <w:rsid w:val="006944C1"/>
    <w:rsid w:val="006A230D"/>
    <w:rsid w:val="006A756A"/>
    <w:rsid w:val="006C0EC2"/>
    <w:rsid w:val="006D66F7"/>
    <w:rsid w:val="006F0755"/>
    <w:rsid w:val="007017F5"/>
    <w:rsid w:val="00705C9D"/>
    <w:rsid w:val="00705F13"/>
    <w:rsid w:val="0070624C"/>
    <w:rsid w:val="00712707"/>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56686"/>
    <w:rsid w:val="0076190B"/>
    <w:rsid w:val="0076355D"/>
    <w:rsid w:val="00763A2D"/>
    <w:rsid w:val="007674B8"/>
    <w:rsid w:val="007676A4"/>
    <w:rsid w:val="00767CEC"/>
    <w:rsid w:val="00777795"/>
    <w:rsid w:val="007805E4"/>
    <w:rsid w:val="00783A57"/>
    <w:rsid w:val="00784C92"/>
    <w:rsid w:val="007859CD"/>
    <w:rsid w:val="00785C24"/>
    <w:rsid w:val="007907E4"/>
    <w:rsid w:val="00793BD5"/>
    <w:rsid w:val="00796461"/>
    <w:rsid w:val="00797985"/>
    <w:rsid w:val="007A3686"/>
    <w:rsid w:val="007A6A4F"/>
    <w:rsid w:val="007B03F5"/>
    <w:rsid w:val="007B5C09"/>
    <w:rsid w:val="007B5DA2"/>
    <w:rsid w:val="007C0966"/>
    <w:rsid w:val="007C19E7"/>
    <w:rsid w:val="007C1FF6"/>
    <w:rsid w:val="007C5CFD"/>
    <w:rsid w:val="007C6D9F"/>
    <w:rsid w:val="007D4893"/>
    <w:rsid w:val="007E70CF"/>
    <w:rsid w:val="007E74A4"/>
    <w:rsid w:val="007F1B6F"/>
    <w:rsid w:val="007F263F"/>
    <w:rsid w:val="007F79CC"/>
    <w:rsid w:val="008015A8"/>
    <w:rsid w:val="0080766E"/>
    <w:rsid w:val="00811169"/>
    <w:rsid w:val="00815297"/>
    <w:rsid w:val="008170DB"/>
    <w:rsid w:val="00817BA1"/>
    <w:rsid w:val="00823022"/>
    <w:rsid w:val="00823668"/>
    <w:rsid w:val="0082634E"/>
    <w:rsid w:val="008313C4"/>
    <w:rsid w:val="00832D00"/>
    <w:rsid w:val="00834CD1"/>
    <w:rsid w:val="00835434"/>
    <w:rsid w:val="008358C0"/>
    <w:rsid w:val="00842838"/>
    <w:rsid w:val="00854EC1"/>
    <w:rsid w:val="00855615"/>
    <w:rsid w:val="0085797F"/>
    <w:rsid w:val="00861DC3"/>
    <w:rsid w:val="00863CC3"/>
    <w:rsid w:val="008668C6"/>
    <w:rsid w:val="00867019"/>
    <w:rsid w:val="00872EF1"/>
    <w:rsid w:val="008735A9"/>
    <w:rsid w:val="00877BC5"/>
    <w:rsid w:val="00877D20"/>
    <w:rsid w:val="00881C48"/>
    <w:rsid w:val="00885B80"/>
    <w:rsid w:val="00885C30"/>
    <w:rsid w:val="00885E9B"/>
    <w:rsid w:val="008933F3"/>
    <w:rsid w:val="0089368E"/>
    <w:rsid w:val="00893C96"/>
    <w:rsid w:val="0089500A"/>
    <w:rsid w:val="00897C94"/>
    <w:rsid w:val="008A191E"/>
    <w:rsid w:val="008A4B30"/>
    <w:rsid w:val="008A7C12"/>
    <w:rsid w:val="008B03CE"/>
    <w:rsid w:val="008B529E"/>
    <w:rsid w:val="008C17FB"/>
    <w:rsid w:val="008C70BB"/>
    <w:rsid w:val="008D1B00"/>
    <w:rsid w:val="008D57B8"/>
    <w:rsid w:val="008D6971"/>
    <w:rsid w:val="008E03FC"/>
    <w:rsid w:val="008E510B"/>
    <w:rsid w:val="008F6DF6"/>
    <w:rsid w:val="00902B13"/>
    <w:rsid w:val="00911941"/>
    <w:rsid w:val="00912A21"/>
    <w:rsid w:val="00916D5F"/>
    <w:rsid w:val="0092024D"/>
    <w:rsid w:val="00925146"/>
    <w:rsid w:val="00925F0F"/>
    <w:rsid w:val="00932F6B"/>
    <w:rsid w:val="009444F0"/>
    <w:rsid w:val="009468BC"/>
    <w:rsid w:val="00947FAE"/>
    <w:rsid w:val="009616DF"/>
    <w:rsid w:val="0096542F"/>
    <w:rsid w:val="00967FA7"/>
    <w:rsid w:val="00971645"/>
    <w:rsid w:val="009743C4"/>
    <w:rsid w:val="00977919"/>
    <w:rsid w:val="00983000"/>
    <w:rsid w:val="009870FA"/>
    <w:rsid w:val="009921C3"/>
    <w:rsid w:val="0099551D"/>
    <w:rsid w:val="009A5897"/>
    <w:rsid w:val="009A5F24"/>
    <w:rsid w:val="009B0B3E"/>
    <w:rsid w:val="009B1913"/>
    <w:rsid w:val="009B6657"/>
    <w:rsid w:val="009B6966"/>
    <w:rsid w:val="009C3F33"/>
    <w:rsid w:val="009D0EB5"/>
    <w:rsid w:val="009D14F9"/>
    <w:rsid w:val="009D2B74"/>
    <w:rsid w:val="009D63FF"/>
    <w:rsid w:val="009D74B0"/>
    <w:rsid w:val="009E175D"/>
    <w:rsid w:val="009E3CC2"/>
    <w:rsid w:val="009F06BD"/>
    <w:rsid w:val="009F2A4D"/>
    <w:rsid w:val="00A00828"/>
    <w:rsid w:val="00A03290"/>
    <w:rsid w:val="00A0387E"/>
    <w:rsid w:val="00A05BFD"/>
    <w:rsid w:val="00A07490"/>
    <w:rsid w:val="00A10655"/>
    <w:rsid w:val="00A12B64"/>
    <w:rsid w:val="00A204C8"/>
    <w:rsid w:val="00A22C38"/>
    <w:rsid w:val="00A25193"/>
    <w:rsid w:val="00A26E80"/>
    <w:rsid w:val="00A31AE8"/>
    <w:rsid w:val="00A34142"/>
    <w:rsid w:val="00A3739D"/>
    <w:rsid w:val="00A37DDA"/>
    <w:rsid w:val="00A45005"/>
    <w:rsid w:val="00A50B3C"/>
    <w:rsid w:val="00A567EE"/>
    <w:rsid w:val="00A70DD8"/>
    <w:rsid w:val="00A76790"/>
    <w:rsid w:val="00A85D0C"/>
    <w:rsid w:val="00A925EC"/>
    <w:rsid w:val="00A929AA"/>
    <w:rsid w:val="00A92B6B"/>
    <w:rsid w:val="00A934ED"/>
    <w:rsid w:val="00AA541E"/>
    <w:rsid w:val="00AD0DA4"/>
    <w:rsid w:val="00AD4169"/>
    <w:rsid w:val="00AE25C6"/>
    <w:rsid w:val="00AE306C"/>
    <w:rsid w:val="00AF28C1"/>
    <w:rsid w:val="00B0299A"/>
    <w:rsid w:val="00B02EF1"/>
    <w:rsid w:val="00B07C97"/>
    <w:rsid w:val="00B11C67"/>
    <w:rsid w:val="00B14257"/>
    <w:rsid w:val="00B15754"/>
    <w:rsid w:val="00B16002"/>
    <w:rsid w:val="00B2046E"/>
    <w:rsid w:val="00B20E8B"/>
    <w:rsid w:val="00B257E1"/>
    <w:rsid w:val="00B2599A"/>
    <w:rsid w:val="00B27AC4"/>
    <w:rsid w:val="00B343CC"/>
    <w:rsid w:val="00B47567"/>
    <w:rsid w:val="00B5084A"/>
    <w:rsid w:val="00B56203"/>
    <w:rsid w:val="00B606A1"/>
    <w:rsid w:val="00B614F7"/>
    <w:rsid w:val="00B61B26"/>
    <w:rsid w:val="00B642FB"/>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47D1"/>
    <w:rsid w:val="00BF5099"/>
    <w:rsid w:val="00BF607A"/>
    <w:rsid w:val="00C10B5E"/>
    <w:rsid w:val="00C10F10"/>
    <w:rsid w:val="00C15D4D"/>
    <w:rsid w:val="00C175DC"/>
    <w:rsid w:val="00C25A59"/>
    <w:rsid w:val="00C30171"/>
    <w:rsid w:val="00C309D8"/>
    <w:rsid w:val="00C32ABF"/>
    <w:rsid w:val="00C43519"/>
    <w:rsid w:val="00C45263"/>
    <w:rsid w:val="00C51537"/>
    <w:rsid w:val="00C52BC3"/>
    <w:rsid w:val="00C61AFA"/>
    <w:rsid w:val="00C61D64"/>
    <w:rsid w:val="00C62099"/>
    <w:rsid w:val="00C62A34"/>
    <w:rsid w:val="00C64EA3"/>
    <w:rsid w:val="00C67DD5"/>
    <w:rsid w:val="00C71934"/>
    <w:rsid w:val="00C72867"/>
    <w:rsid w:val="00C75E81"/>
    <w:rsid w:val="00C83BB6"/>
    <w:rsid w:val="00C85569"/>
    <w:rsid w:val="00C86609"/>
    <w:rsid w:val="00C92B4C"/>
    <w:rsid w:val="00C954F6"/>
    <w:rsid w:val="00CA36A0"/>
    <w:rsid w:val="00CA6BC5"/>
    <w:rsid w:val="00CA718B"/>
    <w:rsid w:val="00CB53A9"/>
    <w:rsid w:val="00CC571B"/>
    <w:rsid w:val="00CC61CD"/>
    <w:rsid w:val="00CC6C02"/>
    <w:rsid w:val="00CC737B"/>
    <w:rsid w:val="00CD5011"/>
    <w:rsid w:val="00CE5EFE"/>
    <w:rsid w:val="00CE640F"/>
    <w:rsid w:val="00CE76BC"/>
    <w:rsid w:val="00CF540E"/>
    <w:rsid w:val="00D02F07"/>
    <w:rsid w:val="00D15D88"/>
    <w:rsid w:val="00D27D49"/>
    <w:rsid w:val="00D27EBE"/>
    <w:rsid w:val="00D316F7"/>
    <w:rsid w:val="00D35E2E"/>
    <w:rsid w:val="00D36A49"/>
    <w:rsid w:val="00D47DC7"/>
    <w:rsid w:val="00D517C6"/>
    <w:rsid w:val="00D52D64"/>
    <w:rsid w:val="00D71D84"/>
    <w:rsid w:val="00D72464"/>
    <w:rsid w:val="00D72A57"/>
    <w:rsid w:val="00D768EB"/>
    <w:rsid w:val="00D81E17"/>
    <w:rsid w:val="00D82D1E"/>
    <w:rsid w:val="00D832D9"/>
    <w:rsid w:val="00D90C3E"/>
    <w:rsid w:val="00D90F00"/>
    <w:rsid w:val="00D96804"/>
    <w:rsid w:val="00D975C0"/>
    <w:rsid w:val="00DA5285"/>
    <w:rsid w:val="00DB06F3"/>
    <w:rsid w:val="00DB191D"/>
    <w:rsid w:val="00DB4F91"/>
    <w:rsid w:val="00DB6D0A"/>
    <w:rsid w:val="00DB78CC"/>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500D"/>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0321"/>
    <w:rsid w:val="00FB2B56"/>
    <w:rsid w:val="00FB55D5"/>
    <w:rsid w:val="00FC04AC"/>
    <w:rsid w:val="00FC12BF"/>
    <w:rsid w:val="00FC2C60"/>
    <w:rsid w:val="00FC7F2D"/>
    <w:rsid w:val="00FD3E6F"/>
    <w:rsid w:val="00FD51B9"/>
    <w:rsid w:val="00FD5849"/>
    <w:rsid w:val="00FE03E4"/>
    <w:rsid w:val="00FE0CEC"/>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88F93"/>
  <w15:docId w15:val="{C7E14574-84B6-4CEB-B5B3-6439FBE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85A"/>
    <w:rPr>
      <w:rFonts w:ascii="Lato" w:hAnsi="Lato"/>
    </w:rPr>
  </w:style>
  <w:style w:type="paragraph" w:styleId="Heading1">
    <w:name w:val="heading 1"/>
    <w:basedOn w:val="BodyText"/>
    <w:next w:val="BodyText"/>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BodyText"/>
    <w:next w:val="BodyText"/>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5A685A"/>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12A21"/>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912A21"/>
    <w:pPr>
      <w:spacing w:after="120"/>
    </w:pPr>
  </w:style>
  <w:style w:type="paragraph" w:styleId="ListBullet2">
    <w:name w:val="List Bullet 2"/>
    <w:aliases w:val="Bullet list level 2"/>
    <w:basedOn w:val="Normal"/>
    <w:uiPriority w:val="4"/>
    <w:semiHidden/>
    <w:rsid w:val="00916D5F"/>
    <w:pPr>
      <w:spacing w:after="120"/>
    </w:pPr>
  </w:style>
  <w:style w:type="paragraph" w:styleId="ListBullet3">
    <w:name w:val="List Bullet 3"/>
    <w:aliases w:val="Bullet list level 3"/>
    <w:basedOn w:val="Normal"/>
    <w:uiPriority w:val="4"/>
    <w:semiHidden/>
    <w:rsid w:val="006847AD"/>
    <w:pPr>
      <w:spacing w:after="120"/>
    </w:pPr>
  </w:style>
  <w:style w:type="paragraph" w:styleId="ListBullet4">
    <w:name w:val="List Bullet 4"/>
    <w:aliases w:val="Bullet list level 4"/>
    <w:basedOn w:val="Normal"/>
    <w:uiPriority w:val="4"/>
    <w:semiHidden/>
    <w:rsid w:val="006847AD"/>
    <w:p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55115B"/>
    <w:pPr>
      <w:numPr>
        <w:numId w:val="7"/>
      </w:numPr>
      <w:spacing w:after="8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FC7F2D"/>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FootnoteText">
    <w:name w:val="footnote text"/>
    <w:basedOn w:val="Normal"/>
    <w:link w:val="FootnoteTextChar"/>
    <w:semiHidden/>
    <w:rsid w:val="00C67DD5"/>
    <w:pPr>
      <w:spacing w:after="0"/>
    </w:pPr>
    <w:rPr>
      <w:rFonts w:ascii="Times New Roman" w:eastAsia="Times New Roman" w:hAnsi="Times New Roman"/>
      <w:sz w:val="20"/>
      <w:szCs w:val="20"/>
      <w:lang w:eastAsia="en-AU"/>
    </w:rPr>
  </w:style>
  <w:style w:type="character" w:customStyle="1" w:styleId="FootnoteTextChar">
    <w:name w:val="Footnote Text Char"/>
    <w:basedOn w:val="DefaultParagraphFont"/>
    <w:link w:val="FootnoteText"/>
    <w:semiHidden/>
    <w:rsid w:val="00C67DD5"/>
    <w:rPr>
      <w:rFonts w:ascii="Times New Roman" w:eastAsia="Times New Roman" w:hAnsi="Times New Roman"/>
      <w:sz w:val="20"/>
      <w:szCs w:val="20"/>
      <w:lang w:eastAsia="en-AU"/>
    </w:rPr>
  </w:style>
  <w:style w:type="character" w:styleId="FootnoteReference">
    <w:name w:val="footnote reference"/>
    <w:semiHidden/>
    <w:rsid w:val="00C67DD5"/>
    <w:rPr>
      <w:vertAlign w:val="superscript"/>
    </w:rPr>
  </w:style>
  <w:style w:type="character" w:styleId="CommentReference">
    <w:name w:val="annotation reference"/>
    <w:basedOn w:val="DefaultParagraphFont"/>
    <w:uiPriority w:val="99"/>
    <w:semiHidden/>
    <w:unhideWhenUsed/>
    <w:rsid w:val="005F21CC"/>
    <w:rPr>
      <w:sz w:val="16"/>
      <w:szCs w:val="16"/>
    </w:rPr>
  </w:style>
  <w:style w:type="paragraph" w:styleId="CommentText">
    <w:name w:val="annotation text"/>
    <w:basedOn w:val="Normal"/>
    <w:link w:val="CommentTextChar"/>
    <w:uiPriority w:val="99"/>
    <w:semiHidden/>
    <w:unhideWhenUsed/>
    <w:rsid w:val="005F21CC"/>
    <w:rPr>
      <w:sz w:val="20"/>
      <w:szCs w:val="20"/>
    </w:rPr>
  </w:style>
  <w:style w:type="character" w:customStyle="1" w:styleId="CommentTextChar">
    <w:name w:val="Comment Text Char"/>
    <w:basedOn w:val="DefaultParagraphFont"/>
    <w:link w:val="CommentText"/>
    <w:uiPriority w:val="99"/>
    <w:semiHidden/>
    <w:rsid w:val="005F21CC"/>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5F21CC"/>
    <w:rPr>
      <w:b/>
      <w:bCs/>
    </w:rPr>
  </w:style>
  <w:style w:type="character" w:customStyle="1" w:styleId="CommentSubjectChar">
    <w:name w:val="Comment Subject Char"/>
    <w:basedOn w:val="CommentTextChar"/>
    <w:link w:val="CommentSubject"/>
    <w:uiPriority w:val="99"/>
    <w:semiHidden/>
    <w:rsid w:val="005F21CC"/>
    <w:rPr>
      <w:rFonts w:ascii="Lato" w:hAnsi="Lato"/>
      <w:b/>
      <w:bCs/>
      <w:sz w:val="20"/>
      <w:szCs w:val="20"/>
    </w:rPr>
  </w:style>
  <w:style w:type="paragraph" w:customStyle="1" w:styleId="BodyText1">
    <w:name w:val="Body Text1"/>
    <w:basedOn w:val="BodyText"/>
    <w:qFormat/>
    <w:rsid w:val="0055115B"/>
    <w:pPr>
      <w:spacing w:before="40" w:after="80"/>
    </w:pPr>
    <w:rPr>
      <w:szCs w:val="20"/>
      <w:lang w:eastAsia="en-AU"/>
    </w:rPr>
  </w:style>
  <w:style w:type="paragraph" w:customStyle="1" w:styleId="Numberlistlevel1ListNumber">
    <w:name w:val="Number list level 1  (List Number)"/>
    <w:basedOn w:val="Normal"/>
    <w:rsid w:val="00855615"/>
    <w:pPr>
      <w:numPr>
        <w:numId w:val="12"/>
      </w:numPr>
      <w:spacing w:after="120"/>
    </w:pPr>
  </w:style>
  <w:style w:type="paragraph" w:customStyle="1" w:styleId="Numberlistlevel2ListNumber2">
    <w:name w:val="Number list level 2  (List Number 2)"/>
    <w:basedOn w:val="Normal"/>
    <w:rsid w:val="00855615"/>
    <w:pPr>
      <w:numPr>
        <w:ilvl w:val="1"/>
        <w:numId w:val="12"/>
      </w:numPr>
      <w:spacing w:after="120"/>
    </w:pPr>
  </w:style>
  <w:style w:type="paragraph" w:customStyle="1" w:styleId="Numberlistlevel3ListNumber3">
    <w:name w:val="Number list level 3  (List Number 3)"/>
    <w:basedOn w:val="Normal"/>
    <w:rsid w:val="00855615"/>
    <w:pPr>
      <w:numPr>
        <w:ilvl w:val="2"/>
        <w:numId w:val="12"/>
      </w:numPr>
      <w:spacing w:after="120"/>
    </w:pPr>
  </w:style>
  <w:style w:type="paragraph" w:customStyle="1" w:styleId="Numberlistlevel4ListNumber4">
    <w:name w:val="Number list level 4  (List Number 4)"/>
    <w:basedOn w:val="Normal"/>
    <w:rsid w:val="00855615"/>
    <w:pPr>
      <w:numPr>
        <w:ilvl w:val="3"/>
        <w:numId w:val="12"/>
      </w:numPr>
      <w:spacing w:after="120"/>
    </w:pPr>
  </w:style>
  <w:style w:type="paragraph" w:customStyle="1" w:styleId="Example-Heading">
    <w:name w:val="Example - Heading"/>
    <w:basedOn w:val="Heading3"/>
    <w:next w:val="Example-Bodytext"/>
    <w:qFormat/>
    <w:rsid w:val="008668C6"/>
    <w:pPr>
      <w:pBdr>
        <w:top w:val="single" w:sz="4" w:space="4" w:color="auto"/>
        <w:left w:val="single" w:sz="4" w:space="4" w:color="auto"/>
        <w:bottom w:val="single" w:sz="4" w:space="4" w:color="auto"/>
        <w:right w:val="single" w:sz="4" w:space="4" w:color="auto"/>
      </w:pBdr>
      <w:shd w:val="clear" w:color="auto" w:fill="E5DFEC"/>
      <w:spacing w:after="200"/>
      <w:ind w:left="425"/>
      <w:outlineLvl w:val="9"/>
    </w:pPr>
  </w:style>
  <w:style w:type="paragraph" w:customStyle="1" w:styleId="Example-Bodytext">
    <w:name w:val="Example - Body text"/>
    <w:basedOn w:val="BodyText"/>
    <w:qFormat/>
    <w:rsid w:val="00916D5F"/>
    <w:pPr>
      <w:pBdr>
        <w:top w:val="single" w:sz="4" w:space="4" w:color="auto"/>
        <w:left w:val="single" w:sz="4" w:space="4" w:color="auto"/>
        <w:bottom w:val="single" w:sz="4" w:space="4" w:color="auto"/>
        <w:right w:val="single" w:sz="4" w:space="4" w:color="auto"/>
      </w:pBdr>
      <w:shd w:val="clear" w:color="auto" w:fill="E5DFEC"/>
      <w:ind w:left="425"/>
    </w:pPr>
  </w:style>
  <w:style w:type="paragraph" w:customStyle="1" w:styleId="Example-BulletlistL1">
    <w:name w:val="Example - Bullet list L1"/>
    <w:basedOn w:val="ListBullet"/>
    <w:qFormat/>
    <w:rsid w:val="00D52D64"/>
    <w:pPr>
      <w:numPr>
        <w:numId w:val="8"/>
      </w:numPr>
      <w:pBdr>
        <w:top w:val="single" w:sz="4" w:space="4" w:color="auto"/>
        <w:left w:val="single" w:sz="4" w:space="4" w:color="auto"/>
        <w:bottom w:val="single" w:sz="4" w:space="4" w:color="auto"/>
        <w:right w:val="single" w:sz="4" w:space="4" w:color="auto"/>
      </w:pBdr>
      <w:shd w:val="clear" w:color="auto" w:fill="E5DFEC"/>
    </w:pPr>
  </w:style>
  <w:style w:type="paragraph" w:customStyle="1" w:styleId="Example-NumberlistL1">
    <w:name w:val="Example - Number list L1"/>
    <w:basedOn w:val="Example-BulletlistL1"/>
    <w:qFormat/>
    <w:rsid w:val="00834CD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FDA82-C308-4984-BCED-6B346363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7</TotalTime>
  <Pages>9</Pages>
  <Words>3416</Words>
  <Characters>17665</Characters>
  <Application>Microsoft Office Word</Application>
  <DocSecurity>8</DocSecurity>
  <Lines>333</Lines>
  <Paragraphs>215</Paragraphs>
  <ScaleCrop>false</ScaleCrop>
  <HeadingPairs>
    <vt:vector size="2" baseType="variant">
      <vt:variant>
        <vt:lpstr>Title</vt:lpstr>
      </vt:variant>
      <vt:variant>
        <vt:i4>1</vt:i4>
      </vt:variant>
    </vt:vector>
  </HeadingPairs>
  <TitlesOfParts>
    <vt:vector size="1" baseType="lpstr">
      <vt:lpstr>CG-HI-003: Commissioner’s discretion to exempt or vary compliance with the eligibility criteria</vt:lpstr>
    </vt:vector>
  </TitlesOfParts>
  <Company>TREASURY AND FINANCE</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CG-HI-003: Commissioner’s discretion to exempt or vary compliance with the eligibility criteria</dc:title>
  <dc:creator>Department of Treasury and Finance</dc:creator>
  <cp:lastModifiedBy>Jessica Symonds</cp:lastModifiedBy>
  <cp:revision>4</cp:revision>
  <cp:lastPrinted>2022-05-27T05:55:00Z</cp:lastPrinted>
  <dcterms:created xsi:type="dcterms:W3CDTF">2022-06-30T01:19:00Z</dcterms:created>
  <dcterms:modified xsi:type="dcterms:W3CDTF">2022-06-30T01:25:00Z</dcterms:modified>
</cp:coreProperties>
</file>