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E3733" w14:textId="0AC6CDBD" w:rsidR="003C4941" w:rsidRDefault="00C91475" w:rsidP="00B54ED8">
      <w:pPr>
        <w:pStyle w:val="Subtitle0"/>
        <w:rPr>
          <w:noProof/>
          <w:lang w:eastAsia="en-AU"/>
        </w:rPr>
      </w:pPr>
      <w:bookmarkStart w:id="0" w:name="_GoBack"/>
      <w:bookmarkEnd w:id="0"/>
      <w:r>
        <w:rPr>
          <w:noProof/>
          <w:lang w:eastAsia="en-AU"/>
        </w:rPr>
        <w:t>Commissioner’s Guideline</w:t>
      </w:r>
    </w:p>
    <w:tbl>
      <w:tblPr>
        <w:tblStyle w:val="NTGtable"/>
        <w:tblW w:w="5000" w:type="pct"/>
        <w:tblLook w:val="04A0" w:firstRow="1" w:lastRow="0" w:firstColumn="1" w:lastColumn="0" w:noHBand="0" w:noVBand="1"/>
      </w:tblPr>
      <w:tblGrid>
        <w:gridCol w:w="1137"/>
        <w:gridCol w:w="3057"/>
        <w:gridCol w:w="3057"/>
        <w:gridCol w:w="3057"/>
      </w:tblGrid>
      <w:tr w:rsidR="00C91475" w:rsidRPr="00315601" w14:paraId="5B7491CA" w14:textId="77777777" w:rsidTr="00C914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1" w:type="pct"/>
            <w:vMerge w:val="restart"/>
            <w:vAlign w:val="bottom"/>
          </w:tcPr>
          <w:p w14:paraId="16B88DD3" w14:textId="77777777" w:rsidR="00C91475" w:rsidRPr="00315601" w:rsidRDefault="00C91475" w:rsidP="003B5D66">
            <w:pPr>
              <w:pStyle w:val="BodyText"/>
              <w:spacing w:after="60"/>
            </w:pPr>
            <w:r w:rsidRPr="00315601">
              <w:t>Version</w:t>
            </w:r>
          </w:p>
        </w:tc>
        <w:tc>
          <w:tcPr>
            <w:tcW w:w="1483" w:type="pct"/>
            <w:vMerge w:val="restart"/>
            <w:vAlign w:val="bottom"/>
          </w:tcPr>
          <w:p w14:paraId="41259984" w14:textId="77777777" w:rsidR="00C91475" w:rsidRPr="00315601" w:rsidRDefault="00C91475" w:rsidP="003B5D66">
            <w:pPr>
              <w:pStyle w:val="BodyText"/>
              <w:spacing w:after="60"/>
              <w:cnfStyle w:val="100000000000" w:firstRow="1" w:lastRow="0" w:firstColumn="0" w:lastColumn="0" w:oddVBand="0" w:evenVBand="0" w:oddHBand="0" w:evenHBand="0" w:firstRowFirstColumn="0" w:firstRowLastColumn="0" w:lastRowFirstColumn="0" w:lastRowLastColumn="0"/>
            </w:pPr>
            <w:r w:rsidRPr="00315601">
              <w:t>Issued</w:t>
            </w:r>
          </w:p>
        </w:tc>
        <w:tc>
          <w:tcPr>
            <w:tcW w:w="2966" w:type="pct"/>
            <w:gridSpan w:val="2"/>
            <w:vAlign w:val="bottom"/>
          </w:tcPr>
          <w:p w14:paraId="5A7F29D4" w14:textId="07CF92B2" w:rsidR="00C91475" w:rsidRPr="00315601" w:rsidRDefault="00C91475" w:rsidP="003B5D66">
            <w:pPr>
              <w:pStyle w:val="BodyText"/>
              <w:spacing w:after="60"/>
              <w:jc w:val="center"/>
              <w:cnfStyle w:val="100000000000" w:firstRow="1" w:lastRow="0" w:firstColumn="0" w:lastColumn="0" w:oddVBand="0" w:evenVBand="0" w:oddHBand="0" w:evenHBand="0" w:firstRowFirstColumn="0" w:firstRowLastColumn="0" w:lastRowFirstColumn="0" w:lastRowLastColumn="0"/>
            </w:pPr>
            <w:r w:rsidRPr="00315601">
              <w:t>Dates of effect</w:t>
            </w:r>
          </w:p>
        </w:tc>
      </w:tr>
      <w:tr w:rsidR="00EF4314" w:rsidRPr="00315601" w14:paraId="6D3B372A" w14:textId="77777777" w:rsidTr="00C9147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551" w:type="pct"/>
            <w:vMerge/>
            <w:vAlign w:val="bottom"/>
          </w:tcPr>
          <w:p w14:paraId="2209E22E" w14:textId="77777777" w:rsidR="00B54ED8" w:rsidRPr="003B5D66" w:rsidRDefault="00B54ED8" w:rsidP="003B5D66">
            <w:pPr>
              <w:pStyle w:val="BodyText"/>
              <w:spacing w:before="60" w:after="60"/>
              <w:rPr>
                <w:b/>
              </w:rPr>
            </w:pPr>
          </w:p>
        </w:tc>
        <w:tc>
          <w:tcPr>
            <w:tcW w:w="1483" w:type="pct"/>
            <w:vMerge/>
            <w:vAlign w:val="bottom"/>
          </w:tcPr>
          <w:p w14:paraId="7036B27C" w14:textId="77777777" w:rsidR="00B54ED8" w:rsidRPr="003B5D66" w:rsidRDefault="00B54ED8" w:rsidP="003B5D66">
            <w:pPr>
              <w:pStyle w:val="BodyText"/>
              <w:spacing w:before="60" w:after="60"/>
              <w:cnfStyle w:val="000000100000" w:firstRow="0" w:lastRow="0" w:firstColumn="0" w:lastColumn="0" w:oddVBand="0" w:evenVBand="0" w:oddHBand="1" w:evenHBand="0" w:firstRowFirstColumn="0" w:firstRowLastColumn="0" w:lastRowFirstColumn="0" w:lastRowLastColumn="0"/>
              <w:rPr>
                <w:b/>
              </w:rPr>
            </w:pPr>
          </w:p>
        </w:tc>
        <w:tc>
          <w:tcPr>
            <w:tcW w:w="1483" w:type="pct"/>
            <w:tcBorders>
              <w:top w:val="single" w:sz="4" w:space="0" w:color="FFFFFF" w:themeColor="background1"/>
            </w:tcBorders>
            <w:shd w:val="clear" w:color="auto" w:fill="1F1F5F" w:themeFill="text1"/>
            <w:vAlign w:val="bottom"/>
          </w:tcPr>
          <w:p w14:paraId="7D6A2C97" w14:textId="413B71A2" w:rsidR="00B54ED8" w:rsidRPr="003B5D66" w:rsidRDefault="00B54ED8" w:rsidP="003B5D66">
            <w:pPr>
              <w:pStyle w:val="BodyText"/>
              <w:spacing w:before="60" w:after="60"/>
              <w:cnfStyle w:val="000000100000" w:firstRow="0" w:lastRow="0" w:firstColumn="0" w:lastColumn="0" w:oddVBand="0" w:evenVBand="0" w:oddHBand="1" w:evenHBand="0" w:firstRowFirstColumn="0" w:firstRowLastColumn="0" w:lastRowFirstColumn="0" w:lastRowLastColumn="0"/>
              <w:rPr>
                <w:b/>
              </w:rPr>
            </w:pPr>
            <w:r w:rsidRPr="003B5D66">
              <w:rPr>
                <w:b/>
              </w:rPr>
              <w:t>From</w:t>
            </w:r>
          </w:p>
        </w:tc>
        <w:tc>
          <w:tcPr>
            <w:tcW w:w="1483" w:type="pct"/>
            <w:tcBorders>
              <w:top w:val="single" w:sz="4" w:space="0" w:color="FFFFFF" w:themeColor="background1"/>
            </w:tcBorders>
            <w:shd w:val="clear" w:color="auto" w:fill="1F1F5F" w:themeFill="text1"/>
            <w:vAlign w:val="bottom"/>
          </w:tcPr>
          <w:p w14:paraId="6D3D8C45" w14:textId="20832BD2" w:rsidR="00B54ED8" w:rsidRPr="003B5D66" w:rsidRDefault="00B54ED8" w:rsidP="003B5D66">
            <w:pPr>
              <w:pStyle w:val="BodyText"/>
              <w:spacing w:before="60" w:after="60"/>
              <w:cnfStyle w:val="000000100000" w:firstRow="0" w:lastRow="0" w:firstColumn="0" w:lastColumn="0" w:oddVBand="0" w:evenVBand="0" w:oddHBand="1" w:evenHBand="0" w:firstRowFirstColumn="0" w:firstRowLastColumn="0" w:lastRowFirstColumn="0" w:lastRowLastColumn="0"/>
              <w:rPr>
                <w:b/>
              </w:rPr>
            </w:pPr>
            <w:r w:rsidRPr="003B5D66">
              <w:rPr>
                <w:b/>
              </w:rPr>
              <w:t>To</w:t>
            </w:r>
          </w:p>
        </w:tc>
      </w:tr>
      <w:tr w:rsidR="00B54ED8" w:rsidRPr="00315601" w14:paraId="1369D698" w14:textId="77777777" w:rsidTr="003B5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14:paraId="13C02917" w14:textId="77777777" w:rsidR="00B54ED8" w:rsidRPr="00315601" w:rsidRDefault="00B54ED8" w:rsidP="003B5D66">
            <w:pPr>
              <w:pStyle w:val="BodyText"/>
              <w:spacing w:after="40"/>
            </w:pPr>
            <w:r w:rsidRPr="00315601">
              <w:t>1</w:t>
            </w:r>
          </w:p>
        </w:tc>
        <w:tc>
          <w:tcPr>
            <w:tcW w:w="1483" w:type="pct"/>
          </w:tcPr>
          <w:p w14:paraId="4DF5214F"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5 May 2005</w:t>
            </w:r>
          </w:p>
        </w:tc>
        <w:tc>
          <w:tcPr>
            <w:tcW w:w="1483" w:type="pct"/>
          </w:tcPr>
          <w:p w14:paraId="500BB841"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5 May 2005</w:t>
            </w:r>
          </w:p>
        </w:tc>
        <w:tc>
          <w:tcPr>
            <w:tcW w:w="1483" w:type="pct"/>
          </w:tcPr>
          <w:p w14:paraId="6CA8664F"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30 June 2006</w:t>
            </w:r>
          </w:p>
        </w:tc>
      </w:tr>
      <w:tr w:rsidR="00B54ED8" w:rsidRPr="00315601" w14:paraId="523497BB" w14:textId="77777777" w:rsidTr="003B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14:paraId="5E5A3C4A" w14:textId="77777777" w:rsidR="00B54ED8" w:rsidRPr="00315601" w:rsidRDefault="00B54ED8" w:rsidP="003B5D66">
            <w:pPr>
              <w:pStyle w:val="BodyText"/>
              <w:spacing w:after="40"/>
            </w:pPr>
            <w:r w:rsidRPr="00315601">
              <w:t>2</w:t>
            </w:r>
          </w:p>
        </w:tc>
        <w:tc>
          <w:tcPr>
            <w:tcW w:w="1483" w:type="pct"/>
          </w:tcPr>
          <w:p w14:paraId="46C7D021"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29 June 2006</w:t>
            </w:r>
          </w:p>
        </w:tc>
        <w:tc>
          <w:tcPr>
            <w:tcW w:w="1483" w:type="pct"/>
          </w:tcPr>
          <w:p w14:paraId="7A885561"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1 July 2006</w:t>
            </w:r>
          </w:p>
        </w:tc>
        <w:tc>
          <w:tcPr>
            <w:tcW w:w="1483" w:type="pct"/>
          </w:tcPr>
          <w:p w14:paraId="5B4070CF"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30 June 2007</w:t>
            </w:r>
          </w:p>
        </w:tc>
      </w:tr>
      <w:tr w:rsidR="00B54ED8" w:rsidRPr="00315601" w14:paraId="22320A69" w14:textId="77777777" w:rsidTr="003B5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14:paraId="46ADB54E" w14:textId="77777777" w:rsidR="00B54ED8" w:rsidRPr="00315601" w:rsidRDefault="00B54ED8" w:rsidP="003B5D66">
            <w:pPr>
              <w:pStyle w:val="BodyText"/>
              <w:spacing w:after="40"/>
            </w:pPr>
            <w:r w:rsidRPr="00315601">
              <w:t>3</w:t>
            </w:r>
          </w:p>
        </w:tc>
        <w:tc>
          <w:tcPr>
            <w:tcW w:w="1483" w:type="pct"/>
          </w:tcPr>
          <w:p w14:paraId="1111390C"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23 July 2007</w:t>
            </w:r>
          </w:p>
        </w:tc>
        <w:tc>
          <w:tcPr>
            <w:tcW w:w="1483" w:type="pct"/>
          </w:tcPr>
          <w:p w14:paraId="5CC62E51"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1 July 2007</w:t>
            </w:r>
          </w:p>
        </w:tc>
        <w:tc>
          <w:tcPr>
            <w:tcW w:w="1483" w:type="pct"/>
          </w:tcPr>
          <w:p w14:paraId="39EBB2AB"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31 December 2007</w:t>
            </w:r>
          </w:p>
        </w:tc>
      </w:tr>
      <w:tr w:rsidR="00B54ED8" w:rsidRPr="00315601" w14:paraId="4F2FA898" w14:textId="77777777" w:rsidTr="003B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14:paraId="74C63223" w14:textId="77777777" w:rsidR="00B54ED8" w:rsidRPr="00315601" w:rsidRDefault="00B54ED8" w:rsidP="003B5D66">
            <w:pPr>
              <w:pStyle w:val="BodyText"/>
              <w:spacing w:after="40"/>
            </w:pPr>
            <w:r w:rsidRPr="00315601">
              <w:t>4</w:t>
            </w:r>
          </w:p>
        </w:tc>
        <w:tc>
          <w:tcPr>
            <w:tcW w:w="1483" w:type="pct"/>
          </w:tcPr>
          <w:p w14:paraId="727E5A4E"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20 February 2008</w:t>
            </w:r>
          </w:p>
        </w:tc>
        <w:tc>
          <w:tcPr>
            <w:tcW w:w="1483" w:type="pct"/>
          </w:tcPr>
          <w:p w14:paraId="745B4A42"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1 January 2008</w:t>
            </w:r>
          </w:p>
        </w:tc>
        <w:tc>
          <w:tcPr>
            <w:tcW w:w="1483" w:type="pct"/>
          </w:tcPr>
          <w:p w14:paraId="6D3CC3C7"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30 June 2008</w:t>
            </w:r>
          </w:p>
        </w:tc>
      </w:tr>
      <w:tr w:rsidR="00B54ED8" w:rsidRPr="00315601" w14:paraId="1EAC8BBA" w14:textId="77777777" w:rsidTr="003B5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14:paraId="7263C06F" w14:textId="77777777" w:rsidR="00B54ED8" w:rsidRPr="00315601" w:rsidRDefault="00B54ED8" w:rsidP="003B5D66">
            <w:pPr>
              <w:pStyle w:val="BodyText"/>
              <w:spacing w:after="40"/>
            </w:pPr>
            <w:r w:rsidRPr="00315601">
              <w:t>5</w:t>
            </w:r>
          </w:p>
        </w:tc>
        <w:tc>
          <w:tcPr>
            <w:tcW w:w="1483" w:type="pct"/>
          </w:tcPr>
          <w:p w14:paraId="77DA4DC5"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1 July 2008</w:t>
            </w:r>
          </w:p>
        </w:tc>
        <w:tc>
          <w:tcPr>
            <w:tcW w:w="1483" w:type="pct"/>
          </w:tcPr>
          <w:p w14:paraId="0CE66AB1"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1 July 2008</w:t>
            </w:r>
          </w:p>
        </w:tc>
        <w:tc>
          <w:tcPr>
            <w:tcW w:w="1483" w:type="pct"/>
          </w:tcPr>
          <w:p w14:paraId="7E97BFF8"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3 May 2010</w:t>
            </w:r>
          </w:p>
        </w:tc>
      </w:tr>
      <w:tr w:rsidR="00B54ED8" w:rsidRPr="00315601" w14:paraId="6D64C610" w14:textId="77777777" w:rsidTr="003B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14:paraId="5C791125" w14:textId="77777777" w:rsidR="00B54ED8" w:rsidRPr="00315601" w:rsidRDefault="00B54ED8" w:rsidP="003B5D66">
            <w:pPr>
              <w:pStyle w:val="BodyText"/>
              <w:spacing w:after="40"/>
            </w:pPr>
            <w:r w:rsidRPr="00315601">
              <w:t>6</w:t>
            </w:r>
          </w:p>
        </w:tc>
        <w:tc>
          <w:tcPr>
            <w:tcW w:w="1483" w:type="pct"/>
          </w:tcPr>
          <w:p w14:paraId="2B93A996"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5 May 2010</w:t>
            </w:r>
          </w:p>
        </w:tc>
        <w:tc>
          <w:tcPr>
            <w:tcW w:w="1483" w:type="pct"/>
          </w:tcPr>
          <w:p w14:paraId="5ADD9D9B"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4 May 2010</w:t>
            </w:r>
          </w:p>
        </w:tc>
        <w:tc>
          <w:tcPr>
            <w:tcW w:w="1483" w:type="pct"/>
          </w:tcPr>
          <w:p w14:paraId="02F43368"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30 June 2011</w:t>
            </w:r>
          </w:p>
        </w:tc>
      </w:tr>
      <w:tr w:rsidR="00B54ED8" w:rsidRPr="00315601" w14:paraId="7CFA2D47" w14:textId="77777777" w:rsidTr="003B5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14:paraId="4E0F573D" w14:textId="77777777" w:rsidR="00B54ED8" w:rsidRPr="00315601" w:rsidRDefault="00B54ED8" w:rsidP="003B5D66">
            <w:pPr>
              <w:pStyle w:val="BodyText"/>
              <w:spacing w:after="40"/>
            </w:pPr>
            <w:r w:rsidRPr="00315601">
              <w:t>7</w:t>
            </w:r>
          </w:p>
        </w:tc>
        <w:tc>
          <w:tcPr>
            <w:tcW w:w="1483" w:type="pct"/>
          </w:tcPr>
          <w:p w14:paraId="3D92A0A4"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1 July 2011</w:t>
            </w:r>
          </w:p>
        </w:tc>
        <w:tc>
          <w:tcPr>
            <w:tcW w:w="1483" w:type="pct"/>
          </w:tcPr>
          <w:p w14:paraId="3D29997B"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1 July 2011</w:t>
            </w:r>
          </w:p>
        </w:tc>
        <w:tc>
          <w:tcPr>
            <w:tcW w:w="1483" w:type="pct"/>
          </w:tcPr>
          <w:p w14:paraId="7FF1DEB8"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3 December 2012</w:t>
            </w:r>
          </w:p>
        </w:tc>
      </w:tr>
      <w:tr w:rsidR="00B54ED8" w:rsidRPr="00315601" w14:paraId="4EE68BBE" w14:textId="77777777" w:rsidTr="003B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14:paraId="24A8077D" w14:textId="77777777" w:rsidR="00B54ED8" w:rsidRPr="00315601" w:rsidRDefault="00B54ED8" w:rsidP="003B5D66">
            <w:pPr>
              <w:pStyle w:val="BodyText"/>
              <w:spacing w:after="40"/>
            </w:pPr>
            <w:r w:rsidRPr="00315601">
              <w:t>8</w:t>
            </w:r>
          </w:p>
        </w:tc>
        <w:tc>
          <w:tcPr>
            <w:tcW w:w="1483" w:type="pct"/>
          </w:tcPr>
          <w:p w14:paraId="5D340247"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7 December 2012</w:t>
            </w:r>
          </w:p>
        </w:tc>
        <w:tc>
          <w:tcPr>
            <w:tcW w:w="1483" w:type="pct"/>
          </w:tcPr>
          <w:p w14:paraId="2F483CA7"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4 December 2012</w:t>
            </w:r>
          </w:p>
        </w:tc>
        <w:tc>
          <w:tcPr>
            <w:tcW w:w="1483" w:type="pct"/>
          </w:tcPr>
          <w:p w14:paraId="014BAADD"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27 April 2015</w:t>
            </w:r>
          </w:p>
        </w:tc>
      </w:tr>
      <w:tr w:rsidR="00B54ED8" w:rsidRPr="00315601" w14:paraId="53073654" w14:textId="77777777" w:rsidTr="003B5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14:paraId="7D8BDF59" w14:textId="77777777" w:rsidR="00B54ED8" w:rsidRPr="00315601" w:rsidRDefault="00B54ED8" w:rsidP="003B5D66">
            <w:pPr>
              <w:pStyle w:val="BodyText"/>
              <w:spacing w:after="40"/>
            </w:pPr>
            <w:r w:rsidRPr="00315601">
              <w:t>9</w:t>
            </w:r>
          </w:p>
        </w:tc>
        <w:tc>
          <w:tcPr>
            <w:tcW w:w="1483" w:type="pct"/>
          </w:tcPr>
          <w:p w14:paraId="7A045124"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28 April 2015</w:t>
            </w:r>
          </w:p>
        </w:tc>
        <w:tc>
          <w:tcPr>
            <w:tcW w:w="1483" w:type="pct"/>
          </w:tcPr>
          <w:p w14:paraId="12A9BD01"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28 April 2015</w:t>
            </w:r>
          </w:p>
        </w:tc>
        <w:tc>
          <w:tcPr>
            <w:tcW w:w="1483" w:type="pct"/>
          </w:tcPr>
          <w:p w14:paraId="14C48AA2"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23 May 2016</w:t>
            </w:r>
          </w:p>
        </w:tc>
      </w:tr>
      <w:tr w:rsidR="00B54ED8" w:rsidRPr="00315601" w14:paraId="2B738F4F" w14:textId="77777777" w:rsidTr="003B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14:paraId="56BC074F" w14:textId="77777777" w:rsidR="00B54ED8" w:rsidRPr="00315601" w:rsidRDefault="00B54ED8" w:rsidP="003B5D66">
            <w:pPr>
              <w:pStyle w:val="BodyText"/>
              <w:spacing w:after="40"/>
            </w:pPr>
            <w:r w:rsidRPr="00315601">
              <w:t>10</w:t>
            </w:r>
          </w:p>
        </w:tc>
        <w:tc>
          <w:tcPr>
            <w:tcW w:w="1483" w:type="pct"/>
          </w:tcPr>
          <w:p w14:paraId="067156E4"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24 May 2016</w:t>
            </w:r>
          </w:p>
        </w:tc>
        <w:tc>
          <w:tcPr>
            <w:tcW w:w="1483" w:type="pct"/>
          </w:tcPr>
          <w:p w14:paraId="451F1F9A"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24 May 2016</w:t>
            </w:r>
          </w:p>
        </w:tc>
        <w:tc>
          <w:tcPr>
            <w:tcW w:w="1483" w:type="pct"/>
          </w:tcPr>
          <w:p w14:paraId="560C2851"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6 May 2019</w:t>
            </w:r>
          </w:p>
        </w:tc>
      </w:tr>
      <w:tr w:rsidR="00B54ED8" w:rsidRPr="00315601" w14:paraId="2AEB4A6C" w14:textId="77777777" w:rsidTr="003B5D66">
        <w:trPr>
          <w:cnfStyle w:val="000000010000" w:firstRow="0" w:lastRow="0" w:firstColumn="0" w:lastColumn="0" w:oddVBand="0" w:evenVBand="0" w:oddHBand="0" w:evenHBand="1"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551" w:type="pct"/>
          </w:tcPr>
          <w:p w14:paraId="0B4D820D" w14:textId="77777777" w:rsidR="00B54ED8" w:rsidRPr="00315601" w:rsidRDefault="00B54ED8" w:rsidP="003B5D66">
            <w:pPr>
              <w:pStyle w:val="BodyText"/>
              <w:spacing w:after="40"/>
            </w:pPr>
            <w:r w:rsidRPr="00315601">
              <w:t>11</w:t>
            </w:r>
          </w:p>
        </w:tc>
        <w:tc>
          <w:tcPr>
            <w:tcW w:w="1483" w:type="pct"/>
          </w:tcPr>
          <w:p w14:paraId="3782D09D"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7 May 2019</w:t>
            </w:r>
          </w:p>
        </w:tc>
        <w:tc>
          <w:tcPr>
            <w:tcW w:w="1483" w:type="pct"/>
          </w:tcPr>
          <w:p w14:paraId="3089F11A"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7 May 2019</w:t>
            </w:r>
          </w:p>
        </w:tc>
        <w:tc>
          <w:tcPr>
            <w:tcW w:w="1483" w:type="pct"/>
          </w:tcPr>
          <w:p w14:paraId="36F332A9" w14:textId="77777777" w:rsidR="00B54ED8" w:rsidRPr="00315601"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15601">
              <w:t>30 June 2022</w:t>
            </w:r>
          </w:p>
        </w:tc>
      </w:tr>
      <w:tr w:rsidR="00B54ED8" w:rsidRPr="00315601" w14:paraId="17C5168E" w14:textId="77777777" w:rsidTr="003B5D66">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551" w:type="pct"/>
          </w:tcPr>
          <w:p w14:paraId="1F92E096" w14:textId="77777777" w:rsidR="00B54ED8" w:rsidRPr="00315601" w:rsidRDefault="00B54ED8" w:rsidP="003B5D66">
            <w:pPr>
              <w:pStyle w:val="BodyText"/>
              <w:spacing w:after="40"/>
            </w:pPr>
            <w:r w:rsidRPr="00315601">
              <w:t>12</w:t>
            </w:r>
          </w:p>
        </w:tc>
        <w:tc>
          <w:tcPr>
            <w:tcW w:w="1483" w:type="pct"/>
          </w:tcPr>
          <w:p w14:paraId="60BE9BAE"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1 July 2022</w:t>
            </w:r>
          </w:p>
        </w:tc>
        <w:tc>
          <w:tcPr>
            <w:tcW w:w="1483" w:type="pct"/>
          </w:tcPr>
          <w:p w14:paraId="0B673D1A"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1 July 2022</w:t>
            </w:r>
          </w:p>
        </w:tc>
        <w:tc>
          <w:tcPr>
            <w:tcW w:w="1483" w:type="pct"/>
          </w:tcPr>
          <w:p w14:paraId="129FCE96" w14:textId="77777777" w:rsidR="00B54ED8" w:rsidRPr="00315601"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15601">
              <w:t>Current</w:t>
            </w:r>
          </w:p>
        </w:tc>
      </w:tr>
    </w:tbl>
    <w:p w14:paraId="15B1577B" w14:textId="77777777" w:rsidR="00B54ED8" w:rsidRDefault="00B54ED8" w:rsidP="003B5D66">
      <w:pPr>
        <w:pStyle w:val="Heading1"/>
      </w:pPr>
      <w:r>
        <w:t>Purpose</w:t>
      </w:r>
    </w:p>
    <w:p w14:paraId="4F75C1CE" w14:textId="6334D434" w:rsidR="00B54ED8" w:rsidRDefault="00B54ED8" w:rsidP="003B5D66">
      <w:pPr>
        <w:pStyle w:val="Numberlistlevel1ListNumber"/>
      </w:pPr>
      <w:r>
        <w:t xml:space="preserve">This </w:t>
      </w:r>
      <w:r w:rsidR="00285A72">
        <w:t>g</w:t>
      </w:r>
      <w:r>
        <w:t>uideline explains:</w:t>
      </w:r>
    </w:p>
    <w:p w14:paraId="7398D78C" w14:textId="39AF9514" w:rsidR="00B54ED8" w:rsidRDefault="00B54ED8" w:rsidP="003B5D66">
      <w:pPr>
        <w:pStyle w:val="Numberlistlevel2ListNumber2"/>
      </w:pPr>
      <w:r>
        <w:t xml:space="preserve">how the Territory Revenue Office (TRO) will generally assess penalty and interest under the </w:t>
      </w:r>
      <w:r w:rsidRPr="00B54ED8">
        <w:rPr>
          <w:i/>
        </w:rPr>
        <w:t>First Home Owner Grant Act</w:t>
      </w:r>
      <w:r w:rsidR="00C91475">
        <w:rPr>
          <w:i/>
        </w:rPr>
        <w:t xml:space="preserve"> 2000</w:t>
      </w:r>
    </w:p>
    <w:p w14:paraId="4991FC49" w14:textId="6016B8CA" w:rsidR="00B54ED8" w:rsidRDefault="00B54ED8" w:rsidP="003B5D66">
      <w:pPr>
        <w:pStyle w:val="Numberlistlevel2ListNumber2"/>
      </w:pPr>
      <w:r>
        <w:t xml:space="preserve">the operation of the interest and penalty tax provisions of the </w:t>
      </w:r>
      <w:r w:rsidRPr="00312C80">
        <w:rPr>
          <w:i/>
        </w:rPr>
        <w:t>Taxation Administration Act</w:t>
      </w:r>
      <w:r w:rsidRPr="003B5D66">
        <w:rPr>
          <w:i/>
        </w:rPr>
        <w:t xml:space="preserve"> </w:t>
      </w:r>
      <w:r w:rsidR="00A350D5" w:rsidRPr="003B5D66">
        <w:rPr>
          <w:i/>
        </w:rPr>
        <w:t>2007</w:t>
      </w:r>
      <w:r>
        <w:t xml:space="preserve"> in relation to the stamp duty </w:t>
      </w:r>
      <w:r w:rsidR="00F657CE">
        <w:t>H</w:t>
      </w:r>
      <w:r>
        <w:t>ouse and land package exemption (HLPE), Territory home owner discount (THOD) and senior, pensioner and carer concession (SPCC).</w:t>
      </w:r>
    </w:p>
    <w:p w14:paraId="0088620D" w14:textId="62BC12F2" w:rsidR="00B54ED8" w:rsidRDefault="00B54ED8" w:rsidP="003B5D66">
      <w:pPr>
        <w:pStyle w:val="Numberlistlevel1ListNumber"/>
      </w:pPr>
      <w:r>
        <w:t xml:space="preserve">This </w:t>
      </w:r>
      <w:r w:rsidR="00285A72">
        <w:t xml:space="preserve">guideline </w:t>
      </w:r>
      <w:r>
        <w:t xml:space="preserve">is to be read in conjunction with Commissioner’s Guideline </w:t>
      </w:r>
      <w:r w:rsidRPr="00086FD8">
        <w:t xml:space="preserve">CG-GEN-002: </w:t>
      </w:r>
      <w:r w:rsidRPr="00086FD8">
        <w:rPr>
          <w:i/>
        </w:rPr>
        <w:t>Interest and penalty tax.</w:t>
      </w:r>
    </w:p>
    <w:p w14:paraId="0B2644EC" w14:textId="642FA787" w:rsidR="00B54ED8" w:rsidRPr="003B5D66" w:rsidRDefault="00B54ED8" w:rsidP="003B5D66">
      <w:pPr>
        <w:pStyle w:val="Heading1"/>
        <w:rPr>
          <w:i/>
        </w:rPr>
      </w:pPr>
      <w:r>
        <w:t xml:space="preserve">Role of interest and penalties under the </w:t>
      </w:r>
      <w:r w:rsidR="00A350D5">
        <w:rPr>
          <w:i/>
        </w:rPr>
        <w:t>First Home Owner Grant Act 2000</w:t>
      </w:r>
    </w:p>
    <w:p w14:paraId="562ECE0D" w14:textId="133AC92D" w:rsidR="00B54ED8" w:rsidRDefault="00B54ED8" w:rsidP="003B5D66">
      <w:pPr>
        <w:pStyle w:val="Numberlistlevel1ListNumber"/>
      </w:pPr>
      <w:r>
        <w:t>Penalties and interest play an integral role in the administration of the first home owner grant (FHOG</w:t>
      </w:r>
      <w:r w:rsidR="00A350D5">
        <w:t>) </w:t>
      </w:r>
      <w:r>
        <w:t>by:</w:t>
      </w:r>
    </w:p>
    <w:p w14:paraId="5CA3B687" w14:textId="4C5859C3" w:rsidR="00B54ED8" w:rsidRDefault="00B54ED8" w:rsidP="003B5D66">
      <w:pPr>
        <w:pStyle w:val="Numberlistlevel2ListNumber2"/>
      </w:pPr>
      <w:r>
        <w:t xml:space="preserve">deterring people from attempting to access the </w:t>
      </w:r>
      <w:r w:rsidR="00347B9B">
        <w:t xml:space="preserve">grant </w:t>
      </w:r>
      <w:r>
        <w:t>when they are not eligible</w:t>
      </w:r>
    </w:p>
    <w:p w14:paraId="0F9E4D7C" w14:textId="2EF15857" w:rsidR="00B54ED8" w:rsidRDefault="00B54ED8" w:rsidP="003B5D66">
      <w:pPr>
        <w:pStyle w:val="Numberlistlevel2ListNumber2"/>
      </w:pPr>
      <w:r>
        <w:t xml:space="preserve">encouraging people to repay the </w:t>
      </w:r>
      <w:r w:rsidR="00347B9B">
        <w:t xml:space="preserve">grant </w:t>
      </w:r>
      <w:r>
        <w:t>within the appropriate 30-day period (see</w:t>
      </w:r>
      <w:r w:rsidR="00A350D5">
        <w:t xml:space="preserve"> </w:t>
      </w:r>
      <w:hyperlink w:anchor="_Requirement_to_repay" w:history="1">
        <w:r w:rsidR="00A350D5">
          <w:rPr>
            <w:rStyle w:val="Hyperlink"/>
          </w:rPr>
          <w:t>Requirement to repay the first h</w:t>
        </w:r>
        <w:r w:rsidR="00A350D5" w:rsidRPr="00A350D5">
          <w:rPr>
            <w:rStyle w:val="Hyperlink"/>
          </w:rPr>
          <w:t xml:space="preserve">ome </w:t>
        </w:r>
        <w:r w:rsidR="00A350D5">
          <w:rPr>
            <w:rStyle w:val="Hyperlink"/>
          </w:rPr>
          <w:t>o</w:t>
        </w:r>
        <w:r w:rsidR="00A350D5" w:rsidRPr="00A350D5">
          <w:rPr>
            <w:rStyle w:val="Hyperlink"/>
          </w:rPr>
          <w:t xml:space="preserve">wner </w:t>
        </w:r>
        <w:r w:rsidR="00A350D5">
          <w:rPr>
            <w:rStyle w:val="Hyperlink"/>
          </w:rPr>
          <w:t>g</w:t>
        </w:r>
        <w:r w:rsidR="00A350D5" w:rsidRPr="00A350D5">
          <w:rPr>
            <w:rStyle w:val="Hyperlink"/>
          </w:rPr>
          <w:t>rant</w:t>
        </w:r>
      </w:hyperlink>
      <w:r>
        <w:t>) or to make a full and immediate disclosure if they realise that they are ineligible after the 30-day period</w:t>
      </w:r>
    </w:p>
    <w:p w14:paraId="470F4BDD" w14:textId="7BC1C0B0" w:rsidR="00B54ED8" w:rsidRDefault="00B54ED8" w:rsidP="003B5D66">
      <w:pPr>
        <w:pStyle w:val="Numberlistlevel2ListNumber2"/>
      </w:pPr>
      <w:r>
        <w:lastRenderedPageBreak/>
        <w:t xml:space="preserve">compensating the </w:t>
      </w:r>
      <w:r w:rsidR="00EF4314">
        <w:t xml:space="preserve">Territory </w:t>
      </w:r>
      <w:r>
        <w:t xml:space="preserve">Government for the period that it was deprived of the use of the funds while the </w:t>
      </w:r>
      <w:r w:rsidR="00347B9B">
        <w:t xml:space="preserve">grant </w:t>
      </w:r>
      <w:r>
        <w:t>remained outstanding</w:t>
      </w:r>
    </w:p>
    <w:p w14:paraId="30DE3181" w14:textId="530A1859" w:rsidR="00B54ED8" w:rsidRDefault="00B54ED8" w:rsidP="003B5D66">
      <w:pPr>
        <w:pStyle w:val="Numberlistlevel2ListNumber2"/>
      </w:pPr>
      <w:r>
        <w:t xml:space="preserve">deterring ineligible applicants from retaining or delaying the repayment of the </w:t>
      </w:r>
      <w:r w:rsidR="00347B9B">
        <w:t>grant</w:t>
      </w:r>
      <w:r>
        <w:t>.</w:t>
      </w:r>
    </w:p>
    <w:p w14:paraId="571E01FF" w14:textId="4554E446" w:rsidR="00B54ED8" w:rsidRDefault="00B54ED8" w:rsidP="003B5D66">
      <w:pPr>
        <w:pStyle w:val="Heading1"/>
      </w:pPr>
      <w:bookmarkStart w:id="1" w:name="_Requirement_to_repay"/>
      <w:bookmarkEnd w:id="1"/>
      <w:r>
        <w:t xml:space="preserve">Requirement to repay the </w:t>
      </w:r>
      <w:r w:rsidR="00A350D5">
        <w:t>first home owner grant</w:t>
      </w:r>
    </w:p>
    <w:p w14:paraId="353F6F33" w14:textId="2CA2D68E" w:rsidR="00B54ED8" w:rsidRDefault="00B54ED8" w:rsidP="003B5D66">
      <w:pPr>
        <w:pStyle w:val="Numberlistlevel1ListNumber"/>
      </w:pPr>
      <w:r>
        <w:t xml:space="preserve">FHOG recipients must notify TRO and repay the amount of the </w:t>
      </w:r>
      <w:r w:rsidR="00315601">
        <w:t xml:space="preserve">grant </w:t>
      </w:r>
      <w:r>
        <w:t xml:space="preserve">within timeframes </w:t>
      </w:r>
      <w:r w:rsidR="00EF4314">
        <w:t>specific to these five individual circumstances:</w:t>
      </w:r>
      <w:r>
        <w:rPr>
          <w:rStyle w:val="FootnoteReference"/>
        </w:rPr>
        <w:footnoteReference w:id="1"/>
      </w:r>
    </w:p>
    <w:p w14:paraId="5D99D004" w14:textId="7D62BDD7" w:rsidR="00B54ED8" w:rsidRDefault="00EF4314" w:rsidP="003B5D66">
      <w:pPr>
        <w:pStyle w:val="Numberlistlevel2ListNumber2"/>
      </w:pPr>
      <w:r>
        <w:t xml:space="preserve">if </w:t>
      </w:r>
      <w:r w:rsidR="00B54ED8">
        <w:t xml:space="preserve">the applicant(s) </w:t>
      </w:r>
      <w:r>
        <w:t xml:space="preserve">is </w:t>
      </w:r>
      <w:r w:rsidR="00B54ED8">
        <w:t>ineligible to apply for the FHOG</w:t>
      </w:r>
      <w:r>
        <w:t>,</w:t>
      </w:r>
      <w:r w:rsidR="00B54ED8">
        <w:t xml:space="preserve"> the </w:t>
      </w:r>
      <w:r>
        <w:t xml:space="preserve">grant </w:t>
      </w:r>
      <w:r w:rsidR="00B54ED8">
        <w:t xml:space="preserve">is to be repaid within 30 days </w:t>
      </w:r>
      <w:r>
        <w:t>after </w:t>
      </w:r>
      <w:r w:rsidR="00B54ED8">
        <w:t>payment</w:t>
      </w:r>
    </w:p>
    <w:p w14:paraId="6B3921E4" w14:textId="43208303" w:rsidR="00555F8D" w:rsidRDefault="00555F8D" w:rsidP="003B5D66">
      <w:pPr>
        <w:pStyle w:val="Example-Heading"/>
        <w:ind w:left="851"/>
      </w:pPr>
      <w:r>
        <w:t>Example</w:t>
      </w:r>
    </w:p>
    <w:p w14:paraId="70CE1725" w14:textId="47AB1CCE" w:rsidR="00B54ED8" w:rsidRPr="003B5D66" w:rsidRDefault="00583570" w:rsidP="003B5D66">
      <w:pPr>
        <w:pStyle w:val="Example-Bodytext"/>
        <w:ind w:left="851"/>
      </w:pPr>
      <w:r>
        <w:t>A</w:t>
      </w:r>
      <w:r w:rsidR="00B54ED8" w:rsidRPr="003B5D66">
        <w:t>n applicant or an applicant’s spouse or de facto partner having prior ownership of residential property</w:t>
      </w:r>
      <w:r w:rsidR="00347B9B" w:rsidRPr="003B5D66">
        <w:t>,</w:t>
      </w:r>
      <w:r w:rsidR="00B54ED8" w:rsidRPr="003B5D66">
        <w:t xml:space="preserve"> or where no applicant is an Australian citizen or permanent resident.</w:t>
      </w:r>
    </w:p>
    <w:p w14:paraId="2D5AE3A6" w14:textId="46737B8E" w:rsidR="00B54ED8" w:rsidRDefault="00315601" w:rsidP="003B5D66">
      <w:pPr>
        <w:pStyle w:val="Numberlistlevel2ListNumber2"/>
      </w:pPr>
      <w:r>
        <w:t>w</w:t>
      </w:r>
      <w:r w:rsidR="00B54ED8">
        <w:t>here otherwise eligible applicant(s) of the FHOG are overpaid</w:t>
      </w:r>
      <w:r>
        <w:t>,</w:t>
      </w:r>
      <w:r w:rsidR="00B54ED8">
        <w:t xml:space="preserve"> the overpayment is to be repaid within 30 days after the overpayment</w:t>
      </w:r>
    </w:p>
    <w:p w14:paraId="433488CA" w14:textId="5757DCB6" w:rsidR="00583570" w:rsidRDefault="00583570" w:rsidP="003B5D66">
      <w:pPr>
        <w:pStyle w:val="Example-Heading"/>
        <w:ind w:left="851"/>
      </w:pPr>
      <w:r>
        <w:t>E</w:t>
      </w:r>
      <w:r w:rsidR="00B54ED8" w:rsidRPr="003B5D66">
        <w:t>xample</w:t>
      </w:r>
    </w:p>
    <w:p w14:paraId="12DC1EDD" w14:textId="06168187" w:rsidR="00B54ED8" w:rsidRPr="003B5D66" w:rsidRDefault="00583570" w:rsidP="003B5D66">
      <w:pPr>
        <w:pStyle w:val="Example-Bodytext"/>
        <w:ind w:left="851"/>
      </w:pPr>
      <w:r>
        <w:t>W</w:t>
      </w:r>
      <w:r w:rsidR="00B54ED8" w:rsidRPr="003B5D66">
        <w:t>here a person has been paid $15,000, but is only eligible for a grant of $10,000, the $5</w:t>
      </w:r>
      <w:r w:rsidR="00347B9B" w:rsidRPr="003B5D66">
        <w:t>,</w:t>
      </w:r>
      <w:r w:rsidR="00B54ED8" w:rsidRPr="003B5D66">
        <w:t>000 overpaid must be repaid within 30 days of the person receiving payment of the FHOG.</w:t>
      </w:r>
    </w:p>
    <w:p w14:paraId="2198C9AC" w14:textId="7F0B4B33" w:rsidR="00B54ED8" w:rsidRDefault="00315601" w:rsidP="003B5D66">
      <w:pPr>
        <w:pStyle w:val="Numberlistlevel2ListNumber2"/>
      </w:pPr>
      <w:r>
        <w:t>w</w:t>
      </w:r>
      <w:r w:rsidR="00B54ED8">
        <w:t>here the applicant(s) fail to live in the home as their principal place of residence for a continuous period of at least six months</w:t>
      </w:r>
      <w:r w:rsidR="00B54ED8" w:rsidRPr="00757933">
        <w:t xml:space="preserve"> </w:t>
      </w:r>
      <w:r w:rsidR="00B54ED8">
        <w:t>commencing within the 12 month requisite period</w:t>
      </w:r>
      <w:r>
        <w:t>,</w:t>
      </w:r>
      <w:r w:rsidR="00B54ED8">
        <w:t xml:space="preserve"> the FHOG is to be repaid within 30 days after the earlier of</w:t>
      </w:r>
      <w:r>
        <w:t xml:space="preserve"> the date</w:t>
      </w:r>
      <w:r w:rsidR="00B54ED8">
        <w:t>:</w:t>
      </w:r>
    </w:p>
    <w:p w14:paraId="7D7D8699" w14:textId="0AAB0C60" w:rsidR="00B54ED8" w:rsidRDefault="00B54ED8" w:rsidP="003B5D66">
      <w:pPr>
        <w:pStyle w:val="Numberlistlevel3ListNumber3"/>
      </w:pPr>
      <w:r>
        <w:t>by which the applicant(s) were to have occupied the home</w:t>
      </w:r>
    </w:p>
    <w:p w14:paraId="53A1A7D9" w14:textId="63AA427D" w:rsidR="00B54ED8" w:rsidRDefault="00B54ED8" w:rsidP="003B5D66">
      <w:pPr>
        <w:pStyle w:val="Numberlistlevel3ListNumber3"/>
      </w:pPr>
      <w:r>
        <w:t xml:space="preserve">on which it first became apparent that the residence requirements would not be </w:t>
      </w:r>
      <w:r w:rsidR="00347B9B">
        <w:t>fulfilled</w:t>
      </w:r>
      <w:r>
        <w:t xml:space="preserve"> during the 12-month period allowed for compliance</w:t>
      </w:r>
    </w:p>
    <w:p w14:paraId="7BB10ADE" w14:textId="472D4F54" w:rsidR="00B54ED8" w:rsidRPr="00BF7BCF" w:rsidRDefault="00B54ED8" w:rsidP="003B5D66">
      <w:pPr>
        <w:pStyle w:val="Numberlistlevel2textcontinue"/>
      </w:pPr>
      <w:r w:rsidRPr="00BF7BCF">
        <w:t xml:space="preserve">Note: From 28 April 2015, </w:t>
      </w:r>
      <w:r w:rsidR="00347B9B">
        <w:t xml:space="preserve">only </w:t>
      </w:r>
      <w:r w:rsidRPr="00BF7BCF">
        <w:t>one applicant</w:t>
      </w:r>
      <w:r w:rsidR="00347B9B">
        <w:t xml:space="preserve"> must</w:t>
      </w:r>
      <w:r w:rsidRPr="00BF7BCF">
        <w:t xml:space="preserve"> </w:t>
      </w:r>
      <w:r w:rsidR="00347B9B" w:rsidRPr="00BF7BCF">
        <w:t>occup</w:t>
      </w:r>
      <w:r w:rsidR="00347B9B">
        <w:t>y</w:t>
      </w:r>
      <w:r w:rsidR="00347B9B" w:rsidRPr="00BF7BCF">
        <w:t xml:space="preserve"> </w:t>
      </w:r>
      <w:r w:rsidRPr="00BF7BCF">
        <w:t>the home as their principal place of residence</w:t>
      </w:r>
      <w:r w:rsidR="00347B9B">
        <w:t>,</w:t>
      </w:r>
      <w:r w:rsidRPr="00BF7BCF">
        <w:t xml:space="preserve"> exempt</w:t>
      </w:r>
      <w:r w:rsidR="00347B9B">
        <w:t>ing other applicants</w:t>
      </w:r>
      <w:r w:rsidRPr="00BF7BCF">
        <w:t xml:space="preserve"> from this requirement.</w:t>
      </w:r>
    </w:p>
    <w:p w14:paraId="51FADB16" w14:textId="788ED721" w:rsidR="00B54ED8" w:rsidRDefault="00315601" w:rsidP="003B5D66">
      <w:pPr>
        <w:pStyle w:val="Numberlistlevel2ListNumber2"/>
      </w:pPr>
      <w:r>
        <w:t>w</w:t>
      </w:r>
      <w:r w:rsidR="00B54ED8">
        <w:t>here there is a breach of a special condition</w:t>
      </w:r>
      <w:r>
        <w:t>,</w:t>
      </w:r>
      <w:r w:rsidR="00B54ED8">
        <w:t xml:space="preserve"> the FHOG is to be repaid within 30 days of </w:t>
      </w:r>
      <w:r>
        <w:t>the </w:t>
      </w:r>
      <w:r w:rsidR="00B54ED8">
        <w:t>breach</w:t>
      </w:r>
    </w:p>
    <w:p w14:paraId="653ACD7C" w14:textId="1ADFF451" w:rsidR="00583570" w:rsidRDefault="00583570" w:rsidP="003B5D66">
      <w:pPr>
        <w:pStyle w:val="Example-Heading"/>
        <w:ind w:left="851"/>
      </w:pPr>
      <w:r>
        <w:t>Example</w:t>
      </w:r>
    </w:p>
    <w:p w14:paraId="1FB3BF53" w14:textId="22BCA185" w:rsidR="00B54ED8" w:rsidRPr="003B5D66" w:rsidRDefault="00583570" w:rsidP="003B5D66">
      <w:pPr>
        <w:pStyle w:val="Example-Bodytext"/>
        <w:ind w:left="851"/>
      </w:pPr>
      <w:r>
        <w:t>W</w:t>
      </w:r>
      <w:r w:rsidR="00B54ED8" w:rsidRPr="003B5D66">
        <w:t xml:space="preserve">here the FHOG is paid in anticipation of completion of a transaction and the transaction is </w:t>
      </w:r>
      <w:r w:rsidR="00E915CA" w:rsidRPr="003B5D66">
        <w:t>not</w:t>
      </w:r>
      <w:r w:rsidR="00E915CA">
        <w:t> </w:t>
      </w:r>
      <w:r w:rsidR="00B54ED8" w:rsidRPr="003B5D66">
        <w:t>completed.</w:t>
      </w:r>
    </w:p>
    <w:p w14:paraId="4DBF8EF2" w14:textId="52C839CC" w:rsidR="00B54ED8" w:rsidRDefault="00315601" w:rsidP="003B5D66">
      <w:pPr>
        <w:pStyle w:val="Numberlistlevel2ListNumber2"/>
      </w:pPr>
      <w:r>
        <w:t>w</w:t>
      </w:r>
      <w:r w:rsidR="00B54ED8" w:rsidRPr="004F1873">
        <w:t xml:space="preserve">here the </w:t>
      </w:r>
      <w:r w:rsidR="00B54ED8">
        <w:t>FHOG</w:t>
      </w:r>
      <w:r w:rsidR="00B54ED8" w:rsidRPr="004F1873">
        <w:t xml:space="preserve"> is paid </w:t>
      </w:r>
      <w:r w:rsidR="00B54ED8">
        <w:t xml:space="preserve">in anticipation of </w:t>
      </w:r>
      <w:r w:rsidR="00B54ED8" w:rsidRPr="004F1873">
        <w:t>completion of the transaction</w:t>
      </w:r>
      <w:r w:rsidR="00B54ED8">
        <w:t xml:space="preserve"> </w:t>
      </w:r>
      <w:r w:rsidR="00B54ED8" w:rsidRPr="004F1873">
        <w:t xml:space="preserve">and </w:t>
      </w:r>
      <w:r w:rsidR="00B54ED8">
        <w:t>the transaction does not complete</w:t>
      </w:r>
      <w:r>
        <w:t>,</w:t>
      </w:r>
      <w:r w:rsidR="00B54ED8">
        <w:t xml:space="preserve"> the overpayment is to be repaid within 30 days of the applicant(s) becoming aware it would not complete.</w:t>
      </w:r>
    </w:p>
    <w:p w14:paraId="48DBB1CE" w14:textId="77777777" w:rsidR="00B54ED8" w:rsidRDefault="00B54ED8" w:rsidP="003B5D66">
      <w:pPr>
        <w:pStyle w:val="Heading2"/>
      </w:pPr>
      <w:r>
        <w:lastRenderedPageBreak/>
        <w:t>Repayment notice</w:t>
      </w:r>
    </w:p>
    <w:p w14:paraId="2F410826" w14:textId="723CAC14" w:rsidR="00B54ED8" w:rsidRPr="009928D7" w:rsidRDefault="00B54ED8" w:rsidP="003B5D66">
      <w:pPr>
        <w:pStyle w:val="Numberlistlevel1ListNumber"/>
      </w:pPr>
      <w:r w:rsidRPr="009928D7">
        <w:t xml:space="preserve">If FHOG recipients do not repay or make arrangements with TRO to repay the </w:t>
      </w:r>
      <w:r w:rsidR="00315601">
        <w:t>grant</w:t>
      </w:r>
      <w:r w:rsidR="00315601" w:rsidRPr="009928D7">
        <w:t xml:space="preserve"> </w:t>
      </w:r>
      <w:r w:rsidRPr="009928D7">
        <w:t xml:space="preserve">or overpayment within the relevant 30-day period set out </w:t>
      </w:r>
      <w:r w:rsidR="00285A72">
        <w:t xml:space="preserve">at </w:t>
      </w:r>
      <w:hyperlink w:anchor="_Requirement_to_repay" w:history="1">
        <w:r w:rsidR="00285A72" w:rsidRPr="00285A72">
          <w:rPr>
            <w:rStyle w:val="Hyperlink"/>
          </w:rPr>
          <w:t>Requirement to repay the first home owner grant</w:t>
        </w:r>
      </w:hyperlink>
      <w:r w:rsidR="00285A72" w:rsidRPr="009928D7">
        <w:t xml:space="preserve"> </w:t>
      </w:r>
      <w:r w:rsidRPr="009928D7">
        <w:t>(the repayment period), TRO will issue a written notice (a repayment notice)</w:t>
      </w:r>
      <w:r w:rsidR="00A63DB7">
        <w:t>. This notice will</w:t>
      </w:r>
      <w:r w:rsidRPr="009928D7">
        <w:t xml:space="preserve"> </w:t>
      </w:r>
      <w:r w:rsidR="00A63DB7" w:rsidRPr="009928D7">
        <w:t>requir</w:t>
      </w:r>
      <w:r w:rsidR="00A63DB7">
        <w:t>e</w:t>
      </w:r>
      <w:r w:rsidR="00A63DB7" w:rsidRPr="009928D7">
        <w:t xml:space="preserve"> </w:t>
      </w:r>
      <w:r w:rsidRPr="009928D7">
        <w:t>the recipient to pay</w:t>
      </w:r>
      <w:r w:rsidR="00A63DB7">
        <w:t xml:space="preserve"> </w:t>
      </w:r>
      <w:r w:rsidR="00A63DB7" w:rsidRPr="009928D7">
        <w:t xml:space="preserve">the amount of the unpaid portion of the FHOG </w:t>
      </w:r>
      <w:r w:rsidR="008253E6">
        <w:t>and</w:t>
      </w:r>
      <w:r w:rsidR="00A63DB7" w:rsidRPr="009928D7">
        <w:t xml:space="preserve"> a penalty of up to the same amount</w:t>
      </w:r>
      <w:r w:rsidRPr="009928D7">
        <w:t xml:space="preserve"> within 30 days after the date of issue of the notice</w:t>
      </w:r>
      <w:r w:rsidR="00A63DB7">
        <w:t xml:space="preserve">. The notice will also </w:t>
      </w:r>
      <w:r w:rsidR="00347B9B">
        <w:t>explain</w:t>
      </w:r>
      <w:r w:rsidRPr="009928D7">
        <w:t xml:space="preserve"> why payment is required.</w:t>
      </w:r>
      <w:r>
        <w:rPr>
          <w:rStyle w:val="FootnoteReference"/>
        </w:rPr>
        <w:footnoteReference w:id="2"/>
      </w:r>
    </w:p>
    <w:p w14:paraId="6CE26B40" w14:textId="1CA27D7E" w:rsidR="00B54ED8" w:rsidRPr="009928D7" w:rsidRDefault="00B54ED8" w:rsidP="003B5D66">
      <w:pPr>
        <w:pStyle w:val="Numberlistlevel1ListNumber"/>
      </w:pPr>
      <w:r w:rsidRPr="009928D7">
        <w:t xml:space="preserve">The penalty actually imposed will generally be reduced to an amount representing the culpability of the FHOG recipient as set out in this </w:t>
      </w:r>
      <w:r w:rsidR="008253E6">
        <w:t>g</w:t>
      </w:r>
      <w:r w:rsidRPr="009928D7">
        <w:t>uideline.</w:t>
      </w:r>
    </w:p>
    <w:p w14:paraId="45396119" w14:textId="7CD368E3" w:rsidR="00B54ED8" w:rsidRDefault="00B54ED8" w:rsidP="003B5D66">
      <w:pPr>
        <w:pStyle w:val="Heading1"/>
      </w:pPr>
      <w:r>
        <w:t>Interest and penalty</w:t>
      </w:r>
      <w:r w:rsidR="00347B9B">
        <w:t xml:space="preserve"> rates</w:t>
      </w:r>
    </w:p>
    <w:p w14:paraId="454ED6D2" w14:textId="4B7344BA" w:rsidR="00B54ED8" w:rsidRPr="00D541CB" w:rsidRDefault="00B54ED8" w:rsidP="003B5D66">
      <w:pPr>
        <w:pStyle w:val="Numberlistlevel1ListNumber"/>
      </w:pPr>
      <w:r w:rsidRPr="00D541CB">
        <w:t xml:space="preserve">Where a FHOG applicant fails to repay the </w:t>
      </w:r>
      <w:r w:rsidR="00A63DB7">
        <w:t>grant</w:t>
      </w:r>
      <w:r w:rsidR="00A63DB7" w:rsidRPr="00D541CB">
        <w:t xml:space="preserve"> </w:t>
      </w:r>
      <w:r w:rsidRPr="00D541CB">
        <w:t xml:space="preserve">or an overpayment in full by the date required, interest is payable on the amount of the </w:t>
      </w:r>
      <w:r w:rsidR="00A63DB7">
        <w:t>grant</w:t>
      </w:r>
      <w:r w:rsidRPr="00D541CB">
        <w:t xml:space="preserve">. The interest on the repayment of the FHOG is calculated for the period from the required repayment date (the end of the repayment period set out </w:t>
      </w:r>
      <w:r w:rsidR="002E580C">
        <w:t xml:space="preserve">at </w:t>
      </w:r>
      <w:hyperlink w:anchor="_Requirement_to_repay" w:history="1">
        <w:r w:rsidR="002E580C" w:rsidRPr="002E580C">
          <w:rPr>
            <w:rStyle w:val="Hyperlink"/>
          </w:rPr>
          <w:t>Requirement to repay the first home owner grant</w:t>
        </w:r>
      </w:hyperlink>
      <w:r w:rsidRPr="00D541CB">
        <w:t xml:space="preserve">) until the date the </w:t>
      </w:r>
      <w:r w:rsidR="002E580C">
        <w:t xml:space="preserve">grant </w:t>
      </w:r>
      <w:r w:rsidRPr="00D541CB">
        <w:t>is repaid.</w:t>
      </w:r>
      <w:r>
        <w:rPr>
          <w:rStyle w:val="FootnoteReference"/>
        </w:rPr>
        <w:footnoteReference w:id="3"/>
      </w:r>
    </w:p>
    <w:p w14:paraId="7C940EDA" w14:textId="250B4148" w:rsidR="00B54ED8" w:rsidRDefault="00B54ED8" w:rsidP="003B5D66">
      <w:pPr>
        <w:pStyle w:val="Numberlistlevel1ListNumber"/>
      </w:pPr>
      <w:r>
        <w:t xml:space="preserve">Where TRO issues a repayment notice and the FHOG or overpayment </w:t>
      </w:r>
      <w:r w:rsidR="00347B9B">
        <w:t>and</w:t>
      </w:r>
      <w:r>
        <w:t xml:space="preserve"> any penalty are not paid in full within the 30-day period specified in the notice, interest will be payable on the unpaid penalty in addition to the interest payable on the FHOG or overpayment.</w:t>
      </w:r>
      <w:r>
        <w:rPr>
          <w:rStyle w:val="FootnoteReference"/>
        </w:rPr>
        <w:footnoteReference w:id="4"/>
      </w:r>
      <w:r>
        <w:t xml:space="preserve"> The interest on the penalty is calculated for the period from 30 days after the date the notice is issued by TRO until the date the penalty is paid.</w:t>
      </w:r>
    </w:p>
    <w:p w14:paraId="570AB5DC" w14:textId="3BD43AB4" w:rsidR="00B54ED8" w:rsidRDefault="00B54ED8" w:rsidP="003B5D66">
      <w:pPr>
        <w:pStyle w:val="Numberlistlevel1ListNumber"/>
      </w:pPr>
      <w:r>
        <w:t xml:space="preserve">Interest is applied in accordance with the </w:t>
      </w:r>
      <w:r w:rsidRPr="00940969">
        <w:rPr>
          <w:b/>
        </w:rPr>
        <w:t>statutory interest rate</w:t>
      </w:r>
      <w:r>
        <w:t xml:space="preserve"> in force during the relevant financial year.</w:t>
      </w:r>
      <w:r>
        <w:rPr>
          <w:rStyle w:val="FootnoteReference"/>
        </w:rPr>
        <w:footnoteReference w:id="5"/>
      </w:r>
      <w:r>
        <w:t xml:space="preserve"> The statutory interest rate is the sum of:</w:t>
      </w:r>
    </w:p>
    <w:p w14:paraId="50EF8BB8" w14:textId="395D4CE3" w:rsidR="00B54ED8" w:rsidRDefault="00B54ED8" w:rsidP="003B5D66">
      <w:pPr>
        <w:pStyle w:val="Numberlistlevel2ListNumber2"/>
      </w:pPr>
      <w:r>
        <w:t xml:space="preserve">the </w:t>
      </w:r>
      <w:r w:rsidRPr="00940969">
        <w:rPr>
          <w:b/>
        </w:rPr>
        <w:t>market interest rate</w:t>
      </w:r>
      <w:r>
        <w:t>, which is the rate prescribed by regulation for the relevant financial year or</w:t>
      </w:r>
      <w:r w:rsidR="00347B9B">
        <w:t>,</w:t>
      </w:r>
      <w:r>
        <w:t xml:space="preserve"> if no rate is prescribed by regulation, the average yield (expressed as an annual rate) of the 90</w:t>
      </w:r>
      <w:r w:rsidR="002E580C">
        <w:noBreakHyphen/>
      </w:r>
      <w:r>
        <w:t xml:space="preserve">day </w:t>
      </w:r>
      <w:r w:rsidR="002E580C">
        <w:t>bank</w:t>
      </w:r>
      <w:r w:rsidR="002E580C">
        <w:noBreakHyphen/>
      </w:r>
      <w:r>
        <w:t>accepted bill published by the Reserve Bank of Australia for the month of May in the financial year immediately preceding the relevant year</w:t>
      </w:r>
      <w:r>
        <w:rPr>
          <w:rStyle w:val="FootnoteReference"/>
        </w:rPr>
        <w:footnoteReference w:id="6"/>
      </w:r>
    </w:p>
    <w:p w14:paraId="10CFE0AC" w14:textId="4B5B70F0" w:rsidR="00B54ED8" w:rsidRDefault="00E33402" w:rsidP="003B5D66">
      <w:pPr>
        <w:pStyle w:val="Numberlistlevel2ListNumber2"/>
      </w:pPr>
      <w:r>
        <w:t xml:space="preserve">and </w:t>
      </w:r>
      <w:r w:rsidR="00B54ED8">
        <w:t xml:space="preserve">the </w:t>
      </w:r>
      <w:r w:rsidR="00B54ED8" w:rsidRPr="00940969">
        <w:rPr>
          <w:b/>
        </w:rPr>
        <w:t>premium interest rate</w:t>
      </w:r>
      <w:r w:rsidR="00B54ED8">
        <w:t>, which is 8% per annum.</w:t>
      </w:r>
      <w:r w:rsidR="00B54ED8">
        <w:rPr>
          <w:rStyle w:val="FootnoteReference"/>
        </w:rPr>
        <w:footnoteReference w:id="7"/>
      </w:r>
    </w:p>
    <w:p w14:paraId="11EADD43" w14:textId="77C375C8" w:rsidR="00B54ED8" w:rsidRDefault="00B54ED8" w:rsidP="003B5D66">
      <w:pPr>
        <w:pStyle w:val="Numberlistlevel1ListNumber"/>
      </w:pPr>
      <w:r>
        <w:t>The interest rate for current and past years is available from</w:t>
      </w:r>
      <w:r w:rsidR="00347B9B">
        <w:t xml:space="preserve"> the TRO website,</w:t>
      </w:r>
      <w:r>
        <w:t xml:space="preserve"> </w:t>
      </w:r>
      <w:hyperlink r:id="rId9" w:history="1">
        <w:r w:rsidR="00E915CA" w:rsidRPr="00B2626E">
          <w:rPr>
            <w:rStyle w:val="Hyperlink"/>
          </w:rPr>
          <w:t>www.revenue.nt.gov.au</w:t>
        </w:r>
      </w:hyperlink>
      <w:r w:rsidR="00E60AD3">
        <w:t>.</w:t>
      </w:r>
    </w:p>
    <w:p w14:paraId="7A36FE58" w14:textId="44D9E85C" w:rsidR="00B54ED8" w:rsidRDefault="00135071" w:rsidP="003B5D66">
      <w:pPr>
        <w:pStyle w:val="Numberlistlevel1ListNumber"/>
      </w:pPr>
      <w:r>
        <w:t>A concessional interest rate may apply in limited circumstances to certain eligible tax defaults</w:t>
      </w:r>
      <w:r w:rsidDel="00135071">
        <w:t xml:space="preserve"> </w:t>
      </w:r>
      <w:r>
        <w:t>between 1 January </w:t>
      </w:r>
      <w:r w:rsidR="00B54ED8">
        <w:t xml:space="preserve">2020 </w:t>
      </w:r>
      <w:r>
        <w:t xml:space="preserve">and </w:t>
      </w:r>
      <w:r w:rsidR="00B54ED8">
        <w:t xml:space="preserve">31 December 2020. Commissioner’s Guideline CG-GEN-006: </w:t>
      </w:r>
      <w:r w:rsidR="00B54ED8">
        <w:rPr>
          <w:i/>
          <w:iCs/>
        </w:rPr>
        <w:t>Concessional interest rate</w:t>
      </w:r>
      <w:r w:rsidR="00B54ED8">
        <w:t xml:space="preserve"> explains how TRO applies this rate and the conditions of eligibility.</w:t>
      </w:r>
    </w:p>
    <w:p w14:paraId="2AC88037" w14:textId="76B3F5E6" w:rsidR="00B54ED8" w:rsidRPr="00D541CB" w:rsidRDefault="00B54ED8" w:rsidP="003B5D66">
      <w:pPr>
        <w:pStyle w:val="Heading2"/>
      </w:pPr>
      <w:r w:rsidRPr="0018689C">
        <w:lastRenderedPageBreak/>
        <w:t xml:space="preserve">No interest </w:t>
      </w:r>
      <w:r w:rsidR="009B5DC8">
        <w:t>if</w:t>
      </w:r>
      <w:r w:rsidR="009B5DC8" w:rsidRPr="0018689C">
        <w:t xml:space="preserve"> </w:t>
      </w:r>
      <w:r w:rsidRPr="0018689C">
        <w:t>recipient complies with notice and repayment requirements</w:t>
      </w:r>
    </w:p>
    <w:p w14:paraId="68EB7666" w14:textId="180AA8C7" w:rsidR="00B54ED8" w:rsidRDefault="00B54ED8" w:rsidP="003B5D66">
      <w:pPr>
        <w:pStyle w:val="Numberlistlevel1ListNumber"/>
      </w:pPr>
      <w:r>
        <w:t xml:space="preserve">No interest is payable </w:t>
      </w:r>
      <w:r w:rsidR="009B5DC8">
        <w:t>if</w:t>
      </w:r>
      <w:r>
        <w:t xml:space="preserve"> the FHOG recipient complies with the requirement to notify TRO of their ineligibility, overpayment or non-compliance with the residence requirements and the </w:t>
      </w:r>
      <w:r w:rsidR="00135071">
        <w:t xml:space="preserve">grant </w:t>
      </w:r>
      <w:r>
        <w:t>is repaid within the repayment period.</w:t>
      </w:r>
    </w:p>
    <w:p w14:paraId="2C2A1EA4" w14:textId="643B7CA3" w:rsidR="00B54ED8" w:rsidRDefault="00B54ED8" w:rsidP="003B5D66">
      <w:pPr>
        <w:pStyle w:val="Numberlistlevel1ListNumber"/>
      </w:pPr>
      <w:r>
        <w:t xml:space="preserve">However, interest may be payable where the FHOG recipient enters into an instalment arrangement to repay the </w:t>
      </w:r>
      <w:r w:rsidR="00135071">
        <w:t xml:space="preserve">grant </w:t>
      </w:r>
      <w:r>
        <w:t xml:space="preserve">and any penalty. For further information on instalment arrangements, refer to Commissioner’s Guideline </w:t>
      </w:r>
      <w:r w:rsidRPr="00086FD8">
        <w:t>CG-HI-007</w:t>
      </w:r>
      <w:r>
        <w:t xml:space="preserve">: </w:t>
      </w:r>
      <w:r w:rsidRPr="00086FD8">
        <w:rPr>
          <w:i/>
        </w:rPr>
        <w:t>First Home Owner Grant instalment arrangement policy</w:t>
      </w:r>
      <w:r>
        <w:t>.</w:t>
      </w:r>
    </w:p>
    <w:p w14:paraId="66E64F85" w14:textId="77777777" w:rsidR="00B54ED8" w:rsidRDefault="00B54ED8" w:rsidP="003B5D66">
      <w:pPr>
        <w:pStyle w:val="Heading2"/>
      </w:pPr>
      <w:r>
        <w:t>Remission of interest</w:t>
      </w:r>
    </w:p>
    <w:p w14:paraId="2C858845" w14:textId="2221C939" w:rsidR="00B54ED8" w:rsidRPr="00D541CB" w:rsidRDefault="00B54ED8" w:rsidP="003B5D66">
      <w:pPr>
        <w:pStyle w:val="Numberlistlevel1ListNumber"/>
        <w:keepNext/>
        <w:keepLines/>
      </w:pPr>
      <w:r w:rsidRPr="00D541CB">
        <w:t>TRO may remit all or part of the interest payable where satisfied that it is appropriate to do so.</w:t>
      </w:r>
      <w:r>
        <w:rPr>
          <w:rStyle w:val="FootnoteReference"/>
        </w:rPr>
        <w:footnoteReference w:id="8"/>
      </w:r>
      <w:r w:rsidRPr="00D541CB">
        <w:t xml:space="preserve"> However, the Commissioner </w:t>
      </w:r>
      <w:r w:rsidR="00A85172">
        <w:t xml:space="preserve">of Territory Revenue (Commissioner) </w:t>
      </w:r>
      <w:r w:rsidRPr="00D541CB">
        <w:t xml:space="preserve">will </w:t>
      </w:r>
      <w:r w:rsidR="00135071" w:rsidRPr="00D541CB">
        <w:t xml:space="preserve">generally </w:t>
      </w:r>
      <w:r w:rsidRPr="00D541CB">
        <w:t>only consider it appropriate to remit interest below the market interest rate in exceptional circumstances, having regard to the role that interest plays in deterrence, equity and compensation.</w:t>
      </w:r>
    </w:p>
    <w:p w14:paraId="19C98893" w14:textId="26708684" w:rsidR="00B54ED8" w:rsidRDefault="00B54ED8" w:rsidP="003B5D66">
      <w:pPr>
        <w:pStyle w:val="Heading2"/>
        <w:tabs>
          <w:tab w:val="center" w:pos="284"/>
        </w:tabs>
      </w:pPr>
      <w:r w:rsidRPr="0018689C">
        <w:t>Amount of penalty imposed</w:t>
      </w:r>
    </w:p>
    <w:p w14:paraId="63892A25" w14:textId="053165A7" w:rsidR="00B54ED8" w:rsidRDefault="00B54ED8" w:rsidP="003B5D66">
      <w:pPr>
        <w:pStyle w:val="Numberlistlevel1ListNumber"/>
      </w:pPr>
      <w:r>
        <w:t xml:space="preserve">No penalty is imposed where the FHOG recipient complies with the requirement to notify TRO of their ineligibility, overpayment or non-compliance with the residence requirements and repays (or makes arrangements to repay) the </w:t>
      </w:r>
      <w:r w:rsidR="00135071">
        <w:t xml:space="preserve">grant </w:t>
      </w:r>
      <w:r>
        <w:t>within the repayment period.</w:t>
      </w:r>
    </w:p>
    <w:p w14:paraId="2022B6DE" w14:textId="67AA33A6" w:rsidR="00B54ED8" w:rsidRDefault="00135071" w:rsidP="003B5D66">
      <w:pPr>
        <w:pStyle w:val="Numberlistlevel1ListNumber"/>
      </w:pPr>
      <w:r>
        <w:t>Generally</w:t>
      </w:r>
      <w:r w:rsidR="009B5DC8">
        <w:t>,</w:t>
      </w:r>
      <w:r>
        <w:t xml:space="preserve"> a </w:t>
      </w:r>
      <w:r w:rsidRPr="00D541CB">
        <w:rPr>
          <w:b/>
        </w:rPr>
        <w:t>base penalty</w:t>
      </w:r>
      <w:r>
        <w:t xml:space="preserve"> equal to </w:t>
      </w:r>
      <w:r>
        <w:rPr>
          <w:b/>
        </w:rPr>
        <w:t>25%</w:t>
      </w:r>
      <w:r>
        <w:t xml:space="preserve"> of the amount of the FHOG or overpayment will be imposed w</w:t>
      </w:r>
      <w:r w:rsidR="00B54ED8">
        <w:t>here the Commissioner issues a repayment notice. This penalty reflects the FHOG recipient’s culpability arising from:</w:t>
      </w:r>
    </w:p>
    <w:p w14:paraId="6ECE2BED" w14:textId="2D359CE3" w:rsidR="00B54ED8" w:rsidRDefault="00B54ED8" w:rsidP="003B5D66">
      <w:pPr>
        <w:pStyle w:val="Numberlistlevel2ListNumber2"/>
      </w:pPr>
      <w:r>
        <w:t>not meeting their statutory obligation to inform the Commissioner of their ineligibility or overpayment and to repay the FHOG or amount of overpayment within the repayment period</w:t>
      </w:r>
    </w:p>
    <w:p w14:paraId="767815A9" w14:textId="41298273" w:rsidR="00B54ED8" w:rsidRDefault="00695A37" w:rsidP="003B5D66">
      <w:pPr>
        <w:pStyle w:val="Numberlistlevel2ListNumber2"/>
      </w:pPr>
      <w:r>
        <w:t>their</w:t>
      </w:r>
      <w:r w:rsidR="00B54ED8">
        <w:t xml:space="preserve"> ineligibility or overpayment not arising from deliberate or reckless acts (such as where the </w:t>
      </w:r>
      <w:r>
        <w:t>they</w:t>
      </w:r>
      <w:r w:rsidR="00B54ED8">
        <w:t xml:space="preserve"> intended to satisfy the residence requirements, but failed to do so because of particular circumstances).</w:t>
      </w:r>
    </w:p>
    <w:p w14:paraId="77E3EA41" w14:textId="345B619D" w:rsidR="00B54ED8" w:rsidRDefault="00B54ED8" w:rsidP="003B5D66">
      <w:pPr>
        <w:pStyle w:val="Numberlistlevel1ListNumber"/>
      </w:pPr>
      <w:r>
        <w:t xml:space="preserve">However, in </w:t>
      </w:r>
      <w:r w:rsidR="00695A37">
        <w:t>some</w:t>
      </w:r>
      <w:r>
        <w:t xml:space="preserve"> circumstances the base penalty will be changed from the default 25% of the amount of the FHOG or overpayment to:</w:t>
      </w:r>
    </w:p>
    <w:p w14:paraId="7D9EB52C" w14:textId="4C2E10C6" w:rsidR="00B54ED8" w:rsidRDefault="00B54ED8" w:rsidP="003B5D66">
      <w:pPr>
        <w:pStyle w:val="Numberlistlevel2ListNumber2"/>
      </w:pPr>
      <w:r>
        <w:rPr>
          <w:b/>
        </w:rPr>
        <w:t>75%</w:t>
      </w:r>
      <w:r>
        <w:t xml:space="preserve"> of that amount</w:t>
      </w:r>
      <w:r w:rsidR="00695A37">
        <w:t xml:space="preserve"> if</w:t>
      </w:r>
      <w:r>
        <w:t xml:space="preserve"> </w:t>
      </w:r>
      <w:r w:rsidR="00265642">
        <w:t xml:space="preserve">the Commissioner </w:t>
      </w:r>
      <w:r>
        <w:t>is satisfied the recipient intentionally disregarded the FHOG requ</w:t>
      </w:r>
      <w:r w:rsidR="009E2EEF">
        <w:t>irements because the</w:t>
      </w:r>
      <w:r w:rsidR="00695A37">
        <w:t>y</w:t>
      </w:r>
      <w:r w:rsidR="009E2EEF">
        <w:t>:</w:t>
      </w:r>
    </w:p>
    <w:p w14:paraId="0192B4C2" w14:textId="77777777" w:rsidR="00E60AD3" w:rsidRDefault="00B54ED8" w:rsidP="003B5D66">
      <w:pPr>
        <w:pStyle w:val="Numberlistlevel3ListNumber3"/>
      </w:pPr>
      <w:r>
        <w:t>knowingly or recklessly made a false declaration on the application form</w:t>
      </w:r>
    </w:p>
    <w:p w14:paraId="0532CF79" w14:textId="39E22829" w:rsidR="00583570" w:rsidRDefault="00583570" w:rsidP="003B5D66">
      <w:pPr>
        <w:pStyle w:val="Example-Heading"/>
        <w:ind w:left="1276"/>
      </w:pPr>
      <w:r>
        <w:t>Example</w:t>
      </w:r>
    </w:p>
    <w:p w14:paraId="4C995909" w14:textId="393DBD46" w:rsidR="00B54ED8" w:rsidRPr="00583570" w:rsidRDefault="00583570" w:rsidP="003B5D66">
      <w:pPr>
        <w:pStyle w:val="Example-Bodytext"/>
        <w:ind w:left="1276"/>
      </w:pPr>
      <w:r>
        <w:t>T</w:t>
      </w:r>
      <w:r w:rsidR="00B54ED8" w:rsidRPr="00583570">
        <w:t>he recipient knows that they, their spouse or de facto have had a prior relevant interest in residential property that makes the recipient ineligible for the FHOG</w:t>
      </w:r>
      <w:r w:rsidR="00E60AD3" w:rsidRPr="003B5D66">
        <w:t>.</w:t>
      </w:r>
    </w:p>
    <w:p w14:paraId="227A6389" w14:textId="77777777" w:rsidR="00E60AD3" w:rsidRDefault="00B54ED8" w:rsidP="003B5D66">
      <w:pPr>
        <w:pStyle w:val="Numberlistlevel3ListNumber3"/>
        <w:keepNext/>
        <w:ind w:left="1276"/>
      </w:pPr>
      <w:r>
        <w:lastRenderedPageBreak/>
        <w:t>did not satisfy, and had no intention of satisfying, the residence requirements</w:t>
      </w:r>
    </w:p>
    <w:p w14:paraId="28A8B68F" w14:textId="7061C10D" w:rsidR="00583570" w:rsidRDefault="00583570" w:rsidP="003B5D66">
      <w:pPr>
        <w:pStyle w:val="Example-Heading"/>
        <w:ind w:left="1276"/>
      </w:pPr>
      <w:r>
        <w:t>Example</w:t>
      </w:r>
    </w:p>
    <w:p w14:paraId="31F99872" w14:textId="1278009B" w:rsidR="00B54ED8" w:rsidRPr="00583570" w:rsidRDefault="00583570" w:rsidP="003B5D66">
      <w:pPr>
        <w:pStyle w:val="Example-Bodytext"/>
        <w:ind w:left="1276"/>
      </w:pPr>
      <w:r>
        <w:t>W</w:t>
      </w:r>
      <w:r w:rsidR="00B54ED8" w:rsidRPr="00583570">
        <w:t>here the FHOG is in respect of a home used as a rental or investment property or where an investment loan was obtained for such a property</w:t>
      </w:r>
      <w:r w:rsidR="00E60AD3" w:rsidRPr="003B5D66">
        <w:t>.</w:t>
      </w:r>
    </w:p>
    <w:p w14:paraId="4F5A0FA6" w14:textId="4083801A" w:rsidR="00B54ED8" w:rsidRDefault="00B54ED8" w:rsidP="003B5D66">
      <w:pPr>
        <w:pStyle w:val="Numberlistlevel3ListNumber3"/>
      </w:pPr>
      <w:r>
        <w:t xml:space="preserve">deliberately concealed or suppressed information from TRO relevant to determining the </w:t>
      </w:r>
      <w:r w:rsidR="00695A37">
        <w:t xml:space="preserve">their </w:t>
      </w:r>
      <w:r>
        <w:t>eligibility for the FHOG or compliance with the residence requirements</w:t>
      </w:r>
      <w:r w:rsidR="00695A37">
        <w:t>,</w:t>
      </w:r>
      <w:r>
        <w:t xml:space="preserve"> or hindered TRO’s investigation of the</w:t>
      </w:r>
      <w:r w:rsidR="00695A37">
        <w:t>ir</w:t>
      </w:r>
      <w:r>
        <w:t xml:space="preserve"> eligibility or residence </w:t>
      </w:r>
    </w:p>
    <w:p w14:paraId="4D174306" w14:textId="3C30F143" w:rsidR="00B54ED8" w:rsidRDefault="00B54ED8" w:rsidP="003B5D66">
      <w:pPr>
        <w:pStyle w:val="Numberlistlevel2ListNumber2"/>
      </w:pPr>
      <w:r>
        <w:rPr>
          <w:b/>
        </w:rPr>
        <w:t xml:space="preserve">95% </w:t>
      </w:r>
      <w:r>
        <w:t>of that amount, where the Commissioner is satisfied that there was both an intentional disregard of FHOG requirements and concealment, suppression or hindrance in the circumstances set out above.</w:t>
      </w:r>
    </w:p>
    <w:p w14:paraId="1073105A" w14:textId="77777777" w:rsidR="00B54ED8" w:rsidRDefault="00B54ED8" w:rsidP="003B5D66">
      <w:pPr>
        <w:pStyle w:val="Numberlistlevel1ListNumber"/>
      </w:pPr>
      <w:r>
        <w:t>The base penalty will be reduced by up to:</w:t>
      </w:r>
    </w:p>
    <w:p w14:paraId="29471800" w14:textId="0FD6480E" w:rsidR="00B54ED8" w:rsidRDefault="00B54ED8" w:rsidP="003B5D66">
      <w:pPr>
        <w:pStyle w:val="Numberlistlevel2ListNumber2"/>
      </w:pPr>
      <w:r>
        <w:rPr>
          <w:b/>
        </w:rPr>
        <w:t>20%</w:t>
      </w:r>
      <w:r>
        <w:t>, if TRO conducts an investigation of the FHOG recipient’s eligibility or residence and the recipient cooperates fully with the investigation</w:t>
      </w:r>
    </w:p>
    <w:p w14:paraId="27708088" w14:textId="7C6A8765" w:rsidR="00B54ED8" w:rsidRDefault="00B54ED8" w:rsidP="003B5D66">
      <w:pPr>
        <w:pStyle w:val="Numberlistlevel2ListNumber2"/>
      </w:pPr>
      <w:r w:rsidRPr="009E4B64">
        <w:rPr>
          <w:b/>
        </w:rPr>
        <w:t>80</w:t>
      </w:r>
      <w:r>
        <w:rPr>
          <w:b/>
        </w:rPr>
        <w:t>%</w:t>
      </w:r>
      <w:r>
        <w:t>, if TRO has not commenced an investigation of the FHOG recipient’s eligibility or residence and the recipient’s full and immediate disclosure of their ineligibility or overpayment avoids the need for an investigation.</w:t>
      </w:r>
    </w:p>
    <w:p w14:paraId="21FFB4A7" w14:textId="2ED6C68B" w:rsidR="00B54ED8" w:rsidRDefault="00B54ED8" w:rsidP="003B5D66">
      <w:pPr>
        <w:pStyle w:val="Numberlistlevel1ListNumber"/>
      </w:pPr>
      <w:r>
        <w:t>In addition, where satisfied that it is appropriate to do so, the Commissioner has the ability to remit the penalty (wholly or in part).</w:t>
      </w:r>
      <w:r>
        <w:rPr>
          <w:rStyle w:val="FootnoteReference"/>
        </w:rPr>
        <w:footnoteReference w:id="9"/>
      </w:r>
    </w:p>
    <w:p w14:paraId="69C23CF0" w14:textId="00B6C6AE" w:rsidR="00B54ED8" w:rsidRDefault="00231824" w:rsidP="003B5D66">
      <w:pPr>
        <w:pStyle w:val="Heading1"/>
      </w:pPr>
      <w:r>
        <w:t>H</w:t>
      </w:r>
      <w:r w:rsidR="00D96292" w:rsidRPr="00D96292">
        <w:t>ouse and land package exemption, Territory home owner discount and senior, pensio</w:t>
      </w:r>
      <w:r w:rsidR="00D96292">
        <w:t>ner and carer concession</w:t>
      </w:r>
    </w:p>
    <w:p w14:paraId="5BA8ADF5" w14:textId="7059B7C0" w:rsidR="00786100" w:rsidRDefault="00786100" w:rsidP="003B5D66">
      <w:pPr>
        <w:pStyle w:val="Numberlistlevel1ListNumber"/>
      </w:pPr>
      <w:r>
        <w:t xml:space="preserve">Where an applicant has received the benefit of a stamp duty </w:t>
      </w:r>
      <w:r w:rsidR="004B10E0">
        <w:t xml:space="preserve">exemption, discount or </w:t>
      </w:r>
      <w:r>
        <w:t xml:space="preserve">concession </w:t>
      </w:r>
      <w:r w:rsidR="005E3FC1">
        <w:t xml:space="preserve">under </w:t>
      </w:r>
      <w:r>
        <w:t>the HLPE, THOD or SPCC and is later found to be ineligible</w:t>
      </w:r>
      <w:r w:rsidR="00C20B6D">
        <w:t>, or fail</w:t>
      </w:r>
      <w:r w:rsidR="005E3FC1">
        <w:t>s</w:t>
      </w:r>
      <w:r w:rsidR="00C20B6D">
        <w:t xml:space="preserve"> to comply with the occupancy requirements</w:t>
      </w:r>
      <w:r>
        <w:t xml:space="preserve">, stamp duty will be reassessed as if they were not eligible for the exemption, discount </w:t>
      </w:r>
      <w:r w:rsidR="009B5DC8">
        <w:t>or </w:t>
      </w:r>
      <w:r>
        <w:t xml:space="preserve">concession. Interest and penalty tax may be included </w:t>
      </w:r>
      <w:r w:rsidR="00C20B6D">
        <w:t xml:space="preserve">in the reassessment if the parties did not notify TRO within the required period or if their non-compliance is identified through the TRO </w:t>
      </w:r>
      <w:r w:rsidR="00D96292">
        <w:t>compliance </w:t>
      </w:r>
      <w:r w:rsidR="00C20B6D">
        <w:t>program</w:t>
      </w:r>
      <w:r w:rsidR="005E3FC1">
        <w:t>.</w:t>
      </w:r>
    </w:p>
    <w:p w14:paraId="712689FC" w14:textId="262239AB" w:rsidR="00B54ED8" w:rsidRPr="00940969" w:rsidRDefault="00B54ED8" w:rsidP="003B5D66">
      <w:pPr>
        <w:pStyle w:val="Numberlistlevel1ListNumber"/>
      </w:pPr>
      <w:r w:rsidRPr="00940969">
        <w:t xml:space="preserve">TRO will generally exercise the discretions under sections 38 and 44 of the </w:t>
      </w:r>
      <w:r w:rsidR="00224FD6" w:rsidRPr="00312C80">
        <w:rPr>
          <w:i/>
        </w:rPr>
        <w:t>Taxation Administration Act</w:t>
      </w:r>
      <w:r w:rsidR="00224FD6">
        <w:rPr>
          <w:i/>
        </w:rPr>
        <w:t> </w:t>
      </w:r>
      <w:r w:rsidR="00224FD6" w:rsidRPr="00482D08">
        <w:rPr>
          <w:i/>
        </w:rPr>
        <w:t>2007</w:t>
      </w:r>
      <w:r w:rsidRPr="00940969">
        <w:t xml:space="preserve"> to achieve similar interest and penalty outcomes between the FHOG, </w:t>
      </w:r>
      <w:r>
        <w:t xml:space="preserve">HLPE, </w:t>
      </w:r>
      <w:r w:rsidRPr="00940969">
        <w:t xml:space="preserve">THOD </w:t>
      </w:r>
      <w:r w:rsidR="00224FD6" w:rsidRPr="00940969">
        <w:t>and</w:t>
      </w:r>
      <w:r w:rsidR="00224FD6">
        <w:t> </w:t>
      </w:r>
      <w:r w:rsidRPr="00940969">
        <w:t>SPCC.</w:t>
      </w:r>
    </w:p>
    <w:p w14:paraId="6E887DA8" w14:textId="77777777" w:rsidR="00B54ED8" w:rsidRDefault="00B54ED8" w:rsidP="003B5D66">
      <w:pPr>
        <w:pStyle w:val="Heading1"/>
      </w:pPr>
      <w:r>
        <w:t>Terms explained</w:t>
      </w:r>
    </w:p>
    <w:p w14:paraId="054992A4" w14:textId="673E25C2" w:rsidR="00B54ED8" w:rsidRDefault="00B54ED8" w:rsidP="003B5D66">
      <w:pPr>
        <w:pStyle w:val="Numberlistlevel1ListNumber"/>
      </w:pPr>
      <w:r>
        <w:t xml:space="preserve">Refer to Commissioner’s Guideline </w:t>
      </w:r>
      <w:r w:rsidRPr="00086FD8">
        <w:t>CG-GEN-002</w:t>
      </w:r>
      <w:r>
        <w:t xml:space="preserve">: </w:t>
      </w:r>
      <w:r w:rsidRPr="00086FD8">
        <w:rPr>
          <w:i/>
        </w:rPr>
        <w:t>Interest and penalty tax</w:t>
      </w:r>
      <w:r>
        <w:t xml:space="preserve"> for an explanation of the following concepts used in this </w:t>
      </w:r>
      <w:r w:rsidR="00E60AD3">
        <w:t>g</w:t>
      </w:r>
      <w:r>
        <w:t>uideline</w:t>
      </w:r>
      <w:r w:rsidR="00D96292">
        <w:t>:</w:t>
      </w:r>
    </w:p>
    <w:p w14:paraId="728B53C0" w14:textId="075E9732" w:rsidR="00B54ED8" w:rsidRDefault="00D96292" w:rsidP="003B5D66">
      <w:pPr>
        <w:pStyle w:val="Numberlistlevel2ListNumber2"/>
      </w:pPr>
      <w:r>
        <w:t>r</w:t>
      </w:r>
      <w:r w:rsidR="00B54ED8">
        <w:t>easonable care to comply with the grant requirements</w:t>
      </w:r>
      <w:r w:rsidR="00E60AD3">
        <w:t xml:space="preserve"> and </w:t>
      </w:r>
      <w:r w:rsidR="00B54ED8">
        <w:t>taxation law</w:t>
      </w:r>
    </w:p>
    <w:p w14:paraId="6618D31A" w14:textId="67B50194" w:rsidR="00B54ED8" w:rsidRDefault="00D96292" w:rsidP="003B5D66">
      <w:pPr>
        <w:pStyle w:val="Numberlistlevel2ListNumber2"/>
      </w:pPr>
      <w:r>
        <w:t>i</w:t>
      </w:r>
      <w:r w:rsidR="00B54ED8">
        <w:t xml:space="preserve">ntentional disregard of the </w:t>
      </w:r>
      <w:r w:rsidR="00224FD6" w:rsidRPr="003B5D66">
        <w:rPr>
          <w:i/>
        </w:rPr>
        <w:t>First Home Owner Grant Act 2000</w:t>
      </w:r>
      <w:r w:rsidR="00E60AD3">
        <w:t xml:space="preserve"> or </w:t>
      </w:r>
      <w:r w:rsidR="00B54ED8">
        <w:t>taxation law</w:t>
      </w:r>
    </w:p>
    <w:p w14:paraId="61676B14" w14:textId="7C572B36" w:rsidR="00B54ED8" w:rsidRDefault="00D96292" w:rsidP="003B5D66">
      <w:pPr>
        <w:pStyle w:val="Numberlistlevel2ListNumber2"/>
      </w:pPr>
      <w:r>
        <w:t>d</w:t>
      </w:r>
      <w:r w:rsidR="00B54ED8">
        <w:t>eliberately concealing or suppressing relevant information or hindering the assessment of tax</w:t>
      </w:r>
    </w:p>
    <w:p w14:paraId="5783C7EA" w14:textId="245B1D6F" w:rsidR="00B54ED8" w:rsidRDefault="00D96292" w:rsidP="003B5D66">
      <w:pPr>
        <w:pStyle w:val="Numberlistlevel2ListNumber2"/>
      </w:pPr>
      <w:r>
        <w:lastRenderedPageBreak/>
        <w:t>d</w:t>
      </w:r>
      <w:r w:rsidR="00B54ED8">
        <w:t>eliberately hindering an investigation</w:t>
      </w:r>
    </w:p>
    <w:p w14:paraId="75993A31" w14:textId="4477F838" w:rsidR="00B54ED8" w:rsidRDefault="00D96292" w:rsidP="003B5D66">
      <w:pPr>
        <w:pStyle w:val="Numberlistlevel2ListNumber2"/>
      </w:pPr>
      <w:r>
        <w:t>f</w:t>
      </w:r>
      <w:r w:rsidR="00B54ED8">
        <w:t>ull and immediate disclosure</w:t>
      </w:r>
    </w:p>
    <w:p w14:paraId="125A5002" w14:textId="497A5A9A" w:rsidR="00B54ED8" w:rsidRDefault="00D96292" w:rsidP="003B5D66">
      <w:pPr>
        <w:pStyle w:val="Numberlistlevel2ListNumber2"/>
      </w:pPr>
      <w:r>
        <w:t>f</w:t>
      </w:r>
      <w:r w:rsidR="00B54ED8">
        <w:t>ull cooperation with an investigation.</w:t>
      </w:r>
    </w:p>
    <w:p w14:paraId="2DBC06EA" w14:textId="69274A60" w:rsidR="00B54ED8" w:rsidRDefault="00B54ED8" w:rsidP="003B5D66">
      <w:pPr>
        <w:pStyle w:val="Numberlistlevel1ListNumber"/>
      </w:pPr>
      <w:r>
        <w:t>In addition, deliberately concealing or suppressing relevant information includes a FHOG, HLPE, THOD or SPCC recipient taking steps to make it appear as though the residence requirements have been met when they have not.</w:t>
      </w:r>
    </w:p>
    <w:p w14:paraId="2161FC9A" w14:textId="77777777" w:rsidR="00B54ED8" w:rsidRDefault="00B54ED8" w:rsidP="003B5D66">
      <w:pPr>
        <w:pStyle w:val="Heading1"/>
      </w:pPr>
      <w:r>
        <w:t>Residence requirements</w:t>
      </w:r>
    </w:p>
    <w:p w14:paraId="7407CE4F" w14:textId="0FFAEB01" w:rsidR="00D96292" w:rsidRDefault="00E60AD3" w:rsidP="00D96292">
      <w:pPr>
        <w:pStyle w:val="Numberlistlevel1ListNumber"/>
      </w:pPr>
      <w:r>
        <w:t>R</w:t>
      </w:r>
      <w:r w:rsidRPr="00940969">
        <w:t xml:space="preserve">efer to Commissioner’s Guideline </w:t>
      </w:r>
      <w:r w:rsidRPr="00086FD8">
        <w:t>CG-HI-003</w:t>
      </w:r>
      <w:r w:rsidRPr="00940969">
        <w:t xml:space="preserve">: </w:t>
      </w:r>
      <w:r w:rsidRPr="00086FD8">
        <w:rPr>
          <w:i/>
        </w:rPr>
        <w:t>Commissioner's discretion to exempt or vary compliance with the eligibility criteria</w:t>
      </w:r>
      <w:r>
        <w:t xml:space="preserve"> f</w:t>
      </w:r>
      <w:r w:rsidR="00B54ED8" w:rsidRPr="00940969">
        <w:t xml:space="preserve">or details regarding the residence requirements for the FHOG, </w:t>
      </w:r>
      <w:r w:rsidR="00B54ED8">
        <w:t xml:space="preserve">HLPE, </w:t>
      </w:r>
      <w:r w:rsidR="00B54ED8" w:rsidRPr="00940969">
        <w:t>THOD and SPCC and the exemptions that may be available</w:t>
      </w:r>
      <w:r>
        <w:t>.</w:t>
      </w:r>
    </w:p>
    <w:p w14:paraId="59675379" w14:textId="77777777" w:rsidR="00B54ED8" w:rsidRDefault="00B54ED8">
      <w:pPr>
        <w:pStyle w:val="Heading1"/>
      </w:pPr>
      <w:r>
        <w:t>Matrix of penalties and penalty tax</w:t>
      </w:r>
    </w:p>
    <w:p w14:paraId="6BFA2365" w14:textId="0B42A2C8" w:rsidR="00B54ED8" w:rsidRDefault="00D96292" w:rsidP="003B5D66">
      <w:pPr>
        <w:pStyle w:val="Numberlistlevel1ListNumber"/>
        <w:keepNext/>
      </w:pPr>
      <w:r w:rsidRPr="00940969">
        <w:t>Th</w:t>
      </w:r>
      <w:r>
        <w:t>is</w:t>
      </w:r>
      <w:r w:rsidRPr="00940969">
        <w:t xml:space="preserve"> </w:t>
      </w:r>
      <w:r w:rsidR="00B54ED8" w:rsidRPr="00940969">
        <w:t>table sets out the base penalty and penalty tax that will apply in a given situation</w:t>
      </w:r>
      <w:r>
        <w:t>.</w:t>
      </w:r>
    </w:p>
    <w:tbl>
      <w:tblPr>
        <w:tblStyle w:val="NTGtable"/>
        <w:tblW w:w="4795" w:type="pct"/>
        <w:tblInd w:w="425" w:type="dxa"/>
        <w:tblLook w:val="04A0" w:firstRow="1" w:lastRow="0" w:firstColumn="1" w:lastColumn="0" w:noHBand="0" w:noVBand="1"/>
        <w:tblDescription w:val="Version history from 5 May 2005 to current"/>
      </w:tblPr>
      <w:tblGrid>
        <w:gridCol w:w="4088"/>
        <w:gridCol w:w="1066"/>
        <w:gridCol w:w="2576"/>
        <w:gridCol w:w="2155"/>
      </w:tblGrid>
      <w:tr w:rsidR="00B54ED8" w:rsidRPr="00D96292" w14:paraId="30351D6A" w14:textId="77777777" w:rsidTr="003B5D6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068" w:type="pct"/>
            <w:vAlign w:val="bottom"/>
          </w:tcPr>
          <w:p w14:paraId="762CBCBE" w14:textId="77777777" w:rsidR="00B54ED8" w:rsidRPr="00DC3077" w:rsidRDefault="00B54ED8" w:rsidP="003B5D66">
            <w:pPr>
              <w:pStyle w:val="BodyText"/>
              <w:spacing w:after="60"/>
            </w:pPr>
            <w:r w:rsidRPr="003128F8">
              <w:t>Penalty category</w:t>
            </w:r>
          </w:p>
        </w:tc>
        <w:tc>
          <w:tcPr>
            <w:tcW w:w="539" w:type="pct"/>
            <w:vAlign w:val="bottom"/>
          </w:tcPr>
          <w:p w14:paraId="2D51CA53" w14:textId="77777777" w:rsidR="00B54ED8" w:rsidRPr="007841EF" w:rsidRDefault="00B54ED8" w:rsidP="003B5D66">
            <w:pPr>
              <w:pStyle w:val="BodyText"/>
              <w:spacing w:after="60"/>
              <w:cnfStyle w:val="100000000000" w:firstRow="1" w:lastRow="0" w:firstColumn="0" w:lastColumn="0" w:oddVBand="0" w:evenVBand="0" w:oddHBand="0" w:evenHBand="0" w:firstRowFirstColumn="0" w:firstRowLastColumn="0" w:lastRowFirstColumn="0" w:lastRowLastColumn="0"/>
            </w:pPr>
            <w:r w:rsidRPr="007841EF">
              <w:t>Base penalty</w:t>
            </w:r>
          </w:p>
        </w:tc>
        <w:tc>
          <w:tcPr>
            <w:tcW w:w="1303" w:type="pct"/>
            <w:vAlign w:val="bottom"/>
          </w:tcPr>
          <w:p w14:paraId="35CB8B06" w14:textId="77777777" w:rsidR="00B54ED8" w:rsidRPr="007841EF" w:rsidRDefault="00B54ED8" w:rsidP="003B5D66">
            <w:pPr>
              <w:pStyle w:val="BodyText"/>
              <w:spacing w:after="60"/>
              <w:cnfStyle w:val="100000000000" w:firstRow="1" w:lastRow="0" w:firstColumn="0" w:lastColumn="0" w:oddVBand="0" w:evenVBand="0" w:oddHBand="0" w:evenHBand="0" w:firstRowFirstColumn="0" w:firstRowLastColumn="0" w:lastRowFirstColumn="0" w:lastRowLastColumn="0"/>
            </w:pPr>
            <w:r w:rsidRPr="007841EF">
              <w:t>Full and immediate disclosure before investigation</w:t>
            </w:r>
          </w:p>
        </w:tc>
        <w:tc>
          <w:tcPr>
            <w:tcW w:w="1090" w:type="pct"/>
            <w:vAlign w:val="bottom"/>
          </w:tcPr>
          <w:p w14:paraId="5CA139D9" w14:textId="77777777" w:rsidR="00B54ED8" w:rsidRPr="007841EF" w:rsidRDefault="00B54ED8" w:rsidP="003B5D66">
            <w:pPr>
              <w:pStyle w:val="BodyText"/>
              <w:spacing w:after="60"/>
              <w:cnfStyle w:val="100000000000" w:firstRow="1" w:lastRow="0" w:firstColumn="0" w:lastColumn="0" w:oddVBand="0" w:evenVBand="0" w:oddHBand="0" w:evenHBand="0" w:firstRowFirstColumn="0" w:firstRowLastColumn="0" w:lastRowFirstColumn="0" w:lastRowLastColumn="0"/>
            </w:pPr>
            <w:r w:rsidRPr="007841EF">
              <w:t>Full cooperation with investigation</w:t>
            </w:r>
          </w:p>
        </w:tc>
      </w:tr>
      <w:tr w:rsidR="00B54ED8" w:rsidRPr="00D96292" w14:paraId="497F414A" w14:textId="77777777" w:rsidTr="003B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pct"/>
          </w:tcPr>
          <w:p w14:paraId="00B62E59" w14:textId="3CE7CBCC" w:rsidR="00B54ED8" w:rsidRPr="00DC3077" w:rsidRDefault="00B54ED8" w:rsidP="003B5D66">
            <w:pPr>
              <w:pStyle w:val="BodyText"/>
              <w:spacing w:after="40"/>
            </w:pPr>
            <w:r w:rsidRPr="0018689C">
              <w:t>Comply</w:t>
            </w:r>
            <w:r w:rsidR="00A825E4">
              <w:t>ing</w:t>
            </w:r>
            <w:r w:rsidRPr="0018689C">
              <w:t xml:space="preserve"> with requirement to notify and repay within the relevant 30-day repayment period</w:t>
            </w:r>
          </w:p>
        </w:tc>
        <w:tc>
          <w:tcPr>
            <w:tcW w:w="539" w:type="pct"/>
          </w:tcPr>
          <w:p w14:paraId="681CC0B4" w14:textId="77777777" w:rsidR="00B54ED8" w:rsidRPr="00DC3077"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18689C">
              <w:t>0%</w:t>
            </w:r>
          </w:p>
        </w:tc>
        <w:tc>
          <w:tcPr>
            <w:tcW w:w="1303" w:type="pct"/>
          </w:tcPr>
          <w:p w14:paraId="3219B852" w14:textId="1E129FF4" w:rsidR="00B54ED8" w:rsidRPr="00DC3077" w:rsidRDefault="00D96292" w:rsidP="003B5D66">
            <w:pPr>
              <w:pStyle w:val="BodyText"/>
              <w:spacing w:after="40"/>
              <w:cnfStyle w:val="000000100000" w:firstRow="0" w:lastRow="0" w:firstColumn="0" w:lastColumn="0" w:oddVBand="0" w:evenVBand="0" w:oddHBand="1" w:evenHBand="0" w:firstRowFirstColumn="0" w:firstRowLastColumn="0" w:lastRowFirstColumn="0" w:lastRowLastColumn="0"/>
            </w:pPr>
            <w:r>
              <w:t>n</w:t>
            </w:r>
            <w:r w:rsidR="00B54ED8" w:rsidRPr="0018689C">
              <w:t>/a</w:t>
            </w:r>
          </w:p>
        </w:tc>
        <w:tc>
          <w:tcPr>
            <w:tcW w:w="1090" w:type="pct"/>
          </w:tcPr>
          <w:p w14:paraId="1FC0FB8E" w14:textId="4B8F2696" w:rsidR="00B54ED8" w:rsidRPr="00DC3077" w:rsidRDefault="00D96292" w:rsidP="003B5D66">
            <w:pPr>
              <w:pStyle w:val="BodyText"/>
              <w:spacing w:after="40"/>
              <w:cnfStyle w:val="000000100000" w:firstRow="0" w:lastRow="0" w:firstColumn="0" w:lastColumn="0" w:oddVBand="0" w:evenVBand="0" w:oddHBand="1" w:evenHBand="0" w:firstRowFirstColumn="0" w:firstRowLastColumn="0" w:lastRowFirstColumn="0" w:lastRowLastColumn="0"/>
            </w:pPr>
            <w:r>
              <w:t>n</w:t>
            </w:r>
            <w:r w:rsidR="00B54ED8" w:rsidRPr="0018689C">
              <w:t>/a</w:t>
            </w:r>
          </w:p>
        </w:tc>
      </w:tr>
      <w:tr w:rsidR="00B54ED8" w:rsidRPr="00D96292" w14:paraId="1DAEAAD1" w14:textId="77777777" w:rsidTr="003B5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pct"/>
          </w:tcPr>
          <w:p w14:paraId="31F89165" w14:textId="495C498E" w:rsidR="00B54ED8" w:rsidRPr="00DC3077" w:rsidRDefault="00B54ED8" w:rsidP="003B5D66">
            <w:pPr>
              <w:pStyle w:val="BodyText"/>
              <w:spacing w:after="40"/>
            </w:pPr>
            <w:r w:rsidRPr="0018689C">
              <w:t>Fail</w:t>
            </w:r>
            <w:r w:rsidR="00A825E4">
              <w:t>ing</w:t>
            </w:r>
            <w:r w:rsidRPr="0018689C">
              <w:t xml:space="preserve"> to notify and repay within the repayment period where ineligible for </w:t>
            </w:r>
            <w:r w:rsidR="00E915CA">
              <w:t xml:space="preserve">the </w:t>
            </w:r>
            <w:r w:rsidRPr="0018689C">
              <w:t>FHOG, HLPE, THOD or SPCC</w:t>
            </w:r>
          </w:p>
        </w:tc>
        <w:tc>
          <w:tcPr>
            <w:tcW w:w="539" w:type="pct"/>
          </w:tcPr>
          <w:p w14:paraId="27EE9D8B" w14:textId="77777777" w:rsidR="00B54ED8" w:rsidRPr="00DC3077"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18689C">
              <w:t>25%</w:t>
            </w:r>
          </w:p>
        </w:tc>
        <w:tc>
          <w:tcPr>
            <w:tcW w:w="1303" w:type="pct"/>
          </w:tcPr>
          <w:p w14:paraId="081EACC6" w14:textId="77777777" w:rsidR="00B54ED8" w:rsidRPr="00DC3077"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18689C">
              <w:t>5%</w:t>
            </w:r>
          </w:p>
        </w:tc>
        <w:tc>
          <w:tcPr>
            <w:tcW w:w="1090" w:type="pct"/>
          </w:tcPr>
          <w:p w14:paraId="1BD6E227" w14:textId="77777777" w:rsidR="00B54ED8" w:rsidRPr="00DC3077"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18689C">
              <w:t>20%</w:t>
            </w:r>
          </w:p>
        </w:tc>
      </w:tr>
      <w:tr w:rsidR="00B54ED8" w:rsidRPr="00D96292" w14:paraId="1866834F" w14:textId="77777777" w:rsidTr="003B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pct"/>
          </w:tcPr>
          <w:p w14:paraId="50DBD3B0" w14:textId="63767CA0" w:rsidR="00B54ED8" w:rsidRPr="00DC3077" w:rsidRDefault="00B54ED8" w:rsidP="003B5D66">
            <w:pPr>
              <w:pStyle w:val="BodyText"/>
              <w:spacing w:after="40"/>
            </w:pPr>
            <w:r w:rsidRPr="0018689C">
              <w:t>Intentional</w:t>
            </w:r>
            <w:r w:rsidR="00A825E4">
              <w:t>ly</w:t>
            </w:r>
            <w:r w:rsidRPr="0018689C">
              <w:t xml:space="preserve"> disregard</w:t>
            </w:r>
            <w:r w:rsidR="00A825E4">
              <w:t>ing</w:t>
            </w:r>
            <w:r w:rsidRPr="0018689C">
              <w:t xml:space="preserve"> the FHOG, HLPE, THOD or SPCC requirements</w:t>
            </w:r>
          </w:p>
        </w:tc>
        <w:tc>
          <w:tcPr>
            <w:tcW w:w="539" w:type="pct"/>
          </w:tcPr>
          <w:p w14:paraId="1C54F6E2" w14:textId="77777777" w:rsidR="00B54ED8" w:rsidRPr="00DC3077"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18689C">
              <w:t>75%</w:t>
            </w:r>
          </w:p>
        </w:tc>
        <w:tc>
          <w:tcPr>
            <w:tcW w:w="1303" w:type="pct"/>
          </w:tcPr>
          <w:p w14:paraId="028FFDD1" w14:textId="77777777" w:rsidR="00B54ED8" w:rsidRPr="00DC3077"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18689C">
              <w:t>15%</w:t>
            </w:r>
          </w:p>
        </w:tc>
        <w:tc>
          <w:tcPr>
            <w:tcW w:w="1090" w:type="pct"/>
          </w:tcPr>
          <w:p w14:paraId="6908F9DD" w14:textId="77777777" w:rsidR="00B54ED8" w:rsidRPr="00DC3077"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18689C">
              <w:t>60%</w:t>
            </w:r>
          </w:p>
        </w:tc>
      </w:tr>
      <w:tr w:rsidR="00B54ED8" w:rsidRPr="00D96292" w14:paraId="21321E38" w14:textId="77777777" w:rsidTr="003B5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pct"/>
          </w:tcPr>
          <w:p w14:paraId="2FC82705" w14:textId="0EE0A9BC" w:rsidR="00B54ED8" w:rsidRPr="00DC3077" w:rsidRDefault="00B54ED8" w:rsidP="003B5D66">
            <w:pPr>
              <w:pStyle w:val="BodyText"/>
              <w:spacing w:after="40"/>
            </w:pPr>
            <w:r w:rsidRPr="0018689C">
              <w:t>Conceal</w:t>
            </w:r>
            <w:r w:rsidR="00A825E4">
              <w:t>ing</w:t>
            </w:r>
            <w:r w:rsidRPr="0018689C">
              <w:t xml:space="preserve"> or hindering an investigation or assessment</w:t>
            </w:r>
          </w:p>
        </w:tc>
        <w:tc>
          <w:tcPr>
            <w:tcW w:w="539" w:type="pct"/>
          </w:tcPr>
          <w:p w14:paraId="2C8DC2EF" w14:textId="77777777" w:rsidR="00B54ED8" w:rsidRPr="00DC3077" w:rsidRDefault="00B54ED8" w:rsidP="003B5D66">
            <w:pPr>
              <w:pStyle w:val="BodyText"/>
              <w:spacing w:after="40"/>
              <w:cnfStyle w:val="000000010000" w:firstRow="0" w:lastRow="0" w:firstColumn="0" w:lastColumn="0" w:oddVBand="0" w:evenVBand="0" w:oddHBand="0" w:evenHBand="1" w:firstRowFirstColumn="0" w:firstRowLastColumn="0" w:lastRowFirstColumn="0" w:lastRowLastColumn="0"/>
            </w:pPr>
            <w:r w:rsidRPr="003B5D66">
              <w:t>75%</w:t>
            </w:r>
          </w:p>
        </w:tc>
        <w:tc>
          <w:tcPr>
            <w:tcW w:w="1303" w:type="pct"/>
          </w:tcPr>
          <w:p w14:paraId="557C15AD" w14:textId="5BDC558E" w:rsidR="00B54ED8" w:rsidRPr="00DC3077" w:rsidRDefault="00D96292" w:rsidP="003B5D66">
            <w:pPr>
              <w:pStyle w:val="BodyText"/>
              <w:spacing w:after="40"/>
              <w:cnfStyle w:val="000000010000" w:firstRow="0" w:lastRow="0" w:firstColumn="0" w:lastColumn="0" w:oddVBand="0" w:evenVBand="0" w:oddHBand="0" w:evenHBand="1" w:firstRowFirstColumn="0" w:firstRowLastColumn="0" w:lastRowFirstColumn="0" w:lastRowLastColumn="0"/>
            </w:pPr>
            <w:r>
              <w:t>n</w:t>
            </w:r>
            <w:r w:rsidR="00B54ED8" w:rsidRPr="003B5D66">
              <w:t>/a</w:t>
            </w:r>
          </w:p>
        </w:tc>
        <w:tc>
          <w:tcPr>
            <w:tcW w:w="1090" w:type="pct"/>
          </w:tcPr>
          <w:p w14:paraId="1458794C" w14:textId="2ECB14A2" w:rsidR="00B54ED8" w:rsidRPr="00DC3077" w:rsidRDefault="00D96292" w:rsidP="003B5D66">
            <w:pPr>
              <w:pStyle w:val="BodyText"/>
              <w:spacing w:after="40"/>
              <w:cnfStyle w:val="000000010000" w:firstRow="0" w:lastRow="0" w:firstColumn="0" w:lastColumn="0" w:oddVBand="0" w:evenVBand="0" w:oddHBand="0" w:evenHBand="1" w:firstRowFirstColumn="0" w:firstRowLastColumn="0" w:lastRowFirstColumn="0" w:lastRowLastColumn="0"/>
            </w:pPr>
            <w:r>
              <w:t>n</w:t>
            </w:r>
            <w:r w:rsidR="00B54ED8" w:rsidRPr="003B5D66">
              <w:t>/a</w:t>
            </w:r>
          </w:p>
        </w:tc>
      </w:tr>
      <w:tr w:rsidR="00B54ED8" w:rsidRPr="00D96292" w14:paraId="3C93BBC6" w14:textId="77777777" w:rsidTr="003B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pct"/>
          </w:tcPr>
          <w:p w14:paraId="0A0661B1" w14:textId="0AC82730" w:rsidR="00B54ED8" w:rsidRPr="00CF58C1" w:rsidRDefault="00B54ED8" w:rsidP="003B5D66">
            <w:pPr>
              <w:pStyle w:val="BodyText"/>
              <w:spacing w:after="40"/>
            </w:pPr>
            <w:r w:rsidRPr="00624DEA">
              <w:t>Intentional</w:t>
            </w:r>
            <w:r w:rsidR="00A825E4">
              <w:t>ly</w:t>
            </w:r>
            <w:r w:rsidRPr="00624DEA">
              <w:t xml:space="preserve"> disregard</w:t>
            </w:r>
            <w:r w:rsidR="00A825E4">
              <w:t>ing</w:t>
            </w:r>
            <w:r w:rsidRPr="00624DEA">
              <w:t xml:space="preserve"> the FHOG,</w:t>
            </w:r>
            <w:r>
              <w:t xml:space="preserve"> HLPE,</w:t>
            </w:r>
            <w:r w:rsidRPr="00624DEA">
              <w:t xml:space="preserve"> THOD or SPCC requirements </w:t>
            </w:r>
            <w:r w:rsidRPr="003B5D66">
              <w:t>and</w:t>
            </w:r>
            <w:r w:rsidR="00A825E4">
              <w:t xml:space="preserve"> </w:t>
            </w:r>
            <w:r w:rsidRPr="00624DEA">
              <w:t>conceal</w:t>
            </w:r>
            <w:r w:rsidR="00A825E4">
              <w:t>ing</w:t>
            </w:r>
            <w:r w:rsidRPr="00624DEA">
              <w:t xml:space="preserve"> or hindering an investigation or assessment</w:t>
            </w:r>
          </w:p>
        </w:tc>
        <w:tc>
          <w:tcPr>
            <w:tcW w:w="539" w:type="pct"/>
          </w:tcPr>
          <w:p w14:paraId="31DE791A" w14:textId="77777777" w:rsidR="00B54ED8" w:rsidRPr="003B5D66" w:rsidRDefault="00B54ED8" w:rsidP="003B5D66">
            <w:pPr>
              <w:pStyle w:val="BodyText"/>
              <w:spacing w:after="40"/>
              <w:cnfStyle w:val="000000100000" w:firstRow="0" w:lastRow="0" w:firstColumn="0" w:lastColumn="0" w:oddVBand="0" w:evenVBand="0" w:oddHBand="1" w:evenHBand="0" w:firstRowFirstColumn="0" w:firstRowLastColumn="0" w:lastRowFirstColumn="0" w:lastRowLastColumn="0"/>
            </w:pPr>
            <w:r w:rsidRPr="003B5D66">
              <w:t>95%</w:t>
            </w:r>
          </w:p>
        </w:tc>
        <w:tc>
          <w:tcPr>
            <w:tcW w:w="1303" w:type="pct"/>
          </w:tcPr>
          <w:p w14:paraId="3ED89DF5" w14:textId="3B9400EE" w:rsidR="00B54ED8" w:rsidRPr="003B5D66" w:rsidRDefault="00D96292" w:rsidP="003B5D66">
            <w:pPr>
              <w:pStyle w:val="BodyText"/>
              <w:spacing w:after="40"/>
              <w:cnfStyle w:val="000000100000" w:firstRow="0" w:lastRow="0" w:firstColumn="0" w:lastColumn="0" w:oddVBand="0" w:evenVBand="0" w:oddHBand="1" w:evenHBand="0" w:firstRowFirstColumn="0" w:firstRowLastColumn="0" w:lastRowFirstColumn="0" w:lastRowLastColumn="0"/>
            </w:pPr>
            <w:r>
              <w:t>n</w:t>
            </w:r>
            <w:r w:rsidR="00B54ED8" w:rsidRPr="003B5D66">
              <w:t>/a</w:t>
            </w:r>
          </w:p>
        </w:tc>
        <w:tc>
          <w:tcPr>
            <w:tcW w:w="1090" w:type="pct"/>
          </w:tcPr>
          <w:p w14:paraId="17308CBC" w14:textId="37F46F8C" w:rsidR="00B54ED8" w:rsidRPr="003B5D66" w:rsidRDefault="00D96292" w:rsidP="003B5D66">
            <w:pPr>
              <w:pStyle w:val="BodyText"/>
              <w:spacing w:after="40"/>
              <w:cnfStyle w:val="000000100000" w:firstRow="0" w:lastRow="0" w:firstColumn="0" w:lastColumn="0" w:oddVBand="0" w:evenVBand="0" w:oddHBand="1" w:evenHBand="0" w:firstRowFirstColumn="0" w:firstRowLastColumn="0" w:lastRowFirstColumn="0" w:lastRowLastColumn="0"/>
            </w:pPr>
            <w:r>
              <w:t>n</w:t>
            </w:r>
            <w:r w:rsidR="00B54ED8" w:rsidRPr="003B5D66">
              <w:t>/a</w:t>
            </w:r>
          </w:p>
        </w:tc>
      </w:tr>
    </w:tbl>
    <w:p w14:paraId="1F7A390A" w14:textId="7907B5A4" w:rsidR="00D96292" w:rsidRDefault="00D96292" w:rsidP="003B5D66">
      <w:pPr>
        <w:pStyle w:val="Numberlistlevel1textcontinue"/>
      </w:pPr>
      <w:r>
        <w:t>n/a: not applicable</w:t>
      </w:r>
    </w:p>
    <w:p w14:paraId="0A976C9B" w14:textId="681241FB" w:rsidR="00B54ED8" w:rsidRDefault="00B54ED8" w:rsidP="003B5D66">
      <w:pPr>
        <w:pStyle w:val="Heading1"/>
      </w:pPr>
      <w:r>
        <w:t>Commissioner’s Guidelines</w:t>
      </w:r>
    </w:p>
    <w:p w14:paraId="5A51AF0E" w14:textId="55F2AAF5" w:rsidR="00B54ED8" w:rsidRPr="00940969" w:rsidRDefault="00B54ED8" w:rsidP="003B5D66">
      <w:pPr>
        <w:pStyle w:val="Numberlistlevel1ListNumber"/>
      </w:pPr>
      <w:r w:rsidRPr="00940969">
        <w:t xml:space="preserve">Commissioner’s Guideline </w:t>
      </w:r>
      <w:r w:rsidRPr="00086FD8">
        <w:t>CG-GEN-001</w:t>
      </w:r>
      <w:r w:rsidR="00D96292">
        <w:t>:</w:t>
      </w:r>
      <w:r w:rsidR="00D96292" w:rsidRPr="00D96292">
        <w:rPr>
          <w:i/>
        </w:rPr>
        <w:t xml:space="preserve"> </w:t>
      </w:r>
      <w:r w:rsidR="00D96292" w:rsidRPr="00BC0C2B">
        <w:rPr>
          <w:i/>
        </w:rPr>
        <w:t>Revenue Circulars, Commissioner’s Guide</w:t>
      </w:r>
      <w:r w:rsidR="00E915CA">
        <w:rPr>
          <w:i/>
        </w:rPr>
        <w:t>lines and Payroll Tax Rulings: e</w:t>
      </w:r>
      <w:r w:rsidR="00D96292" w:rsidRPr="00BC0C2B">
        <w:rPr>
          <w:i/>
        </w:rPr>
        <w:t xml:space="preserve">xplanation and </w:t>
      </w:r>
      <w:r w:rsidR="00E915CA">
        <w:rPr>
          <w:i/>
        </w:rPr>
        <w:t>s</w:t>
      </w:r>
      <w:r w:rsidR="00D96292" w:rsidRPr="00BC0C2B">
        <w:rPr>
          <w:i/>
        </w:rPr>
        <w:t>tatus</w:t>
      </w:r>
      <w:r w:rsidRPr="00940969">
        <w:t>, which sets out information on the revenue publication system, is</w:t>
      </w:r>
      <w:r w:rsidR="00E915CA">
        <w:t xml:space="preserve"> </w:t>
      </w:r>
      <w:r w:rsidRPr="00940969">
        <w:t>incorporated into and</w:t>
      </w:r>
      <w:r w:rsidR="004D1771">
        <w:t xml:space="preserve"> to be</w:t>
      </w:r>
      <w:r w:rsidRPr="00940969">
        <w:t xml:space="preserve"> read as one with this </w:t>
      </w:r>
      <w:r w:rsidR="00A825E4">
        <w:t>g</w:t>
      </w:r>
      <w:r w:rsidRPr="00940969">
        <w:t xml:space="preserve">uideline. All </w:t>
      </w:r>
      <w:r w:rsidR="00A825E4">
        <w:t>c</w:t>
      </w:r>
      <w:r w:rsidRPr="00940969">
        <w:t xml:space="preserve">irculars and </w:t>
      </w:r>
      <w:r w:rsidR="00A825E4">
        <w:t>g</w:t>
      </w:r>
      <w:r w:rsidR="00A825E4" w:rsidRPr="00940969">
        <w:t xml:space="preserve">uidelines </w:t>
      </w:r>
      <w:r w:rsidRPr="00940969">
        <w:t xml:space="preserve">are available </w:t>
      </w:r>
      <w:r w:rsidR="00D96292">
        <w:t>on</w:t>
      </w:r>
      <w:r w:rsidR="00D96292" w:rsidRPr="00940969">
        <w:t xml:space="preserve"> </w:t>
      </w:r>
      <w:r w:rsidRPr="00940969">
        <w:t>the TRO website.</w:t>
      </w:r>
      <w:r w:rsidR="00583570">
        <w:br w:type="page"/>
      </w:r>
    </w:p>
    <w:p w14:paraId="7BF49677" w14:textId="77777777" w:rsidR="00B54ED8" w:rsidRDefault="00B54ED8" w:rsidP="003B5D66">
      <w:pPr>
        <w:pStyle w:val="Heading1"/>
      </w:pPr>
      <w:r>
        <w:lastRenderedPageBreak/>
        <w:t>Date of effect</w:t>
      </w:r>
    </w:p>
    <w:p w14:paraId="713D4558" w14:textId="54860CE0" w:rsidR="00B54ED8" w:rsidRDefault="00B54ED8" w:rsidP="003B5D66">
      <w:pPr>
        <w:pStyle w:val="Numberlistlevel1ListNumber"/>
      </w:pPr>
      <w:r>
        <w:t xml:space="preserve">This version of the </w:t>
      </w:r>
      <w:r w:rsidR="00A825E4">
        <w:t>g</w:t>
      </w:r>
      <w:r>
        <w:t>uideline takes effect from 1 July 2022.</w:t>
      </w:r>
    </w:p>
    <w:p w14:paraId="5BC570B6" w14:textId="77777777" w:rsidR="00D30626" w:rsidRDefault="00D30626" w:rsidP="00D96292">
      <w:pPr>
        <w:pStyle w:val="BodyText"/>
        <w:rPr>
          <w:sz w:val="20"/>
          <w:szCs w:val="20"/>
        </w:rPr>
      </w:pPr>
      <w:r>
        <w:rPr>
          <w:noProof/>
          <w:lang w:eastAsia="en-AU"/>
        </w:rPr>
        <w:drawing>
          <wp:inline distT="0" distB="0" distL="0" distR="0" wp14:anchorId="52879499" wp14:editId="365C813B">
            <wp:extent cx="1311275" cy="786765"/>
            <wp:effectExtent l="0" t="0" r="317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l="11940"/>
                    <a:stretch/>
                  </pic:blipFill>
                  <pic:spPr bwMode="auto">
                    <a:xfrm>
                      <a:off x="0" y="0"/>
                      <a:ext cx="1311275" cy="786765"/>
                    </a:xfrm>
                    <a:prstGeom prst="rect">
                      <a:avLst/>
                    </a:prstGeom>
                    <a:noFill/>
                    <a:ln>
                      <a:noFill/>
                    </a:ln>
                    <a:extLst>
                      <a:ext uri="{53640926-AAD7-44D8-BBD7-CCE9431645EC}">
                        <a14:shadowObscured xmlns:a14="http://schemas.microsoft.com/office/drawing/2010/main"/>
                      </a:ext>
                    </a:extLst>
                  </pic:spPr>
                </pic:pic>
              </a:graphicData>
            </a:graphic>
          </wp:inline>
        </w:drawing>
      </w:r>
    </w:p>
    <w:p w14:paraId="770F7019" w14:textId="07978B3E" w:rsidR="00D96292" w:rsidRPr="007164BE" w:rsidRDefault="00D96292" w:rsidP="00D96292">
      <w:pPr>
        <w:pStyle w:val="BodyText"/>
        <w:rPr>
          <w:sz w:val="20"/>
          <w:szCs w:val="20"/>
        </w:rPr>
      </w:pPr>
      <w:r>
        <w:rPr>
          <w:sz w:val="20"/>
          <w:szCs w:val="20"/>
        </w:rPr>
        <w:t>Sarah Rummery</w:t>
      </w:r>
    </w:p>
    <w:p w14:paraId="264C5F7A" w14:textId="77777777" w:rsidR="00D96292" w:rsidRPr="00046BA8" w:rsidRDefault="00D96292" w:rsidP="00D96292">
      <w:pPr>
        <w:pStyle w:val="BodyText"/>
        <w:rPr>
          <w:b/>
          <w:sz w:val="20"/>
          <w:szCs w:val="20"/>
        </w:rPr>
      </w:pPr>
      <w:r w:rsidRPr="00046BA8">
        <w:rPr>
          <w:b/>
          <w:sz w:val="20"/>
          <w:szCs w:val="20"/>
        </w:rPr>
        <w:t>COMMISSIONER OF TERRITORY REVENUE</w:t>
      </w:r>
    </w:p>
    <w:p w14:paraId="5AF7907A" w14:textId="77777777" w:rsidR="00D96292" w:rsidRPr="006C6BC9" w:rsidRDefault="00D96292" w:rsidP="00D96292">
      <w:pPr>
        <w:pStyle w:val="BodyText"/>
        <w:rPr>
          <w:sz w:val="20"/>
          <w:szCs w:val="20"/>
        </w:rPr>
      </w:pPr>
      <w:r w:rsidRPr="00B80237">
        <w:rPr>
          <w:sz w:val="20"/>
          <w:szCs w:val="20"/>
        </w:rPr>
        <w:t>Date of issue: 1 July 2022</w:t>
      </w:r>
    </w:p>
    <w:tbl>
      <w:tblPr>
        <w:tblW w:w="5000" w:type="pct"/>
        <w:tblBorders>
          <w:top w:val="single" w:sz="4" w:space="0" w:color="333399"/>
          <w:bottom w:val="single" w:sz="4" w:space="0" w:color="333399"/>
          <w:insideH w:val="single" w:sz="4" w:space="0" w:color="333399"/>
        </w:tblBorders>
        <w:tblLayout w:type="fixed"/>
        <w:tblCellMar>
          <w:top w:w="57" w:type="dxa"/>
          <w:left w:w="0" w:type="dxa"/>
          <w:bottom w:w="57" w:type="dxa"/>
          <w:right w:w="0" w:type="dxa"/>
        </w:tblCellMar>
        <w:tblLook w:val="01E0" w:firstRow="1" w:lastRow="1" w:firstColumn="1" w:lastColumn="1" w:noHBand="0" w:noVBand="0"/>
      </w:tblPr>
      <w:tblGrid>
        <w:gridCol w:w="4775"/>
        <w:gridCol w:w="5543"/>
      </w:tblGrid>
      <w:tr w:rsidR="00D96292" w:rsidRPr="00B908C8" w14:paraId="39E1553E" w14:textId="77777777" w:rsidTr="00BC0C2B">
        <w:tc>
          <w:tcPr>
            <w:tcW w:w="5000" w:type="pct"/>
            <w:gridSpan w:val="2"/>
          </w:tcPr>
          <w:p w14:paraId="666E8B42" w14:textId="77777777" w:rsidR="00D96292" w:rsidRPr="00B908C8" w:rsidRDefault="00D96292" w:rsidP="00BC0C2B">
            <w:pPr>
              <w:spacing w:before="120" w:after="120" w:line="240" w:lineRule="atLeast"/>
              <w:rPr>
                <w:rFonts w:cs="Arial"/>
                <w:sz w:val="20"/>
                <w:szCs w:val="20"/>
              </w:rPr>
            </w:pPr>
            <w:r w:rsidRPr="00B908C8">
              <w:rPr>
                <w:rFonts w:cs="Arial"/>
                <w:sz w:val="20"/>
                <w:szCs w:val="20"/>
              </w:rPr>
              <w:t>For further information, contact the Territory Revenue Office</w:t>
            </w:r>
          </w:p>
        </w:tc>
      </w:tr>
      <w:tr w:rsidR="00D96292" w:rsidRPr="00B908C8" w14:paraId="11CA4ECB" w14:textId="77777777" w:rsidTr="00BC0C2B">
        <w:tc>
          <w:tcPr>
            <w:tcW w:w="2314" w:type="pct"/>
          </w:tcPr>
          <w:p w14:paraId="14900571" w14:textId="77777777" w:rsidR="00D96292" w:rsidRPr="0018689C" w:rsidRDefault="00D96292" w:rsidP="00BC0C2B">
            <w:pPr>
              <w:spacing w:before="120" w:after="120"/>
              <w:rPr>
                <w:rFonts w:cs="Arial"/>
                <w:sz w:val="20"/>
                <w:szCs w:val="20"/>
              </w:rPr>
            </w:pPr>
            <w:r w:rsidRPr="0018689C">
              <w:rPr>
                <w:rFonts w:cs="Arial"/>
                <w:sz w:val="20"/>
                <w:szCs w:val="20"/>
              </w:rPr>
              <w:t>GPO Box 1974</w:t>
            </w:r>
          </w:p>
          <w:p w14:paraId="742D7253" w14:textId="77777777" w:rsidR="00D96292" w:rsidRPr="0018689C" w:rsidRDefault="00D96292" w:rsidP="00BC0C2B">
            <w:pPr>
              <w:spacing w:before="120" w:after="120"/>
              <w:rPr>
                <w:rFonts w:cs="Arial"/>
                <w:sz w:val="20"/>
                <w:szCs w:val="20"/>
              </w:rPr>
            </w:pPr>
            <w:r w:rsidRPr="0018689C">
              <w:rPr>
                <w:rFonts w:cs="Arial"/>
                <w:sz w:val="20"/>
                <w:szCs w:val="20"/>
              </w:rPr>
              <w:t>Darwin NT 0801</w:t>
            </w:r>
          </w:p>
          <w:p w14:paraId="0E87D5CA" w14:textId="77777777" w:rsidR="00D96292" w:rsidRPr="0018689C" w:rsidRDefault="00D96292" w:rsidP="00BC0C2B">
            <w:pPr>
              <w:spacing w:before="120" w:after="120"/>
              <w:rPr>
                <w:rFonts w:cs="Arial"/>
                <w:sz w:val="20"/>
                <w:szCs w:val="20"/>
              </w:rPr>
            </w:pPr>
            <w:r w:rsidRPr="0018689C">
              <w:rPr>
                <w:rFonts w:cs="Arial"/>
                <w:sz w:val="20"/>
                <w:szCs w:val="20"/>
              </w:rPr>
              <w:t xml:space="preserve">Email: </w:t>
            </w:r>
            <w:hyperlink r:id="rId11" w:history="1">
              <w:r w:rsidRPr="003B5D66">
                <w:rPr>
                  <w:rStyle w:val="Hyperlink"/>
                </w:rPr>
                <w:t>ntrevenue@nt.gov.au</w:t>
              </w:r>
            </w:hyperlink>
          </w:p>
        </w:tc>
        <w:tc>
          <w:tcPr>
            <w:tcW w:w="2686" w:type="pct"/>
          </w:tcPr>
          <w:p w14:paraId="0C214EC6" w14:textId="77777777" w:rsidR="00D96292" w:rsidRPr="0018689C" w:rsidRDefault="00D96292" w:rsidP="00BC0C2B">
            <w:pPr>
              <w:spacing w:before="120" w:after="120"/>
              <w:rPr>
                <w:rFonts w:cs="Arial"/>
                <w:sz w:val="20"/>
                <w:szCs w:val="20"/>
              </w:rPr>
            </w:pPr>
            <w:r w:rsidRPr="0018689C">
              <w:rPr>
                <w:rFonts w:cs="Arial"/>
                <w:sz w:val="20"/>
                <w:szCs w:val="20"/>
              </w:rPr>
              <w:t>Phone: 1300 305 353</w:t>
            </w:r>
          </w:p>
          <w:p w14:paraId="74D7B1BB" w14:textId="77777777" w:rsidR="00D96292" w:rsidRPr="0018689C" w:rsidRDefault="00D96292" w:rsidP="00BC0C2B">
            <w:pPr>
              <w:spacing w:before="120" w:after="120"/>
              <w:rPr>
                <w:rFonts w:cs="Arial"/>
                <w:bCs/>
                <w:sz w:val="20"/>
                <w:szCs w:val="20"/>
              </w:rPr>
            </w:pPr>
            <w:r w:rsidRPr="0018689C">
              <w:rPr>
                <w:rFonts w:cs="Arial"/>
                <w:sz w:val="20"/>
                <w:szCs w:val="20"/>
              </w:rPr>
              <w:t xml:space="preserve">Website: </w:t>
            </w:r>
            <w:hyperlink r:id="rId12" w:history="1">
              <w:r w:rsidRPr="003B5D66">
                <w:rPr>
                  <w:rStyle w:val="Hyperlink"/>
                </w:rPr>
                <w:t>www.revenue.nt.gov.au</w:t>
              </w:r>
            </w:hyperlink>
          </w:p>
        </w:tc>
      </w:tr>
    </w:tbl>
    <w:p w14:paraId="2512D8E1" w14:textId="77777777" w:rsidR="00B14257" w:rsidRPr="003B5D66" w:rsidRDefault="00B14257" w:rsidP="003B5D66">
      <w:pPr>
        <w:spacing w:after="0"/>
        <w:rPr>
          <w:sz w:val="2"/>
        </w:rPr>
      </w:pPr>
    </w:p>
    <w:sectPr w:rsidR="00B14257" w:rsidRPr="003B5D66" w:rsidSect="00A567EE">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E7254" w14:textId="77777777" w:rsidR="00F56F40" w:rsidRDefault="00F56F40" w:rsidP="007332FF">
      <w:r>
        <w:separator/>
      </w:r>
    </w:p>
  </w:endnote>
  <w:endnote w:type="continuationSeparator" w:id="0">
    <w:p w14:paraId="1FFB87B2" w14:textId="77777777" w:rsidR="00F56F40" w:rsidRDefault="00F56F4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86C11" w14:textId="77777777" w:rsidR="00983000" w:rsidRPr="00A5389A"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1FBCBCAF" w14:textId="77777777" w:rsidTr="00D47DC7">
      <w:trPr>
        <w:cantSplit/>
        <w:trHeight w:hRule="exact" w:val="850"/>
      </w:trPr>
      <w:tc>
        <w:tcPr>
          <w:tcW w:w="10318" w:type="dxa"/>
          <w:vAlign w:val="bottom"/>
        </w:tcPr>
        <w:p w14:paraId="6766870A"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54ED8">
                <w:rPr>
                  <w:rStyle w:val="PageNumber"/>
                  <w:b/>
                </w:rPr>
                <w:t>TREASURY AND FINANCE</w:t>
              </w:r>
            </w:sdtContent>
          </w:sdt>
        </w:p>
        <w:p w14:paraId="635773AE" w14:textId="77777777" w:rsidR="00D47DC7" w:rsidRPr="00CE6614" w:rsidRDefault="00F56F4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07-01T00:00:00Z">
                <w:dateFormat w:val="d MMMM yyyy"/>
                <w:lid w:val="en-AU"/>
                <w:storeMappedDataAs w:val="dateTime"/>
                <w:calendar w:val="gregorian"/>
              </w:date>
            </w:sdtPr>
            <w:sdtEndPr>
              <w:rPr>
                <w:rStyle w:val="PageNumber"/>
              </w:rPr>
            </w:sdtEndPr>
            <w:sdtContent>
              <w:r w:rsidR="00B54ED8">
                <w:rPr>
                  <w:rStyle w:val="PageNumber"/>
                </w:rPr>
                <w:t>1 July 2022</w:t>
              </w:r>
            </w:sdtContent>
          </w:sdt>
          <w:r w:rsidR="00B54ED8">
            <w:rPr>
              <w:rStyle w:val="PageNumber"/>
            </w:rPr>
            <w:t xml:space="preserve"> | Version 12</w:t>
          </w:r>
        </w:p>
        <w:p w14:paraId="2CFDCD61" w14:textId="1F65C122"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972CE">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972CE">
            <w:rPr>
              <w:rStyle w:val="PageNumber"/>
              <w:noProof/>
            </w:rPr>
            <w:t>7</w:t>
          </w:r>
          <w:r w:rsidRPr="00AC4488">
            <w:rPr>
              <w:rStyle w:val="PageNumber"/>
            </w:rPr>
            <w:fldChar w:fldCharType="end"/>
          </w:r>
        </w:p>
      </w:tc>
    </w:tr>
  </w:tbl>
  <w:p w14:paraId="269F5320"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E1B9"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74D5DD77" w14:textId="77777777" w:rsidTr="008921B4">
      <w:trPr>
        <w:cantSplit/>
        <w:trHeight w:hRule="exact" w:val="1134"/>
      </w:trPr>
      <w:tc>
        <w:tcPr>
          <w:tcW w:w="7767" w:type="dxa"/>
          <w:vAlign w:val="bottom"/>
        </w:tcPr>
        <w:p w14:paraId="0B82457C"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54ED8">
                <w:rPr>
                  <w:rStyle w:val="PageNumber"/>
                  <w:b/>
                </w:rPr>
                <w:t>TREASURY AND FINANCE</w:t>
              </w:r>
            </w:sdtContent>
          </w:sdt>
        </w:p>
        <w:p w14:paraId="1FB06045" w14:textId="77777777" w:rsidR="00D47DC7" w:rsidRPr="00CE6614" w:rsidRDefault="00F56F40"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7-01T00:00:00Z">
                <w:dateFormat w:val="d MMMM yyyy"/>
                <w:lid w:val="en-AU"/>
                <w:storeMappedDataAs w:val="dateTime"/>
                <w:calendar w:val="gregorian"/>
              </w:date>
            </w:sdtPr>
            <w:sdtEndPr>
              <w:rPr>
                <w:rStyle w:val="PageNumber"/>
              </w:rPr>
            </w:sdtEndPr>
            <w:sdtContent>
              <w:r w:rsidR="00B54ED8">
                <w:rPr>
                  <w:rStyle w:val="PageNumber"/>
                </w:rPr>
                <w:t>1 July 2022</w:t>
              </w:r>
            </w:sdtContent>
          </w:sdt>
          <w:r w:rsidR="00B54ED8">
            <w:rPr>
              <w:rStyle w:val="PageNumber"/>
            </w:rPr>
            <w:t xml:space="preserve"> | Version 12</w:t>
          </w:r>
        </w:p>
        <w:p w14:paraId="4C69EFB6" w14:textId="3E8717EC"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972CE">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972CE">
            <w:rPr>
              <w:rStyle w:val="PageNumber"/>
              <w:noProof/>
            </w:rPr>
            <w:t>7</w:t>
          </w:r>
          <w:r w:rsidRPr="00AC4488">
            <w:rPr>
              <w:rStyle w:val="PageNumber"/>
            </w:rPr>
            <w:fldChar w:fldCharType="end"/>
          </w:r>
        </w:p>
      </w:tc>
      <w:tc>
        <w:tcPr>
          <w:tcW w:w="2551" w:type="dxa"/>
          <w:vAlign w:val="bottom"/>
        </w:tcPr>
        <w:p w14:paraId="171DFF3F" w14:textId="77777777" w:rsidR="0071700C" w:rsidRPr="001E14EB" w:rsidRDefault="0071700C" w:rsidP="0071700C">
          <w:pPr>
            <w:spacing w:after="0"/>
            <w:jc w:val="right"/>
          </w:pPr>
          <w:r>
            <w:rPr>
              <w:noProof/>
              <w:lang w:eastAsia="en-AU"/>
            </w:rPr>
            <w:drawing>
              <wp:inline distT="0" distB="0" distL="0" distR="0" wp14:anchorId="69D1145E" wp14:editId="15073BB5">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B9E064E"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103B6" w14:textId="77777777" w:rsidR="00F56F40" w:rsidRDefault="00F56F40" w:rsidP="007332FF">
      <w:r>
        <w:separator/>
      </w:r>
    </w:p>
  </w:footnote>
  <w:footnote w:type="continuationSeparator" w:id="0">
    <w:p w14:paraId="5717A943" w14:textId="77777777" w:rsidR="00F56F40" w:rsidRDefault="00F56F40" w:rsidP="007332FF">
      <w:r>
        <w:continuationSeparator/>
      </w:r>
    </w:p>
  </w:footnote>
  <w:footnote w:id="1">
    <w:p w14:paraId="518A5543" w14:textId="1966190A" w:rsidR="00B54ED8" w:rsidRPr="003B5D66" w:rsidRDefault="00B54ED8" w:rsidP="00B54ED8">
      <w:pPr>
        <w:pStyle w:val="FootnoteText"/>
        <w:rPr>
          <w:rFonts w:asciiTheme="minorHAnsi" w:hAnsiTheme="minorHAnsi"/>
        </w:rPr>
      </w:pPr>
      <w:r w:rsidRPr="003B5D66">
        <w:rPr>
          <w:rStyle w:val="FootnoteReference"/>
          <w:rFonts w:asciiTheme="minorHAnsi" w:hAnsiTheme="minorHAnsi"/>
        </w:rPr>
        <w:footnoteRef/>
      </w:r>
      <w:r w:rsidRPr="003B5D66">
        <w:rPr>
          <w:rFonts w:asciiTheme="minorHAnsi" w:hAnsiTheme="minorHAnsi"/>
        </w:rPr>
        <w:t xml:space="preserve"> Section 41(2), 41(2) and 41(2A) of the </w:t>
      </w:r>
      <w:r w:rsidR="00224FD6">
        <w:rPr>
          <w:rFonts w:asciiTheme="minorHAnsi" w:hAnsiTheme="minorHAnsi"/>
          <w:i/>
        </w:rPr>
        <w:t>First Home Owner Grant Act 2000</w:t>
      </w:r>
      <w:r w:rsidR="00224FD6">
        <w:rPr>
          <w:rFonts w:asciiTheme="minorHAnsi" w:hAnsiTheme="minorHAnsi"/>
        </w:rPr>
        <w:t xml:space="preserve"> (</w:t>
      </w:r>
      <w:r w:rsidRPr="003B5D66">
        <w:rPr>
          <w:rFonts w:asciiTheme="minorHAnsi" w:hAnsiTheme="minorHAnsi"/>
        </w:rPr>
        <w:t>FHOGA</w:t>
      </w:r>
      <w:r w:rsidR="00224FD6">
        <w:rPr>
          <w:rFonts w:asciiTheme="minorHAnsi" w:hAnsiTheme="minorHAnsi"/>
        </w:rPr>
        <w:t>)</w:t>
      </w:r>
      <w:r w:rsidRPr="003B5D66">
        <w:rPr>
          <w:rFonts w:asciiTheme="minorHAnsi" w:hAnsiTheme="minorHAnsi"/>
        </w:rPr>
        <w:t>.</w:t>
      </w:r>
    </w:p>
  </w:footnote>
  <w:footnote w:id="2">
    <w:p w14:paraId="42F5C242" w14:textId="77777777" w:rsidR="00B54ED8" w:rsidRDefault="00B54ED8" w:rsidP="00B54ED8">
      <w:pPr>
        <w:pStyle w:val="FootnoteText"/>
      </w:pPr>
      <w:r>
        <w:rPr>
          <w:rStyle w:val="FootnoteReference"/>
        </w:rPr>
        <w:footnoteRef/>
      </w:r>
      <w:r>
        <w:t xml:space="preserve"> </w:t>
      </w:r>
      <w:r w:rsidRPr="00D541CB">
        <w:t>Section 41(3)(b) of the FHOGA.</w:t>
      </w:r>
    </w:p>
  </w:footnote>
  <w:footnote w:id="3">
    <w:p w14:paraId="692A2C6D" w14:textId="77777777" w:rsidR="00B54ED8" w:rsidRPr="00D541CB" w:rsidRDefault="00B54ED8" w:rsidP="00B54ED8">
      <w:pPr>
        <w:pStyle w:val="FootnoteText"/>
      </w:pPr>
      <w:r>
        <w:rPr>
          <w:rStyle w:val="FootnoteReference"/>
        </w:rPr>
        <w:footnoteRef/>
      </w:r>
      <w:r>
        <w:t xml:space="preserve"> </w:t>
      </w:r>
      <w:r w:rsidRPr="00214CFD">
        <w:t>Section 41(3)(a) of the FHOGA.</w:t>
      </w:r>
    </w:p>
  </w:footnote>
  <w:footnote w:id="4">
    <w:p w14:paraId="11F73242" w14:textId="77777777" w:rsidR="00B54ED8" w:rsidRDefault="00B54ED8" w:rsidP="00B54ED8">
      <w:pPr>
        <w:pStyle w:val="FootnoteText"/>
      </w:pPr>
      <w:r>
        <w:rPr>
          <w:rStyle w:val="FootnoteReference"/>
        </w:rPr>
        <w:footnoteRef/>
      </w:r>
      <w:r>
        <w:t xml:space="preserve"> </w:t>
      </w:r>
      <w:r w:rsidRPr="009744C2">
        <w:t>Section 41(3)(c) of the FHOGA.</w:t>
      </w:r>
    </w:p>
  </w:footnote>
  <w:footnote w:id="5">
    <w:p w14:paraId="534FCD97" w14:textId="77777777" w:rsidR="00B54ED8" w:rsidRDefault="00B54ED8" w:rsidP="00B54ED8">
      <w:pPr>
        <w:pStyle w:val="FootnoteText"/>
      </w:pPr>
      <w:r>
        <w:rPr>
          <w:rStyle w:val="FootnoteReference"/>
        </w:rPr>
        <w:footnoteRef/>
      </w:r>
      <w:r>
        <w:t xml:space="preserve"> </w:t>
      </w:r>
      <w:r w:rsidRPr="009744C2">
        <w:t>Section 41(12) of the FHOGA and definition of ‘statutory interest rate’ in section 3 of the FHOGA.</w:t>
      </w:r>
    </w:p>
  </w:footnote>
  <w:footnote w:id="6">
    <w:p w14:paraId="378EFBDD" w14:textId="0E36C03F" w:rsidR="00B54ED8" w:rsidRPr="009744C2" w:rsidRDefault="00B54ED8" w:rsidP="00B54ED8">
      <w:pPr>
        <w:pStyle w:val="FootnoteText"/>
        <w:rPr>
          <w:i/>
        </w:rPr>
      </w:pPr>
      <w:r>
        <w:rPr>
          <w:rStyle w:val="FootnoteReference"/>
        </w:rPr>
        <w:footnoteRef/>
      </w:r>
      <w:r>
        <w:t xml:space="preserve"> </w:t>
      </w:r>
      <w:r w:rsidRPr="00214CFD">
        <w:t>S</w:t>
      </w:r>
      <w:r>
        <w:t>ection 35</w:t>
      </w:r>
      <w:r w:rsidRPr="00214CFD">
        <w:t xml:space="preserve"> of the </w:t>
      </w:r>
      <w:r w:rsidR="00224FD6" w:rsidRPr="003B5D66">
        <w:rPr>
          <w:i/>
        </w:rPr>
        <w:t>Taxation Administration Act 2007</w:t>
      </w:r>
      <w:r>
        <w:t>.</w:t>
      </w:r>
    </w:p>
  </w:footnote>
  <w:footnote w:id="7">
    <w:p w14:paraId="0361173E" w14:textId="6579E123" w:rsidR="00B54ED8" w:rsidRDefault="00B54ED8" w:rsidP="00B54ED8">
      <w:pPr>
        <w:pStyle w:val="FootnoteText"/>
      </w:pPr>
      <w:r>
        <w:rPr>
          <w:rStyle w:val="FootnoteReference"/>
        </w:rPr>
        <w:footnoteRef/>
      </w:r>
      <w:r>
        <w:t xml:space="preserve"> </w:t>
      </w:r>
      <w:r w:rsidRPr="00214CFD">
        <w:t xml:space="preserve">Section 35 of the </w:t>
      </w:r>
      <w:r w:rsidR="00224FD6" w:rsidRPr="00482D08">
        <w:rPr>
          <w:i/>
        </w:rPr>
        <w:t>Taxation Administration Act 2007</w:t>
      </w:r>
      <w:r w:rsidRPr="00214CFD">
        <w:t>.</w:t>
      </w:r>
    </w:p>
  </w:footnote>
  <w:footnote w:id="8">
    <w:p w14:paraId="3EC563B7" w14:textId="77777777" w:rsidR="00B54ED8" w:rsidRDefault="00B54ED8" w:rsidP="00B54ED8">
      <w:pPr>
        <w:pStyle w:val="FootnoteText"/>
      </w:pPr>
      <w:r>
        <w:rPr>
          <w:rStyle w:val="FootnoteReference"/>
        </w:rPr>
        <w:footnoteRef/>
      </w:r>
      <w:r>
        <w:t xml:space="preserve"> </w:t>
      </w:r>
      <w:r w:rsidRPr="009744C2">
        <w:t>Section 41(7) of the FHOGA.</w:t>
      </w:r>
    </w:p>
  </w:footnote>
  <w:footnote w:id="9">
    <w:p w14:paraId="358F342E" w14:textId="77777777" w:rsidR="00B54ED8" w:rsidRDefault="00B54ED8" w:rsidP="00B54ED8">
      <w:pPr>
        <w:pStyle w:val="FootnoteText"/>
      </w:pPr>
      <w:r>
        <w:rPr>
          <w:rStyle w:val="FootnoteReference"/>
        </w:rPr>
        <w:footnoteRef/>
      </w:r>
      <w:r>
        <w:t xml:space="preserve"> </w:t>
      </w:r>
      <w:r w:rsidRPr="00940969">
        <w:t>Section 41(7) of the FHOGA.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7627A" w14:textId="2F4E5567" w:rsidR="00983000" w:rsidRPr="00162207" w:rsidRDefault="00F56F4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C91475">
          <w:t>CG-HI-002: Home owner assistance schemes – interest and penalties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6F61E307" w14:textId="51080ED3" w:rsidR="00E54F9E" w:rsidRDefault="00C91475" w:rsidP="00435082">
        <w:pPr>
          <w:pStyle w:val="Title"/>
        </w:pPr>
        <w:r>
          <w:rPr>
            <w:rStyle w:val="TitleChar"/>
          </w:rPr>
          <w:t>CG-HI-002: Home owner assistance schemes – interest and penalties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A4CB5C6"/>
    <w:lvl w:ilvl="0">
      <w:start w:val="1"/>
      <w:numFmt w:val="decimal"/>
      <w:lvlText w:val="%1."/>
      <w:lvlJc w:val="left"/>
      <w:pPr>
        <w:tabs>
          <w:tab w:val="num" w:pos="360"/>
        </w:tabs>
        <w:ind w:left="360" w:hanging="360"/>
      </w:p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multilevel"/>
    <w:tmpl w:val="8FCE6380"/>
    <w:lvl w:ilvl="0">
      <w:start w:val="1"/>
      <w:numFmt w:val="decimal"/>
      <w:pStyle w:val="Numberlistlevel1ListNumber"/>
      <w:lvlText w:val="%1."/>
      <w:lvlJc w:val="left"/>
      <w:pPr>
        <w:ind w:left="425" w:hanging="425"/>
      </w:pPr>
      <w:rPr>
        <w:rFonts w:hint="default"/>
      </w:rPr>
    </w:lvl>
    <w:lvl w:ilvl="1">
      <w:start w:val="1"/>
      <w:numFmt w:val="lowerLetter"/>
      <w:pStyle w:val="Numberlistlevel2ListNumber2"/>
      <w:lvlText w:val="%2."/>
      <w:lvlJc w:val="left"/>
      <w:pPr>
        <w:ind w:left="850" w:hanging="425"/>
      </w:pPr>
      <w:rPr>
        <w:rFonts w:hint="default"/>
      </w:rPr>
    </w:lvl>
    <w:lvl w:ilvl="2">
      <w:start w:val="1"/>
      <w:numFmt w:val="lowerRoman"/>
      <w:pStyle w:val="Numberlistlevel3ListNumber3"/>
      <w:lvlText w:val="%3."/>
      <w:lvlJc w:val="left"/>
      <w:pPr>
        <w:ind w:left="1275" w:hanging="425"/>
      </w:pPr>
      <w:rPr>
        <w:rFonts w:hint="default"/>
      </w:rPr>
    </w:lvl>
    <w:lvl w:ilvl="3">
      <w:start w:val="1"/>
      <w:numFmt w:val="decimal"/>
      <w:pStyle w:val="Numberlistlevel4ListNumber4"/>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842BC6"/>
    <w:multiLevelType w:val="multilevel"/>
    <w:tmpl w:val="0C78A7AC"/>
    <w:numStyleLink w:val="Tablebulletlist"/>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6DA2CAE"/>
    <w:multiLevelType w:val="multilevel"/>
    <w:tmpl w:val="3E5E177A"/>
    <w:name w:val="NTG Table Bullet List332222222222222"/>
    <w:numStyleLink w:val="Tablenumberlist"/>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E21323"/>
    <w:multiLevelType w:val="multilevel"/>
    <w:tmpl w:val="4E6AC8F6"/>
    <w:numStyleLink w:val="Numberlist"/>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2"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4"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65A32D4"/>
    <w:multiLevelType w:val="multilevel"/>
    <w:tmpl w:val="4E6AC8F6"/>
    <w:numStyleLink w:val="Numberlist"/>
  </w:abstractNum>
  <w:abstractNum w:abstractNumId="7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4"/>
  </w:num>
  <w:num w:numId="2">
    <w:abstractNumId w:val="22"/>
  </w:num>
  <w:num w:numId="3">
    <w:abstractNumId w:val="72"/>
  </w:num>
  <w:num w:numId="4">
    <w:abstractNumId w:val="44"/>
  </w:num>
  <w:num w:numId="5">
    <w:abstractNumId w:val="28"/>
  </w:num>
  <w:num w:numId="6">
    <w:abstractNumId w:val="16"/>
  </w:num>
  <w:num w:numId="7">
    <w:abstractNumId w:val="49"/>
  </w:num>
  <w:num w:numId="8">
    <w:abstractNumId w:val="25"/>
  </w:num>
  <w:num w:numId="9">
    <w:abstractNumId w:val="56"/>
  </w:num>
  <w:num w:numId="10">
    <w:abstractNumId w:val="21"/>
  </w:num>
  <w:num w:numId="11">
    <w:abstractNumId w:val="62"/>
  </w:num>
  <w:num w:numId="12">
    <w:abstractNumId w:val="18"/>
  </w:num>
  <w:num w:numId="13">
    <w:abstractNumId w:val="2"/>
  </w:num>
  <w:num w:numId="14">
    <w:abstractNumId w:val="60"/>
  </w:num>
  <w:num w:numId="15">
    <w:abstractNumId w:val="27"/>
  </w:num>
  <w:num w:numId="16">
    <w:abstractNumId w:val="61"/>
  </w:num>
  <w:num w:numId="17">
    <w:abstractNumId w:val="70"/>
  </w:num>
  <w:num w:numId="18">
    <w:abstractNumId w:val="55"/>
  </w:num>
  <w:num w:numId="19">
    <w:abstractNumId w:val="47"/>
  </w:num>
  <w:num w:numId="20">
    <w:abstractNumId w:val="51"/>
  </w:num>
  <w:num w:numId="21">
    <w:abstractNumId w:val="39"/>
  </w:num>
  <w:num w:numId="22">
    <w:abstractNumId w:val="54"/>
  </w:num>
  <w:num w:numId="23">
    <w:abstractNumId w:val="46"/>
  </w:num>
  <w:num w:numId="24">
    <w:abstractNumId w:val="41"/>
  </w:num>
  <w:num w:numId="25">
    <w:abstractNumId w:val="37"/>
  </w:num>
  <w:num w:numId="26">
    <w:abstractNumId w:val="11"/>
  </w:num>
  <w:num w:numId="27">
    <w:abstractNumId w:val="71"/>
  </w:num>
  <w:num w:numId="28">
    <w:abstractNumId w:val="36"/>
  </w:num>
  <w:num w:numId="29">
    <w:abstractNumId w:val="29"/>
  </w:num>
  <w:num w:numId="30">
    <w:abstractNumId w:val="1"/>
  </w:num>
  <w:num w:numId="31">
    <w:abstractNumId w:val="40"/>
  </w:num>
  <w:num w:numId="32">
    <w:abstractNumId w:val="10"/>
  </w:num>
  <w:num w:numId="33">
    <w:abstractNumId w:val="63"/>
  </w:num>
  <w:num w:numId="34">
    <w:abstractNumId w:val="32"/>
  </w:num>
  <w:num w:numId="35">
    <w:abstractNumId w:val="48"/>
  </w:num>
  <w:num w:numId="36">
    <w:abstractNumId w:val="64"/>
  </w:num>
  <w:num w:numId="37">
    <w:abstractNumId w:val="66"/>
  </w:num>
  <w:num w:numId="38">
    <w:abstractNumId w:val="15"/>
  </w:num>
  <w:num w:numId="39">
    <w:abstractNumId w:val="26"/>
  </w:num>
  <w:num w:numId="40">
    <w:abstractNumId w:val="67"/>
  </w:num>
  <w:num w:numId="41">
    <w:abstractNumId w:val="3"/>
  </w:num>
  <w:num w:numId="42">
    <w:abstractNumId w:val="59"/>
  </w:num>
  <w:num w:numId="43">
    <w:abstractNumId w:val="12"/>
  </w:num>
  <w:num w:numId="44">
    <w:abstractNumId w:val="35"/>
  </w:num>
  <w:num w:numId="45">
    <w:abstractNumId w:val="42"/>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9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1"/>
  <w:stylePaneSortMethod w:val="0000"/>
  <w:documentProtection w:edit="readOnly" w:enforcement="0"/>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D8"/>
    <w:rsid w:val="00001403"/>
    <w:rsid w:val="00001DDF"/>
    <w:rsid w:val="0000322D"/>
    <w:rsid w:val="00007670"/>
    <w:rsid w:val="0001043F"/>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07210"/>
    <w:rsid w:val="001137EC"/>
    <w:rsid w:val="001152F5"/>
    <w:rsid w:val="00117743"/>
    <w:rsid w:val="00117F5B"/>
    <w:rsid w:val="00132658"/>
    <w:rsid w:val="00135071"/>
    <w:rsid w:val="00150DC0"/>
    <w:rsid w:val="0015394D"/>
    <w:rsid w:val="00156CD4"/>
    <w:rsid w:val="0016153B"/>
    <w:rsid w:val="00162207"/>
    <w:rsid w:val="00164A3E"/>
    <w:rsid w:val="00166FF6"/>
    <w:rsid w:val="00176123"/>
    <w:rsid w:val="00181620"/>
    <w:rsid w:val="0018689C"/>
    <w:rsid w:val="00187130"/>
    <w:rsid w:val="001910AE"/>
    <w:rsid w:val="001957AD"/>
    <w:rsid w:val="00196F8E"/>
    <w:rsid w:val="001972CE"/>
    <w:rsid w:val="001A2B7F"/>
    <w:rsid w:val="001A3AFD"/>
    <w:rsid w:val="001A496C"/>
    <w:rsid w:val="001A576A"/>
    <w:rsid w:val="001B28DA"/>
    <w:rsid w:val="001B2B6C"/>
    <w:rsid w:val="001D01C4"/>
    <w:rsid w:val="001D4F99"/>
    <w:rsid w:val="001D52B0"/>
    <w:rsid w:val="001D5A18"/>
    <w:rsid w:val="001D7CA4"/>
    <w:rsid w:val="001E057F"/>
    <w:rsid w:val="001E14EB"/>
    <w:rsid w:val="001E2E3D"/>
    <w:rsid w:val="001F59E6"/>
    <w:rsid w:val="00203F1C"/>
    <w:rsid w:val="00206936"/>
    <w:rsid w:val="00206C6F"/>
    <w:rsid w:val="00206FBD"/>
    <w:rsid w:val="00207746"/>
    <w:rsid w:val="00224FD6"/>
    <w:rsid w:val="00230031"/>
    <w:rsid w:val="00231824"/>
    <w:rsid w:val="00235C01"/>
    <w:rsid w:val="00247343"/>
    <w:rsid w:val="00265642"/>
    <w:rsid w:val="00265C56"/>
    <w:rsid w:val="002716CD"/>
    <w:rsid w:val="00274D4B"/>
    <w:rsid w:val="002806F5"/>
    <w:rsid w:val="00281577"/>
    <w:rsid w:val="00285A72"/>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580C"/>
    <w:rsid w:val="002E66A6"/>
    <w:rsid w:val="002F0DB1"/>
    <w:rsid w:val="002F2885"/>
    <w:rsid w:val="002F45A1"/>
    <w:rsid w:val="0030203D"/>
    <w:rsid w:val="003037F9"/>
    <w:rsid w:val="003045B6"/>
    <w:rsid w:val="0030583E"/>
    <w:rsid w:val="00307FE1"/>
    <w:rsid w:val="00315601"/>
    <w:rsid w:val="003164BA"/>
    <w:rsid w:val="003258E6"/>
    <w:rsid w:val="00331D6C"/>
    <w:rsid w:val="00342283"/>
    <w:rsid w:val="00343A87"/>
    <w:rsid w:val="00344A36"/>
    <w:rsid w:val="003456F4"/>
    <w:rsid w:val="00347B9B"/>
    <w:rsid w:val="00347FB6"/>
    <w:rsid w:val="003504FD"/>
    <w:rsid w:val="00350881"/>
    <w:rsid w:val="00357D55"/>
    <w:rsid w:val="00363513"/>
    <w:rsid w:val="003657E5"/>
    <w:rsid w:val="0036589C"/>
    <w:rsid w:val="00371312"/>
    <w:rsid w:val="00371DC7"/>
    <w:rsid w:val="00377B21"/>
    <w:rsid w:val="00381A8D"/>
    <w:rsid w:val="00382A7F"/>
    <w:rsid w:val="00390862"/>
    <w:rsid w:val="00390CE3"/>
    <w:rsid w:val="00394876"/>
    <w:rsid w:val="00394AAF"/>
    <w:rsid w:val="00394CE5"/>
    <w:rsid w:val="003A6341"/>
    <w:rsid w:val="003B5D66"/>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1150"/>
    <w:rsid w:val="004A2538"/>
    <w:rsid w:val="004A331E"/>
    <w:rsid w:val="004B0C15"/>
    <w:rsid w:val="004B10E0"/>
    <w:rsid w:val="004B35EA"/>
    <w:rsid w:val="004B69E4"/>
    <w:rsid w:val="004C6C39"/>
    <w:rsid w:val="004D075F"/>
    <w:rsid w:val="004D1771"/>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46B1D"/>
    <w:rsid w:val="00555F8D"/>
    <w:rsid w:val="00556113"/>
    <w:rsid w:val="00564C12"/>
    <w:rsid w:val="005654B8"/>
    <w:rsid w:val="00570D94"/>
    <w:rsid w:val="005762CC"/>
    <w:rsid w:val="00582D3D"/>
    <w:rsid w:val="00583570"/>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E3FC1"/>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95A37"/>
    <w:rsid w:val="006A756A"/>
    <w:rsid w:val="006C0EC2"/>
    <w:rsid w:val="006D66F7"/>
    <w:rsid w:val="006F17FB"/>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86100"/>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1309"/>
    <w:rsid w:val="00823022"/>
    <w:rsid w:val="008253E6"/>
    <w:rsid w:val="0082634E"/>
    <w:rsid w:val="008266D0"/>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C772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0B0A"/>
    <w:rsid w:val="00983000"/>
    <w:rsid w:val="009870FA"/>
    <w:rsid w:val="009921C3"/>
    <w:rsid w:val="0099551D"/>
    <w:rsid w:val="009A092B"/>
    <w:rsid w:val="009A5897"/>
    <w:rsid w:val="009A5F24"/>
    <w:rsid w:val="009B0B3E"/>
    <w:rsid w:val="009B1913"/>
    <w:rsid w:val="009B5DC8"/>
    <w:rsid w:val="009B6657"/>
    <w:rsid w:val="009B6966"/>
    <w:rsid w:val="009D0EB5"/>
    <w:rsid w:val="009D14F9"/>
    <w:rsid w:val="009D2B74"/>
    <w:rsid w:val="009D4C23"/>
    <w:rsid w:val="009D63FF"/>
    <w:rsid w:val="009E175D"/>
    <w:rsid w:val="009E2EEF"/>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50D5"/>
    <w:rsid w:val="00A3739D"/>
    <w:rsid w:val="00A37DDA"/>
    <w:rsid w:val="00A45005"/>
    <w:rsid w:val="00A5389A"/>
    <w:rsid w:val="00A567EE"/>
    <w:rsid w:val="00A63DB7"/>
    <w:rsid w:val="00A64CC4"/>
    <w:rsid w:val="00A70DD8"/>
    <w:rsid w:val="00A76790"/>
    <w:rsid w:val="00A825E4"/>
    <w:rsid w:val="00A85172"/>
    <w:rsid w:val="00A85D0C"/>
    <w:rsid w:val="00A925EC"/>
    <w:rsid w:val="00A929AA"/>
    <w:rsid w:val="00A92B6B"/>
    <w:rsid w:val="00AA541E"/>
    <w:rsid w:val="00AC6692"/>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54ED8"/>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44EA"/>
    <w:rsid w:val="00BB6464"/>
    <w:rsid w:val="00BC1BB8"/>
    <w:rsid w:val="00BD7FE1"/>
    <w:rsid w:val="00BE37CA"/>
    <w:rsid w:val="00BE6144"/>
    <w:rsid w:val="00BE635A"/>
    <w:rsid w:val="00BE720F"/>
    <w:rsid w:val="00BF17E9"/>
    <w:rsid w:val="00BF2ABB"/>
    <w:rsid w:val="00BF5099"/>
    <w:rsid w:val="00C10B5E"/>
    <w:rsid w:val="00C10F10"/>
    <w:rsid w:val="00C12565"/>
    <w:rsid w:val="00C15D4D"/>
    <w:rsid w:val="00C175DC"/>
    <w:rsid w:val="00C20B6D"/>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1475"/>
    <w:rsid w:val="00C92B4C"/>
    <w:rsid w:val="00C954F6"/>
    <w:rsid w:val="00CA36A0"/>
    <w:rsid w:val="00CA6BC5"/>
    <w:rsid w:val="00CB042B"/>
    <w:rsid w:val="00CC571B"/>
    <w:rsid w:val="00CC61CD"/>
    <w:rsid w:val="00CC6C02"/>
    <w:rsid w:val="00CC737B"/>
    <w:rsid w:val="00CD5011"/>
    <w:rsid w:val="00CD7503"/>
    <w:rsid w:val="00CE640F"/>
    <w:rsid w:val="00CE76BC"/>
    <w:rsid w:val="00CF28B8"/>
    <w:rsid w:val="00CF540E"/>
    <w:rsid w:val="00CF69E6"/>
    <w:rsid w:val="00D02F07"/>
    <w:rsid w:val="00D15744"/>
    <w:rsid w:val="00D15D88"/>
    <w:rsid w:val="00D27D49"/>
    <w:rsid w:val="00D27EBE"/>
    <w:rsid w:val="00D30626"/>
    <w:rsid w:val="00D36A49"/>
    <w:rsid w:val="00D427CC"/>
    <w:rsid w:val="00D47DC7"/>
    <w:rsid w:val="00D517C6"/>
    <w:rsid w:val="00D71D84"/>
    <w:rsid w:val="00D72464"/>
    <w:rsid w:val="00D72A57"/>
    <w:rsid w:val="00D768EB"/>
    <w:rsid w:val="00D81E17"/>
    <w:rsid w:val="00D82D1E"/>
    <w:rsid w:val="00D832D9"/>
    <w:rsid w:val="00D90F00"/>
    <w:rsid w:val="00D96292"/>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3402"/>
    <w:rsid w:val="00E34D7C"/>
    <w:rsid w:val="00E3723D"/>
    <w:rsid w:val="00E44C89"/>
    <w:rsid w:val="00E457A6"/>
    <w:rsid w:val="00E54F9E"/>
    <w:rsid w:val="00E60AD3"/>
    <w:rsid w:val="00E61BA2"/>
    <w:rsid w:val="00E63864"/>
    <w:rsid w:val="00E6403F"/>
    <w:rsid w:val="00E75451"/>
    <w:rsid w:val="00E75EA9"/>
    <w:rsid w:val="00E76AD6"/>
    <w:rsid w:val="00E770C4"/>
    <w:rsid w:val="00E84C5A"/>
    <w:rsid w:val="00E861DB"/>
    <w:rsid w:val="00E908F1"/>
    <w:rsid w:val="00E915CA"/>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314"/>
    <w:rsid w:val="00EF49A8"/>
    <w:rsid w:val="00EF7859"/>
    <w:rsid w:val="00F014DA"/>
    <w:rsid w:val="00F02591"/>
    <w:rsid w:val="00F30AE1"/>
    <w:rsid w:val="00F56740"/>
    <w:rsid w:val="00F5696E"/>
    <w:rsid w:val="00F56F40"/>
    <w:rsid w:val="00F60EFF"/>
    <w:rsid w:val="00F657CE"/>
    <w:rsid w:val="00F65FC5"/>
    <w:rsid w:val="00F67D2D"/>
    <w:rsid w:val="00F82732"/>
    <w:rsid w:val="00F858F2"/>
    <w:rsid w:val="00F860CC"/>
    <w:rsid w:val="00F94398"/>
    <w:rsid w:val="00FB2B56"/>
    <w:rsid w:val="00FB55D5"/>
    <w:rsid w:val="00FC12BF"/>
    <w:rsid w:val="00FC2C60"/>
    <w:rsid w:val="00FD3E6F"/>
    <w:rsid w:val="00FD51B9"/>
    <w:rsid w:val="00FD5849"/>
    <w:rsid w:val="00FE03E4"/>
    <w:rsid w:val="00FE2A39"/>
    <w:rsid w:val="00FF1801"/>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5CF14"/>
  <w15:docId w15:val="{D4D51E64-F1B2-43BB-9758-B29BE1A7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Number 2" w:uiPriority="5"/>
    <w:lsdException w:name="List Number 3" w:uiPriority="5"/>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475"/>
    <w:rPr>
      <w:rFonts w:ascii="Lato" w:hAnsi="Lato"/>
    </w:rPr>
  </w:style>
  <w:style w:type="paragraph" w:styleId="Heading1">
    <w:name w:val="heading 1"/>
    <w:basedOn w:val="Normal"/>
    <w:next w:val="Normal"/>
    <w:link w:val="Heading1Char"/>
    <w:uiPriority w:val="2"/>
    <w:qFormat/>
    <w:rsid w:val="00135071"/>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135071"/>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135071"/>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135071"/>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rsid w:val="00A22C38"/>
    <w:pPr>
      <w:spacing w:after="120"/>
    </w:pPr>
  </w:style>
  <w:style w:type="paragraph" w:styleId="ListNumber2">
    <w:name w:val="List Number 2"/>
    <w:aliases w:val="Number list level 2"/>
    <w:basedOn w:val="Normal"/>
    <w:uiPriority w:val="5"/>
    <w:rsid w:val="00A22C38"/>
    <w:pPr>
      <w:spacing w:after="120"/>
    </w:pPr>
  </w:style>
  <w:style w:type="paragraph" w:styleId="ListNumber3">
    <w:name w:val="List Number 3"/>
    <w:aliases w:val="Number list level 3"/>
    <w:basedOn w:val="Normal"/>
    <w:uiPriority w:val="5"/>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0">
    <w:name w:val="NTG Table"/>
    <w:basedOn w:val="TableGrid"/>
    <w:uiPriority w:val="99"/>
    <w:rsid w:val="00B54ED8"/>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StyleBold">
    <w:name w:val="Style Bold"/>
    <w:rsid w:val="00B54ED8"/>
    <w:rPr>
      <w:b/>
      <w:bCs/>
    </w:rPr>
  </w:style>
  <w:style w:type="paragraph" w:styleId="FootnoteText">
    <w:name w:val="footnote text"/>
    <w:basedOn w:val="Normal"/>
    <w:link w:val="FootnoteTextChar"/>
    <w:rsid w:val="00224FD6"/>
    <w:pPr>
      <w:spacing w:after="0"/>
    </w:pPr>
    <w:rPr>
      <w:sz w:val="18"/>
      <w:szCs w:val="20"/>
    </w:rPr>
  </w:style>
  <w:style w:type="character" w:customStyle="1" w:styleId="FootnoteTextChar">
    <w:name w:val="Footnote Text Char"/>
    <w:basedOn w:val="DefaultParagraphFont"/>
    <w:link w:val="FootnoteText"/>
    <w:rsid w:val="00224FD6"/>
    <w:rPr>
      <w:rFonts w:ascii="Lato" w:hAnsi="Lato"/>
      <w:sz w:val="18"/>
      <w:szCs w:val="20"/>
    </w:rPr>
  </w:style>
  <w:style w:type="character" w:styleId="FootnoteReference">
    <w:name w:val="footnote reference"/>
    <w:basedOn w:val="DefaultParagraphFont"/>
    <w:uiPriority w:val="99"/>
    <w:rsid w:val="00224FD6"/>
    <w:rPr>
      <w:rFonts w:ascii="Lato" w:hAnsi="Lato"/>
      <w:vertAlign w:val="superscript"/>
    </w:rPr>
  </w:style>
  <w:style w:type="character" w:styleId="FollowedHyperlink">
    <w:name w:val="FollowedHyperlink"/>
    <w:basedOn w:val="DefaultParagraphFont"/>
    <w:uiPriority w:val="99"/>
    <w:semiHidden/>
    <w:unhideWhenUsed/>
    <w:rsid w:val="00F56740"/>
    <w:rPr>
      <w:color w:val="8C4799" w:themeColor="followedHyperlink"/>
      <w:u w:val="single"/>
    </w:rPr>
  </w:style>
  <w:style w:type="character" w:styleId="CommentReference">
    <w:name w:val="annotation reference"/>
    <w:basedOn w:val="DefaultParagraphFont"/>
    <w:uiPriority w:val="99"/>
    <w:semiHidden/>
    <w:unhideWhenUsed/>
    <w:rsid w:val="00786100"/>
    <w:rPr>
      <w:sz w:val="16"/>
      <w:szCs w:val="16"/>
    </w:rPr>
  </w:style>
  <w:style w:type="paragraph" w:styleId="CommentText">
    <w:name w:val="annotation text"/>
    <w:basedOn w:val="Normal"/>
    <w:link w:val="CommentTextChar"/>
    <w:uiPriority w:val="99"/>
    <w:semiHidden/>
    <w:unhideWhenUsed/>
    <w:rsid w:val="00786100"/>
    <w:rPr>
      <w:sz w:val="20"/>
      <w:szCs w:val="20"/>
    </w:rPr>
  </w:style>
  <w:style w:type="character" w:customStyle="1" w:styleId="CommentTextChar">
    <w:name w:val="Comment Text Char"/>
    <w:basedOn w:val="DefaultParagraphFont"/>
    <w:link w:val="CommentText"/>
    <w:uiPriority w:val="99"/>
    <w:semiHidden/>
    <w:rsid w:val="00786100"/>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86100"/>
    <w:rPr>
      <w:b/>
      <w:bCs/>
    </w:rPr>
  </w:style>
  <w:style w:type="character" w:customStyle="1" w:styleId="CommentSubjectChar">
    <w:name w:val="Comment Subject Char"/>
    <w:basedOn w:val="CommentTextChar"/>
    <w:link w:val="CommentSubject"/>
    <w:uiPriority w:val="99"/>
    <w:semiHidden/>
    <w:rsid w:val="00786100"/>
    <w:rPr>
      <w:rFonts w:ascii="Lato" w:hAnsi="Lato"/>
      <w:b/>
      <w:bCs/>
      <w:sz w:val="20"/>
      <w:szCs w:val="20"/>
    </w:rPr>
  </w:style>
  <w:style w:type="paragraph" w:customStyle="1" w:styleId="Numberlistlevel1ListNumber">
    <w:name w:val="Number list level 1  (List Number)"/>
    <w:basedOn w:val="Normal"/>
    <w:rsid w:val="00315601"/>
    <w:pPr>
      <w:numPr>
        <w:numId w:val="41"/>
      </w:numPr>
      <w:spacing w:after="120"/>
    </w:pPr>
  </w:style>
  <w:style w:type="paragraph" w:customStyle="1" w:styleId="Numberlistlevel2ListNumber2">
    <w:name w:val="Number list level 2  (List Number 2)"/>
    <w:basedOn w:val="BodyText"/>
    <w:rsid w:val="00315601"/>
    <w:pPr>
      <w:numPr>
        <w:ilvl w:val="1"/>
        <w:numId w:val="41"/>
      </w:numPr>
    </w:pPr>
  </w:style>
  <w:style w:type="paragraph" w:customStyle="1" w:styleId="Numberlistlevel3ListNumber3">
    <w:name w:val="Number list level 3  (List Number 3)"/>
    <w:basedOn w:val="BodyText"/>
    <w:rsid w:val="00315601"/>
    <w:pPr>
      <w:numPr>
        <w:ilvl w:val="2"/>
        <w:numId w:val="41"/>
      </w:numPr>
    </w:pPr>
  </w:style>
  <w:style w:type="paragraph" w:customStyle="1" w:styleId="Numberlistlevel4ListNumber4">
    <w:name w:val="Number list level 4  (List Number 4)"/>
    <w:basedOn w:val="BodyText"/>
    <w:rsid w:val="00C91475"/>
    <w:pPr>
      <w:numPr>
        <w:ilvl w:val="3"/>
        <w:numId w:val="41"/>
      </w:numPr>
    </w:pPr>
  </w:style>
  <w:style w:type="paragraph" w:styleId="BodyTextFirstIndent">
    <w:name w:val="Body Text First Indent"/>
    <w:basedOn w:val="BodyText"/>
    <w:link w:val="BodyTextFirstIndentChar"/>
    <w:uiPriority w:val="99"/>
    <w:unhideWhenUsed/>
    <w:rsid w:val="00315601"/>
    <w:pPr>
      <w:spacing w:after="200"/>
      <w:ind w:firstLine="360"/>
    </w:pPr>
  </w:style>
  <w:style w:type="character" w:customStyle="1" w:styleId="BodyTextFirstIndentChar">
    <w:name w:val="Body Text First Indent Char"/>
    <w:basedOn w:val="BodyTextChar"/>
    <w:link w:val="BodyTextFirstIndent"/>
    <w:uiPriority w:val="99"/>
    <w:rsid w:val="00315601"/>
    <w:rPr>
      <w:rFonts w:ascii="Lato" w:hAnsi="Lato"/>
      <w:sz w:val="22"/>
      <w:szCs w:val="22"/>
    </w:rPr>
  </w:style>
  <w:style w:type="paragraph" w:customStyle="1" w:styleId="Numberlistlevel2textcontinue">
    <w:name w:val="Number list level 2 text continue"/>
    <w:basedOn w:val="Numberlistlevel2ListNumber2"/>
    <w:qFormat/>
    <w:rsid w:val="00315601"/>
    <w:pPr>
      <w:numPr>
        <w:ilvl w:val="0"/>
        <w:numId w:val="0"/>
      </w:numPr>
      <w:ind w:left="850"/>
    </w:pPr>
  </w:style>
  <w:style w:type="paragraph" w:customStyle="1" w:styleId="Numberlistlevel1textcontinue">
    <w:name w:val="Number list level 1 text continue"/>
    <w:basedOn w:val="Numberlistlevel2textcontinue"/>
    <w:qFormat/>
    <w:rsid w:val="00D96292"/>
    <w:pPr>
      <w:ind w:left="425"/>
    </w:pPr>
  </w:style>
  <w:style w:type="paragraph" w:customStyle="1" w:styleId="Example-Heading">
    <w:name w:val="Example - Heading"/>
    <w:basedOn w:val="Heading3"/>
    <w:next w:val="Normal"/>
    <w:qFormat/>
    <w:rsid w:val="00555F8D"/>
    <w:pPr>
      <w:pBdr>
        <w:top w:val="single" w:sz="4" w:space="4" w:color="auto"/>
        <w:left w:val="single" w:sz="4" w:space="4" w:color="auto"/>
        <w:bottom w:val="single" w:sz="4" w:space="4" w:color="auto"/>
        <w:right w:val="single" w:sz="4" w:space="4" w:color="auto"/>
      </w:pBdr>
      <w:shd w:val="clear" w:color="auto" w:fill="E5DFEC"/>
      <w:ind w:left="425"/>
      <w:outlineLvl w:val="9"/>
    </w:pPr>
  </w:style>
  <w:style w:type="paragraph" w:customStyle="1" w:styleId="Example-Bodytext">
    <w:name w:val="Example - Body text"/>
    <w:basedOn w:val="BodyText"/>
    <w:qFormat/>
    <w:rsid w:val="00555F8D"/>
    <w:pPr>
      <w:pBdr>
        <w:top w:val="single" w:sz="4" w:space="4" w:color="auto"/>
        <w:left w:val="single" w:sz="4" w:space="4" w:color="auto"/>
        <w:bottom w:val="single" w:sz="4" w:space="4" w:color="auto"/>
        <w:right w:val="single" w:sz="4" w:space="4" w:color="auto"/>
      </w:pBdr>
      <w:shd w:val="clear" w:color="auto" w:fill="E5DFEC"/>
      <w:ind w:left="425"/>
    </w:pPr>
  </w:style>
  <w:style w:type="paragraph" w:styleId="Revision">
    <w:name w:val="Revision"/>
    <w:hidden/>
    <w:uiPriority w:val="99"/>
    <w:semiHidden/>
    <w:rsid w:val="00D15744"/>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evenue.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revenue@nt.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revenue.nt.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F62DB2-F06A-4195-AAB9-D1633FDB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1</TotalTime>
  <Pages>7</Pages>
  <Words>2133</Words>
  <Characters>11052</Characters>
  <Application>Microsoft Office Word</Application>
  <DocSecurity>0</DocSecurity>
  <Lines>315</Lines>
  <Paragraphs>199</Paragraphs>
  <ScaleCrop>false</ScaleCrop>
  <HeadingPairs>
    <vt:vector size="2" baseType="variant">
      <vt:variant>
        <vt:lpstr>Title</vt:lpstr>
      </vt:variant>
      <vt:variant>
        <vt:i4>1</vt:i4>
      </vt:variant>
    </vt:vector>
  </HeadingPairs>
  <TitlesOfParts>
    <vt:vector size="1" baseType="lpstr">
      <vt:lpstr>CG-HI-002: Home owner assistance schemes – interest and penalties</vt:lpstr>
    </vt:vector>
  </TitlesOfParts>
  <Company>TREASURY AND FINANCE</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CG-HI-002: Home owner assistance schemes – interest and penalties</dc:title>
  <dc:creator>Department of Treasury and Finance</dc:creator>
  <cp:lastModifiedBy>Jessica Symonds</cp:lastModifiedBy>
  <cp:revision>4</cp:revision>
  <cp:lastPrinted>2019-07-29T01:45:00Z</cp:lastPrinted>
  <dcterms:created xsi:type="dcterms:W3CDTF">2022-06-30T01:16:00Z</dcterms:created>
  <dcterms:modified xsi:type="dcterms:W3CDTF">2022-06-30T07:13:00Z</dcterms:modified>
</cp:coreProperties>
</file>