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85AC4" w14:textId="65BC9F85" w:rsidR="003C4941" w:rsidRDefault="0048480C" w:rsidP="00D6321F">
      <w:pPr>
        <w:pStyle w:val="Subtitle0"/>
        <w:rPr>
          <w:noProof/>
          <w:lang w:eastAsia="en-AU"/>
        </w:rPr>
      </w:pPr>
      <w:bookmarkStart w:id="0" w:name="_GoBack"/>
      <w:bookmarkEnd w:id="0"/>
      <w:r>
        <w:rPr>
          <w:noProof/>
          <w:lang w:eastAsia="en-AU"/>
        </w:rPr>
        <w:t>Commissioner</w:t>
      </w:r>
      <w:r w:rsidR="00DE4522">
        <w:rPr>
          <w:noProof/>
          <w:lang w:eastAsia="en-AU"/>
        </w:rPr>
        <w:t>’</w:t>
      </w:r>
      <w:r>
        <w:rPr>
          <w:noProof/>
          <w:lang w:eastAsia="en-AU"/>
        </w:rPr>
        <w:t>s Guideline</w:t>
      </w:r>
    </w:p>
    <w:tbl>
      <w:tblPr>
        <w:tblStyle w:val="NTGtable"/>
        <w:tblW w:w="5000" w:type="pct"/>
        <w:tblLook w:val="04A0" w:firstRow="1" w:lastRow="0" w:firstColumn="1" w:lastColumn="0" w:noHBand="0" w:noVBand="1"/>
      </w:tblPr>
      <w:tblGrid>
        <w:gridCol w:w="1135"/>
        <w:gridCol w:w="3059"/>
        <w:gridCol w:w="3059"/>
        <w:gridCol w:w="3055"/>
      </w:tblGrid>
      <w:tr w:rsidR="008921AF" w:rsidRPr="00722BE8" w14:paraId="761932E7" w14:textId="77777777" w:rsidTr="008921AF">
        <w:trPr>
          <w:cnfStyle w:val="100000000000" w:firstRow="1" w:lastRow="0" w:firstColumn="0" w:lastColumn="0" w:oddVBand="0" w:evenVBand="0" w:oddHBand="0" w:evenHBand="0" w:firstRowFirstColumn="0" w:firstRowLastColumn="0" w:lastRowFirstColumn="0" w:lastRowLastColumn="0"/>
          <w:trHeight w:val="408"/>
        </w:trPr>
        <w:tc>
          <w:tcPr>
            <w:cnfStyle w:val="001000000100" w:firstRow="0" w:lastRow="0" w:firstColumn="1" w:lastColumn="0" w:oddVBand="0" w:evenVBand="0" w:oddHBand="0" w:evenHBand="0" w:firstRowFirstColumn="1" w:firstRowLastColumn="0" w:lastRowFirstColumn="0" w:lastRowLastColumn="0"/>
            <w:tcW w:w="550" w:type="pct"/>
            <w:vMerge w:val="restart"/>
            <w:vAlign w:val="bottom"/>
          </w:tcPr>
          <w:p w14:paraId="255EE81F" w14:textId="77777777" w:rsidR="008921AF" w:rsidRPr="00AF648C" w:rsidRDefault="008921AF" w:rsidP="00AF648C">
            <w:pPr>
              <w:pStyle w:val="BodyText"/>
              <w:spacing w:after="60"/>
              <w:rPr>
                <w:szCs w:val="22"/>
              </w:rPr>
            </w:pPr>
            <w:r w:rsidRPr="00AF648C">
              <w:t>Version</w:t>
            </w:r>
          </w:p>
        </w:tc>
        <w:tc>
          <w:tcPr>
            <w:tcW w:w="1484" w:type="pct"/>
            <w:vMerge w:val="restart"/>
            <w:vAlign w:val="bottom"/>
          </w:tcPr>
          <w:p w14:paraId="44FBBBB6" w14:textId="77777777" w:rsidR="008921AF" w:rsidRPr="00AF648C" w:rsidRDefault="008921AF" w:rsidP="00AF648C">
            <w:pPr>
              <w:pStyle w:val="BodyText"/>
              <w:spacing w:after="60"/>
              <w:cnfStyle w:val="100000000000" w:firstRow="1" w:lastRow="0" w:firstColumn="0" w:lastColumn="0" w:oddVBand="0" w:evenVBand="0" w:oddHBand="0" w:evenHBand="0" w:firstRowFirstColumn="0" w:firstRowLastColumn="0" w:lastRowFirstColumn="0" w:lastRowLastColumn="0"/>
              <w:rPr>
                <w:szCs w:val="22"/>
              </w:rPr>
            </w:pPr>
            <w:r w:rsidRPr="00AF648C">
              <w:t>Issued</w:t>
            </w:r>
          </w:p>
        </w:tc>
        <w:tc>
          <w:tcPr>
            <w:tcW w:w="2967" w:type="pct"/>
            <w:gridSpan w:val="2"/>
            <w:tcBorders>
              <w:top w:val="single" w:sz="4" w:space="0" w:color="1F1F5F" w:themeColor="text1"/>
              <w:bottom w:val="single" w:sz="4" w:space="0" w:color="FFFFFF" w:themeColor="background1"/>
            </w:tcBorders>
            <w:vAlign w:val="bottom"/>
          </w:tcPr>
          <w:p w14:paraId="085D15C7" w14:textId="1040A3A9" w:rsidR="008921AF" w:rsidRPr="00AF648C" w:rsidRDefault="008921AF" w:rsidP="00AF648C">
            <w:pPr>
              <w:pStyle w:val="BodyText"/>
              <w:spacing w:after="60"/>
              <w:jc w:val="center"/>
              <w:cnfStyle w:val="100000000000" w:firstRow="1" w:lastRow="0" w:firstColumn="0" w:lastColumn="0" w:oddVBand="0" w:evenVBand="0" w:oddHBand="0" w:evenHBand="0" w:firstRowFirstColumn="0" w:firstRowLastColumn="0" w:lastRowFirstColumn="0" w:lastRowLastColumn="0"/>
              <w:rPr>
                <w:szCs w:val="22"/>
              </w:rPr>
            </w:pPr>
            <w:r w:rsidRPr="00AF648C">
              <w:t>Dates of effect</w:t>
            </w:r>
          </w:p>
        </w:tc>
      </w:tr>
      <w:tr w:rsidR="008921AF" w:rsidRPr="00722BE8" w14:paraId="5AB9DC3A" w14:textId="77777777" w:rsidTr="00892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vMerge/>
            <w:vAlign w:val="bottom"/>
          </w:tcPr>
          <w:p w14:paraId="3FC2D04A" w14:textId="77777777" w:rsidR="00D6321F" w:rsidRPr="00AF648C" w:rsidRDefault="00D6321F" w:rsidP="00AF648C">
            <w:pPr>
              <w:pStyle w:val="BodyText"/>
              <w:spacing w:before="60" w:after="60"/>
              <w:rPr>
                <w:szCs w:val="22"/>
              </w:rPr>
            </w:pPr>
          </w:p>
        </w:tc>
        <w:tc>
          <w:tcPr>
            <w:tcW w:w="1484" w:type="pct"/>
            <w:vMerge/>
            <w:vAlign w:val="bottom"/>
          </w:tcPr>
          <w:p w14:paraId="2FBD70D7" w14:textId="77777777" w:rsidR="00D6321F" w:rsidRPr="00AF648C" w:rsidRDefault="00D6321F" w:rsidP="00AF648C">
            <w:pPr>
              <w:pStyle w:val="BodyText"/>
              <w:spacing w:before="60" w:after="60"/>
              <w:cnfStyle w:val="000000100000" w:firstRow="0" w:lastRow="0" w:firstColumn="0" w:lastColumn="0" w:oddVBand="0" w:evenVBand="0" w:oddHBand="1" w:evenHBand="0" w:firstRowFirstColumn="0" w:firstRowLastColumn="0" w:lastRowFirstColumn="0" w:lastRowLastColumn="0"/>
              <w:rPr>
                <w:szCs w:val="22"/>
              </w:rPr>
            </w:pPr>
          </w:p>
        </w:tc>
        <w:tc>
          <w:tcPr>
            <w:tcW w:w="1484" w:type="pct"/>
            <w:tcBorders>
              <w:top w:val="single" w:sz="4" w:space="0" w:color="FFFFFF" w:themeColor="background1"/>
            </w:tcBorders>
            <w:shd w:val="clear" w:color="auto" w:fill="1F1F5F" w:themeFill="text1"/>
            <w:vAlign w:val="bottom"/>
          </w:tcPr>
          <w:p w14:paraId="119EA64D" w14:textId="1AD344EB" w:rsidR="00D6321F" w:rsidRPr="00AF648C" w:rsidRDefault="00D6321F" w:rsidP="00AF648C">
            <w:pPr>
              <w:pStyle w:val="BodyText"/>
              <w:spacing w:before="60" w:after="60"/>
              <w:cnfStyle w:val="000000100000" w:firstRow="0" w:lastRow="0" w:firstColumn="0" w:lastColumn="0" w:oddVBand="0" w:evenVBand="0" w:oddHBand="1" w:evenHBand="0" w:firstRowFirstColumn="0" w:firstRowLastColumn="0" w:lastRowFirstColumn="0" w:lastRowLastColumn="0"/>
              <w:rPr>
                <w:b/>
                <w:szCs w:val="22"/>
              </w:rPr>
            </w:pPr>
            <w:r w:rsidRPr="00AF648C">
              <w:rPr>
                <w:b/>
              </w:rPr>
              <w:t>From</w:t>
            </w:r>
          </w:p>
        </w:tc>
        <w:tc>
          <w:tcPr>
            <w:tcW w:w="1483" w:type="pct"/>
            <w:tcBorders>
              <w:top w:val="single" w:sz="4" w:space="0" w:color="FFFFFF" w:themeColor="background1"/>
            </w:tcBorders>
            <w:shd w:val="clear" w:color="auto" w:fill="1F1F5F" w:themeFill="text1"/>
            <w:vAlign w:val="bottom"/>
          </w:tcPr>
          <w:p w14:paraId="0E5E824F" w14:textId="36079987" w:rsidR="00D6321F" w:rsidRPr="00AF648C" w:rsidRDefault="00020981" w:rsidP="00AF648C">
            <w:pPr>
              <w:pStyle w:val="BodyText"/>
              <w:spacing w:before="60" w:after="60"/>
              <w:cnfStyle w:val="000000100000" w:firstRow="0" w:lastRow="0" w:firstColumn="0" w:lastColumn="0" w:oddVBand="0" w:evenVBand="0" w:oddHBand="1" w:evenHBand="0" w:firstRowFirstColumn="0" w:firstRowLastColumn="0" w:lastRowFirstColumn="0" w:lastRowLastColumn="0"/>
              <w:rPr>
                <w:b/>
                <w:szCs w:val="22"/>
              </w:rPr>
            </w:pPr>
            <w:r w:rsidRPr="00AF648C">
              <w:rPr>
                <w:b/>
              </w:rPr>
              <w:t>To</w:t>
            </w:r>
          </w:p>
        </w:tc>
      </w:tr>
      <w:tr w:rsidR="00113D8B" w:rsidRPr="00722BE8" w14:paraId="533783A2"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27427A82" w14:textId="77777777" w:rsidR="00D6321F" w:rsidRPr="00722BE8" w:rsidRDefault="00D6321F" w:rsidP="00AF648C">
            <w:pPr>
              <w:pStyle w:val="BodyText"/>
              <w:spacing w:after="40"/>
              <w:rPr>
                <w:szCs w:val="22"/>
              </w:rPr>
            </w:pPr>
            <w:r w:rsidRPr="00722BE8">
              <w:t>1</w:t>
            </w:r>
          </w:p>
        </w:tc>
        <w:tc>
          <w:tcPr>
            <w:tcW w:w="1484" w:type="pct"/>
          </w:tcPr>
          <w:p w14:paraId="3C62941C" w14:textId="77777777" w:rsidR="00D6321F" w:rsidRPr="00722BE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722BE8">
              <w:t>9 May 2005</w:t>
            </w:r>
          </w:p>
        </w:tc>
        <w:tc>
          <w:tcPr>
            <w:tcW w:w="1484" w:type="pct"/>
          </w:tcPr>
          <w:p w14:paraId="2CD8C992" w14:textId="77777777" w:rsidR="00D6321F" w:rsidRPr="00722BE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722BE8">
              <w:t>3 May 2005</w:t>
            </w:r>
          </w:p>
        </w:tc>
        <w:tc>
          <w:tcPr>
            <w:tcW w:w="1483" w:type="pct"/>
          </w:tcPr>
          <w:p w14:paraId="13B99FE3" w14:textId="77777777" w:rsidR="00D6321F" w:rsidRPr="00722BE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722BE8">
              <w:t>19 June 2005</w:t>
            </w:r>
          </w:p>
        </w:tc>
      </w:tr>
      <w:tr w:rsidR="00D6321F" w:rsidRPr="002537D9" w14:paraId="35261357"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13C1B239" w14:textId="77777777" w:rsidR="00D6321F" w:rsidRPr="00F76928" w:rsidRDefault="00D6321F" w:rsidP="00AF648C">
            <w:pPr>
              <w:pStyle w:val="BodyText"/>
              <w:spacing w:after="40"/>
              <w:rPr>
                <w:szCs w:val="22"/>
              </w:rPr>
            </w:pPr>
            <w:r w:rsidRPr="00F76928">
              <w:rPr>
                <w:szCs w:val="22"/>
              </w:rPr>
              <w:t>2</w:t>
            </w:r>
          </w:p>
        </w:tc>
        <w:tc>
          <w:tcPr>
            <w:tcW w:w="1484" w:type="pct"/>
          </w:tcPr>
          <w:p w14:paraId="08DEFC6B"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July 2005</w:t>
            </w:r>
          </w:p>
        </w:tc>
        <w:tc>
          <w:tcPr>
            <w:tcW w:w="1484" w:type="pct"/>
          </w:tcPr>
          <w:p w14:paraId="6D8641D3"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20 June 2005</w:t>
            </w:r>
          </w:p>
        </w:tc>
        <w:tc>
          <w:tcPr>
            <w:tcW w:w="1483" w:type="pct"/>
          </w:tcPr>
          <w:p w14:paraId="52983B41"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30 April 2007</w:t>
            </w:r>
          </w:p>
        </w:tc>
      </w:tr>
      <w:tr w:rsidR="00113D8B" w:rsidRPr="002537D9" w14:paraId="79DA124D"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10C0CB92" w14:textId="77777777" w:rsidR="00D6321F" w:rsidRPr="00F76928" w:rsidRDefault="00D6321F" w:rsidP="00AF648C">
            <w:pPr>
              <w:pStyle w:val="BodyText"/>
              <w:spacing w:after="40"/>
              <w:rPr>
                <w:szCs w:val="22"/>
              </w:rPr>
            </w:pPr>
            <w:r w:rsidRPr="00F76928">
              <w:rPr>
                <w:szCs w:val="22"/>
              </w:rPr>
              <w:t>3</w:t>
            </w:r>
          </w:p>
        </w:tc>
        <w:tc>
          <w:tcPr>
            <w:tcW w:w="1484" w:type="pct"/>
          </w:tcPr>
          <w:p w14:paraId="4F4E6725"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1 May 2007</w:t>
            </w:r>
          </w:p>
        </w:tc>
        <w:tc>
          <w:tcPr>
            <w:tcW w:w="1484" w:type="pct"/>
          </w:tcPr>
          <w:p w14:paraId="0DD7DEBF"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1 May 2007</w:t>
            </w:r>
          </w:p>
        </w:tc>
        <w:tc>
          <w:tcPr>
            <w:tcW w:w="1483" w:type="pct"/>
          </w:tcPr>
          <w:p w14:paraId="2D88F2DF"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31 December 2007</w:t>
            </w:r>
          </w:p>
        </w:tc>
      </w:tr>
      <w:tr w:rsidR="00D6321F" w:rsidRPr="002537D9" w14:paraId="5C0829AC"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3DFD0424" w14:textId="77777777" w:rsidR="00D6321F" w:rsidRPr="00F76928" w:rsidRDefault="00D6321F" w:rsidP="00AF648C">
            <w:pPr>
              <w:pStyle w:val="BodyText"/>
              <w:spacing w:after="40"/>
              <w:rPr>
                <w:szCs w:val="22"/>
              </w:rPr>
            </w:pPr>
            <w:r w:rsidRPr="00F76928">
              <w:rPr>
                <w:szCs w:val="22"/>
              </w:rPr>
              <w:t>4</w:t>
            </w:r>
          </w:p>
        </w:tc>
        <w:tc>
          <w:tcPr>
            <w:tcW w:w="1484" w:type="pct"/>
          </w:tcPr>
          <w:p w14:paraId="2E94AFC6"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2 January 2008</w:t>
            </w:r>
          </w:p>
        </w:tc>
        <w:tc>
          <w:tcPr>
            <w:tcW w:w="1484" w:type="pct"/>
          </w:tcPr>
          <w:p w14:paraId="1927F87A"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January 2008</w:t>
            </w:r>
          </w:p>
        </w:tc>
        <w:tc>
          <w:tcPr>
            <w:tcW w:w="1483" w:type="pct"/>
          </w:tcPr>
          <w:p w14:paraId="2D7426FB"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5 May 2008</w:t>
            </w:r>
          </w:p>
        </w:tc>
      </w:tr>
      <w:tr w:rsidR="00113D8B" w:rsidRPr="002537D9" w14:paraId="59FADEB5"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4033980E" w14:textId="77777777" w:rsidR="00D6321F" w:rsidRPr="00F76928" w:rsidRDefault="00D6321F" w:rsidP="00AF648C">
            <w:pPr>
              <w:pStyle w:val="BodyText"/>
              <w:spacing w:after="40"/>
              <w:rPr>
                <w:szCs w:val="22"/>
              </w:rPr>
            </w:pPr>
            <w:r w:rsidRPr="00F76928">
              <w:rPr>
                <w:szCs w:val="22"/>
              </w:rPr>
              <w:t>5</w:t>
            </w:r>
          </w:p>
        </w:tc>
        <w:tc>
          <w:tcPr>
            <w:tcW w:w="1484" w:type="pct"/>
          </w:tcPr>
          <w:p w14:paraId="165D327F"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6 May 2008</w:t>
            </w:r>
          </w:p>
        </w:tc>
        <w:tc>
          <w:tcPr>
            <w:tcW w:w="1484" w:type="pct"/>
          </w:tcPr>
          <w:p w14:paraId="1066EAB6"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6 May 2008</w:t>
            </w:r>
          </w:p>
        </w:tc>
        <w:tc>
          <w:tcPr>
            <w:tcW w:w="1483" w:type="pct"/>
          </w:tcPr>
          <w:p w14:paraId="574700E9"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31 December 2009</w:t>
            </w:r>
          </w:p>
        </w:tc>
      </w:tr>
      <w:tr w:rsidR="00D6321F" w:rsidRPr="002537D9" w14:paraId="56E6650E"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083EAD75" w14:textId="77777777" w:rsidR="00D6321F" w:rsidRPr="00F76928" w:rsidRDefault="00D6321F" w:rsidP="00AF648C">
            <w:pPr>
              <w:pStyle w:val="BodyText"/>
              <w:spacing w:after="40"/>
              <w:rPr>
                <w:szCs w:val="22"/>
              </w:rPr>
            </w:pPr>
            <w:r w:rsidRPr="00F76928">
              <w:rPr>
                <w:szCs w:val="22"/>
              </w:rPr>
              <w:t>6</w:t>
            </w:r>
          </w:p>
        </w:tc>
        <w:tc>
          <w:tcPr>
            <w:tcW w:w="1484" w:type="pct"/>
          </w:tcPr>
          <w:p w14:paraId="679123F7"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18 December 2009</w:t>
            </w:r>
          </w:p>
        </w:tc>
        <w:tc>
          <w:tcPr>
            <w:tcW w:w="1484" w:type="pct"/>
          </w:tcPr>
          <w:p w14:paraId="461D98FD"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January 2010</w:t>
            </w:r>
          </w:p>
        </w:tc>
        <w:tc>
          <w:tcPr>
            <w:tcW w:w="1483" w:type="pct"/>
          </w:tcPr>
          <w:p w14:paraId="78830F14"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 May 2010</w:t>
            </w:r>
          </w:p>
        </w:tc>
      </w:tr>
      <w:tr w:rsidR="00113D8B" w:rsidRPr="002537D9" w14:paraId="32D345D9"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5FBFAE6A" w14:textId="77777777" w:rsidR="00D6321F" w:rsidRPr="00F76928" w:rsidRDefault="00D6321F" w:rsidP="00AF648C">
            <w:pPr>
              <w:pStyle w:val="BodyText"/>
              <w:spacing w:after="40"/>
              <w:rPr>
                <w:szCs w:val="22"/>
              </w:rPr>
            </w:pPr>
            <w:r w:rsidRPr="00F76928">
              <w:rPr>
                <w:szCs w:val="22"/>
              </w:rPr>
              <w:t>7</w:t>
            </w:r>
          </w:p>
        </w:tc>
        <w:tc>
          <w:tcPr>
            <w:tcW w:w="1484" w:type="pct"/>
          </w:tcPr>
          <w:p w14:paraId="5792FAAA"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5 May 2010</w:t>
            </w:r>
          </w:p>
        </w:tc>
        <w:tc>
          <w:tcPr>
            <w:tcW w:w="1484" w:type="pct"/>
          </w:tcPr>
          <w:p w14:paraId="3CA723A6"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4 May 2010</w:t>
            </w:r>
          </w:p>
        </w:tc>
        <w:tc>
          <w:tcPr>
            <w:tcW w:w="1483" w:type="pct"/>
          </w:tcPr>
          <w:p w14:paraId="730F739D"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2 May 2011</w:t>
            </w:r>
          </w:p>
        </w:tc>
      </w:tr>
      <w:tr w:rsidR="00D6321F" w:rsidRPr="002537D9" w14:paraId="7956951A"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6E2B5A64" w14:textId="5C99A5AF" w:rsidR="00D6321F" w:rsidRPr="00F76928" w:rsidRDefault="007C20CB" w:rsidP="00AF648C">
            <w:pPr>
              <w:pStyle w:val="BodyText"/>
              <w:spacing w:after="40"/>
              <w:rPr>
                <w:szCs w:val="22"/>
              </w:rPr>
            </w:pPr>
            <w:r>
              <w:rPr>
                <w:szCs w:val="22"/>
              </w:rPr>
              <w:t>8</w:t>
            </w:r>
          </w:p>
        </w:tc>
        <w:tc>
          <w:tcPr>
            <w:tcW w:w="1484" w:type="pct"/>
          </w:tcPr>
          <w:p w14:paraId="10378FE3"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 May 2011</w:t>
            </w:r>
          </w:p>
        </w:tc>
        <w:tc>
          <w:tcPr>
            <w:tcW w:w="1484" w:type="pct"/>
          </w:tcPr>
          <w:p w14:paraId="3E97BE1F"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 May 2011</w:t>
            </w:r>
          </w:p>
        </w:tc>
        <w:tc>
          <w:tcPr>
            <w:tcW w:w="1483" w:type="pct"/>
          </w:tcPr>
          <w:p w14:paraId="5E65901D"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 December 2012</w:t>
            </w:r>
          </w:p>
        </w:tc>
      </w:tr>
      <w:tr w:rsidR="00113D8B" w:rsidRPr="002537D9" w14:paraId="6B4E7E90"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09A30E38" w14:textId="77777777" w:rsidR="00D6321F" w:rsidRPr="00F76928" w:rsidRDefault="00D6321F" w:rsidP="00AF648C">
            <w:pPr>
              <w:pStyle w:val="BodyText"/>
              <w:spacing w:after="40"/>
              <w:rPr>
                <w:szCs w:val="22"/>
              </w:rPr>
            </w:pPr>
            <w:r w:rsidRPr="00F76928">
              <w:rPr>
                <w:szCs w:val="22"/>
              </w:rPr>
              <w:t>9</w:t>
            </w:r>
          </w:p>
        </w:tc>
        <w:tc>
          <w:tcPr>
            <w:tcW w:w="1484" w:type="pct"/>
          </w:tcPr>
          <w:p w14:paraId="4F6532EA"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7 December 2012</w:t>
            </w:r>
          </w:p>
        </w:tc>
        <w:tc>
          <w:tcPr>
            <w:tcW w:w="1484" w:type="pct"/>
          </w:tcPr>
          <w:p w14:paraId="785F1A2A"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4 December 2012</w:t>
            </w:r>
          </w:p>
        </w:tc>
        <w:tc>
          <w:tcPr>
            <w:tcW w:w="1483" w:type="pct"/>
          </w:tcPr>
          <w:p w14:paraId="737BB152"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27 April 2015</w:t>
            </w:r>
          </w:p>
        </w:tc>
      </w:tr>
      <w:tr w:rsidR="00D6321F" w:rsidRPr="002537D9" w14:paraId="62583A4C"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3D5A4A2E" w14:textId="77777777" w:rsidR="00D6321F" w:rsidRPr="00F76928" w:rsidRDefault="00D6321F" w:rsidP="00AF648C">
            <w:pPr>
              <w:pStyle w:val="BodyText"/>
              <w:spacing w:after="40"/>
              <w:rPr>
                <w:szCs w:val="22"/>
              </w:rPr>
            </w:pPr>
            <w:r w:rsidRPr="00F76928">
              <w:rPr>
                <w:szCs w:val="22"/>
              </w:rPr>
              <w:t>10</w:t>
            </w:r>
          </w:p>
        </w:tc>
        <w:tc>
          <w:tcPr>
            <w:tcW w:w="1484" w:type="pct"/>
          </w:tcPr>
          <w:p w14:paraId="4BDCA7E4"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28 April 2015</w:t>
            </w:r>
          </w:p>
        </w:tc>
        <w:tc>
          <w:tcPr>
            <w:tcW w:w="1484" w:type="pct"/>
          </w:tcPr>
          <w:p w14:paraId="6B21C638" w14:textId="049C3610"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28 April</w:t>
            </w:r>
            <w:r w:rsidR="003A644F">
              <w:rPr>
                <w:szCs w:val="22"/>
              </w:rPr>
              <w:t xml:space="preserve"> 2015</w:t>
            </w:r>
          </w:p>
        </w:tc>
        <w:tc>
          <w:tcPr>
            <w:tcW w:w="1483" w:type="pct"/>
          </w:tcPr>
          <w:p w14:paraId="09BE3DDF"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23 May 2016</w:t>
            </w:r>
          </w:p>
        </w:tc>
      </w:tr>
      <w:tr w:rsidR="00113D8B" w:rsidRPr="002537D9" w14:paraId="39845A16"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6DC16ED7" w14:textId="77777777" w:rsidR="00D6321F" w:rsidRPr="00F76928" w:rsidRDefault="00D6321F" w:rsidP="00AF648C">
            <w:pPr>
              <w:pStyle w:val="BodyText"/>
              <w:spacing w:after="40"/>
              <w:rPr>
                <w:szCs w:val="22"/>
              </w:rPr>
            </w:pPr>
            <w:r w:rsidRPr="00F76928">
              <w:rPr>
                <w:szCs w:val="22"/>
              </w:rPr>
              <w:t>11</w:t>
            </w:r>
          </w:p>
        </w:tc>
        <w:tc>
          <w:tcPr>
            <w:tcW w:w="1484" w:type="pct"/>
          </w:tcPr>
          <w:p w14:paraId="30C62A43"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24 May 2016</w:t>
            </w:r>
          </w:p>
        </w:tc>
        <w:tc>
          <w:tcPr>
            <w:tcW w:w="1484" w:type="pct"/>
          </w:tcPr>
          <w:p w14:paraId="3D50256E"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24 May 2016</w:t>
            </w:r>
          </w:p>
        </w:tc>
        <w:tc>
          <w:tcPr>
            <w:tcW w:w="1483" w:type="pct"/>
          </w:tcPr>
          <w:p w14:paraId="46B8C5AD"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31 August 2016</w:t>
            </w:r>
          </w:p>
        </w:tc>
      </w:tr>
      <w:tr w:rsidR="00D6321F" w:rsidRPr="002537D9" w14:paraId="23AEBFF3"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2580C879" w14:textId="77777777" w:rsidR="00D6321F" w:rsidRPr="00F76928" w:rsidRDefault="00D6321F" w:rsidP="00AF648C">
            <w:pPr>
              <w:pStyle w:val="BodyText"/>
              <w:spacing w:after="40"/>
              <w:rPr>
                <w:szCs w:val="22"/>
              </w:rPr>
            </w:pPr>
            <w:r w:rsidRPr="00F76928">
              <w:rPr>
                <w:szCs w:val="22"/>
              </w:rPr>
              <w:t>12</w:t>
            </w:r>
          </w:p>
        </w:tc>
        <w:tc>
          <w:tcPr>
            <w:tcW w:w="1484" w:type="pct"/>
          </w:tcPr>
          <w:p w14:paraId="58979290"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September 2016</w:t>
            </w:r>
          </w:p>
        </w:tc>
        <w:tc>
          <w:tcPr>
            <w:tcW w:w="1484" w:type="pct"/>
          </w:tcPr>
          <w:p w14:paraId="49DE7887"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September 2016</w:t>
            </w:r>
          </w:p>
        </w:tc>
        <w:tc>
          <w:tcPr>
            <w:tcW w:w="1483" w:type="pct"/>
          </w:tcPr>
          <w:p w14:paraId="76C2A131"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30 June 2017</w:t>
            </w:r>
          </w:p>
        </w:tc>
      </w:tr>
      <w:tr w:rsidR="00113D8B" w:rsidRPr="002537D9" w14:paraId="6AC69954" w14:textId="77777777" w:rsidTr="008921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02069D88" w14:textId="77777777" w:rsidR="00D6321F" w:rsidRPr="00F76928" w:rsidRDefault="00D6321F" w:rsidP="00AF648C">
            <w:pPr>
              <w:pStyle w:val="BodyText"/>
              <w:spacing w:after="40"/>
              <w:rPr>
                <w:szCs w:val="22"/>
              </w:rPr>
            </w:pPr>
            <w:r w:rsidRPr="00F76928">
              <w:rPr>
                <w:szCs w:val="22"/>
              </w:rPr>
              <w:t>13</w:t>
            </w:r>
          </w:p>
        </w:tc>
        <w:tc>
          <w:tcPr>
            <w:tcW w:w="1484" w:type="pct"/>
          </w:tcPr>
          <w:p w14:paraId="52D60C20"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1 July 2017</w:t>
            </w:r>
          </w:p>
        </w:tc>
        <w:tc>
          <w:tcPr>
            <w:tcW w:w="1484" w:type="pct"/>
          </w:tcPr>
          <w:p w14:paraId="789BF76C"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1 July 2017</w:t>
            </w:r>
          </w:p>
        </w:tc>
        <w:tc>
          <w:tcPr>
            <w:tcW w:w="1483" w:type="pct"/>
          </w:tcPr>
          <w:p w14:paraId="126FEC3D"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30 April 2018</w:t>
            </w:r>
          </w:p>
        </w:tc>
      </w:tr>
      <w:tr w:rsidR="00D6321F" w:rsidRPr="002537D9" w14:paraId="4C5CD434"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5FF51C0E" w14:textId="77777777" w:rsidR="00D6321F" w:rsidRPr="00F76928" w:rsidRDefault="00D6321F" w:rsidP="00AF648C">
            <w:pPr>
              <w:pStyle w:val="BodyText"/>
              <w:spacing w:after="40"/>
              <w:rPr>
                <w:szCs w:val="22"/>
              </w:rPr>
            </w:pPr>
            <w:r w:rsidRPr="00F76928">
              <w:rPr>
                <w:szCs w:val="22"/>
              </w:rPr>
              <w:t>14</w:t>
            </w:r>
          </w:p>
        </w:tc>
        <w:tc>
          <w:tcPr>
            <w:tcW w:w="1484" w:type="pct"/>
          </w:tcPr>
          <w:p w14:paraId="59423EB1"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May 2018</w:t>
            </w:r>
          </w:p>
        </w:tc>
        <w:tc>
          <w:tcPr>
            <w:tcW w:w="1484" w:type="pct"/>
          </w:tcPr>
          <w:p w14:paraId="5D6C04EF"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May 2018</w:t>
            </w:r>
          </w:p>
        </w:tc>
        <w:tc>
          <w:tcPr>
            <w:tcW w:w="1483" w:type="pct"/>
          </w:tcPr>
          <w:p w14:paraId="14062F9A"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6 May 2019</w:t>
            </w:r>
          </w:p>
        </w:tc>
      </w:tr>
      <w:tr w:rsidR="00113D8B" w:rsidRPr="002537D9" w14:paraId="27F9C9C2" w14:textId="77777777" w:rsidTr="008921AF">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50" w:type="pct"/>
          </w:tcPr>
          <w:p w14:paraId="20459DA4" w14:textId="77777777" w:rsidR="00D6321F" w:rsidRPr="00F76928" w:rsidRDefault="00D6321F" w:rsidP="00AF648C">
            <w:pPr>
              <w:pStyle w:val="BodyText"/>
              <w:spacing w:after="40"/>
              <w:rPr>
                <w:szCs w:val="22"/>
              </w:rPr>
            </w:pPr>
            <w:r w:rsidRPr="00F76928">
              <w:rPr>
                <w:szCs w:val="22"/>
              </w:rPr>
              <w:t>15</w:t>
            </w:r>
          </w:p>
        </w:tc>
        <w:tc>
          <w:tcPr>
            <w:tcW w:w="1484" w:type="pct"/>
          </w:tcPr>
          <w:p w14:paraId="29BD72BF"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7 May 2019</w:t>
            </w:r>
          </w:p>
        </w:tc>
        <w:tc>
          <w:tcPr>
            <w:tcW w:w="1484" w:type="pct"/>
          </w:tcPr>
          <w:p w14:paraId="63E7DEE1"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7 May 2019</w:t>
            </w:r>
          </w:p>
        </w:tc>
        <w:tc>
          <w:tcPr>
            <w:tcW w:w="1483" w:type="pct"/>
          </w:tcPr>
          <w:p w14:paraId="515E413E" w14:textId="77777777" w:rsidR="00D6321F" w:rsidRPr="00F76928" w:rsidRDefault="00D6321F" w:rsidP="00AF648C">
            <w:pPr>
              <w:pStyle w:val="BodyText"/>
              <w:spacing w:after="40"/>
              <w:cnfStyle w:val="000000010000" w:firstRow="0" w:lastRow="0" w:firstColumn="0" w:lastColumn="0" w:oddVBand="0" w:evenVBand="0" w:oddHBand="0" w:evenHBand="1" w:firstRowFirstColumn="0" w:firstRowLastColumn="0" w:lastRowFirstColumn="0" w:lastRowLastColumn="0"/>
              <w:rPr>
                <w:szCs w:val="22"/>
              </w:rPr>
            </w:pPr>
            <w:r w:rsidRPr="00F76928">
              <w:rPr>
                <w:szCs w:val="22"/>
              </w:rPr>
              <w:t>30 June 2022</w:t>
            </w:r>
          </w:p>
        </w:tc>
      </w:tr>
      <w:tr w:rsidR="00D6321F" w:rsidRPr="002537D9" w14:paraId="008789A1" w14:textId="77777777" w:rsidTr="00AF6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tcPr>
          <w:p w14:paraId="34BDCFF9" w14:textId="77777777" w:rsidR="00D6321F" w:rsidRPr="00F76928" w:rsidRDefault="00D6321F" w:rsidP="00AF648C">
            <w:pPr>
              <w:pStyle w:val="BodyText"/>
              <w:spacing w:after="40"/>
              <w:rPr>
                <w:szCs w:val="22"/>
              </w:rPr>
            </w:pPr>
            <w:r w:rsidRPr="00F76928">
              <w:rPr>
                <w:szCs w:val="22"/>
              </w:rPr>
              <w:t>16</w:t>
            </w:r>
          </w:p>
        </w:tc>
        <w:tc>
          <w:tcPr>
            <w:tcW w:w="1484" w:type="pct"/>
          </w:tcPr>
          <w:p w14:paraId="70E05BA5"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July 2022</w:t>
            </w:r>
          </w:p>
        </w:tc>
        <w:tc>
          <w:tcPr>
            <w:tcW w:w="1484" w:type="pct"/>
          </w:tcPr>
          <w:p w14:paraId="6A28C120"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1 July 2022</w:t>
            </w:r>
          </w:p>
        </w:tc>
        <w:tc>
          <w:tcPr>
            <w:tcW w:w="1483" w:type="pct"/>
          </w:tcPr>
          <w:p w14:paraId="3885CFF4" w14:textId="77777777" w:rsidR="00D6321F" w:rsidRPr="00F76928" w:rsidRDefault="00D6321F" w:rsidP="00AF648C">
            <w:pPr>
              <w:pStyle w:val="BodyText"/>
              <w:spacing w:after="40"/>
              <w:cnfStyle w:val="000000100000" w:firstRow="0" w:lastRow="0" w:firstColumn="0" w:lastColumn="0" w:oddVBand="0" w:evenVBand="0" w:oddHBand="1" w:evenHBand="0" w:firstRowFirstColumn="0" w:firstRowLastColumn="0" w:lastRowFirstColumn="0" w:lastRowLastColumn="0"/>
              <w:rPr>
                <w:szCs w:val="22"/>
              </w:rPr>
            </w:pPr>
            <w:r w:rsidRPr="00F76928">
              <w:rPr>
                <w:szCs w:val="22"/>
              </w:rPr>
              <w:t>Current</w:t>
            </w:r>
          </w:p>
        </w:tc>
      </w:tr>
    </w:tbl>
    <w:p w14:paraId="6AB78BA0" w14:textId="77777777" w:rsidR="00D6321F" w:rsidRDefault="00D6321F">
      <w:pPr>
        <w:pStyle w:val="Heading1"/>
        <w:rPr>
          <w:noProof/>
          <w:lang w:eastAsia="en-AU"/>
        </w:rPr>
      </w:pPr>
      <w:r>
        <w:rPr>
          <w:noProof/>
          <w:lang w:eastAsia="en-AU"/>
        </w:rPr>
        <w:t>Purpose</w:t>
      </w:r>
    </w:p>
    <w:p w14:paraId="1E74646D" w14:textId="7732D18A" w:rsidR="001E780F" w:rsidRDefault="001E780F" w:rsidP="00AF648C">
      <w:pPr>
        <w:pStyle w:val="Numberlistlevel1ListNumber"/>
      </w:pPr>
      <w:r>
        <w:t xml:space="preserve">This </w:t>
      </w:r>
      <w:r w:rsidR="00C948A4">
        <w:t>guideline</w:t>
      </w:r>
      <w:r>
        <w:t xml:space="preserve"> explains the eligibility criteria for the </w:t>
      </w:r>
      <w:r w:rsidR="000C142B">
        <w:t>H</w:t>
      </w:r>
      <w:r>
        <w:t xml:space="preserve">ouse and land package exemption (HLPE) under the </w:t>
      </w:r>
      <w:r w:rsidRPr="00E706F6">
        <w:rPr>
          <w:i/>
        </w:rPr>
        <w:t>Stamp Duty Act</w:t>
      </w:r>
      <w:r>
        <w:rPr>
          <w:i/>
        </w:rPr>
        <w:t xml:space="preserve"> 1978</w:t>
      </w:r>
      <w:r>
        <w:t>.</w:t>
      </w:r>
    </w:p>
    <w:p w14:paraId="723D6CBB" w14:textId="77777777" w:rsidR="001E780F" w:rsidRPr="00DD1818" w:rsidRDefault="001E780F" w:rsidP="00AF648C">
      <w:pPr>
        <w:pStyle w:val="Heading2"/>
      </w:pPr>
      <w:r w:rsidRPr="00DD1818">
        <w:t>Other home owner assistance schemes</w:t>
      </w:r>
    </w:p>
    <w:p w14:paraId="3981388C" w14:textId="47D4BA9B" w:rsidR="001E780F" w:rsidRDefault="001E780F" w:rsidP="00AF648C">
      <w:pPr>
        <w:pStyle w:val="Numberlistlevel1ListNumber"/>
      </w:pPr>
      <w:r>
        <w:t>If you are first home owner, you may also be eligible for the first home owner grant. R</w:t>
      </w:r>
      <w:r w:rsidRPr="009B097D">
        <w:t xml:space="preserve">efer to </w:t>
      </w:r>
      <w:r w:rsidR="0048480C">
        <w:t xml:space="preserve">form </w:t>
      </w:r>
      <w:r w:rsidR="005D050A" w:rsidRPr="00AF648C">
        <w:t>F</w:t>
      </w:r>
      <w:r w:rsidR="005D050A" w:rsidRPr="00AF648C">
        <w:noBreakHyphen/>
        <w:t>HI</w:t>
      </w:r>
      <w:r w:rsidR="005D050A" w:rsidRPr="00AF648C">
        <w:noBreakHyphen/>
        <w:t>001</w:t>
      </w:r>
      <w:r w:rsidR="005D050A">
        <w:t xml:space="preserve">: </w:t>
      </w:r>
      <w:r w:rsidR="005D050A" w:rsidRPr="00AF648C">
        <w:rPr>
          <w:i/>
        </w:rPr>
        <w:t xml:space="preserve">First Home Owner Grant </w:t>
      </w:r>
      <w:r w:rsidR="003132F0">
        <w:rPr>
          <w:i/>
        </w:rPr>
        <w:t>–</w:t>
      </w:r>
      <w:r w:rsidR="005D050A" w:rsidRPr="00AF648C">
        <w:rPr>
          <w:i/>
        </w:rPr>
        <w:t xml:space="preserve"> </w:t>
      </w:r>
      <w:r w:rsidR="003132F0">
        <w:rPr>
          <w:i/>
        </w:rPr>
        <w:t>Guide to the application</w:t>
      </w:r>
      <w:r>
        <w:t xml:space="preserve"> </w:t>
      </w:r>
      <w:r w:rsidR="001C0D88">
        <w:t>for more information</w:t>
      </w:r>
      <w:r w:rsidRPr="009B097D">
        <w:t>.</w:t>
      </w:r>
    </w:p>
    <w:p w14:paraId="2D631B04" w14:textId="12FA81C6" w:rsidR="001E780F" w:rsidRDefault="001E780F" w:rsidP="00AF648C">
      <w:pPr>
        <w:pStyle w:val="Numberlistlevel1ListNumber"/>
      </w:pPr>
      <w:r>
        <w:t xml:space="preserve">The Territory home owner discount and senior, pensioner and carer concession closed on </w:t>
      </w:r>
      <w:r w:rsidR="007C20CB">
        <w:t>30 June </w:t>
      </w:r>
      <w:r>
        <w:t>2021. However, if your contract of sale was signed before 1 July 2021, you may still be eligible to apply. Refer to</w:t>
      </w:r>
      <w:r w:rsidR="0048480C">
        <w:t xml:space="preserve"> form</w:t>
      </w:r>
      <w:r w:rsidR="003132F0">
        <w:t>s</w:t>
      </w:r>
      <w:r>
        <w:t xml:space="preserve"> </w:t>
      </w:r>
      <w:r w:rsidR="005D050A" w:rsidRPr="00AF648C">
        <w:t>F-HI-019</w:t>
      </w:r>
      <w:r w:rsidR="005D050A">
        <w:t xml:space="preserve">: </w:t>
      </w:r>
      <w:r w:rsidR="003132F0">
        <w:rPr>
          <w:i/>
        </w:rPr>
        <w:t>Territory Home Owner Discount (THOD) application</w:t>
      </w:r>
      <w:r w:rsidR="005D050A">
        <w:t xml:space="preserve"> </w:t>
      </w:r>
      <w:r>
        <w:t>and</w:t>
      </w:r>
      <w:r w:rsidR="0048480C">
        <w:t xml:space="preserve"> </w:t>
      </w:r>
      <w:r w:rsidR="005D050A" w:rsidRPr="00AF648C">
        <w:t>F</w:t>
      </w:r>
      <w:r w:rsidR="003132F0">
        <w:noBreakHyphen/>
      </w:r>
      <w:r w:rsidR="005D050A" w:rsidRPr="00AF648C">
        <w:t>HI</w:t>
      </w:r>
      <w:r w:rsidR="003132F0">
        <w:noBreakHyphen/>
      </w:r>
      <w:r w:rsidR="005D050A" w:rsidRPr="00AF648C">
        <w:t>008</w:t>
      </w:r>
      <w:r w:rsidR="005D050A">
        <w:t xml:space="preserve">: </w:t>
      </w:r>
      <w:r w:rsidR="005D050A" w:rsidRPr="00AF648C">
        <w:rPr>
          <w:i/>
        </w:rPr>
        <w:t>Stamp Duty – Senior, Pensioner and Carer Concession</w:t>
      </w:r>
      <w:r w:rsidR="003132F0">
        <w:rPr>
          <w:i/>
        </w:rPr>
        <w:t xml:space="preserve"> (SPCC)</w:t>
      </w:r>
      <w:r w:rsidR="005D050A" w:rsidRPr="00AF648C">
        <w:rPr>
          <w:i/>
        </w:rPr>
        <w:t xml:space="preserve"> </w:t>
      </w:r>
      <w:r w:rsidR="003132F0">
        <w:rPr>
          <w:i/>
        </w:rPr>
        <w:t>Guide to the application</w:t>
      </w:r>
      <w:r>
        <w:t xml:space="preserve"> for </w:t>
      </w:r>
      <w:r w:rsidR="003132F0">
        <w:t>more </w:t>
      </w:r>
      <w:r>
        <w:t>information.</w:t>
      </w:r>
    </w:p>
    <w:p w14:paraId="7728F843" w14:textId="219849A0" w:rsidR="001C0D88" w:rsidRDefault="001C0D88" w:rsidP="00AF648C">
      <w:pPr>
        <w:pStyle w:val="Numberlistlevel1ListNumber"/>
      </w:pPr>
      <w:r>
        <w:t>All forms can be found on the Territory Revenue Office (TRO) website</w:t>
      </w:r>
      <w:r w:rsidR="00652FB7">
        <w:t xml:space="preserve">, </w:t>
      </w:r>
      <w:hyperlink r:id="rId9" w:history="1">
        <w:r w:rsidR="00652FB7" w:rsidRPr="00B2626E">
          <w:rPr>
            <w:rStyle w:val="Hyperlink"/>
          </w:rPr>
          <w:t>www.revenue.nt.gov.au</w:t>
        </w:r>
      </w:hyperlink>
      <w:r>
        <w:t>.</w:t>
      </w:r>
    </w:p>
    <w:p w14:paraId="4E103F38" w14:textId="6C25F1C2" w:rsidR="001E780F" w:rsidRPr="00DD1818" w:rsidRDefault="00DD1818" w:rsidP="00AF648C">
      <w:pPr>
        <w:pStyle w:val="Heading1"/>
      </w:pPr>
      <w:r w:rsidRPr="00DD1818">
        <w:lastRenderedPageBreak/>
        <w:t xml:space="preserve">Who can apply for the </w:t>
      </w:r>
      <w:r w:rsidR="000C142B">
        <w:t>H</w:t>
      </w:r>
      <w:r w:rsidR="005D050A" w:rsidRPr="00DD1818">
        <w:t>ouse and land package exemption</w:t>
      </w:r>
    </w:p>
    <w:p w14:paraId="60562E38" w14:textId="08B799E3" w:rsidR="001E780F" w:rsidRDefault="001E780F" w:rsidP="00AF648C">
      <w:pPr>
        <w:pStyle w:val="Numberlistlevel1ListNumber"/>
      </w:pPr>
      <w:r>
        <w:t xml:space="preserve">From 1 July 2022, eligible home buyers who enter into </w:t>
      </w:r>
      <w:r w:rsidR="00AE43DB">
        <w:t xml:space="preserve">an agreement for </w:t>
      </w:r>
      <w:r>
        <w:t>a house and land package with a building contractor can apply for an exemption from the stamp duty payable.</w:t>
      </w:r>
    </w:p>
    <w:p w14:paraId="6538033E" w14:textId="77777777" w:rsidR="001E780F" w:rsidRDefault="001E780F" w:rsidP="00AF648C">
      <w:pPr>
        <w:pStyle w:val="Numberlistlevel1ListNumber"/>
      </w:pPr>
      <w:r>
        <w:t>For the purposes of the exemption:</w:t>
      </w:r>
    </w:p>
    <w:p w14:paraId="30E146C1" w14:textId="72265B4D" w:rsidR="001E780F" w:rsidRDefault="001E780F" w:rsidP="00AF648C">
      <w:pPr>
        <w:pStyle w:val="Numberlistlevel2ListNumber2"/>
      </w:pPr>
      <w:r>
        <w:t>a ‘house and land package’ is an agreement in which a building contractor agrees to convey land and a new home to the buyers, regardless of whether construction commences before or after the date of the agreement</w:t>
      </w:r>
    </w:p>
    <w:p w14:paraId="4D641CCD" w14:textId="6A146FB7" w:rsidR="001E780F" w:rsidRDefault="001E780F" w:rsidP="00AF648C">
      <w:pPr>
        <w:pStyle w:val="Numberlistlevel2ListNumber2"/>
      </w:pPr>
      <w:r>
        <w:t xml:space="preserve">a ‘building contractor’ is </w:t>
      </w:r>
      <w:r w:rsidRPr="00054AEF">
        <w:t xml:space="preserve">a building practitioner registered in the category of building </w:t>
      </w:r>
      <w:r w:rsidR="005D050A" w:rsidRPr="00054AEF">
        <w:t>contractor</w:t>
      </w:r>
      <w:r w:rsidR="005D050A">
        <w:t> </w:t>
      </w:r>
      <w:r w:rsidRPr="00054AEF">
        <w:t xml:space="preserve">(restricted) or building contractor (unrestricted) within the meaning of the </w:t>
      </w:r>
      <w:r w:rsidRPr="00054AEF">
        <w:rPr>
          <w:i/>
        </w:rPr>
        <w:t xml:space="preserve">Building </w:t>
      </w:r>
      <w:r w:rsidR="005D050A" w:rsidRPr="00054AEF">
        <w:rPr>
          <w:i/>
        </w:rPr>
        <w:t>Regulations</w:t>
      </w:r>
      <w:r w:rsidR="005D050A">
        <w:rPr>
          <w:i/>
        </w:rPr>
        <w:t> </w:t>
      </w:r>
      <w:r w:rsidRPr="00054AEF">
        <w:rPr>
          <w:i/>
        </w:rPr>
        <w:t>1993</w:t>
      </w:r>
      <w:r w:rsidRPr="00054AEF">
        <w:t>.</w:t>
      </w:r>
    </w:p>
    <w:p w14:paraId="7FEAAB3C" w14:textId="77777777" w:rsidR="001E780F" w:rsidRDefault="001E780F" w:rsidP="00AF648C">
      <w:pPr>
        <w:pStyle w:val="Heading2"/>
      </w:pPr>
      <w:r>
        <w:t>Eligibility criteria</w:t>
      </w:r>
    </w:p>
    <w:p w14:paraId="68B810B5" w14:textId="2D0EB3EC" w:rsidR="001E780F" w:rsidRDefault="001E780F" w:rsidP="00AF648C">
      <w:pPr>
        <w:pStyle w:val="Numberlistlevel1ListNumber"/>
      </w:pPr>
      <w:r>
        <w:t>HLPE applies to an agreement for a house and land package exec</w:t>
      </w:r>
      <w:r w:rsidR="00005779">
        <w:t>uted between 1 July 2022 and 30 </w:t>
      </w:r>
      <w:r>
        <w:t xml:space="preserve">June 2027, provided the agreement does not replace an earlier agreement executed prior to </w:t>
      </w:r>
      <w:r w:rsidR="005D050A">
        <w:t>that </w:t>
      </w:r>
      <w:r>
        <w:t>date.</w:t>
      </w:r>
    </w:p>
    <w:p w14:paraId="7865EFF4" w14:textId="77777777" w:rsidR="001E780F" w:rsidRDefault="001E780F" w:rsidP="00AF648C">
      <w:pPr>
        <w:pStyle w:val="Numberlistlevel1ListNumber"/>
      </w:pPr>
      <w:r>
        <w:t xml:space="preserve">The conveyance must take place under a </w:t>
      </w:r>
      <w:r w:rsidRPr="00F449EB">
        <w:t>single agreement</w:t>
      </w:r>
      <w:r>
        <w:t xml:space="preserve"> between the home buyer and the building contractor. That is, the building contractor </w:t>
      </w:r>
      <w:r w:rsidR="001D3390">
        <w:t>must convey</w:t>
      </w:r>
      <w:r>
        <w:t xml:space="preserve"> land to the home buyer and build or place a new home on that land (if it has not already done so) under the same agreement.</w:t>
      </w:r>
    </w:p>
    <w:p w14:paraId="79B35BAC" w14:textId="77777777" w:rsidR="001E780F" w:rsidRDefault="001E780F" w:rsidP="00AF648C">
      <w:pPr>
        <w:pStyle w:val="Numberlistlevel1ListNumber"/>
      </w:pPr>
      <w:r>
        <w:t>The new home forming the subject of the agreement must be a</w:t>
      </w:r>
      <w:r w:rsidR="008878D7">
        <w:t xml:space="preserve"> fully </w:t>
      </w:r>
      <w:r>
        <w:t>detached home.</w:t>
      </w:r>
    </w:p>
    <w:p w14:paraId="70D0D562" w14:textId="77777777" w:rsidR="001E780F" w:rsidRDefault="001E780F" w:rsidP="00AF648C">
      <w:pPr>
        <w:pStyle w:val="Numberlistlevel1ListNumber"/>
      </w:pPr>
      <w:r>
        <w:t>The building contractor must have:</w:t>
      </w:r>
    </w:p>
    <w:p w14:paraId="16971334" w14:textId="2819228D" w:rsidR="001E780F" w:rsidRDefault="001E780F" w:rsidP="00AF648C">
      <w:pPr>
        <w:pStyle w:val="Numberlistlevel2ListNumber2"/>
      </w:pPr>
      <w:r>
        <w:t>purchased the land forming the subject of the agreement from the person</w:t>
      </w:r>
      <w:r w:rsidR="006E2C49">
        <w:t xml:space="preserve"> </w:t>
      </w:r>
      <w:r>
        <w:t xml:space="preserve">who developed it </w:t>
      </w:r>
      <w:r w:rsidR="00B50B70">
        <w:t>as</w:t>
      </w:r>
      <w:r w:rsidR="00E2563B">
        <w:t xml:space="preserve"> a residential lot</w:t>
      </w:r>
    </w:p>
    <w:p w14:paraId="3CC87C72" w14:textId="674F4F71" w:rsidR="001E780F" w:rsidRDefault="001E780F" w:rsidP="00AF648C">
      <w:pPr>
        <w:pStyle w:val="Numberlistlevel2ListNumber2"/>
      </w:pPr>
      <w:r>
        <w:t>paid stamp duty on the dutiable value of that land when the build</w:t>
      </w:r>
      <w:r w:rsidR="009A75D3">
        <w:t>ing</w:t>
      </w:r>
      <w:r>
        <w:t xml:space="preserve"> contractor acquired the land from </w:t>
      </w:r>
      <w:r w:rsidR="00070C1E">
        <w:t>the developer</w:t>
      </w:r>
      <w:r>
        <w:t>.</w:t>
      </w:r>
    </w:p>
    <w:p w14:paraId="725AF0FC" w14:textId="77777777" w:rsidR="001E780F" w:rsidRDefault="00070C1E" w:rsidP="00AF648C">
      <w:pPr>
        <w:pStyle w:val="Numberlistlevel1ListNumber"/>
      </w:pPr>
      <w:r>
        <w:t>The developer who sold the land to the building contractor must have developed the wider parcel of land</w:t>
      </w:r>
      <w:r w:rsidR="008878D7">
        <w:t xml:space="preserve"> included in the development</w:t>
      </w:r>
      <w:r>
        <w:t>.</w:t>
      </w:r>
      <w:r w:rsidR="00005779">
        <w:t xml:space="preserve"> </w:t>
      </w:r>
      <w:r>
        <w:t>Land is considered developed</w:t>
      </w:r>
      <w:r w:rsidR="001D3390">
        <w:t xml:space="preserve"> if:</w:t>
      </w:r>
    </w:p>
    <w:p w14:paraId="25DBF001" w14:textId="68A7822E" w:rsidR="001E780F" w:rsidRDefault="001E780F" w:rsidP="00AF648C">
      <w:pPr>
        <w:pStyle w:val="Numberlistlevel2ListNumber2"/>
      </w:pPr>
      <w:r>
        <w:t>the land is cleared of vegetation, or existing structures are removed from the land, or the land is rehabilitated</w:t>
      </w:r>
    </w:p>
    <w:p w14:paraId="019324F8" w14:textId="7D3A20A2" w:rsidR="001E780F" w:rsidRDefault="001E780F" w:rsidP="00AF648C">
      <w:pPr>
        <w:pStyle w:val="Numberlistlevel2ListNumber2"/>
      </w:pPr>
      <w:r>
        <w:t>new infrastructure</w:t>
      </w:r>
      <w:r w:rsidR="006E2C49">
        <w:t xml:space="preserve"> (such as roads and sewerage) </w:t>
      </w:r>
      <w:r>
        <w:t>is constructed on the land</w:t>
      </w:r>
    </w:p>
    <w:p w14:paraId="04FDDFF7" w14:textId="77777777" w:rsidR="001D3390" w:rsidRDefault="001E780F" w:rsidP="00AF648C">
      <w:pPr>
        <w:pStyle w:val="Numberlistlevel2ListNumber2"/>
      </w:pPr>
      <w:r>
        <w:t>the land is subdivided into lots.</w:t>
      </w:r>
    </w:p>
    <w:p w14:paraId="1A85BE1B" w14:textId="77777777" w:rsidR="001E780F" w:rsidRDefault="001E780F" w:rsidP="00AF648C">
      <w:pPr>
        <w:pStyle w:val="Numberlistlevel1ListNumber"/>
      </w:pPr>
      <w:r>
        <w:t>All applicants must:</w:t>
      </w:r>
    </w:p>
    <w:p w14:paraId="17DAD9B3" w14:textId="3A02E5B5" w:rsidR="001E780F" w:rsidRDefault="001E780F" w:rsidP="00AF648C">
      <w:pPr>
        <w:pStyle w:val="Numberlistlevel2ListNumber2"/>
      </w:pPr>
      <w:r>
        <w:t xml:space="preserve">be individuals </w:t>
      </w:r>
      <w:r w:rsidRPr="000E38D1">
        <w:t>−</w:t>
      </w:r>
      <w:r>
        <w:t xml:space="preserve"> that is, a natural person and not a company</w:t>
      </w:r>
    </w:p>
    <w:p w14:paraId="41DE71F7" w14:textId="1C33182A" w:rsidR="001E780F" w:rsidRDefault="001E780F" w:rsidP="00AF648C">
      <w:pPr>
        <w:pStyle w:val="Numberlistlevel2ListNumber2"/>
      </w:pPr>
      <w:r>
        <w:t>not have a beneficial interest in the land prior to the transaction</w:t>
      </w:r>
    </w:p>
    <w:p w14:paraId="0DC6D6C6" w14:textId="0831751E" w:rsidR="001E780F" w:rsidRDefault="001E780F" w:rsidP="00AF648C">
      <w:pPr>
        <w:pStyle w:val="Numberlistlevel2ListNumber2"/>
      </w:pPr>
      <w:r>
        <w:t>be acquiring title to and the whole beneficial interest in the land on which the home is or will be built (</w:t>
      </w:r>
      <w:r w:rsidR="005D050A">
        <w:t>that is,</w:t>
      </w:r>
      <w:r>
        <w:t xml:space="preserve"> a partial acquisition will not be eligible)</w:t>
      </w:r>
    </w:p>
    <w:p w14:paraId="202A1EE8" w14:textId="6C66BEC3" w:rsidR="001E780F" w:rsidRDefault="001E780F" w:rsidP="00AF648C">
      <w:pPr>
        <w:pStyle w:val="Numberlistlevel2ListNumber2"/>
      </w:pPr>
      <w:r w:rsidRPr="001F7B2B">
        <w:t>not be acquiring the home or land as the trustee of a trust (an exception applies for a guardian purchasing a property for a pe</w:t>
      </w:r>
      <w:r>
        <w:t>rson under a legal disability)</w:t>
      </w:r>
    </w:p>
    <w:p w14:paraId="0AF06DDF" w14:textId="3CB127E4" w:rsidR="001E780F" w:rsidRDefault="001E780F" w:rsidP="00AF648C">
      <w:pPr>
        <w:pStyle w:val="Numberlistlevel2ListNumber2"/>
      </w:pPr>
      <w:r w:rsidRPr="001F7B2B">
        <w:t>be entitled to possession of the home or land within 12 months of the settlement date or the longer period approved by the Commissioner</w:t>
      </w:r>
      <w:r w:rsidR="00652FB7">
        <w:t xml:space="preserve"> of Territory Revenue (Commissioner)</w:t>
      </w:r>
    </w:p>
    <w:p w14:paraId="44B3B158" w14:textId="05D5703F" w:rsidR="001E780F" w:rsidRDefault="001E780F" w:rsidP="00AF648C">
      <w:pPr>
        <w:pStyle w:val="Numberlistlevel2ListNumber2"/>
      </w:pPr>
      <w:r>
        <w:lastRenderedPageBreak/>
        <w:t xml:space="preserve">occupy the home as their principal place of residence for a continuous </w:t>
      </w:r>
      <w:r w:rsidR="007E4F92">
        <w:t xml:space="preserve">period of six months commencing within 12 months after being entitled to possession of the home. </w:t>
      </w:r>
    </w:p>
    <w:p w14:paraId="35B6F124" w14:textId="77777777" w:rsidR="001E780F" w:rsidRDefault="001E780F" w:rsidP="00AF648C">
      <w:pPr>
        <w:pStyle w:val="Numberlistlevel1ListNumber"/>
      </w:pPr>
      <w:r w:rsidRPr="00357B03">
        <w:t>An applicant is exempt from the requirement in</w:t>
      </w:r>
      <w:r>
        <w:t xml:space="preserve"> paragraph 9(f) if at least one other applicant to the conveyance complies with the requirement.</w:t>
      </w:r>
    </w:p>
    <w:p w14:paraId="464DCA92" w14:textId="3CCCF453" w:rsidR="001E780F" w:rsidRPr="001F7B2B" w:rsidRDefault="001E780F" w:rsidP="00AF648C">
      <w:pPr>
        <w:pStyle w:val="Numberlistlevel1ListNumber"/>
      </w:pPr>
      <w:r>
        <w:t xml:space="preserve">Where there are two or more applicants, </w:t>
      </w:r>
      <w:r w:rsidR="00FE1D8A">
        <w:t xml:space="preserve">at the time the agreement is entered into </w:t>
      </w:r>
      <w:r>
        <w:t>at least one must</w:t>
      </w:r>
      <w:r w:rsidR="00FE1D8A">
        <w:t> be</w:t>
      </w:r>
      <w:r>
        <w:t>:</w:t>
      </w:r>
    </w:p>
    <w:p w14:paraId="31610A5F" w14:textId="087FDDA0" w:rsidR="001E780F" w:rsidRDefault="001E780F" w:rsidP="00AF648C">
      <w:pPr>
        <w:pStyle w:val="Numberlistlevel2ListNumber2"/>
      </w:pPr>
      <w:r>
        <w:t>at least 18 years of age</w:t>
      </w:r>
    </w:p>
    <w:p w14:paraId="72D7B55A" w14:textId="60E88A23" w:rsidR="001E780F" w:rsidRDefault="001E780F" w:rsidP="00AF648C">
      <w:pPr>
        <w:pStyle w:val="Numberlistlevel2ListNumber2"/>
      </w:pPr>
      <w:r>
        <w:t>an Australian citizen or permanent resident.</w:t>
      </w:r>
    </w:p>
    <w:p w14:paraId="58552B8A" w14:textId="77777777" w:rsidR="001E780F" w:rsidRDefault="001E780F" w:rsidP="00AF648C">
      <w:pPr>
        <w:pStyle w:val="Numberlistlevel1ListNumber"/>
      </w:pPr>
      <w:r>
        <w:t>Where there are special reasons, the Commissioner may:</w:t>
      </w:r>
    </w:p>
    <w:p w14:paraId="5674320F" w14:textId="54085A3F" w:rsidR="001E780F" w:rsidRDefault="001E780F" w:rsidP="00AF648C">
      <w:pPr>
        <w:pStyle w:val="Numberlistlevel2ListNumber2"/>
      </w:pPr>
      <w:r>
        <w:t>extend the period for taking possession of the home or land</w:t>
      </w:r>
    </w:p>
    <w:p w14:paraId="42B15CFD" w14:textId="5F7B148D" w:rsidR="001E780F" w:rsidRDefault="001E780F" w:rsidP="00AF648C">
      <w:pPr>
        <w:pStyle w:val="Numberlistlevel2ListNumber2"/>
      </w:pPr>
      <w:r>
        <w:t>extend the period for commencing occupation of the home</w:t>
      </w:r>
    </w:p>
    <w:p w14:paraId="29493333" w14:textId="0FD0541F" w:rsidR="001E780F" w:rsidRDefault="001E780F" w:rsidP="00AF648C">
      <w:pPr>
        <w:pStyle w:val="Numberlistlevel2ListNumber2"/>
      </w:pPr>
      <w:r>
        <w:t>reduce the period for continuous occupation of the home</w:t>
      </w:r>
    </w:p>
    <w:p w14:paraId="783DE478" w14:textId="77777777" w:rsidR="001E780F" w:rsidRDefault="001E780F" w:rsidP="00AF648C">
      <w:pPr>
        <w:pStyle w:val="Numberlistlevel2ListNumber2"/>
      </w:pPr>
      <w:r>
        <w:t>exempt an applicant from the occupancy requirements.</w:t>
      </w:r>
    </w:p>
    <w:p w14:paraId="7972D197" w14:textId="4637D625" w:rsidR="001E780F" w:rsidRDefault="001E780F" w:rsidP="00AF648C">
      <w:pPr>
        <w:pStyle w:val="Numberlistlevel1ListNumber"/>
      </w:pPr>
      <w:r w:rsidRPr="00A335D7">
        <w:t>The Commissioner may</w:t>
      </w:r>
      <w:r>
        <w:t xml:space="preserve"> also</w:t>
      </w:r>
      <w:r w:rsidRPr="00A335D7">
        <w:t xml:space="preserve"> exempt an applicant from the requirement to be </w:t>
      </w:r>
      <w:r w:rsidR="009A75D3">
        <w:t xml:space="preserve">at least </w:t>
      </w:r>
      <w:r w:rsidRPr="00A335D7">
        <w:t xml:space="preserve">18 years of age if satisfied </w:t>
      </w:r>
      <w:r w:rsidR="00B57E3B">
        <w:t xml:space="preserve">that </w:t>
      </w:r>
      <w:r w:rsidRPr="00A335D7">
        <w:t>the applicant is genuinely purchasing the home for themselves</w:t>
      </w:r>
      <w:r>
        <w:t>.</w:t>
      </w:r>
    </w:p>
    <w:p w14:paraId="44DF93C1" w14:textId="2F76FFE4" w:rsidR="001E780F" w:rsidRDefault="001E780F" w:rsidP="00AF648C">
      <w:pPr>
        <w:pStyle w:val="Numberlistlevel1ListNumber"/>
      </w:pPr>
      <w:r>
        <w:t xml:space="preserve">For </w:t>
      </w:r>
      <w:r w:rsidR="001C0D88">
        <w:t>more information</w:t>
      </w:r>
      <w:r>
        <w:t xml:space="preserve">, refer to Commissioner’s Guideline </w:t>
      </w:r>
      <w:r w:rsidR="00FE1D8A" w:rsidRPr="00AF648C">
        <w:t xml:space="preserve">CG-HI-003: </w:t>
      </w:r>
      <w:r w:rsidR="00FE1D8A" w:rsidRPr="00AF648C">
        <w:rPr>
          <w:i/>
        </w:rPr>
        <w:t>Commissioner’s discretion to exempt or vary compliance with the eligibility criteria</w:t>
      </w:r>
      <w:r w:rsidR="00FE1D8A" w:rsidRPr="00AF648C">
        <w:t>.</w:t>
      </w:r>
    </w:p>
    <w:p w14:paraId="50341D5E" w14:textId="077D1C37" w:rsidR="001E780F" w:rsidRDefault="009A75D3" w:rsidP="00AF648C">
      <w:pPr>
        <w:pStyle w:val="Heading1"/>
      </w:pPr>
      <w:r>
        <w:t>How to</w:t>
      </w:r>
      <w:r w:rsidR="001E780F">
        <w:t xml:space="preserve"> apply for </w:t>
      </w:r>
      <w:r w:rsidR="00FE1D8A">
        <w:t xml:space="preserve">the </w:t>
      </w:r>
      <w:r w:rsidR="000C142B">
        <w:t>H</w:t>
      </w:r>
      <w:r w:rsidR="00FE1D8A">
        <w:t>ouse and land package exemption</w:t>
      </w:r>
      <w:r w:rsidR="001E780F">
        <w:t xml:space="preserve"> and supporting information</w:t>
      </w:r>
      <w:r>
        <w:t xml:space="preserve"> required</w:t>
      </w:r>
    </w:p>
    <w:p w14:paraId="7A577936" w14:textId="5436981D" w:rsidR="001E780F" w:rsidRDefault="001E780F" w:rsidP="00AF648C">
      <w:pPr>
        <w:pStyle w:val="Numberlistlevel1ListNumber"/>
      </w:pPr>
      <w:r>
        <w:t>Applicants must submit a completed application (</w:t>
      </w:r>
      <w:r w:rsidR="0048480C">
        <w:t xml:space="preserve">form </w:t>
      </w:r>
      <w:r w:rsidR="00EE1777" w:rsidRPr="00E20C55">
        <w:t>F-HI-</w:t>
      </w:r>
      <w:r w:rsidR="000C142B" w:rsidRPr="00E20C55">
        <w:t>02</w:t>
      </w:r>
      <w:r w:rsidR="000C142B">
        <w:t>1</w:t>
      </w:r>
      <w:r w:rsidR="00FE1D8A">
        <w:t xml:space="preserve">: </w:t>
      </w:r>
      <w:r w:rsidR="00B57E3B" w:rsidRPr="00B57E3B">
        <w:rPr>
          <w:i/>
        </w:rPr>
        <w:t>House and land p</w:t>
      </w:r>
      <w:r w:rsidR="00B57E3B" w:rsidRPr="00AF648C">
        <w:rPr>
          <w:i/>
        </w:rPr>
        <w:t xml:space="preserve">ackage exemption </w:t>
      </w:r>
      <w:r w:rsidR="000C142B">
        <w:rPr>
          <w:i/>
        </w:rPr>
        <w:t>–</w:t>
      </w:r>
      <w:r w:rsidR="00B57E3B" w:rsidRPr="00AF648C">
        <w:rPr>
          <w:i/>
        </w:rPr>
        <w:t xml:space="preserve"> </w:t>
      </w:r>
      <w:r w:rsidR="000C142B">
        <w:rPr>
          <w:i/>
        </w:rPr>
        <w:t>Guide to</w:t>
      </w:r>
      <w:r w:rsidR="00AE43DB">
        <w:rPr>
          <w:i/>
        </w:rPr>
        <w:t xml:space="preserve"> the</w:t>
      </w:r>
      <w:r w:rsidR="000C142B">
        <w:rPr>
          <w:i/>
        </w:rPr>
        <w:t xml:space="preserve"> application</w:t>
      </w:r>
      <w:r>
        <w:t xml:space="preserve">) and the supporting information referred to in the </w:t>
      </w:r>
      <w:r w:rsidR="00B57E3B">
        <w:t>form</w:t>
      </w:r>
      <w:r>
        <w:t xml:space="preserve"> when lodging the instrument for assessment of duty with TRO or an approved agent.</w:t>
      </w:r>
      <w:r>
        <w:rPr>
          <w:rStyle w:val="FootnoteReference"/>
        </w:rPr>
        <w:footnoteReference w:id="1"/>
      </w:r>
    </w:p>
    <w:p w14:paraId="08D1F333" w14:textId="7C6F52CF" w:rsidR="001E780F" w:rsidRDefault="001E780F" w:rsidP="00AF648C">
      <w:pPr>
        <w:pStyle w:val="Numberlistlevel1ListNumber"/>
      </w:pPr>
      <w:r>
        <w:t>For further information on lodging and paying duty on instruments, refer to Commissioner’s Guideline</w:t>
      </w:r>
      <w:r w:rsidR="0048480C">
        <w:t>s</w:t>
      </w:r>
      <w:r>
        <w:t xml:space="preserve"> </w:t>
      </w:r>
      <w:r w:rsidR="00FE1D8A" w:rsidRPr="00AF648C">
        <w:t xml:space="preserve">CG-SD-001: </w:t>
      </w:r>
      <w:r w:rsidR="00FE1D8A" w:rsidRPr="00AF648C">
        <w:rPr>
          <w:i/>
        </w:rPr>
        <w:t>Document lodgement and payment</w:t>
      </w:r>
      <w:r w:rsidRPr="00AF648C">
        <w:rPr>
          <w:i/>
        </w:rPr>
        <w:t xml:space="preserve"> periods</w:t>
      </w:r>
      <w:r>
        <w:t xml:space="preserve"> and </w:t>
      </w:r>
      <w:r w:rsidR="00FE1D8A" w:rsidRPr="00AF648C">
        <w:t xml:space="preserve">CG-SD-002: </w:t>
      </w:r>
      <w:r w:rsidR="00FE1D8A" w:rsidRPr="00AF648C">
        <w:rPr>
          <w:i/>
        </w:rPr>
        <w:t>Eligible conditional agreements – extension of time to lodge instrument and pay duty</w:t>
      </w:r>
      <w:r w:rsidR="00FE1D8A" w:rsidRPr="00AF648C">
        <w:t>.</w:t>
      </w:r>
    </w:p>
    <w:p w14:paraId="796B9243" w14:textId="12A4415C" w:rsidR="001E780F" w:rsidRDefault="001E780F" w:rsidP="00AF648C">
      <w:pPr>
        <w:pStyle w:val="Numberlistlevel1ListNumber"/>
      </w:pPr>
      <w:r>
        <w:t xml:space="preserve">If you are unsure about any aspect concerning your eligibility for HLPE, it is important that </w:t>
      </w:r>
      <w:r w:rsidR="003132F0">
        <w:t>you </w:t>
      </w:r>
      <w:r>
        <w:t xml:space="preserve">contact your legal advisor, conveyancer or TRO for clarification before proceeding with </w:t>
      </w:r>
      <w:r w:rsidR="003132F0">
        <w:t>your </w:t>
      </w:r>
      <w:r>
        <w:t>application.</w:t>
      </w:r>
    </w:p>
    <w:p w14:paraId="2ED71106" w14:textId="580DCAC4" w:rsidR="001E780F" w:rsidRDefault="001E780F" w:rsidP="00AF648C">
      <w:pPr>
        <w:pStyle w:val="Numberlistlevel1ListNumber"/>
      </w:pPr>
      <w:r>
        <w:t>TRO cannot determine your eligibility for HLPE until a transaction has been entered into and a completed application</w:t>
      </w:r>
      <w:r w:rsidR="002C3915">
        <w:t xml:space="preserve"> form is</w:t>
      </w:r>
      <w:r>
        <w:t xml:space="preserve"> lodged with all supporting documentation, however we may be able to provide guidance to assist you.</w:t>
      </w:r>
    </w:p>
    <w:p w14:paraId="0BB4D040" w14:textId="77777777" w:rsidR="001E780F" w:rsidRDefault="001E780F" w:rsidP="00AF648C">
      <w:pPr>
        <w:pStyle w:val="Heading1"/>
      </w:pPr>
      <w:r>
        <w:t>Failure to comply with occupancy requirements</w:t>
      </w:r>
    </w:p>
    <w:p w14:paraId="32A5DC27" w14:textId="4797AC75" w:rsidR="001E780F" w:rsidRDefault="001E780F" w:rsidP="00AF648C">
      <w:pPr>
        <w:pStyle w:val="Numberlistlevel1ListNumber"/>
      </w:pPr>
      <w:r>
        <w:t xml:space="preserve">A person who has received HLPE must notify TRO in writing within 30 days after it first </w:t>
      </w:r>
      <w:r w:rsidR="00FE1D8A">
        <w:t xml:space="preserve">becomes </w:t>
      </w:r>
      <w:r>
        <w:t xml:space="preserve">apparent that they </w:t>
      </w:r>
      <w:r w:rsidR="009A75D3">
        <w:t xml:space="preserve">will </w:t>
      </w:r>
      <w:r>
        <w:t xml:space="preserve">not satisfy the occupancy requirements. Failure to </w:t>
      </w:r>
      <w:r w:rsidR="009A75D3">
        <w:t>notify TRO</w:t>
      </w:r>
      <w:r>
        <w:t xml:space="preserve"> is an offence with a maximum penalty of 50 penalty units (current penalty unit values are </w:t>
      </w:r>
      <w:r w:rsidR="00B57E3B">
        <w:t>published on</w:t>
      </w:r>
      <w:r>
        <w:t xml:space="preserve"> the Department of the Attorney-General and Justice website</w:t>
      </w:r>
      <w:r w:rsidR="009A75D3">
        <w:t xml:space="preserve">, </w:t>
      </w:r>
      <w:hyperlink r:id="rId10" w:history="1">
        <w:r w:rsidR="009A75D3" w:rsidRPr="00F678AD">
          <w:rPr>
            <w:rStyle w:val="Hyperlink"/>
          </w:rPr>
          <w:t>https://justice.nt.gov.au</w:t>
        </w:r>
      </w:hyperlink>
      <w:r>
        <w:t>).</w:t>
      </w:r>
    </w:p>
    <w:p w14:paraId="1FFB80CA" w14:textId="20BFD3DB" w:rsidR="001E780F" w:rsidRDefault="001E780F" w:rsidP="00AF648C">
      <w:pPr>
        <w:pStyle w:val="Numberlistlevel1ListNumber"/>
      </w:pPr>
      <w:r>
        <w:lastRenderedPageBreak/>
        <w:t>In these circumstances, TRO may be required to reassess the stamp duty payable as if the person w</w:t>
      </w:r>
      <w:r w:rsidR="00B57E3B">
        <w:t>as</w:t>
      </w:r>
      <w:r>
        <w:t xml:space="preserve"> not eligible for HLPE. Accordingly, the person will need to pay the amount previously claimed, and may be liable for interest and penalty tax. Where there are special reasons not to, such as the death of an applicant or a natural disaster destroying the home, a reassessment will not be made.</w:t>
      </w:r>
    </w:p>
    <w:p w14:paraId="0E8876D7" w14:textId="77777777" w:rsidR="001E780F" w:rsidRDefault="001E780F" w:rsidP="00AF648C">
      <w:pPr>
        <w:pStyle w:val="Heading1"/>
      </w:pPr>
      <w:r>
        <w:t>Further information</w:t>
      </w:r>
    </w:p>
    <w:p w14:paraId="2443C516" w14:textId="77777777" w:rsidR="001E780F" w:rsidRDefault="001E780F" w:rsidP="00AF648C">
      <w:pPr>
        <w:pStyle w:val="Numberlistlevel1ListNumber"/>
      </w:pPr>
      <w:r>
        <w:t xml:space="preserve">Refer to sections 90C and 90D of the </w:t>
      </w:r>
      <w:r w:rsidRPr="00C84DAA">
        <w:rPr>
          <w:i/>
        </w:rPr>
        <w:t>Stamp Duty Act</w:t>
      </w:r>
      <w:r>
        <w:rPr>
          <w:i/>
        </w:rPr>
        <w:t xml:space="preserve"> 1978</w:t>
      </w:r>
      <w:r>
        <w:t xml:space="preserve"> for the legislative basis of the HLPE.</w:t>
      </w:r>
    </w:p>
    <w:p w14:paraId="56ECB28F" w14:textId="7A2F39BE" w:rsidR="001E780F" w:rsidRDefault="001E780F" w:rsidP="00AF648C">
      <w:pPr>
        <w:pStyle w:val="Heading1"/>
      </w:pPr>
      <w:r>
        <w:t xml:space="preserve">Commissioner’s </w:t>
      </w:r>
      <w:r w:rsidR="00C948A4">
        <w:t>guideline</w:t>
      </w:r>
      <w:r>
        <w:t>s</w:t>
      </w:r>
    </w:p>
    <w:p w14:paraId="518B026C" w14:textId="53B48BEC" w:rsidR="001E780F" w:rsidRDefault="001E780F" w:rsidP="00AF648C">
      <w:pPr>
        <w:pStyle w:val="Numberlistlevel1ListNumber"/>
      </w:pPr>
      <w:r>
        <w:t xml:space="preserve">Commissioner’s Guideline </w:t>
      </w:r>
      <w:r w:rsidR="0048480C" w:rsidRPr="00AF648C">
        <w:t>CG-GEN-001</w:t>
      </w:r>
      <w:r w:rsidR="0048480C">
        <w:t xml:space="preserve">: </w:t>
      </w:r>
      <w:r w:rsidR="0048480C" w:rsidRPr="00AF648C">
        <w:rPr>
          <w:i/>
        </w:rPr>
        <w:t>Revenue Circulars, Commissioner’s Guide</w:t>
      </w:r>
      <w:r w:rsidR="001D4A6A">
        <w:rPr>
          <w:i/>
        </w:rPr>
        <w:t>lines and Payroll Tax Rulings: e</w:t>
      </w:r>
      <w:r w:rsidR="0048480C" w:rsidRPr="00AF648C">
        <w:rPr>
          <w:i/>
        </w:rPr>
        <w:t xml:space="preserve">xplanation and </w:t>
      </w:r>
      <w:r w:rsidR="001D4A6A">
        <w:rPr>
          <w:i/>
        </w:rPr>
        <w:t>s</w:t>
      </w:r>
      <w:r w:rsidR="0048480C" w:rsidRPr="00AF648C">
        <w:rPr>
          <w:i/>
        </w:rPr>
        <w:t>tatus</w:t>
      </w:r>
      <w:r>
        <w:t xml:space="preserve">, which sets out information on the revenue publication system, is incorporated into and </w:t>
      </w:r>
      <w:r w:rsidR="00D12883">
        <w:t xml:space="preserve">to be </w:t>
      </w:r>
      <w:r>
        <w:t xml:space="preserve">read as one with this </w:t>
      </w:r>
      <w:r w:rsidR="00C948A4">
        <w:t>guideline</w:t>
      </w:r>
      <w:r>
        <w:t>. All</w:t>
      </w:r>
      <w:r w:rsidR="00C948A4">
        <w:t xml:space="preserve"> c</w:t>
      </w:r>
      <w:r>
        <w:t xml:space="preserve">irculars and </w:t>
      </w:r>
      <w:r w:rsidR="00C948A4">
        <w:t>g</w:t>
      </w:r>
      <w:r>
        <w:t xml:space="preserve">uidelines are available </w:t>
      </w:r>
      <w:r w:rsidR="0048480C">
        <w:t xml:space="preserve">on </w:t>
      </w:r>
      <w:r>
        <w:t>the TRO website.</w:t>
      </w:r>
    </w:p>
    <w:p w14:paraId="5CE8C758" w14:textId="77777777" w:rsidR="001E780F" w:rsidRDefault="001E780F" w:rsidP="00AF648C">
      <w:pPr>
        <w:pStyle w:val="Heading1"/>
      </w:pPr>
      <w:r>
        <w:t>Date of effect</w:t>
      </w:r>
    </w:p>
    <w:p w14:paraId="69345A33" w14:textId="5068B034" w:rsidR="001E780F" w:rsidRDefault="001E780F" w:rsidP="00AF648C">
      <w:pPr>
        <w:pStyle w:val="Numberlistlevel1ListNumber"/>
      </w:pPr>
      <w:r>
        <w:t xml:space="preserve">This version of the </w:t>
      </w:r>
      <w:r w:rsidR="00C948A4">
        <w:t>guideline</w:t>
      </w:r>
      <w:r>
        <w:t xml:space="preserve"> takes effect from </w:t>
      </w:r>
      <w:r w:rsidRPr="00B65B7D">
        <w:t>1 July 2022</w:t>
      </w:r>
      <w:r>
        <w:t>.</w:t>
      </w:r>
    </w:p>
    <w:p w14:paraId="18755190" w14:textId="78852814" w:rsidR="001E780F" w:rsidRDefault="00BE4072" w:rsidP="00AF648C">
      <w:pPr>
        <w:pStyle w:val="BodyText"/>
      </w:pPr>
      <w:r w:rsidRPr="00BE4072">
        <w:rPr>
          <w:noProof/>
          <w:lang w:eastAsia="en-AU"/>
        </w:rPr>
        <w:drawing>
          <wp:inline distT="0" distB="0" distL="0" distR="0" wp14:anchorId="6A1ADCCE" wp14:editId="393DFB8C">
            <wp:extent cx="1311275" cy="78709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940"/>
                    <a:stretch/>
                  </pic:blipFill>
                  <pic:spPr bwMode="auto">
                    <a:xfrm>
                      <a:off x="0" y="0"/>
                      <a:ext cx="1370768" cy="822810"/>
                    </a:xfrm>
                    <a:prstGeom prst="rect">
                      <a:avLst/>
                    </a:prstGeom>
                    <a:noFill/>
                    <a:ln>
                      <a:noFill/>
                    </a:ln>
                    <a:extLst>
                      <a:ext uri="{53640926-AAD7-44D8-BBD7-CCE9431645EC}">
                        <a14:shadowObscured xmlns:a14="http://schemas.microsoft.com/office/drawing/2010/main"/>
                      </a:ext>
                    </a:extLst>
                  </pic:spPr>
                </pic:pic>
              </a:graphicData>
            </a:graphic>
          </wp:inline>
        </w:drawing>
      </w:r>
    </w:p>
    <w:p w14:paraId="1BA6AF6A" w14:textId="77777777" w:rsidR="0048480C" w:rsidRPr="007164BE" w:rsidRDefault="0048480C" w:rsidP="0048480C">
      <w:pPr>
        <w:pStyle w:val="BodyText"/>
        <w:rPr>
          <w:sz w:val="20"/>
          <w:szCs w:val="20"/>
        </w:rPr>
      </w:pPr>
      <w:r>
        <w:rPr>
          <w:sz w:val="20"/>
          <w:szCs w:val="20"/>
        </w:rPr>
        <w:t>Sarah Rummery</w:t>
      </w:r>
    </w:p>
    <w:p w14:paraId="64A44082" w14:textId="77777777" w:rsidR="0048480C" w:rsidRPr="00046BA8" w:rsidRDefault="0048480C" w:rsidP="0048480C">
      <w:pPr>
        <w:pStyle w:val="BodyText"/>
        <w:rPr>
          <w:b/>
          <w:sz w:val="20"/>
          <w:szCs w:val="20"/>
        </w:rPr>
      </w:pPr>
      <w:r w:rsidRPr="00046BA8">
        <w:rPr>
          <w:b/>
          <w:sz w:val="20"/>
          <w:szCs w:val="20"/>
        </w:rPr>
        <w:t>COMMISSIONER OF TERRITORY REVENUE</w:t>
      </w:r>
    </w:p>
    <w:p w14:paraId="78D57078" w14:textId="2D35EDDC" w:rsidR="0048480C" w:rsidRPr="00AF648C" w:rsidRDefault="0048480C">
      <w:pPr>
        <w:pStyle w:val="BodyText"/>
        <w:rPr>
          <w:sz w:val="20"/>
          <w:szCs w:val="20"/>
        </w:rPr>
      </w:pPr>
      <w:r w:rsidRPr="00AF648C">
        <w:rPr>
          <w:sz w:val="20"/>
          <w:szCs w:val="20"/>
        </w:rPr>
        <w:t>Date of issue: 1 July 2022</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48480C" w:rsidRPr="00DD1818" w14:paraId="126C3D6D" w14:textId="77777777" w:rsidTr="00B80237">
        <w:tc>
          <w:tcPr>
            <w:tcW w:w="5000" w:type="pct"/>
            <w:gridSpan w:val="2"/>
          </w:tcPr>
          <w:p w14:paraId="2F48AEF2" w14:textId="77777777" w:rsidR="0048480C" w:rsidRPr="00AF648C" w:rsidRDefault="0048480C" w:rsidP="00AF648C">
            <w:pPr>
              <w:pStyle w:val="BodyText"/>
              <w:spacing w:before="60" w:after="60"/>
              <w:rPr>
                <w:rFonts w:cs="Arial"/>
                <w:sz w:val="20"/>
                <w:szCs w:val="20"/>
              </w:rPr>
            </w:pPr>
            <w:r w:rsidRPr="00AF648C">
              <w:rPr>
                <w:rFonts w:cs="Arial"/>
                <w:sz w:val="20"/>
                <w:szCs w:val="20"/>
              </w:rPr>
              <w:t>For further information, contact the Territory Revenue Office</w:t>
            </w:r>
          </w:p>
        </w:tc>
      </w:tr>
      <w:tr w:rsidR="0048480C" w:rsidRPr="00DD1818" w14:paraId="05915812" w14:textId="77777777" w:rsidTr="00B80237">
        <w:tc>
          <w:tcPr>
            <w:tcW w:w="2314" w:type="pct"/>
          </w:tcPr>
          <w:p w14:paraId="5D7D4B53" w14:textId="77777777" w:rsidR="0048480C" w:rsidRPr="00AF648C" w:rsidRDefault="0048480C" w:rsidP="00AF648C">
            <w:pPr>
              <w:pStyle w:val="BodyText"/>
              <w:spacing w:before="60" w:after="60"/>
              <w:rPr>
                <w:rFonts w:cs="Arial"/>
                <w:sz w:val="20"/>
                <w:szCs w:val="20"/>
              </w:rPr>
            </w:pPr>
            <w:r w:rsidRPr="00AF648C">
              <w:rPr>
                <w:rFonts w:cs="Arial"/>
                <w:sz w:val="20"/>
                <w:szCs w:val="20"/>
              </w:rPr>
              <w:t>GPO Box 1974</w:t>
            </w:r>
          </w:p>
          <w:p w14:paraId="2ABF88FE" w14:textId="77777777" w:rsidR="0048480C" w:rsidRPr="00AF648C" w:rsidRDefault="0048480C" w:rsidP="00AF648C">
            <w:pPr>
              <w:pStyle w:val="BodyText"/>
              <w:spacing w:before="60" w:after="60"/>
              <w:rPr>
                <w:rFonts w:cs="Arial"/>
                <w:sz w:val="20"/>
                <w:szCs w:val="20"/>
              </w:rPr>
            </w:pPr>
            <w:r w:rsidRPr="00AF648C">
              <w:rPr>
                <w:rFonts w:cs="Arial"/>
                <w:sz w:val="20"/>
                <w:szCs w:val="20"/>
              </w:rPr>
              <w:t>Darwin NT 0801</w:t>
            </w:r>
          </w:p>
          <w:p w14:paraId="10F749F3" w14:textId="77777777" w:rsidR="0048480C" w:rsidRPr="00AF648C" w:rsidRDefault="0048480C" w:rsidP="00AF648C">
            <w:pPr>
              <w:pStyle w:val="BodyText"/>
              <w:spacing w:before="60" w:after="60"/>
              <w:rPr>
                <w:rFonts w:cs="Arial"/>
                <w:sz w:val="20"/>
                <w:szCs w:val="20"/>
              </w:rPr>
            </w:pPr>
            <w:r w:rsidRPr="00AF648C">
              <w:rPr>
                <w:rFonts w:cs="Arial"/>
                <w:sz w:val="20"/>
                <w:szCs w:val="20"/>
              </w:rPr>
              <w:t xml:space="preserve">Email: </w:t>
            </w:r>
            <w:hyperlink r:id="rId12" w:history="1">
              <w:r w:rsidRPr="00AF648C">
                <w:rPr>
                  <w:rFonts w:cs="Arial"/>
                  <w:color w:val="0563C1"/>
                  <w:sz w:val="20"/>
                  <w:szCs w:val="20"/>
                  <w:u w:val="single"/>
                </w:rPr>
                <w:t>ntrevenue@nt.gov.au</w:t>
              </w:r>
            </w:hyperlink>
          </w:p>
        </w:tc>
        <w:tc>
          <w:tcPr>
            <w:tcW w:w="2686" w:type="pct"/>
          </w:tcPr>
          <w:p w14:paraId="79DCA24D" w14:textId="77777777" w:rsidR="0048480C" w:rsidRPr="00AF648C" w:rsidRDefault="0048480C" w:rsidP="00AF648C">
            <w:pPr>
              <w:pStyle w:val="BodyText"/>
              <w:spacing w:before="60" w:after="60"/>
              <w:rPr>
                <w:rFonts w:cs="Arial"/>
                <w:sz w:val="20"/>
                <w:szCs w:val="20"/>
              </w:rPr>
            </w:pPr>
            <w:r w:rsidRPr="00AF648C">
              <w:rPr>
                <w:rFonts w:cs="Arial"/>
                <w:sz w:val="20"/>
                <w:szCs w:val="20"/>
              </w:rPr>
              <w:t>Phone: 1300 305 353</w:t>
            </w:r>
          </w:p>
          <w:p w14:paraId="204B5890" w14:textId="77777777" w:rsidR="0048480C" w:rsidRPr="00AF648C" w:rsidRDefault="0048480C" w:rsidP="00AF648C">
            <w:pPr>
              <w:pStyle w:val="BodyText"/>
              <w:spacing w:before="60" w:after="60"/>
              <w:rPr>
                <w:rFonts w:cs="Arial"/>
                <w:bCs/>
                <w:sz w:val="20"/>
                <w:szCs w:val="20"/>
              </w:rPr>
            </w:pPr>
            <w:r w:rsidRPr="00AF648C">
              <w:rPr>
                <w:rFonts w:cs="Arial"/>
                <w:sz w:val="20"/>
                <w:szCs w:val="20"/>
              </w:rPr>
              <w:t xml:space="preserve">Website: </w:t>
            </w:r>
            <w:hyperlink r:id="rId13" w:history="1">
              <w:r w:rsidRPr="00AF648C">
                <w:rPr>
                  <w:rFonts w:cs="Arial"/>
                  <w:color w:val="0563C1"/>
                  <w:sz w:val="20"/>
                  <w:szCs w:val="20"/>
                  <w:u w:val="single"/>
                </w:rPr>
                <w:t>www.revenue.nt.gov.au</w:t>
              </w:r>
            </w:hyperlink>
          </w:p>
        </w:tc>
      </w:tr>
    </w:tbl>
    <w:p w14:paraId="18852116" w14:textId="616858BD" w:rsidR="0048480C" w:rsidRPr="00AF648C" w:rsidRDefault="0048480C" w:rsidP="00AF648C">
      <w:pPr>
        <w:pStyle w:val="BodyText"/>
      </w:pPr>
    </w:p>
    <w:sectPr w:rsidR="0048480C" w:rsidRPr="00AF648C" w:rsidSect="00A567EE">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72EF" w14:textId="77777777" w:rsidR="00A01896" w:rsidRDefault="00A01896" w:rsidP="007332FF">
      <w:r>
        <w:separator/>
      </w:r>
    </w:p>
  </w:endnote>
  <w:endnote w:type="continuationSeparator" w:id="0">
    <w:p w14:paraId="4C9E7267" w14:textId="77777777" w:rsidR="00A01896" w:rsidRDefault="00A0189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C241"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61CEA95" w14:textId="77777777" w:rsidTr="00D47DC7">
      <w:trPr>
        <w:cantSplit/>
        <w:trHeight w:hRule="exact" w:val="850"/>
      </w:trPr>
      <w:tc>
        <w:tcPr>
          <w:tcW w:w="10318" w:type="dxa"/>
          <w:vAlign w:val="bottom"/>
        </w:tcPr>
        <w:p w14:paraId="1CC93C3D"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65B7D">
                <w:rPr>
                  <w:rStyle w:val="PageNumber"/>
                  <w:b/>
                </w:rPr>
                <w:t>TREASURY AND FINANCE</w:t>
              </w:r>
            </w:sdtContent>
          </w:sdt>
        </w:p>
        <w:p w14:paraId="6F18B71D" w14:textId="77777777" w:rsidR="00D47DC7" w:rsidRPr="00CE6614" w:rsidRDefault="00A01896"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B65B7D">
                <w:rPr>
                  <w:rStyle w:val="PageNumber"/>
                </w:rPr>
                <w:t>1 July 2022</w:t>
              </w:r>
            </w:sdtContent>
          </w:sdt>
          <w:r w:rsidR="00B65B7D">
            <w:rPr>
              <w:rStyle w:val="PageNumber"/>
            </w:rPr>
            <w:t xml:space="preserve"> | Version 16</w:t>
          </w:r>
        </w:p>
        <w:p w14:paraId="2235D444" w14:textId="35009349"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3140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3140D">
            <w:rPr>
              <w:rStyle w:val="PageNumber"/>
              <w:noProof/>
            </w:rPr>
            <w:t>4</w:t>
          </w:r>
          <w:r w:rsidRPr="00AC4488">
            <w:rPr>
              <w:rStyle w:val="PageNumber"/>
            </w:rPr>
            <w:fldChar w:fldCharType="end"/>
          </w:r>
        </w:p>
      </w:tc>
    </w:tr>
  </w:tbl>
  <w:p w14:paraId="1E5FFA3F"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0CA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228623A1" w14:textId="77777777" w:rsidTr="008921B4">
      <w:trPr>
        <w:cantSplit/>
        <w:trHeight w:hRule="exact" w:val="1134"/>
      </w:trPr>
      <w:tc>
        <w:tcPr>
          <w:tcW w:w="7767" w:type="dxa"/>
          <w:vAlign w:val="bottom"/>
        </w:tcPr>
        <w:p w14:paraId="6BCBF98D"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65B7D">
                <w:rPr>
                  <w:rStyle w:val="PageNumber"/>
                  <w:b/>
                </w:rPr>
                <w:t>TREASURY AND FINANCE</w:t>
              </w:r>
            </w:sdtContent>
          </w:sdt>
        </w:p>
        <w:p w14:paraId="0B318100" w14:textId="77777777" w:rsidR="00D47DC7" w:rsidRPr="00CE6614" w:rsidRDefault="00A01896"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B65B7D">
                <w:rPr>
                  <w:rStyle w:val="PageNumber"/>
                </w:rPr>
                <w:t>1 July 2022</w:t>
              </w:r>
            </w:sdtContent>
          </w:sdt>
          <w:r w:rsidR="00D47DC7" w:rsidRPr="00CE6614">
            <w:rPr>
              <w:rStyle w:val="PageNumber"/>
            </w:rPr>
            <w:t xml:space="preserve"> | Version </w:t>
          </w:r>
          <w:r w:rsidR="00B65B7D">
            <w:rPr>
              <w:rStyle w:val="PageNumber"/>
            </w:rPr>
            <w:t>16</w:t>
          </w:r>
        </w:p>
        <w:p w14:paraId="052E8A56" w14:textId="337D3FDE"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3140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3140D">
            <w:rPr>
              <w:rStyle w:val="PageNumber"/>
              <w:noProof/>
            </w:rPr>
            <w:t>4</w:t>
          </w:r>
          <w:r w:rsidRPr="00AC4488">
            <w:rPr>
              <w:rStyle w:val="PageNumber"/>
            </w:rPr>
            <w:fldChar w:fldCharType="end"/>
          </w:r>
        </w:p>
      </w:tc>
      <w:tc>
        <w:tcPr>
          <w:tcW w:w="2551" w:type="dxa"/>
          <w:vAlign w:val="bottom"/>
        </w:tcPr>
        <w:p w14:paraId="657DB498" w14:textId="77777777" w:rsidR="0071700C" w:rsidRPr="001E14EB" w:rsidRDefault="0071700C" w:rsidP="0071700C">
          <w:pPr>
            <w:spacing w:after="0"/>
            <w:jc w:val="right"/>
          </w:pPr>
          <w:r>
            <w:rPr>
              <w:noProof/>
              <w:lang w:eastAsia="en-AU"/>
            </w:rPr>
            <w:drawing>
              <wp:inline distT="0" distB="0" distL="0" distR="0" wp14:anchorId="5D7EB77E" wp14:editId="615249B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F11AD5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164E" w14:textId="77777777" w:rsidR="00A01896" w:rsidRDefault="00A01896" w:rsidP="007332FF">
      <w:r>
        <w:separator/>
      </w:r>
    </w:p>
  </w:footnote>
  <w:footnote w:type="continuationSeparator" w:id="0">
    <w:p w14:paraId="116D820F" w14:textId="77777777" w:rsidR="00A01896" w:rsidRDefault="00A01896" w:rsidP="007332FF">
      <w:r>
        <w:continuationSeparator/>
      </w:r>
    </w:p>
  </w:footnote>
  <w:footnote w:id="1">
    <w:p w14:paraId="19F9D144" w14:textId="77777777" w:rsidR="001E780F" w:rsidRPr="00E70675" w:rsidRDefault="001E780F" w:rsidP="00CA60DD">
      <w:pPr>
        <w:pStyle w:val="FootnoteText"/>
      </w:pPr>
      <w:r w:rsidRPr="00AF648C">
        <w:rPr>
          <w:rStyle w:val="FootnoteReference"/>
          <w:rFonts w:asciiTheme="minorHAnsi" w:hAnsiTheme="minorHAnsi"/>
          <w:vertAlign w:val="baseline"/>
        </w:rPr>
        <w:footnoteRef/>
      </w:r>
      <w:r w:rsidRPr="00E70675">
        <w:t xml:space="preserve"> Some conveyancers and solicitors are authorised to assess stamp duty on certain property purchases.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2F5F" w14:textId="24FA7AE8" w:rsidR="00983000" w:rsidRPr="00162207" w:rsidRDefault="00A0189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8480C">
          <w:t>CG-HI-001: Stamp duty home owner assistance schemes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7995BAFC" w14:textId="766D6866" w:rsidR="00E54F9E" w:rsidRPr="0048480C" w:rsidRDefault="0048480C" w:rsidP="00435082">
        <w:pPr>
          <w:pStyle w:val="Title"/>
        </w:pPr>
        <w:r w:rsidRPr="00AF648C">
          <w:t>CG-HI-001: Stamp duty home owner assistance schemes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942170"/>
    <w:multiLevelType w:val="multilevel"/>
    <w:tmpl w:val="8B9C796C"/>
    <w:lvl w:ilvl="0">
      <w:start w:val="1"/>
      <w:numFmt w:val="decimal"/>
      <w:pStyle w:val="Numberlistlevel1ListNumber"/>
      <w:lvlText w:val="%1."/>
      <w:lvlJc w:val="left"/>
      <w:pPr>
        <w:ind w:left="425" w:hanging="425"/>
      </w:pPr>
      <w:rPr>
        <w:rFonts w:hint="default"/>
      </w:rPr>
    </w:lvl>
    <w:lvl w:ilvl="1">
      <w:start w:val="1"/>
      <w:numFmt w:val="lowerLetter"/>
      <w:pStyle w:val="Numberlistlevel2ListNumber2"/>
      <w:lvlText w:val="%2."/>
      <w:lvlJc w:val="left"/>
      <w:pPr>
        <w:ind w:left="850" w:hanging="425"/>
      </w:pPr>
      <w:rPr>
        <w:rFonts w:hint="default"/>
      </w:rPr>
    </w:lvl>
    <w:lvl w:ilvl="2">
      <w:start w:val="1"/>
      <w:numFmt w:val="lowerRoman"/>
      <w:pStyle w:val="Numberlistlevel3ListNumber3"/>
      <w:lvlText w:val="%3."/>
      <w:lvlJc w:val="left"/>
      <w:pPr>
        <w:ind w:left="1275" w:hanging="425"/>
      </w:pPr>
      <w:rPr>
        <w:rFonts w:hint="default"/>
      </w:rPr>
    </w:lvl>
    <w:lvl w:ilvl="3">
      <w:start w:val="1"/>
      <w:numFmt w:val="decimal"/>
      <w:pStyle w:val="Numberlistlevel4ListNumber4"/>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7453664D"/>
    <w:multiLevelType w:val="multilevel"/>
    <w:tmpl w:val="0C78A7AC"/>
    <w:name w:val="NTG Table Bullet List3322222222222222222"/>
    <w:numStyleLink w:val="Tablebulletlist"/>
  </w:abstractNum>
  <w:abstractNum w:abstractNumId="33" w15:restartNumberingAfterBreak="0">
    <w:nsid w:val="76141D1E"/>
    <w:multiLevelType w:val="multilevel"/>
    <w:tmpl w:val="0C78A7AC"/>
    <w:name w:val="NTG Table Bullet List332222222222"/>
    <w:numStyleLink w:val="Tablebulletlist"/>
  </w:abstractNum>
  <w:abstractNum w:abstractNumId="3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4"/>
  </w:num>
  <w:num w:numId="4">
    <w:abstractNumId w:val="23"/>
  </w:num>
  <w:num w:numId="5">
    <w:abstractNumId w:val="16"/>
  </w:num>
  <w:num w:numId="6">
    <w:abstractNumId w:val="8"/>
  </w:num>
  <w:num w:numId="7">
    <w:abstractNumId w:val="25"/>
  </w:num>
  <w:num w:numId="8">
    <w:abstractNumId w:val="15"/>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1F"/>
    <w:rsid w:val="00001DDF"/>
    <w:rsid w:val="0000322D"/>
    <w:rsid w:val="00005779"/>
    <w:rsid w:val="00007670"/>
    <w:rsid w:val="00010665"/>
    <w:rsid w:val="00020981"/>
    <w:rsid w:val="0002393A"/>
    <w:rsid w:val="00027DB8"/>
    <w:rsid w:val="00031A96"/>
    <w:rsid w:val="00040BF3"/>
    <w:rsid w:val="0004211C"/>
    <w:rsid w:val="00046C59"/>
    <w:rsid w:val="00051362"/>
    <w:rsid w:val="00051F45"/>
    <w:rsid w:val="00052953"/>
    <w:rsid w:val="0005341A"/>
    <w:rsid w:val="00056DEF"/>
    <w:rsid w:val="00056EDC"/>
    <w:rsid w:val="0006635A"/>
    <w:rsid w:val="00070C1E"/>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C03F0"/>
    <w:rsid w:val="000C142B"/>
    <w:rsid w:val="000D1F29"/>
    <w:rsid w:val="000D633D"/>
    <w:rsid w:val="000E342B"/>
    <w:rsid w:val="000E3ED2"/>
    <w:rsid w:val="000E4090"/>
    <w:rsid w:val="000E5DD2"/>
    <w:rsid w:val="000F2958"/>
    <w:rsid w:val="000F3850"/>
    <w:rsid w:val="000F604F"/>
    <w:rsid w:val="00104E7F"/>
    <w:rsid w:val="001137EC"/>
    <w:rsid w:val="00113D8B"/>
    <w:rsid w:val="001152F5"/>
    <w:rsid w:val="001166FA"/>
    <w:rsid w:val="00117743"/>
    <w:rsid w:val="00117F5B"/>
    <w:rsid w:val="00132658"/>
    <w:rsid w:val="0013350F"/>
    <w:rsid w:val="00150DC0"/>
    <w:rsid w:val="0015394D"/>
    <w:rsid w:val="00156CD4"/>
    <w:rsid w:val="0016153B"/>
    <w:rsid w:val="00162207"/>
    <w:rsid w:val="00164A3E"/>
    <w:rsid w:val="00166FF6"/>
    <w:rsid w:val="00176123"/>
    <w:rsid w:val="00181620"/>
    <w:rsid w:val="00187130"/>
    <w:rsid w:val="001957AD"/>
    <w:rsid w:val="00196F8E"/>
    <w:rsid w:val="00197C56"/>
    <w:rsid w:val="001A2B7F"/>
    <w:rsid w:val="001A3AFD"/>
    <w:rsid w:val="001A496C"/>
    <w:rsid w:val="001A576A"/>
    <w:rsid w:val="001B28DA"/>
    <w:rsid w:val="001B2B6C"/>
    <w:rsid w:val="001C0D88"/>
    <w:rsid w:val="001D01C4"/>
    <w:rsid w:val="001D3390"/>
    <w:rsid w:val="001D4A6A"/>
    <w:rsid w:val="001D4F99"/>
    <w:rsid w:val="001D52B0"/>
    <w:rsid w:val="001D5A18"/>
    <w:rsid w:val="001D7CA4"/>
    <w:rsid w:val="001E057F"/>
    <w:rsid w:val="001E14EB"/>
    <w:rsid w:val="001E14F9"/>
    <w:rsid w:val="001E780F"/>
    <w:rsid w:val="001F33F5"/>
    <w:rsid w:val="001F59E6"/>
    <w:rsid w:val="00203F1C"/>
    <w:rsid w:val="00206936"/>
    <w:rsid w:val="00206C6F"/>
    <w:rsid w:val="00206FBD"/>
    <w:rsid w:val="00207746"/>
    <w:rsid w:val="0022122B"/>
    <w:rsid w:val="00230031"/>
    <w:rsid w:val="00235C01"/>
    <w:rsid w:val="00245A71"/>
    <w:rsid w:val="00247343"/>
    <w:rsid w:val="002537D9"/>
    <w:rsid w:val="00261FFF"/>
    <w:rsid w:val="00265C56"/>
    <w:rsid w:val="002716CD"/>
    <w:rsid w:val="00274D4B"/>
    <w:rsid w:val="002806F5"/>
    <w:rsid w:val="00281577"/>
    <w:rsid w:val="00287D73"/>
    <w:rsid w:val="002926BC"/>
    <w:rsid w:val="00293A72"/>
    <w:rsid w:val="002A0160"/>
    <w:rsid w:val="002A30C3"/>
    <w:rsid w:val="002A6F6A"/>
    <w:rsid w:val="002A7712"/>
    <w:rsid w:val="002A7C10"/>
    <w:rsid w:val="002B38F7"/>
    <w:rsid w:val="002B4F50"/>
    <w:rsid w:val="002B5591"/>
    <w:rsid w:val="002B6AA4"/>
    <w:rsid w:val="002C1FE9"/>
    <w:rsid w:val="002C3915"/>
    <w:rsid w:val="002D3A57"/>
    <w:rsid w:val="002D6524"/>
    <w:rsid w:val="002D7D05"/>
    <w:rsid w:val="002E20C8"/>
    <w:rsid w:val="002E4290"/>
    <w:rsid w:val="002E66A6"/>
    <w:rsid w:val="002F0DB1"/>
    <w:rsid w:val="002F2885"/>
    <w:rsid w:val="002F45A1"/>
    <w:rsid w:val="0030203D"/>
    <w:rsid w:val="003037F9"/>
    <w:rsid w:val="0030583E"/>
    <w:rsid w:val="00307FE1"/>
    <w:rsid w:val="003132F0"/>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A644F"/>
    <w:rsid w:val="003B67FD"/>
    <w:rsid w:val="003B6A61"/>
    <w:rsid w:val="003C2198"/>
    <w:rsid w:val="003C4941"/>
    <w:rsid w:val="003D0F63"/>
    <w:rsid w:val="003D42C0"/>
    <w:rsid w:val="003D4A8F"/>
    <w:rsid w:val="003D5B29"/>
    <w:rsid w:val="003D7818"/>
    <w:rsid w:val="003E2445"/>
    <w:rsid w:val="003E3BB2"/>
    <w:rsid w:val="003E7E94"/>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480C"/>
    <w:rsid w:val="004864DE"/>
    <w:rsid w:val="00494BE5"/>
    <w:rsid w:val="00496E7B"/>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1662D"/>
    <w:rsid w:val="00520499"/>
    <w:rsid w:val="005249F5"/>
    <w:rsid w:val="005260F7"/>
    <w:rsid w:val="00527440"/>
    <w:rsid w:val="0053140D"/>
    <w:rsid w:val="00543BD1"/>
    <w:rsid w:val="00556113"/>
    <w:rsid w:val="00564C12"/>
    <w:rsid w:val="005654B8"/>
    <w:rsid w:val="00570D94"/>
    <w:rsid w:val="005762CC"/>
    <w:rsid w:val="00582D3D"/>
    <w:rsid w:val="00590040"/>
    <w:rsid w:val="005935F0"/>
    <w:rsid w:val="00595386"/>
    <w:rsid w:val="00597234"/>
    <w:rsid w:val="005A2F8C"/>
    <w:rsid w:val="005A4AC0"/>
    <w:rsid w:val="005A539B"/>
    <w:rsid w:val="005A5FDF"/>
    <w:rsid w:val="005B0FB7"/>
    <w:rsid w:val="005B122A"/>
    <w:rsid w:val="005B1FCB"/>
    <w:rsid w:val="005B5AC2"/>
    <w:rsid w:val="005C2833"/>
    <w:rsid w:val="005D050A"/>
    <w:rsid w:val="005E144D"/>
    <w:rsid w:val="005E1500"/>
    <w:rsid w:val="005E3A43"/>
    <w:rsid w:val="005F0B17"/>
    <w:rsid w:val="005F6602"/>
    <w:rsid w:val="005F77C7"/>
    <w:rsid w:val="00620675"/>
    <w:rsid w:val="00622910"/>
    <w:rsid w:val="006254B6"/>
    <w:rsid w:val="00627FC8"/>
    <w:rsid w:val="006433C3"/>
    <w:rsid w:val="00650F5B"/>
    <w:rsid w:val="00652FB7"/>
    <w:rsid w:val="006670D7"/>
    <w:rsid w:val="006719EA"/>
    <w:rsid w:val="00671F13"/>
    <w:rsid w:val="0067400A"/>
    <w:rsid w:val="006847AD"/>
    <w:rsid w:val="0069114B"/>
    <w:rsid w:val="006944C1"/>
    <w:rsid w:val="006A756A"/>
    <w:rsid w:val="006C0EC2"/>
    <w:rsid w:val="006D66F7"/>
    <w:rsid w:val="006E2C49"/>
    <w:rsid w:val="00705C9D"/>
    <w:rsid w:val="00705F13"/>
    <w:rsid w:val="0070624C"/>
    <w:rsid w:val="00714F1D"/>
    <w:rsid w:val="00715225"/>
    <w:rsid w:val="0071700C"/>
    <w:rsid w:val="00720662"/>
    <w:rsid w:val="00720CC6"/>
    <w:rsid w:val="00722BE8"/>
    <w:rsid w:val="00722DDB"/>
    <w:rsid w:val="00724728"/>
    <w:rsid w:val="00724F98"/>
    <w:rsid w:val="00730B9B"/>
    <w:rsid w:val="0073182E"/>
    <w:rsid w:val="007332FF"/>
    <w:rsid w:val="007408F5"/>
    <w:rsid w:val="00741EAE"/>
    <w:rsid w:val="007427E3"/>
    <w:rsid w:val="00755248"/>
    <w:rsid w:val="0076190B"/>
    <w:rsid w:val="0076355D"/>
    <w:rsid w:val="00763A2D"/>
    <w:rsid w:val="007676A4"/>
    <w:rsid w:val="007754BF"/>
    <w:rsid w:val="00777795"/>
    <w:rsid w:val="00783A57"/>
    <w:rsid w:val="00783F60"/>
    <w:rsid w:val="00784C92"/>
    <w:rsid w:val="007859CD"/>
    <w:rsid w:val="00785C24"/>
    <w:rsid w:val="007907E4"/>
    <w:rsid w:val="00796461"/>
    <w:rsid w:val="007A6A4F"/>
    <w:rsid w:val="007B03F5"/>
    <w:rsid w:val="007B0C4B"/>
    <w:rsid w:val="007B5C09"/>
    <w:rsid w:val="007B5DA2"/>
    <w:rsid w:val="007C0966"/>
    <w:rsid w:val="007C19E7"/>
    <w:rsid w:val="007C20CB"/>
    <w:rsid w:val="007C5CFD"/>
    <w:rsid w:val="007C6D9F"/>
    <w:rsid w:val="007D4893"/>
    <w:rsid w:val="007E4F92"/>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878D7"/>
    <w:rsid w:val="008921AF"/>
    <w:rsid w:val="0089368E"/>
    <w:rsid w:val="00893C96"/>
    <w:rsid w:val="0089500A"/>
    <w:rsid w:val="00897C94"/>
    <w:rsid w:val="008A4B30"/>
    <w:rsid w:val="008A7C12"/>
    <w:rsid w:val="008B03CE"/>
    <w:rsid w:val="008B529E"/>
    <w:rsid w:val="008B7423"/>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4539"/>
    <w:rsid w:val="009616DF"/>
    <w:rsid w:val="0096542F"/>
    <w:rsid w:val="00967FA7"/>
    <w:rsid w:val="00971645"/>
    <w:rsid w:val="00977919"/>
    <w:rsid w:val="00983000"/>
    <w:rsid w:val="009870FA"/>
    <w:rsid w:val="009921C3"/>
    <w:rsid w:val="0099551D"/>
    <w:rsid w:val="009A5897"/>
    <w:rsid w:val="009A5F24"/>
    <w:rsid w:val="009A75D3"/>
    <w:rsid w:val="009B0B3E"/>
    <w:rsid w:val="009B1913"/>
    <w:rsid w:val="009B6657"/>
    <w:rsid w:val="009B6966"/>
    <w:rsid w:val="009C35F4"/>
    <w:rsid w:val="009D0EB5"/>
    <w:rsid w:val="009D14F9"/>
    <w:rsid w:val="009D2B74"/>
    <w:rsid w:val="009D63FF"/>
    <w:rsid w:val="009E175D"/>
    <w:rsid w:val="009E3CC2"/>
    <w:rsid w:val="009F06BD"/>
    <w:rsid w:val="009F2A4D"/>
    <w:rsid w:val="009F3471"/>
    <w:rsid w:val="00A00828"/>
    <w:rsid w:val="00A01896"/>
    <w:rsid w:val="00A03290"/>
    <w:rsid w:val="00A0387E"/>
    <w:rsid w:val="00A05BFD"/>
    <w:rsid w:val="00A07490"/>
    <w:rsid w:val="00A07BB4"/>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94693"/>
    <w:rsid w:val="00AA541E"/>
    <w:rsid w:val="00AD0DA4"/>
    <w:rsid w:val="00AD4169"/>
    <w:rsid w:val="00AE25C6"/>
    <w:rsid w:val="00AE306C"/>
    <w:rsid w:val="00AE43DB"/>
    <w:rsid w:val="00AF28C1"/>
    <w:rsid w:val="00AF648C"/>
    <w:rsid w:val="00B02EF1"/>
    <w:rsid w:val="00B07C97"/>
    <w:rsid w:val="00B11C67"/>
    <w:rsid w:val="00B14257"/>
    <w:rsid w:val="00B15754"/>
    <w:rsid w:val="00B16002"/>
    <w:rsid w:val="00B2046E"/>
    <w:rsid w:val="00B20E8B"/>
    <w:rsid w:val="00B257E1"/>
    <w:rsid w:val="00B2599A"/>
    <w:rsid w:val="00B27AC4"/>
    <w:rsid w:val="00B343CC"/>
    <w:rsid w:val="00B5084A"/>
    <w:rsid w:val="00B50B70"/>
    <w:rsid w:val="00B57E3B"/>
    <w:rsid w:val="00B606A1"/>
    <w:rsid w:val="00B614F7"/>
    <w:rsid w:val="00B61B26"/>
    <w:rsid w:val="00B65B7D"/>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4072"/>
    <w:rsid w:val="00BE6144"/>
    <w:rsid w:val="00BE635A"/>
    <w:rsid w:val="00BF17E9"/>
    <w:rsid w:val="00BF2ABB"/>
    <w:rsid w:val="00BF5099"/>
    <w:rsid w:val="00C07B3F"/>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48A4"/>
    <w:rsid w:val="00C954F6"/>
    <w:rsid w:val="00CA36A0"/>
    <w:rsid w:val="00CA60DD"/>
    <w:rsid w:val="00CA6BC5"/>
    <w:rsid w:val="00CC4934"/>
    <w:rsid w:val="00CC571B"/>
    <w:rsid w:val="00CC61CD"/>
    <w:rsid w:val="00CC6C02"/>
    <w:rsid w:val="00CC737B"/>
    <w:rsid w:val="00CD5011"/>
    <w:rsid w:val="00CE640F"/>
    <w:rsid w:val="00CE76BC"/>
    <w:rsid w:val="00CF540E"/>
    <w:rsid w:val="00D02F07"/>
    <w:rsid w:val="00D12883"/>
    <w:rsid w:val="00D15D84"/>
    <w:rsid w:val="00D15D88"/>
    <w:rsid w:val="00D27D49"/>
    <w:rsid w:val="00D27EBE"/>
    <w:rsid w:val="00D36A49"/>
    <w:rsid w:val="00D469C9"/>
    <w:rsid w:val="00D47DC7"/>
    <w:rsid w:val="00D517C6"/>
    <w:rsid w:val="00D6321F"/>
    <w:rsid w:val="00D71D84"/>
    <w:rsid w:val="00D72464"/>
    <w:rsid w:val="00D72A57"/>
    <w:rsid w:val="00D768EB"/>
    <w:rsid w:val="00D81E17"/>
    <w:rsid w:val="00D82D1E"/>
    <w:rsid w:val="00D832D9"/>
    <w:rsid w:val="00D84771"/>
    <w:rsid w:val="00D90F00"/>
    <w:rsid w:val="00D96804"/>
    <w:rsid w:val="00D975C0"/>
    <w:rsid w:val="00DA5285"/>
    <w:rsid w:val="00DB191D"/>
    <w:rsid w:val="00DB4F91"/>
    <w:rsid w:val="00DB6D0A"/>
    <w:rsid w:val="00DC06BE"/>
    <w:rsid w:val="00DC1F0F"/>
    <w:rsid w:val="00DC3117"/>
    <w:rsid w:val="00DC4E2A"/>
    <w:rsid w:val="00DC5DD9"/>
    <w:rsid w:val="00DC6D2D"/>
    <w:rsid w:val="00DD1818"/>
    <w:rsid w:val="00DD4E59"/>
    <w:rsid w:val="00DE33B5"/>
    <w:rsid w:val="00DE4522"/>
    <w:rsid w:val="00DE5E18"/>
    <w:rsid w:val="00DF0487"/>
    <w:rsid w:val="00DF5EA4"/>
    <w:rsid w:val="00DF670A"/>
    <w:rsid w:val="00E02681"/>
    <w:rsid w:val="00E02792"/>
    <w:rsid w:val="00E034D8"/>
    <w:rsid w:val="00E04CC0"/>
    <w:rsid w:val="00E15816"/>
    <w:rsid w:val="00E160D5"/>
    <w:rsid w:val="00E20C55"/>
    <w:rsid w:val="00E239FF"/>
    <w:rsid w:val="00E2563B"/>
    <w:rsid w:val="00E27D7B"/>
    <w:rsid w:val="00E30556"/>
    <w:rsid w:val="00E30981"/>
    <w:rsid w:val="00E33136"/>
    <w:rsid w:val="00E346D7"/>
    <w:rsid w:val="00E34D7C"/>
    <w:rsid w:val="00E3723D"/>
    <w:rsid w:val="00E41B9A"/>
    <w:rsid w:val="00E44C89"/>
    <w:rsid w:val="00E457A6"/>
    <w:rsid w:val="00E54F9E"/>
    <w:rsid w:val="00E61BA2"/>
    <w:rsid w:val="00E63864"/>
    <w:rsid w:val="00E6403F"/>
    <w:rsid w:val="00E70675"/>
    <w:rsid w:val="00E75451"/>
    <w:rsid w:val="00E75EA9"/>
    <w:rsid w:val="00E75F8B"/>
    <w:rsid w:val="00E76AD6"/>
    <w:rsid w:val="00E770C4"/>
    <w:rsid w:val="00E84C5A"/>
    <w:rsid w:val="00E861DB"/>
    <w:rsid w:val="00E908F1"/>
    <w:rsid w:val="00E93406"/>
    <w:rsid w:val="00E956C5"/>
    <w:rsid w:val="00E95C39"/>
    <w:rsid w:val="00EA2C39"/>
    <w:rsid w:val="00EB0A3C"/>
    <w:rsid w:val="00EB0A96"/>
    <w:rsid w:val="00EB6D29"/>
    <w:rsid w:val="00EB77F9"/>
    <w:rsid w:val="00EC5769"/>
    <w:rsid w:val="00EC7D00"/>
    <w:rsid w:val="00ED0304"/>
    <w:rsid w:val="00ED4FF7"/>
    <w:rsid w:val="00ED5B7B"/>
    <w:rsid w:val="00EE1777"/>
    <w:rsid w:val="00EE38FA"/>
    <w:rsid w:val="00EE3E2C"/>
    <w:rsid w:val="00EE5D23"/>
    <w:rsid w:val="00EE750D"/>
    <w:rsid w:val="00EF3CA4"/>
    <w:rsid w:val="00EF49A8"/>
    <w:rsid w:val="00EF7859"/>
    <w:rsid w:val="00F014DA"/>
    <w:rsid w:val="00F02591"/>
    <w:rsid w:val="00F30AE1"/>
    <w:rsid w:val="00F5696E"/>
    <w:rsid w:val="00F60EFF"/>
    <w:rsid w:val="00F67D2D"/>
    <w:rsid w:val="00F76928"/>
    <w:rsid w:val="00F858F2"/>
    <w:rsid w:val="00F860CC"/>
    <w:rsid w:val="00F90129"/>
    <w:rsid w:val="00F94398"/>
    <w:rsid w:val="00FB2B56"/>
    <w:rsid w:val="00FB55D5"/>
    <w:rsid w:val="00FC12BF"/>
    <w:rsid w:val="00FC2C60"/>
    <w:rsid w:val="00FD3E6F"/>
    <w:rsid w:val="00FD51B9"/>
    <w:rsid w:val="00FD5849"/>
    <w:rsid w:val="00FE03E4"/>
    <w:rsid w:val="00FE1D8A"/>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7AD4B"/>
  <w15:docId w15:val="{5126470A-4665-4852-A0D8-A296B181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93"/>
    <w:rPr>
      <w:rFonts w:ascii="Lato" w:hAnsi="Lato"/>
    </w:rPr>
  </w:style>
  <w:style w:type="paragraph" w:styleId="Heading1">
    <w:name w:val="heading 1"/>
    <w:basedOn w:val="Normal"/>
    <w:next w:val="Normal"/>
    <w:link w:val="Heading1Char"/>
    <w:uiPriority w:val="2"/>
    <w:qFormat/>
    <w:rsid w:val="00DD181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DD1818"/>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D181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DD1818"/>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tabs>
        <w:tab w:val="num" w:pos="360"/>
      </w:tabs>
      <w:spacing w:after="20"/>
      <w:ind w:left="0" w:firstLine="0"/>
    </w:pPr>
  </w:style>
  <w:style w:type="paragraph" w:customStyle="1" w:styleId="Tablebulletlistlevel2">
    <w:name w:val="Table bullet list level 2"/>
    <w:basedOn w:val="Tablebulletlistlevel1"/>
    <w:uiPriority w:val="6"/>
    <w:semiHidden/>
    <w:rsid w:val="002716CD"/>
    <w:pPr>
      <w:numPr>
        <w:ilvl w:val="1"/>
      </w:numPr>
      <w:tabs>
        <w:tab w:val="num" w:pos="360"/>
      </w:tabs>
      <w:ind w:left="0" w:firstLine="0"/>
    </w:pPr>
  </w:style>
  <w:style w:type="paragraph" w:customStyle="1" w:styleId="Tablebulletlistlevel3">
    <w:name w:val="Table bullet list level 3"/>
    <w:basedOn w:val="Tablebulletlistlevel2"/>
    <w:uiPriority w:val="6"/>
    <w:semiHidden/>
    <w:qFormat/>
    <w:rsid w:val="002716CD"/>
    <w:pPr>
      <w:numPr>
        <w:ilvl w:val="2"/>
      </w:numPr>
      <w:tabs>
        <w:tab w:val="num" w:pos="360"/>
      </w:tabs>
      <w:ind w:left="0" w:firstLine="0"/>
    </w:pPr>
  </w:style>
  <w:style w:type="paragraph" w:customStyle="1" w:styleId="Tablebulletlistlevel4">
    <w:name w:val="Table bullet list level 4"/>
    <w:basedOn w:val="Tablebulletlistlevel3"/>
    <w:uiPriority w:val="6"/>
    <w:semiHidden/>
    <w:qFormat/>
    <w:rsid w:val="002716CD"/>
    <w:pPr>
      <w:numPr>
        <w:ilvl w:val="3"/>
      </w:numPr>
      <w:tabs>
        <w:tab w:val="num" w:pos="360"/>
      </w:tabs>
      <w:ind w:left="0" w:firstLine="0"/>
    </w:pPr>
  </w:style>
  <w:style w:type="paragraph" w:customStyle="1" w:styleId="Tablebulletlistlevel5">
    <w:name w:val="Table bullet list level 5"/>
    <w:basedOn w:val="Tablebulletlistlevel4"/>
    <w:uiPriority w:val="6"/>
    <w:semiHidden/>
    <w:qFormat/>
    <w:rsid w:val="002716CD"/>
    <w:pPr>
      <w:numPr>
        <w:ilvl w:val="4"/>
      </w:numPr>
      <w:tabs>
        <w:tab w:val="num" w:pos="360"/>
      </w:tabs>
      <w:ind w:left="0" w:firstLine="0"/>
    </w:pPr>
  </w:style>
  <w:style w:type="paragraph" w:customStyle="1" w:styleId="Tablebulletlistlevel6">
    <w:name w:val="Table bullet list level 6"/>
    <w:basedOn w:val="Tablebulletlistlevel5"/>
    <w:uiPriority w:val="6"/>
    <w:semiHidden/>
    <w:qFormat/>
    <w:rsid w:val="001D7CA4"/>
    <w:pPr>
      <w:numPr>
        <w:ilvl w:val="5"/>
      </w:numPr>
      <w:tabs>
        <w:tab w:val="num" w:pos="360"/>
      </w:tabs>
      <w:ind w:left="0" w:firstLine="0"/>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0">
    <w:name w:val="NTG Table"/>
    <w:basedOn w:val="TableGrid"/>
    <w:uiPriority w:val="99"/>
    <w:rsid w:val="00D6321F"/>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StyleBold">
    <w:name w:val="Style Bold"/>
    <w:rsid w:val="001E780F"/>
    <w:rPr>
      <w:b/>
      <w:bCs/>
    </w:rPr>
  </w:style>
  <w:style w:type="paragraph" w:styleId="FootnoteText">
    <w:name w:val="footnote text"/>
    <w:basedOn w:val="Normal"/>
    <w:link w:val="FootnoteTextChar"/>
    <w:uiPriority w:val="99"/>
    <w:rsid w:val="00CA60DD"/>
    <w:pPr>
      <w:spacing w:after="0"/>
    </w:pPr>
    <w:rPr>
      <w:rFonts w:asciiTheme="minorHAnsi" w:hAnsiTheme="minorHAnsi"/>
      <w:sz w:val="18"/>
      <w:szCs w:val="20"/>
    </w:rPr>
  </w:style>
  <w:style w:type="character" w:customStyle="1" w:styleId="FootnoteTextChar">
    <w:name w:val="Footnote Text Char"/>
    <w:basedOn w:val="DefaultParagraphFont"/>
    <w:link w:val="FootnoteText"/>
    <w:uiPriority w:val="99"/>
    <w:rsid w:val="00CA60DD"/>
    <w:rPr>
      <w:rFonts w:asciiTheme="minorHAnsi" w:hAnsiTheme="minorHAnsi"/>
      <w:sz w:val="18"/>
      <w:szCs w:val="20"/>
    </w:rPr>
  </w:style>
  <w:style w:type="character" w:styleId="FootnoteReference">
    <w:name w:val="footnote reference"/>
    <w:basedOn w:val="DefaultParagraphFont"/>
    <w:uiPriority w:val="99"/>
    <w:rsid w:val="005A2F8C"/>
    <w:rPr>
      <w:rFonts w:ascii="Lato" w:hAnsi="Lato"/>
      <w:vertAlign w:val="superscript"/>
    </w:rPr>
  </w:style>
  <w:style w:type="character" w:styleId="CommentReference">
    <w:name w:val="annotation reference"/>
    <w:basedOn w:val="DefaultParagraphFont"/>
    <w:uiPriority w:val="99"/>
    <w:semiHidden/>
    <w:unhideWhenUsed/>
    <w:rsid w:val="008B7423"/>
    <w:rPr>
      <w:sz w:val="16"/>
      <w:szCs w:val="16"/>
    </w:rPr>
  </w:style>
  <w:style w:type="paragraph" w:styleId="CommentText">
    <w:name w:val="annotation text"/>
    <w:basedOn w:val="Normal"/>
    <w:link w:val="CommentTextChar"/>
    <w:uiPriority w:val="99"/>
    <w:semiHidden/>
    <w:unhideWhenUsed/>
    <w:rsid w:val="008B7423"/>
    <w:rPr>
      <w:sz w:val="20"/>
      <w:szCs w:val="20"/>
    </w:rPr>
  </w:style>
  <w:style w:type="character" w:customStyle="1" w:styleId="CommentTextChar">
    <w:name w:val="Comment Text Char"/>
    <w:basedOn w:val="DefaultParagraphFont"/>
    <w:link w:val="CommentText"/>
    <w:uiPriority w:val="99"/>
    <w:semiHidden/>
    <w:rsid w:val="008B742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B7423"/>
    <w:rPr>
      <w:b/>
      <w:bCs/>
    </w:rPr>
  </w:style>
  <w:style w:type="character" w:customStyle="1" w:styleId="CommentSubjectChar">
    <w:name w:val="Comment Subject Char"/>
    <w:basedOn w:val="CommentTextChar"/>
    <w:link w:val="CommentSubject"/>
    <w:uiPriority w:val="99"/>
    <w:semiHidden/>
    <w:rsid w:val="008B7423"/>
    <w:rPr>
      <w:rFonts w:ascii="Lato" w:hAnsi="Lato"/>
      <w:b/>
      <w:bCs/>
      <w:sz w:val="20"/>
      <w:szCs w:val="20"/>
    </w:rPr>
  </w:style>
  <w:style w:type="paragraph" w:customStyle="1" w:styleId="Numberlistlevel1ListNumber">
    <w:name w:val="Number list level 1  (List Number)"/>
    <w:basedOn w:val="Normal"/>
    <w:rsid w:val="001F33F5"/>
    <w:pPr>
      <w:numPr>
        <w:numId w:val="9"/>
      </w:numPr>
      <w:spacing w:after="120"/>
    </w:pPr>
  </w:style>
  <w:style w:type="paragraph" w:customStyle="1" w:styleId="Numberlistlevel2ListNumber2">
    <w:name w:val="Number list level 2  (List Number 2)"/>
    <w:basedOn w:val="Normal"/>
    <w:rsid w:val="001F33F5"/>
    <w:pPr>
      <w:numPr>
        <w:ilvl w:val="1"/>
        <w:numId w:val="9"/>
      </w:numPr>
      <w:spacing w:after="120"/>
    </w:pPr>
  </w:style>
  <w:style w:type="paragraph" w:customStyle="1" w:styleId="Numberlistlevel3ListNumber3">
    <w:name w:val="Number list level 3  (List Number 3)"/>
    <w:basedOn w:val="Normal"/>
    <w:rsid w:val="00D84771"/>
    <w:pPr>
      <w:numPr>
        <w:ilvl w:val="2"/>
        <w:numId w:val="9"/>
      </w:numPr>
      <w:spacing w:after="120"/>
    </w:pPr>
  </w:style>
  <w:style w:type="paragraph" w:customStyle="1" w:styleId="Numberlistlevel4ListNumber4">
    <w:name w:val="Number list level 4  (List Number 4)"/>
    <w:basedOn w:val="Normal"/>
    <w:rsid w:val="001F33F5"/>
    <w:pPr>
      <w:numPr>
        <w:ilvl w:val="3"/>
        <w:numId w:val="9"/>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revenu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justice.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revenue.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4E183-41ED-4305-9CDE-5AA08961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TotalTime>
  <Pages>4</Pages>
  <Words>1301</Words>
  <Characters>6740</Characters>
  <Application>Microsoft Office Word</Application>
  <DocSecurity>0</DocSecurity>
  <Lines>192</Lines>
  <Paragraphs>121</Paragraphs>
  <ScaleCrop>false</ScaleCrop>
  <HeadingPairs>
    <vt:vector size="2" baseType="variant">
      <vt:variant>
        <vt:lpstr>Title</vt:lpstr>
      </vt:variant>
      <vt:variant>
        <vt:i4>1</vt:i4>
      </vt:variant>
    </vt:vector>
  </HeadingPairs>
  <TitlesOfParts>
    <vt:vector size="1" baseType="lpstr">
      <vt:lpstr>CG-HI-001: Stamp duty home owner assistance schemes</vt:lpstr>
    </vt:vector>
  </TitlesOfParts>
  <Company>TREASURY AND FINANCE</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CG-HI-001: Stamp duty home owner assistance schemes</dc:title>
  <dc:creator>Department of Treasury and Finance</dc:creator>
  <cp:lastModifiedBy>Jessica Symonds</cp:lastModifiedBy>
  <cp:revision>5</cp:revision>
  <cp:lastPrinted>2019-07-29T01:45:00Z</cp:lastPrinted>
  <dcterms:created xsi:type="dcterms:W3CDTF">2022-06-30T01:11:00Z</dcterms:created>
  <dcterms:modified xsi:type="dcterms:W3CDTF">2022-06-30T07:13:00Z</dcterms:modified>
</cp:coreProperties>
</file>