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E2046" w14:textId="6CD53A2A" w:rsidR="00063B36" w:rsidRDefault="00063B36" w:rsidP="00063B36">
      <w:pPr>
        <w:pStyle w:val="Heading1"/>
      </w:pPr>
      <w:r>
        <w:t>CG-</w:t>
      </w:r>
      <w:r w:rsidR="00805586">
        <w:t>GEN</w:t>
      </w:r>
      <w:r>
        <w:t>-</w:t>
      </w:r>
      <w:r w:rsidR="001D1029">
        <w:t>006</w:t>
      </w:r>
    </w:p>
    <w:tbl>
      <w:tblPr>
        <w:tblStyle w:val="NTGTable"/>
        <w:tblW w:w="0" w:type="auto"/>
        <w:tblLook w:val="04A0" w:firstRow="1" w:lastRow="0" w:firstColumn="1" w:lastColumn="0" w:noHBand="0" w:noVBand="1"/>
        <w:tblDescription w:val="Version history from 5 May 2005 to current"/>
      </w:tblPr>
      <w:tblGrid>
        <w:gridCol w:w="2407"/>
        <w:gridCol w:w="2407"/>
        <w:gridCol w:w="2407"/>
        <w:gridCol w:w="2407"/>
      </w:tblGrid>
      <w:tr w:rsidR="00063B36" w:rsidRPr="00745449" w14:paraId="7B372E87" w14:textId="77777777" w:rsidTr="00DC30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vMerge w:val="restart"/>
          </w:tcPr>
          <w:p w14:paraId="4188D913" w14:textId="77777777" w:rsidR="00063B36" w:rsidRPr="00DC3077" w:rsidRDefault="00063B36" w:rsidP="00DC3077">
            <w:pPr>
              <w:spacing w:before="0" w:after="200"/>
            </w:pPr>
            <w:r w:rsidRPr="00DC3077">
              <w:t>Version</w:t>
            </w:r>
          </w:p>
        </w:tc>
        <w:tc>
          <w:tcPr>
            <w:tcW w:w="2407" w:type="dxa"/>
            <w:vMerge w:val="restart"/>
          </w:tcPr>
          <w:p w14:paraId="39FC77DC" w14:textId="77777777" w:rsidR="00063B36" w:rsidRPr="00DC3077" w:rsidRDefault="00063B36" w:rsidP="00DC3077">
            <w:pPr>
              <w:spacing w:before="0" w:after="200"/>
              <w:cnfStyle w:val="100000000000" w:firstRow="1" w:lastRow="0" w:firstColumn="0" w:lastColumn="0" w:oddVBand="0" w:evenVBand="0" w:oddHBand="0" w:evenHBand="0" w:firstRowFirstColumn="0" w:firstRowLastColumn="0" w:lastRowFirstColumn="0" w:lastRowLastColumn="0"/>
            </w:pPr>
            <w:r w:rsidRPr="00DC3077">
              <w:t>Issued</w:t>
            </w:r>
          </w:p>
        </w:tc>
        <w:tc>
          <w:tcPr>
            <w:tcW w:w="4814" w:type="dxa"/>
            <w:gridSpan w:val="2"/>
          </w:tcPr>
          <w:p w14:paraId="258F081E" w14:textId="77777777" w:rsidR="00063B36" w:rsidRPr="00DC3077" w:rsidRDefault="00063B36" w:rsidP="00DC3077">
            <w:pPr>
              <w:spacing w:before="0" w:after="200"/>
              <w:cnfStyle w:val="100000000000" w:firstRow="1" w:lastRow="0" w:firstColumn="0" w:lastColumn="0" w:oddVBand="0" w:evenVBand="0" w:oddHBand="0" w:evenHBand="0" w:firstRowFirstColumn="0" w:firstRowLastColumn="0" w:lastRowFirstColumn="0" w:lastRowLastColumn="0"/>
            </w:pPr>
            <w:r w:rsidRPr="00DC3077">
              <w:t>Dates of Effect</w:t>
            </w:r>
          </w:p>
        </w:tc>
      </w:tr>
      <w:tr w:rsidR="00063B36" w:rsidRPr="00745449" w14:paraId="4ABE7DFD" w14:textId="77777777" w:rsidTr="00DC307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407" w:type="dxa"/>
            <w:vMerge/>
          </w:tcPr>
          <w:p w14:paraId="0F00E3C3" w14:textId="77777777" w:rsidR="00063B36" w:rsidRPr="00DC3077" w:rsidRDefault="00063B36" w:rsidP="00DC3077">
            <w:pPr>
              <w:spacing w:after="200"/>
            </w:pPr>
          </w:p>
        </w:tc>
        <w:tc>
          <w:tcPr>
            <w:tcW w:w="2407" w:type="dxa"/>
            <w:vMerge/>
          </w:tcPr>
          <w:p w14:paraId="302E66EA" w14:textId="77777777" w:rsidR="00063B36" w:rsidRPr="00DC3077" w:rsidRDefault="00063B36" w:rsidP="00DC3077">
            <w:pPr>
              <w:spacing w:after="200"/>
              <w:cnfStyle w:val="000000100000" w:firstRow="0" w:lastRow="0" w:firstColumn="0" w:lastColumn="0" w:oddVBand="0" w:evenVBand="0" w:oddHBand="1" w:evenHBand="0" w:firstRowFirstColumn="0" w:firstRowLastColumn="0" w:lastRowFirstColumn="0" w:lastRowLastColumn="0"/>
            </w:pPr>
          </w:p>
        </w:tc>
        <w:tc>
          <w:tcPr>
            <w:tcW w:w="2407" w:type="dxa"/>
            <w:shd w:val="clear" w:color="auto" w:fill="D9D9D9" w:themeFill="background1" w:themeFillShade="D9"/>
          </w:tcPr>
          <w:p w14:paraId="7F2EE5E3" w14:textId="77777777" w:rsidR="00063B36" w:rsidRPr="00DC3077" w:rsidRDefault="00063B36" w:rsidP="00DC3077">
            <w:pPr>
              <w:cnfStyle w:val="000000100000" w:firstRow="0" w:lastRow="0" w:firstColumn="0" w:lastColumn="0" w:oddVBand="0" w:evenVBand="0" w:oddHBand="1" w:evenHBand="0" w:firstRowFirstColumn="0" w:firstRowLastColumn="0" w:lastRowFirstColumn="0" w:lastRowLastColumn="0"/>
            </w:pPr>
            <w:r w:rsidRPr="00DC3077">
              <w:t>From:</w:t>
            </w:r>
          </w:p>
        </w:tc>
        <w:tc>
          <w:tcPr>
            <w:tcW w:w="2407" w:type="dxa"/>
            <w:shd w:val="clear" w:color="auto" w:fill="D9D9D9" w:themeFill="background1" w:themeFillShade="D9"/>
          </w:tcPr>
          <w:p w14:paraId="45362F39" w14:textId="77777777" w:rsidR="00063B36" w:rsidRPr="00DC3077" w:rsidRDefault="00063B36" w:rsidP="00DC3077">
            <w:pPr>
              <w:cnfStyle w:val="000000100000" w:firstRow="0" w:lastRow="0" w:firstColumn="0" w:lastColumn="0" w:oddVBand="0" w:evenVBand="0" w:oddHBand="1" w:evenHBand="0" w:firstRowFirstColumn="0" w:firstRowLastColumn="0" w:lastRowFirstColumn="0" w:lastRowLastColumn="0"/>
            </w:pPr>
            <w:r w:rsidRPr="00DC3077">
              <w:t>To:</w:t>
            </w:r>
          </w:p>
        </w:tc>
      </w:tr>
      <w:tr w:rsidR="00063B36" w:rsidRPr="00745449" w14:paraId="0EFDEB92" w14:textId="77777777" w:rsidTr="00DC30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8F43C6A" w14:textId="77777777" w:rsidR="00063B36" w:rsidRPr="00451AFA" w:rsidRDefault="00063B36" w:rsidP="00DC3077">
            <w:pPr>
              <w:rPr>
                <w:highlight w:val="yellow"/>
              </w:rPr>
            </w:pPr>
            <w:r w:rsidRPr="00973D22">
              <w:t>1</w:t>
            </w:r>
          </w:p>
        </w:tc>
        <w:tc>
          <w:tcPr>
            <w:tcW w:w="2407" w:type="dxa"/>
          </w:tcPr>
          <w:p w14:paraId="1CBE5865" w14:textId="5DA76999" w:rsidR="00063B36" w:rsidRPr="00451AFA" w:rsidRDefault="00E92FF8" w:rsidP="009833DF">
            <w:pPr>
              <w:cnfStyle w:val="000000010000" w:firstRow="0" w:lastRow="0" w:firstColumn="0" w:lastColumn="0" w:oddVBand="0" w:evenVBand="0" w:oddHBand="0" w:evenHBand="1" w:firstRowFirstColumn="0" w:firstRowLastColumn="0" w:lastRowFirstColumn="0" w:lastRowLastColumn="0"/>
              <w:rPr>
                <w:highlight w:val="yellow"/>
              </w:rPr>
            </w:pPr>
            <w:r w:rsidRPr="00807C55">
              <w:t>16</w:t>
            </w:r>
            <w:r w:rsidR="00973D22" w:rsidRPr="00807C55">
              <w:t xml:space="preserve"> December </w:t>
            </w:r>
            <w:r w:rsidR="009833DF">
              <w:t>2019</w:t>
            </w:r>
          </w:p>
        </w:tc>
        <w:tc>
          <w:tcPr>
            <w:tcW w:w="2407" w:type="dxa"/>
          </w:tcPr>
          <w:p w14:paraId="4D51E2C6" w14:textId="24A07174" w:rsidR="00063B36" w:rsidRPr="00973D22" w:rsidRDefault="00973D22" w:rsidP="00DC3077">
            <w:pPr>
              <w:cnfStyle w:val="000000010000" w:firstRow="0" w:lastRow="0" w:firstColumn="0" w:lastColumn="0" w:oddVBand="0" w:evenVBand="0" w:oddHBand="0" w:evenHBand="1" w:firstRowFirstColumn="0" w:firstRowLastColumn="0" w:lastRowFirstColumn="0" w:lastRowLastColumn="0"/>
            </w:pPr>
            <w:r w:rsidRPr="00973D22">
              <w:t>1 January 2020</w:t>
            </w:r>
          </w:p>
        </w:tc>
        <w:tc>
          <w:tcPr>
            <w:tcW w:w="2407" w:type="dxa"/>
          </w:tcPr>
          <w:p w14:paraId="597595BA" w14:textId="710F645B" w:rsidR="00063B36" w:rsidRPr="00973D22" w:rsidRDefault="00973D22" w:rsidP="003B62E8">
            <w:pPr>
              <w:cnfStyle w:val="000000010000" w:firstRow="0" w:lastRow="0" w:firstColumn="0" w:lastColumn="0" w:oddVBand="0" w:evenVBand="0" w:oddHBand="0" w:evenHBand="1" w:firstRowFirstColumn="0" w:firstRowLastColumn="0" w:lastRowFirstColumn="0" w:lastRowLastColumn="0"/>
            </w:pPr>
            <w:r w:rsidRPr="00973D22">
              <w:t>31 December 2020</w:t>
            </w:r>
          </w:p>
        </w:tc>
      </w:tr>
    </w:tbl>
    <w:p w14:paraId="615E5AB8" w14:textId="77777777" w:rsidR="00063B36" w:rsidRDefault="00063B36" w:rsidP="00063B36">
      <w:pPr>
        <w:pStyle w:val="Heading1"/>
      </w:pPr>
      <w:r>
        <w:t>Purpose</w:t>
      </w:r>
    </w:p>
    <w:p w14:paraId="18066957" w14:textId="66A21B14" w:rsidR="003B62E8" w:rsidRDefault="00063B36" w:rsidP="00F05152">
      <w:pPr>
        <w:pStyle w:val="BlockText"/>
        <w:keepLines/>
        <w:numPr>
          <w:ilvl w:val="0"/>
          <w:numId w:val="11"/>
        </w:numPr>
        <w:spacing w:after="120"/>
        <w:jc w:val="both"/>
      </w:pPr>
      <w:r>
        <w:t xml:space="preserve">This Guideline </w:t>
      </w:r>
      <w:r w:rsidR="003B62E8" w:rsidRPr="004207CF">
        <w:t xml:space="preserve">explains </w:t>
      </w:r>
      <w:r w:rsidR="003B62E8">
        <w:t>the</w:t>
      </w:r>
      <w:r w:rsidR="005009E0">
        <w:t xml:space="preserve"> </w:t>
      </w:r>
      <w:r w:rsidR="003B62E8">
        <w:t xml:space="preserve">operation of </w:t>
      </w:r>
      <w:r w:rsidR="005009E0">
        <w:t>the</w:t>
      </w:r>
      <w:r w:rsidR="005F6893">
        <w:t xml:space="preserve"> </w:t>
      </w:r>
      <w:r w:rsidR="00D606A7">
        <w:t xml:space="preserve">concessional interest rate applying to eligible </w:t>
      </w:r>
      <w:r w:rsidR="00451AFA">
        <w:t>tax de</w:t>
      </w:r>
      <w:r w:rsidR="00D606A7">
        <w:t>faults for 12 months from 1 January 2020 and</w:t>
      </w:r>
      <w:r w:rsidR="005009E0">
        <w:t xml:space="preserve"> how </w:t>
      </w:r>
      <w:r w:rsidR="00D606A7">
        <w:t xml:space="preserve">this will be administered by </w:t>
      </w:r>
      <w:r w:rsidR="005009E0">
        <w:t xml:space="preserve">the </w:t>
      </w:r>
      <w:r w:rsidR="003B62E8" w:rsidRPr="004207CF">
        <w:t>Territory Revenue Office (TRO)</w:t>
      </w:r>
      <w:r w:rsidR="003B62E8">
        <w:t xml:space="preserve">.  </w:t>
      </w:r>
    </w:p>
    <w:p w14:paraId="4903EEBE" w14:textId="6AF177E2" w:rsidR="003B62E8" w:rsidRDefault="003B62E8" w:rsidP="00F05152">
      <w:pPr>
        <w:pStyle w:val="BlockText"/>
        <w:keepLines/>
        <w:numPr>
          <w:ilvl w:val="0"/>
          <w:numId w:val="11"/>
        </w:numPr>
        <w:spacing w:after="120"/>
        <w:jc w:val="both"/>
      </w:pPr>
      <w:r>
        <w:t>This Guideline should be read in conjunction with the following Guidelines:</w:t>
      </w:r>
    </w:p>
    <w:p w14:paraId="3EE3F476" w14:textId="302C1A86" w:rsidR="003B62E8" w:rsidRPr="00565E12" w:rsidRDefault="003B62E8" w:rsidP="00F05152">
      <w:pPr>
        <w:pStyle w:val="BlockText"/>
        <w:keepLines/>
        <w:numPr>
          <w:ilvl w:val="1"/>
          <w:numId w:val="10"/>
        </w:numPr>
        <w:spacing w:after="120"/>
        <w:ind w:left="1418" w:hanging="284"/>
        <w:jc w:val="both"/>
      </w:pPr>
      <w:r>
        <w:t>Commissioner’s Guideline</w:t>
      </w:r>
      <w:r w:rsidR="00451AFA">
        <w:t xml:space="preserve"> CG-GEN-002</w:t>
      </w:r>
      <w:r w:rsidR="00437279">
        <w:t>:</w:t>
      </w:r>
      <w:r w:rsidR="00451AFA">
        <w:t xml:space="preserve"> </w:t>
      </w:r>
      <w:r w:rsidR="00973D22">
        <w:rPr>
          <w:i/>
        </w:rPr>
        <w:t>Interest and p</w:t>
      </w:r>
      <w:r w:rsidR="00451AFA">
        <w:rPr>
          <w:i/>
        </w:rPr>
        <w:t xml:space="preserve">enalty </w:t>
      </w:r>
      <w:r w:rsidR="00973D22">
        <w:rPr>
          <w:i/>
        </w:rPr>
        <w:t>t</w:t>
      </w:r>
      <w:r w:rsidR="00451AFA">
        <w:rPr>
          <w:i/>
        </w:rPr>
        <w:t>ax</w:t>
      </w:r>
    </w:p>
    <w:p w14:paraId="2DD7FD68" w14:textId="31D5A915" w:rsidR="00D606A7" w:rsidRPr="00F71D37" w:rsidRDefault="00D606A7" w:rsidP="00D606A7">
      <w:pPr>
        <w:pStyle w:val="BlockText"/>
        <w:keepLines/>
        <w:numPr>
          <w:ilvl w:val="1"/>
          <w:numId w:val="10"/>
        </w:numPr>
        <w:spacing w:after="120"/>
        <w:ind w:left="1418" w:hanging="284"/>
        <w:jc w:val="both"/>
      </w:pPr>
      <w:r>
        <w:t xml:space="preserve">Commissioner’s Guideline CG-HI-002: </w:t>
      </w:r>
      <w:r w:rsidRPr="00F71D37">
        <w:rPr>
          <w:i/>
        </w:rPr>
        <w:t xml:space="preserve">Home </w:t>
      </w:r>
      <w:r w:rsidR="00437279">
        <w:rPr>
          <w:i/>
        </w:rPr>
        <w:t>owner assistance s</w:t>
      </w:r>
      <w:r w:rsidRPr="00F71D37">
        <w:rPr>
          <w:i/>
        </w:rPr>
        <w:t xml:space="preserve">chemes – </w:t>
      </w:r>
      <w:r w:rsidR="00437279">
        <w:rPr>
          <w:i/>
        </w:rPr>
        <w:t>i</w:t>
      </w:r>
      <w:r w:rsidRPr="00F71D37">
        <w:rPr>
          <w:i/>
        </w:rPr>
        <w:t xml:space="preserve">nterest and </w:t>
      </w:r>
      <w:r w:rsidR="00437279">
        <w:rPr>
          <w:i/>
        </w:rPr>
        <w:t>p</w:t>
      </w:r>
      <w:r w:rsidRPr="00F71D37">
        <w:rPr>
          <w:i/>
        </w:rPr>
        <w:t>enalt</w:t>
      </w:r>
      <w:r w:rsidR="00437279">
        <w:rPr>
          <w:i/>
        </w:rPr>
        <w:t>ies</w:t>
      </w:r>
    </w:p>
    <w:p w14:paraId="06A781F5" w14:textId="0F20B82C" w:rsidR="005009E0" w:rsidRDefault="005009E0" w:rsidP="00F05152">
      <w:pPr>
        <w:pStyle w:val="BlockText"/>
        <w:keepLines/>
        <w:numPr>
          <w:ilvl w:val="1"/>
          <w:numId w:val="10"/>
        </w:numPr>
        <w:spacing w:after="120"/>
        <w:ind w:left="1418" w:hanging="284"/>
        <w:jc w:val="both"/>
      </w:pPr>
      <w:r>
        <w:t xml:space="preserve">Commissioner’s Guideline CG-GEN-004: </w:t>
      </w:r>
      <w:r>
        <w:rPr>
          <w:i/>
        </w:rPr>
        <w:t>Instalment arrangements</w:t>
      </w:r>
    </w:p>
    <w:p w14:paraId="3C1B663B" w14:textId="7AF31248" w:rsidR="00D606A7" w:rsidRDefault="00D606A7" w:rsidP="00F05152">
      <w:pPr>
        <w:pStyle w:val="BlockText"/>
        <w:keepLines/>
        <w:numPr>
          <w:ilvl w:val="1"/>
          <w:numId w:val="10"/>
        </w:numPr>
        <w:spacing w:after="120"/>
        <w:ind w:left="1418" w:hanging="284"/>
        <w:jc w:val="both"/>
      </w:pPr>
      <w:r>
        <w:t>Commissioner’s Guideline CG-HI-007:</w:t>
      </w:r>
      <w:r w:rsidR="00437279">
        <w:t xml:space="preserve"> </w:t>
      </w:r>
      <w:r w:rsidRPr="00F71D37">
        <w:rPr>
          <w:i/>
        </w:rPr>
        <w:t xml:space="preserve">First Home Owner Grant </w:t>
      </w:r>
      <w:r w:rsidR="00437279">
        <w:rPr>
          <w:i/>
        </w:rPr>
        <w:t>i</w:t>
      </w:r>
      <w:r w:rsidRPr="00F71D37">
        <w:rPr>
          <w:i/>
        </w:rPr>
        <w:t>nstalment arrangement</w:t>
      </w:r>
      <w:r w:rsidR="00437279">
        <w:rPr>
          <w:i/>
        </w:rPr>
        <w:t xml:space="preserve"> policy.</w:t>
      </w:r>
    </w:p>
    <w:p w14:paraId="3639E1BA" w14:textId="1EE3EA94" w:rsidR="00063B36" w:rsidRPr="00565E12" w:rsidRDefault="00266F32" w:rsidP="00063B36">
      <w:pPr>
        <w:pStyle w:val="Heading1"/>
        <w:rPr>
          <w:iCs/>
          <w:color w:val="606060"/>
          <w:kern w:val="0"/>
          <w:sz w:val="28"/>
          <w:szCs w:val="28"/>
        </w:rPr>
      </w:pPr>
      <w:r w:rsidRPr="00565E12">
        <w:rPr>
          <w:iCs/>
          <w:color w:val="606060"/>
          <w:kern w:val="0"/>
          <w:sz w:val="28"/>
          <w:szCs w:val="28"/>
        </w:rPr>
        <w:t>What is the concessional interest rate</w:t>
      </w:r>
      <w:r w:rsidR="00C35F93" w:rsidRPr="00565E12">
        <w:rPr>
          <w:iCs/>
          <w:color w:val="606060"/>
          <w:kern w:val="0"/>
          <w:sz w:val="28"/>
          <w:szCs w:val="28"/>
        </w:rPr>
        <w:t>?</w:t>
      </w:r>
    </w:p>
    <w:p w14:paraId="61B8CF0C" w14:textId="23FD78F9" w:rsidR="00C35F93" w:rsidRPr="00D606A7" w:rsidRDefault="00C35F93" w:rsidP="00F05152">
      <w:pPr>
        <w:pStyle w:val="ListNumber"/>
        <w:numPr>
          <w:ilvl w:val="0"/>
          <w:numId w:val="11"/>
        </w:numPr>
      </w:pPr>
      <w:r>
        <w:t xml:space="preserve">The Commissioner has exercised his general discretion under </w:t>
      </w:r>
      <w:r w:rsidRPr="001D4C60">
        <w:t xml:space="preserve">the </w:t>
      </w:r>
      <w:r w:rsidRPr="00565E12">
        <w:rPr>
          <w:i/>
        </w:rPr>
        <w:t>T</w:t>
      </w:r>
      <w:r w:rsidR="00D606A7" w:rsidRPr="00565E12">
        <w:rPr>
          <w:i/>
        </w:rPr>
        <w:t xml:space="preserve">axation </w:t>
      </w:r>
      <w:r w:rsidRPr="00565E12">
        <w:rPr>
          <w:i/>
        </w:rPr>
        <w:t>A</w:t>
      </w:r>
      <w:r w:rsidR="00D606A7" w:rsidRPr="00565E12">
        <w:rPr>
          <w:i/>
        </w:rPr>
        <w:t xml:space="preserve">dministration </w:t>
      </w:r>
      <w:r w:rsidRPr="00565E12">
        <w:rPr>
          <w:i/>
        </w:rPr>
        <w:t>A</w:t>
      </w:r>
      <w:r w:rsidR="00D606A7" w:rsidRPr="00565E12">
        <w:rPr>
          <w:i/>
        </w:rPr>
        <w:t>ct 2007</w:t>
      </w:r>
      <w:r w:rsidR="00E644D2" w:rsidRPr="001D4C60">
        <w:rPr>
          <w:rStyle w:val="FootnoteReference"/>
        </w:rPr>
        <w:footnoteReference w:id="1"/>
      </w:r>
      <w:r w:rsidR="00D606A7">
        <w:t xml:space="preserve"> (TAA)</w:t>
      </w:r>
      <w:r w:rsidRPr="001D4C60">
        <w:t xml:space="preserve"> to</w:t>
      </w:r>
      <w:r>
        <w:t xml:space="preserve"> remit the statutory interest rate for </w:t>
      </w:r>
      <w:r w:rsidR="00D606A7">
        <w:t>eligible</w:t>
      </w:r>
      <w:r w:rsidR="00D606A7" w:rsidRPr="005F6893">
        <w:t xml:space="preserve"> </w:t>
      </w:r>
      <w:r w:rsidR="00E644D2" w:rsidRPr="005F6893">
        <w:t>tax defaults</w:t>
      </w:r>
      <w:r>
        <w:t xml:space="preserve"> </w:t>
      </w:r>
      <w:r w:rsidRPr="00E4311A">
        <w:t xml:space="preserve">to </w:t>
      </w:r>
      <w:r w:rsidR="00E644D2" w:rsidRPr="00E4311A">
        <w:t>an effective rate of</w:t>
      </w:r>
      <w:r w:rsidR="00E644D2">
        <w:t xml:space="preserve"> </w:t>
      </w:r>
      <w:r>
        <w:t>7%</w:t>
      </w:r>
      <w:r w:rsidR="00E4311A">
        <w:t xml:space="preserve"> (</w:t>
      </w:r>
      <w:r w:rsidR="00D606A7" w:rsidRPr="00565E12">
        <w:t xml:space="preserve">concessional </w:t>
      </w:r>
      <w:r w:rsidR="00E4311A" w:rsidRPr="00565E12">
        <w:t>rate</w:t>
      </w:r>
      <w:r w:rsidR="00E4311A" w:rsidRPr="00D606A7">
        <w:t>)</w:t>
      </w:r>
      <w:r>
        <w:t xml:space="preserve"> per annum for a period of 12 months, commencing on 1 January 2020</w:t>
      </w:r>
      <w:r w:rsidR="00E4311A">
        <w:t xml:space="preserve"> and ending on 31 December </w:t>
      </w:r>
      <w:r w:rsidR="00E4311A" w:rsidRPr="00D606A7">
        <w:t>2020 (</w:t>
      </w:r>
      <w:r w:rsidR="007A6F4A">
        <w:t>relevant</w:t>
      </w:r>
      <w:r w:rsidR="00D606A7" w:rsidRPr="00565E12">
        <w:t xml:space="preserve"> </w:t>
      </w:r>
      <w:r w:rsidR="00E4311A" w:rsidRPr="00565E12">
        <w:t>period</w:t>
      </w:r>
      <w:r w:rsidR="00E4311A" w:rsidRPr="00D606A7">
        <w:t>)</w:t>
      </w:r>
      <w:r w:rsidRPr="00D606A7">
        <w:t>.</w:t>
      </w:r>
    </w:p>
    <w:p w14:paraId="3227B71A" w14:textId="7F5D5E3C" w:rsidR="002B2C4C" w:rsidRPr="00D606A7" w:rsidRDefault="00D606A7" w:rsidP="00F05152">
      <w:pPr>
        <w:pStyle w:val="ListNumber"/>
        <w:numPr>
          <w:ilvl w:val="0"/>
          <w:numId w:val="11"/>
        </w:numPr>
      </w:pPr>
      <w:r>
        <w:t>The concessional</w:t>
      </w:r>
      <w:r w:rsidR="002B2C4C" w:rsidRPr="00565E12">
        <w:t xml:space="preserve"> rate</w:t>
      </w:r>
      <w:r w:rsidR="002B2C4C" w:rsidRPr="00D606A7">
        <w:t xml:space="preserve"> will appl</w:t>
      </w:r>
      <w:r>
        <w:t>y</w:t>
      </w:r>
      <w:r w:rsidR="002B2C4C" w:rsidRPr="00D606A7">
        <w:t xml:space="preserve"> to interest</w:t>
      </w:r>
      <w:r w:rsidR="00266F32">
        <w:t xml:space="preserve"> accrued</w:t>
      </w:r>
      <w:r w:rsidR="002B2C4C" w:rsidRPr="00D606A7">
        <w:t xml:space="preserve"> </w:t>
      </w:r>
      <w:r w:rsidR="00266F32">
        <w:t>on</w:t>
      </w:r>
      <w:r w:rsidR="002B2C4C" w:rsidRPr="00D606A7">
        <w:t xml:space="preserve"> eligible tax defaults during the </w:t>
      </w:r>
      <w:r w:rsidR="007A6F4A">
        <w:t>relevant</w:t>
      </w:r>
      <w:r w:rsidRPr="00565E12">
        <w:t xml:space="preserve"> </w:t>
      </w:r>
      <w:r w:rsidR="002B2C4C" w:rsidRPr="00565E12">
        <w:t>period</w:t>
      </w:r>
      <w:r w:rsidR="005F6893" w:rsidRPr="00D606A7">
        <w:t xml:space="preserve"> only</w:t>
      </w:r>
      <w:r w:rsidR="002B2C4C" w:rsidRPr="00D606A7">
        <w:t xml:space="preserve">. </w:t>
      </w:r>
      <w:r>
        <w:t>T</w:t>
      </w:r>
      <w:r w:rsidR="002B2C4C" w:rsidRPr="00D606A7">
        <w:t xml:space="preserve">he </w:t>
      </w:r>
      <w:r>
        <w:t>statutory</w:t>
      </w:r>
      <w:r w:rsidR="002B2C4C" w:rsidRPr="00D606A7">
        <w:t xml:space="preserve"> rate will apply</w:t>
      </w:r>
      <w:r w:rsidR="005009E0" w:rsidRPr="00D606A7">
        <w:t xml:space="preserve"> to interest </w:t>
      </w:r>
      <w:r w:rsidR="00266F32">
        <w:t xml:space="preserve">accrued </w:t>
      </w:r>
      <w:r>
        <w:t xml:space="preserve">outside the </w:t>
      </w:r>
      <w:r w:rsidR="007A6F4A">
        <w:t xml:space="preserve">relevant </w:t>
      </w:r>
      <w:r>
        <w:t xml:space="preserve">period in accordance with the </w:t>
      </w:r>
      <w:r w:rsidR="005E0297">
        <w:t>g</w:t>
      </w:r>
      <w:r>
        <w:t>uidelines listed above</w:t>
      </w:r>
      <w:r w:rsidR="005E0297">
        <w:t xml:space="preserve"> from 2a to 2d</w:t>
      </w:r>
      <w:r>
        <w:t>.</w:t>
      </w:r>
    </w:p>
    <w:p w14:paraId="12E0ECC4" w14:textId="2AFD21B0" w:rsidR="009E05CB" w:rsidRPr="005009E0" w:rsidRDefault="005009E0" w:rsidP="009E05CB">
      <w:pPr>
        <w:pStyle w:val="Heading2"/>
        <w:rPr>
          <w:b w:val="0"/>
        </w:rPr>
      </w:pPr>
      <w:r w:rsidRPr="005C6F2D">
        <w:t>What is an ‘eligible tax default’?</w:t>
      </w:r>
    </w:p>
    <w:p w14:paraId="6341740F" w14:textId="52485412" w:rsidR="00E644D2" w:rsidRPr="00D606A7" w:rsidRDefault="005C0D88" w:rsidP="00D606A7">
      <w:pPr>
        <w:pStyle w:val="ListParagraph"/>
        <w:numPr>
          <w:ilvl w:val="0"/>
          <w:numId w:val="11"/>
        </w:numPr>
      </w:pPr>
      <w:r>
        <w:t>To</w:t>
      </w:r>
      <w:r w:rsidR="00D606A7">
        <w:t xml:space="preserve"> be eligible for the concessional rate, the tax default</w:t>
      </w:r>
      <w:r w:rsidR="003130F6">
        <w:t xml:space="preserve"> must</w:t>
      </w:r>
      <w:r w:rsidR="004C3BE2" w:rsidRPr="00D606A7">
        <w:t>:</w:t>
      </w:r>
    </w:p>
    <w:p w14:paraId="2B7171AA" w14:textId="44F35382" w:rsidR="004E51AE" w:rsidRDefault="003130F6" w:rsidP="00E11D0E">
      <w:pPr>
        <w:pStyle w:val="ListParagraph"/>
        <w:numPr>
          <w:ilvl w:val="1"/>
          <w:numId w:val="11"/>
        </w:numPr>
      </w:pPr>
      <w:r>
        <w:t>be s</w:t>
      </w:r>
      <w:r w:rsidR="00D606A7">
        <w:t>ubject to an instalment arrangement entered into between the taxpayer and the TRO prior to or</w:t>
      </w:r>
      <w:r>
        <w:t xml:space="preserve"> during the </w:t>
      </w:r>
      <w:r w:rsidR="007A6F4A">
        <w:t xml:space="preserve">relevant </w:t>
      </w:r>
      <w:r>
        <w:t>period</w:t>
      </w:r>
      <w:r w:rsidR="005E23CD">
        <w:t xml:space="preserve"> </w:t>
      </w:r>
      <w:r w:rsidR="005E23CD" w:rsidRPr="005E0297">
        <w:t>and</w:t>
      </w:r>
      <w:r w:rsidR="005E23CD">
        <w:t xml:space="preserve"> the taxpayer must at all times comply with the conditions of the arrangement</w:t>
      </w:r>
      <w:r w:rsidR="00BD1459">
        <w:t xml:space="preserve"> </w:t>
      </w:r>
    </w:p>
    <w:p w14:paraId="098F8A7A" w14:textId="37CE5231" w:rsidR="000C73F9" w:rsidRPr="00D606A7" w:rsidRDefault="003130F6" w:rsidP="00AF66D1">
      <w:pPr>
        <w:pStyle w:val="ListParagraph"/>
        <w:numPr>
          <w:ilvl w:val="1"/>
          <w:numId w:val="11"/>
        </w:numPr>
      </w:pPr>
      <w:proofErr w:type="gramStart"/>
      <w:r>
        <w:t>or</w:t>
      </w:r>
      <w:proofErr w:type="gramEnd"/>
      <w:r>
        <w:t>, have arisen as a result of mere late payment by the taxpayer, provided no more than two instance</w:t>
      </w:r>
      <w:r w:rsidR="00266F32">
        <w:t>s</w:t>
      </w:r>
      <w:r>
        <w:t xml:space="preserve"> of late payment</w:t>
      </w:r>
      <w:r w:rsidR="000407C8">
        <w:t>s</w:t>
      </w:r>
      <w:r>
        <w:t xml:space="preserve"> have occurred within the preceding twelve month</w:t>
      </w:r>
      <w:r w:rsidR="00266F32">
        <w:t>s</w:t>
      </w:r>
      <w:r w:rsidR="007A6F4A">
        <w:t xml:space="preserve"> at the time the tax default occurs</w:t>
      </w:r>
      <w:r>
        <w:t>.</w:t>
      </w:r>
    </w:p>
    <w:p w14:paraId="48D2AA64" w14:textId="6E239DC6" w:rsidR="00BD1459" w:rsidRDefault="00BD1459" w:rsidP="004C3BE2">
      <w:pPr>
        <w:pStyle w:val="ListParagraph"/>
        <w:numPr>
          <w:ilvl w:val="0"/>
          <w:numId w:val="11"/>
        </w:numPr>
      </w:pPr>
      <w:r>
        <w:t xml:space="preserve">The conditions applying to 5a and 5b are explained in greater detail below. </w:t>
      </w:r>
    </w:p>
    <w:p w14:paraId="0347AABC" w14:textId="1CAADB7F" w:rsidR="00BD1459" w:rsidRDefault="00BD1459" w:rsidP="00565E12">
      <w:pPr>
        <w:pStyle w:val="Heading3"/>
      </w:pPr>
      <w:r>
        <w:lastRenderedPageBreak/>
        <w:t>Instalment arrangements</w:t>
      </w:r>
    </w:p>
    <w:p w14:paraId="3564FBB9" w14:textId="4955F214" w:rsidR="000B5B18" w:rsidRDefault="000B5B18" w:rsidP="004C3BE2">
      <w:pPr>
        <w:pStyle w:val="ListParagraph"/>
        <w:numPr>
          <w:ilvl w:val="0"/>
          <w:numId w:val="11"/>
        </w:numPr>
      </w:pPr>
      <w:r>
        <w:t>Instalment arrangements are formal agreements entered into between a taxpayer and the TRO in circumstances where the taxpayer has an outstanding tax liability that cannot be satisfied in</w:t>
      </w:r>
      <w:r w:rsidR="00632FE4">
        <w:t xml:space="preserve"> full at the time it falls due. Further information on instalment arrangements</w:t>
      </w:r>
      <w:r w:rsidR="00926572">
        <w:t xml:space="preserve"> can be found </w:t>
      </w:r>
      <w:r w:rsidR="00A97B15">
        <w:t xml:space="preserve">in </w:t>
      </w:r>
      <w:r w:rsidR="00926572">
        <w:t>CG-GEN-00</w:t>
      </w:r>
      <w:r w:rsidR="00632FE4">
        <w:t xml:space="preserve">4: </w:t>
      </w:r>
      <w:r w:rsidR="00632FE4" w:rsidRPr="005E26D4">
        <w:rPr>
          <w:i/>
        </w:rPr>
        <w:t>Instalment arrangements</w:t>
      </w:r>
      <w:r w:rsidR="00632FE4">
        <w:t>.</w:t>
      </w:r>
    </w:p>
    <w:p w14:paraId="039F7574" w14:textId="23ADDC91" w:rsidR="000B5B18" w:rsidRDefault="000B5B18" w:rsidP="000B5B18">
      <w:pPr>
        <w:pStyle w:val="ListParagraph"/>
        <w:numPr>
          <w:ilvl w:val="0"/>
          <w:numId w:val="11"/>
        </w:numPr>
      </w:pPr>
      <w:r>
        <w:t xml:space="preserve">The </w:t>
      </w:r>
      <w:r w:rsidR="00DF4A49">
        <w:t xml:space="preserve">terms and </w:t>
      </w:r>
      <w:r>
        <w:t xml:space="preserve">conditions </w:t>
      </w:r>
      <w:r w:rsidR="007A6F4A">
        <w:t xml:space="preserve">applying to </w:t>
      </w:r>
      <w:r>
        <w:t xml:space="preserve">an instalment arrangement will be specific to each </w:t>
      </w:r>
      <w:r w:rsidR="00565E12">
        <w:t>taxpayer’s</w:t>
      </w:r>
      <w:r>
        <w:t xml:space="preserve"> circumstances and </w:t>
      </w:r>
      <w:r w:rsidR="00632FE4">
        <w:t>are</w:t>
      </w:r>
      <w:r>
        <w:t xml:space="preserve"> agreed between the taxpayer and TRO before approval of such an arrangement is granted. </w:t>
      </w:r>
    </w:p>
    <w:p w14:paraId="7582A391" w14:textId="63DC1B6B" w:rsidR="000B5B18" w:rsidRDefault="007A6F4A" w:rsidP="004C3BE2">
      <w:pPr>
        <w:pStyle w:val="ListParagraph"/>
        <w:numPr>
          <w:ilvl w:val="0"/>
          <w:numId w:val="11"/>
        </w:numPr>
      </w:pPr>
      <w:r>
        <w:t>Interest that accrues on a tax default under an approved</w:t>
      </w:r>
      <w:r w:rsidR="000B5B18">
        <w:t xml:space="preserve"> instalment arrangement during the </w:t>
      </w:r>
      <w:r>
        <w:t xml:space="preserve">relevant </w:t>
      </w:r>
      <w:r w:rsidR="000B5B18">
        <w:t xml:space="preserve">period </w:t>
      </w:r>
      <w:r w:rsidR="002F0A84">
        <w:t>will be remitted to</w:t>
      </w:r>
      <w:r w:rsidR="000B5B18">
        <w:t xml:space="preserve"> the concessional rate, provided the </w:t>
      </w:r>
      <w:r w:rsidR="00DF4A49">
        <w:t xml:space="preserve">terms and </w:t>
      </w:r>
      <w:r w:rsidR="000B5B18">
        <w:t xml:space="preserve">conditions </w:t>
      </w:r>
      <w:r w:rsidR="00632FE4">
        <w:t>under which the approval was granted are adhered to</w:t>
      </w:r>
      <w:r>
        <w:t xml:space="preserve">, </w:t>
      </w:r>
      <w:r w:rsidR="00DF4A49">
        <w:t>regardless of whether the arrangement was a</w:t>
      </w:r>
      <w:r>
        <w:t xml:space="preserve">pproved prior to or during the relevant </w:t>
      </w:r>
      <w:r w:rsidR="00DF4A49">
        <w:t>period.</w:t>
      </w:r>
    </w:p>
    <w:p w14:paraId="79C41C92" w14:textId="6D77E856" w:rsidR="00632FE4" w:rsidRDefault="00632FE4" w:rsidP="004C3BE2">
      <w:pPr>
        <w:pStyle w:val="ListParagraph"/>
        <w:numPr>
          <w:ilvl w:val="0"/>
          <w:numId w:val="11"/>
        </w:numPr>
      </w:pPr>
      <w:r>
        <w:t xml:space="preserve">If a taxpayer fails to comply with the </w:t>
      </w:r>
      <w:r w:rsidR="00DF4A49">
        <w:t xml:space="preserve">terms and </w:t>
      </w:r>
      <w:r>
        <w:t>conditions under which the instalment arrangement was approved, the con</w:t>
      </w:r>
      <w:r w:rsidR="00DF4A49">
        <w:t xml:space="preserve">cessional rate </w:t>
      </w:r>
      <w:r w:rsidR="002F0A84">
        <w:t xml:space="preserve">will no longer apply and interest will accrue at the </w:t>
      </w:r>
      <w:r>
        <w:t xml:space="preserve">statutory rate of interest </w:t>
      </w:r>
      <w:r w:rsidR="002F0A84">
        <w:t>from that date forward</w:t>
      </w:r>
      <w:r>
        <w:t xml:space="preserve">. </w:t>
      </w:r>
    </w:p>
    <w:p w14:paraId="682395FA" w14:textId="08718D48" w:rsidR="004C3BE2" w:rsidRDefault="00632FE4" w:rsidP="00DF4A49">
      <w:pPr>
        <w:pStyle w:val="ListParagraph"/>
        <w:numPr>
          <w:ilvl w:val="0"/>
          <w:numId w:val="11"/>
        </w:numPr>
      </w:pPr>
      <w:r>
        <w:t xml:space="preserve">Where a taxpayer notifies TRO of its inability to comply with a </w:t>
      </w:r>
      <w:r w:rsidR="00DF4A49">
        <w:t xml:space="preserve">term or </w:t>
      </w:r>
      <w:r>
        <w:t>condition of the arrangement</w:t>
      </w:r>
      <w:r w:rsidR="00DF4A49">
        <w:t xml:space="preserve"> and is proactive in rectifying the breach or re-negotiating the arrangement, </w:t>
      </w:r>
      <w:r w:rsidR="002F0A84">
        <w:t xml:space="preserve">the Commissioner </w:t>
      </w:r>
      <w:r w:rsidR="00EB3FC5">
        <w:t xml:space="preserve">of Territory Revenue </w:t>
      </w:r>
      <w:r w:rsidR="002F0A84">
        <w:t xml:space="preserve">may exercise his discretion to remit </w:t>
      </w:r>
      <w:r w:rsidR="00DF4A49">
        <w:t>interest</w:t>
      </w:r>
      <w:r w:rsidR="002F0A84">
        <w:t xml:space="preserve"> to the concessional rate for the remainder of the </w:t>
      </w:r>
      <w:r w:rsidR="007A6F4A">
        <w:t>relevant period</w:t>
      </w:r>
      <w:r w:rsidR="000A2038" w:rsidRPr="00D606A7">
        <w:t>.</w:t>
      </w:r>
    </w:p>
    <w:p w14:paraId="741485FA" w14:textId="7CB1DA26" w:rsidR="00DF4A49" w:rsidRDefault="00DF4A49" w:rsidP="00DF4A49">
      <w:pPr>
        <w:pStyle w:val="ListParagraph"/>
        <w:numPr>
          <w:ilvl w:val="0"/>
          <w:numId w:val="11"/>
        </w:numPr>
      </w:pPr>
      <w:r>
        <w:t xml:space="preserve">Interest that accrues on an instalment arrangement outside the </w:t>
      </w:r>
      <w:r w:rsidR="007A6F4A">
        <w:t>relevant</w:t>
      </w:r>
      <w:r>
        <w:t xml:space="preserve"> period will do so at the statutory rate, regardless of when the arrangement was approved</w:t>
      </w:r>
      <w:r w:rsidR="007A6F4A">
        <w:t>, unless otherwise remitted by the Commissioner</w:t>
      </w:r>
      <w:r>
        <w:t xml:space="preserve">. </w:t>
      </w:r>
    </w:p>
    <w:p w14:paraId="24E8D99B" w14:textId="08EBC23B" w:rsidR="00DF4A49" w:rsidRDefault="00DF4A49" w:rsidP="00565E12">
      <w:pPr>
        <w:pStyle w:val="Heading3"/>
      </w:pPr>
      <w:r>
        <w:t>Mere late payment</w:t>
      </w:r>
    </w:p>
    <w:p w14:paraId="4184909C" w14:textId="2D171CBD" w:rsidR="00DF4A49" w:rsidRDefault="00DF4A49" w:rsidP="00DF4A49">
      <w:pPr>
        <w:pStyle w:val="ListParagraph"/>
        <w:numPr>
          <w:ilvl w:val="0"/>
          <w:numId w:val="11"/>
        </w:numPr>
      </w:pPr>
      <w:r>
        <w:t xml:space="preserve"> A tax default will be considered mere late payment (for the purpose of 5b above) if</w:t>
      </w:r>
      <w:r w:rsidR="00D86A68">
        <w:t xml:space="preserve"> it satisfies the following criteria</w:t>
      </w:r>
      <w:r>
        <w:t>:</w:t>
      </w:r>
    </w:p>
    <w:p w14:paraId="7AEB21D5" w14:textId="2E433FAA" w:rsidR="00DF4A49" w:rsidRDefault="00D86A68" w:rsidP="00565E12">
      <w:pPr>
        <w:pStyle w:val="ListParagraph"/>
        <w:numPr>
          <w:ilvl w:val="1"/>
          <w:numId w:val="11"/>
        </w:numPr>
      </w:pPr>
      <w:r>
        <w:t>t</w:t>
      </w:r>
      <w:r w:rsidR="006A3BAB">
        <w:t xml:space="preserve">he tax default is detected through disclosure </w:t>
      </w:r>
      <w:r w:rsidR="00857935">
        <w:t xml:space="preserve">to TRO </w:t>
      </w:r>
      <w:r w:rsidR="006A3BAB">
        <w:t>by the taxpayer or their representative</w:t>
      </w:r>
      <w:r w:rsidR="00857935">
        <w:t xml:space="preserve"> prior to commencement of an authorised investigation</w:t>
      </w:r>
    </w:p>
    <w:p w14:paraId="43951F32" w14:textId="2AAE33B4" w:rsidR="006A3BAB" w:rsidRDefault="00857935" w:rsidP="00565E12">
      <w:pPr>
        <w:pStyle w:val="ListParagraph"/>
        <w:numPr>
          <w:ilvl w:val="1"/>
          <w:numId w:val="11"/>
        </w:numPr>
      </w:pPr>
      <w:proofErr w:type="gramStart"/>
      <w:r>
        <w:t>the</w:t>
      </w:r>
      <w:proofErr w:type="gramEnd"/>
      <w:r>
        <w:t xml:space="preserve"> taxpayer has no more than two late payments in the preceding twelve months</w:t>
      </w:r>
      <w:r w:rsidR="00D86A68">
        <w:t xml:space="preserve"> </w:t>
      </w:r>
      <w:r w:rsidR="007A6F4A">
        <w:t>at the time the tax default occurs</w:t>
      </w:r>
      <w:r w:rsidR="00437279">
        <w:t>.</w:t>
      </w:r>
    </w:p>
    <w:p w14:paraId="47D6CB0A" w14:textId="54117364" w:rsidR="00DF4A49" w:rsidRDefault="00400D1C" w:rsidP="00DF4A49">
      <w:pPr>
        <w:pStyle w:val="ListParagraph"/>
        <w:numPr>
          <w:ilvl w:val="0"/>
          <w:numId w:val="11"/>
        </w:numPr>
      </w:pPr>
      <w:r>
        <w:t xml:space="preserve">In these cases, any interest accrued on the tax default during the </w:t>
      </w:r>
      <w:r w:rsidR="007A6F4A">
        <w:t>relevant</w:t>
      </w:r>
      <w:r>
        <w:t xml:space="preserve"> period will do so at the concessional rate. </w:t>
      </w:r>
    </w:p>
    <w:p w14:paraId="6F2BDC7D" w14:textId="152C3BE2" w:rsidR="00063B36" w:rsidRDefault="002B2C4C" w:rsidP="00435D86">
      <w:pPr>
        <w:pStyle w:val="Heading2"/>
      </w:pPr>
      <w:r w:rsidRPr="003C2660">
        <w:t>Exclusions</w:t>
      </w:r>
      <w:r w:rsidR="003C2660">
        <w:t xml:space="preserve"> from eligibility</w:t>
      </w:r>
    </w:p>
    <w:p w14:paraId="215D91FE" w14:textId="7767C8F6" w:rsidR="008E029F" w:rsidRDefault="005E23CD" w:rsidP="00AB78EC">
      <w:pPr>
        <w:pStyle w:val="ListParagraph"/>
        <w:numPr>
          <w:ilvl w:val="0"/>
          <w:numId w:val="11"/>
        </w:numPr>
      </w:pPr>
      <w:r>
        <w:t>A</w:t>
      </w:r>
      <w:r w:rsidR="002B2C4C" w:rsidRPr="00D606A7">
        <w:t xml:space="preserve"> </w:t>
      </w:r>
      <w:r w:rsidR="002B2C4C" w:rsidRPr="00565E12">
        <w:t>tax default</w:t>
      </w:r>
      <w:r w:rsidR="002B2C4C" w:rsidRPr="00D606A7">
        <w:t xml:space="preserve"> identified through </w:t>
      </w:r>
      <w:r w:rsidR="00400D1C">
        <w:t xml:space="preserve">an authorised </w:t>
      </w:r>
      <w:r w:rsidR="002B2C4C" w:rsidRPr="00D606A7">
        <w:t>investigation</w:t>
      </w:r>
      <w:r w:rsidR="00400D1C">
        <w:t xml:space="preserve"> or data matching activities</w:t>
      </w:r>
      <w:r w:rsidR="002B2C4C" w:rsidRPr="00D606A7">
        <w:t xml:space="preserve"> conducted by the </w:t>
      </w:r>
      <w:r w:rsidR="0014458D" w:rsidRPr="00D606A7">
        <w:t>TRO</w:t>
      </w:r>
      <w:r w:rsidR="00EF16DD">
        <w:t xml:space="preserve"> </w:t>
      </w:r>
      <w:r w:rsidR="00400D1C">
        <w:t xml:space="preserve">(compliance activity) </w:t>
      </w:r>
      <w:r w:rsidR="00EF16DD">
        <w:t xml:space="preserve">will not be eligible for the concessional rate for the period </w:t>
      </w:r>
      <w:r w:rsidR="008E029F">
        <w:t xml:space="preserve">under investigation. </w:t>
      </w:r>
    </w:p>
    <w:p w14:paraId="3CA227BC" w14:textId="5E70BBFE" w:rsidR="002B2C4C" w:rsidRPr="00D606A7" w:rsidRDefault="008E029F" w:rsidP="00AB78EC">
      <w:pPr>
        <w:pStyle w:val="ListParagraph"/>
        <w:numPr>
          <w:ilvl w:val="0"/>
          <w:numId w:val="11"/>
        </w:numPr>
      </w:pPr>
      <w:r>
        <w:t xml:space="preserve">However, if a taxpayer subsequently enters into an instalment arrangement in relation to a </w:t>
      </w:r>
      <w:r w:rsidR="00400D1C">
        <w:t xml:space="preserve">tax liability detected </w:t>
      </w:r>
      <w:r>
        <w:t xml:space="preserve">as a result of compliance </w:t>
      </w:r>
      <w:r w:rsidR="00400D1C">
        <w:t>activity</w:t>
      </w:r>
      <w:r>
        <w:t xml:space="preserve">, and adheres to the </w:t>
      </w:r>
      <w:r w:rsidR="00400D1C">
        <w:t xml:space="preserve">terms and </w:t>
      </w:r>
      <w:r>
        <w:t xml:space="preserve">conditions of that </w:t>
      </w:r>
      <w:r w:rsidR="00BD1459">
        <w:t xml:space="preserve">arrangement, interest accrued </w:t>
      </w:r>
      <w:r w:rsidR="007A6F4A">
        <w:t xml:space="preserve">on the tax default </w:t>
      </w:r>
      <w:r w:rsidR="00BD1459">
        <w:t xml:space="preserve">under the instalment arrangement during the </w:t>
      </w:r>
      <w:r w:rsidR="007A6F4A">
        <w:t>relevant</w:t>
      </w:r>
      <w:r w:rsidR="00BD1459">
        <w:t xml:space="preserve"> period will</w:t>
      </w:r>
      <w:r w:rsidR="007A6F4A">
        <w:t xml:space="preserve"> do so at the concessional rate</w:t>
      </w:r>
      <w:r w:rsidR="002B2C4C" w:rsidRPr="00D606A7">
        <w:t>.</w:t>
      </w:r>
    </w:p>
    <w:p w14:paraId="56A9ABB2" w14:textId="77777777" w:rsidR="00012596" w:rsidRDefault="00012596" w:rsidP="00012596">
      <w:pPr>
        <w:pStyle w:val="Heading3"/>
      </w:pPr>
      <w:r>
        <w:t>Commissioner’s Guidelines</w:t>
      </w:r>
    </w:p>
    <w:p w14:paraId="462C9D90" w14:textId="0E5AF425" w:rsidR="00012596" w:rsidRDefault="00012596" w:rsidP="00012596">
      <w:pPr>
        <w:pStyle w:val="BlockText"/>
        <w:keepLines/>
        <w:numPr>
          <w:ilvl w:val="0"/>
          <w:numId w:val="11"/>
        </w:numPr>
        <w:spacing w:after="120"/>
        <w:jc w:val="both"/>
      </w:pPr>
      <w:r>
        <w:t xml:space="preserve">Commissioner’s Guideline </w:t>
      </w:r>
      <w:r w:rsidR="005E26D4" w:rsidRPr="005E26D4">
        <w:rPr>
          <w:rStyle w:val="Hyperlink"/>
          <w:color w:val="auto"/>
          <w:u w:val="none"/>
        </w:rPr>
        <w:t>CG-GEN-001</w:t>
      </w:r>
      <w:r>
        <w:t>, which sets out information on the revenue publication system, is incorporated into and is to be read as one with this Guideline. All Circulars and Guidelines are available from the TRO website.</w:t>
      </w:r>
    </w:p>
    <w:p w14:paraId="70C07699" w14:textId="2C3F2AFE" w:rsidR="00FF471B" w:rsidRDefault="00FF471B">
      <w:pPr>
        <w:rPr>
          <w:rFonts w:cs="Arial"/>
          <w:b/>
          <w:bCs/>
          <w:sz w:val="24"/>
          <w:szCs w:val="26"/>
        </w:rPr>
      </w:pPr>
    </w:p>
    <w:p w14:paraId="38A5653F" w14:textId="4BD62118" w:rsidR="00012596" w:rsidRDefault="00012596" w:rsidP="00012596">
      <w:pPr>
        <w:pStyle w:val="Heading3"/>
      </w:pPr>
      <w:r>
        <w:t>Date of effect</w:t>
      </w:r>
    </w:p>
    <w:p w14:paraId="5FA13686" w14:textId="7CFC44CE" w:rsidR="00012596" w:rsidRDefault="00012596" w:rsidP="00012596">
      <w:pPr>
        <w:pStyle w:val="BlockText"/>
        <w:keepLines/>
        <w:numPr>
          <w:ilvl w:val="0"/>
          <w:numId w:val="11"/>
        </w:numPr>
        <w:spacing w:after="120"/>
        <w:jc w:val="both"/>
      </w:pPr>
      <w:r>
        <w:t>This version of t</w:t>
      </w:r>
      <w:r w:rsidR="001D4C60">
        <w:t xml:space="preserve">he Guideline takes effect from </w:t>
      </w:r>
      <w:r w:rsidR="001D4C60" w:rsidRPr="00CD6788">
        <w:t>1 January 2020</w:t>
      </w:r>
      <w:r w:rsidRPr="00CD6788">
        <w:t>.</w:t>
      </w:r>
    </w:p>
    <w:p w14:paraId="0F3FF611" w14:textId="66E718B7" w:rsidR="00012596" w:rsidRDefault="00012596" w:rsidP="00012596"/>
    <w:p w14:paraId="2663A27B" w14:textId="3089B12D" w:rsidR="00012596" w:rsidRDefault="001D4C60" w:rsidP="00012596">
      <w:pPr>
        <w:rPr>
          <w:noProof/>
          <w:lang w:eastAsia="en-AU"/>
        </w:rPr>
      </w:pPr>
      <w:r>
        <w:rPr>
          <w:noProof/>
          <w:lang w:eastAsia="en-AU"/>
        </w:rPr>
        <w:drawing>
          <wp:anchor distT="0" distB="0" distL="114300" distR="114300" simplePos="0" relativeHeight="251659264" behindDoc="0" locked="0" layoutInCell="1" allowOverlap="1" wp14:anchorId="3656CD82" wp14:editId="65F04C33">
            <wp:simplePos x="0" y="0"/>
            <wp:positionH relativeFrom="margin">
              <wp:align>left</wp:align>
            </wp:positionH>
            <wp:positionV relativeFrom="paragraph">
              <wp:posOffset>10810</wp:posOffset>
            </wp:positionV>
            <wp:extent cx="1628775" cy="535208"/>
            <wp:effectExtent l="0" t="0" r="0" b="0"/>
            <wp:wrapNone/>
            <wp:docPr id="1" name="Picture 1" descr="Commissioner's signature - Mick Bu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k-Butler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775" cy="535208"/>
                    </a:xfrm>
                    <a:prstGeom prst="rect">
                      <a:avLst/>
                    </a:prstGeom>
                  </pic:spPr>
                </pic:pic>
              </a:graphicData>
            </a:graphic>
            <wp14:sizeRelH relativeFrom="page">
              <wp14:pctWidth>0</wp14:pctWidth>
            </wp14:sizeRelH>
            <wp14:sizeRelV relativeFrom="page">
              <wp14:pctHeight>0</wp14:pctHeight>
            </wp14:sizeRelV>
          </wp:anchor>
        </w:drawing>
      </w:r>
    </w:p>
    <w:p w14:paraId="7BC745AE" w14:textId="4BCC82FD" w:rsidR="001D4C60" w:rsidRDefault="001D4C60" w:rsidP="00012596"/>
    <w:p w14:paraId="575D21FF" w14:textId="2D016DCA" w:rsidR="00012596" w:rsidRDefault="000A2038" w:rsidP="00012596">
      <w:r>
        <w:t>Mick Butler</w:t>
      </w:r>
    </w:p>
    <w:p w14:paraId="0C7EB0DB" w14:textId="19429271" w:rsidR="00012596" w:rsidRPr="00012596" w:rsidRDefault="00012596" w:rsidP="00012596">
      <w:pPr>
        <w:rPr>
          <w:b/>
        </w:rPr>
      </w:pPr>
      <w:r w:rsidRPr="005247E5">
        <w:rPr>
          <w:b/>
        </w:rPr>
        <w:t>COMMISSIONER OF TERRITORY REVENUE</w:t>
      </w:r>
    </w:p>
    <w:p w14:paraId="735366CC" w14:textId="6A72C491" w:rsidR="00012596" w:rsidRDefault="00012596" w:rsidP="00012596">
      <w:r>
        <w:t xml:space="preserve">Date of Issue: </w:t>
      </w:r>
      <w:r w:rsidR="00E92FF8" w:rsidRPr="00807C55">
        <w:t>16</w:t>
      </w:r>
      <w:r w:rsidR="001D4C60" w:rsidRPr="00807C55">
        <w:t xml:space="preserve"> </w:t>
      </w:r>
      <w:r w:rsidR="000A2038" w:rsidRPr="00807C55">
        <w:t>December</w:t>
      </w:r>
      <w:r w:rsidRPr="00807C55">
        <w:t xml:space="preserve"> 2</w:t>
      </w:r>
      <w:r w:rsidR="000A2038" w:rsidRPr="00807C55">
        <w:t>019</w:t>
      </w: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816"/>
        <w:gridCol w:w="4822"/>
      </w:tblGrid>
      <w:tr w:rsidR="00012596" w:rsidRPr="001F4BE5" w14:paraId="1A30FED9" w14:textId="77777777" w:rsidTr="00C30B05">
        <w:tc>
          <w:tcPr>
            <w:tcW w:w="9854" w:type="dxa"/>
            <w:gridSpan w:val="2"/>
            <w:shd w:val="clear" w:color="auto" w:fill="auto"/>
          </w:tcPr>
          <w:p w14:paraId="4B3A6491" w14:textId="77777777" w:rsidR="00012596" w:rsidRPr="001F4BE5" w:rsidRDefault="00012596" w:rsidP="00C30B05">
            <w:pPr>
              <w:rPr>
                <w:sz w:val="20"/>
              </w:rPr>
            </w:pPr>
            <w:r w:rsidRPr="001F4BE5">
              <w:rPr>
                <w:sz w:val="20"/>
              </w:rPr>
              <w:t>For further information please contact the Territory Revenue Office:</w:t>
            </w:r>
          </w:p>
        </w:tc>
      </w:tr>
      <w:tr w:rsidR="00012596" w:rsidRPr="001F4BE5" w14:paraId="16CD7EF3" w14:textId="77777777" w:rsidTr="00C30B05">
        <w:tc>
          <w:tcPr>
            <w:tcW w:w="4927" w:type="dxa"/>
            <w:shd w:val="clear" w:color="auto" w:fill="auto"/>
          </w:tcPr>
          <w:p w14:paraId="64AD7B15" w14:textId="518C91C6" w:rsidR="00012596" w:rsidRPr="001F4BE5" w:rsidRDefault="00012596" w:rsidP="00C30B05">
            <w:pPr>
              <w:rPr>
                <w:sz w:val="20"/>
              </w:rPr>
            </w:pPr>
            <w:r w:rsidRPr="001F4BE5">
              <w:rPr>
                <w:sz w:val="20"/>
              </w:rPr>
              <w:t>GPO Box 1</w:t>
            </w:r>
            <w:r w:rsidR="00127D48">
              <w:rPr>
                <w:sz w:val="20"/>
              </w:rPr>
              <w:t>97</w:t>
            </w:r>
            <w:bookmarkStart w:id="0" w:name="_GoBack"/>
            <w:bookmarkEnd w:id="0"/>
            <w:r w:rsidRPr="001F4BE5">
              <w:rPr>
                <w:sz w:val="20"/>
              </w:rPr>
              <w:t>4</w:t>
            </w:r>
          </w:p>
          <w:p w14:paraId="6E57D3EE" w14:textId="77777777" w:rsidR="00012596" w:rsidRPr="001F4BE5" w:rsidRDefault="00012596" w:rsidP="00C30B05">
            <w:pPr>
              <w:rPr>
                <w:sz w:val="20"/>
              </w:rPr>
            </w:pPr>
            <w:smartTag w:uri="urn:schemas-microsoft-com:office:smarttags" w:element="place">
              <w:smartTag w:uri="urn:schemas-microsoft-com:office:smarttags" w:element="City">
                <w:r w:rsidRPr="001F4BE5">
                  <w:rPr>
                    <w:sz w:val="20"/>
                  </w:rPr>
                  <w:t>Darwin</w:t>
                </w:r>
              </w:smartTag>
              <w:r w:rsidRPr="001F4BE5">
                <w:rPr>
                  <w:sz w:val="20"/>
                </w:rPr>
                <w:t xml:space="preserve">  </w:t>
              </w:r>
              <w:smartTag w:uri="urn:schemas-microsoft-com:office:smarttags" w:element="State">
                <w:r w:rsidRPr="001F4BE5">
                  <w:rPr>
                    <w:sz w:val="20"/>
                  </w:rPr>
                  <w:t>NT</w:t>
                </w:r>
              </w:smartTag>
            </w:smartTag>
            <w:r w:rsidRPr="001F4BE5">
              <w:rPr>
                <w:sz w:val="20"/>
              </w:rPr>
              <w:t xml:space="preserve">  0801</w:t>
            </w:r>
          </w:p>
          <w:p w14:paraId="3A6A429A" w14:textId="77777777" w:rsidR="00012596" w:rsidRPr="001F4BE5" w:rsidRDefault="00012596" w:rsidP="00C30B05">
            <w:pPr>
              <w:pStyle w:val="BlockText"/>
              <w:rPr>
                <w:sz w:val="20"/>
              </w:rPr>
            </w:pPr>
            <w:r w:rsidRPr="001F4BE5">
              <w:rPr>
                <w:sz w:val="20"/>
              </w:rPr>
              <w:t xml:space="preserve">Email: </w:t>
            </w:r>
            <w:hyperlink r:id="rId9" w:history="1">
              <w:r w:rsidRPr="004C2AD0">
                <w:rPr>
                  <w:rStyle w:val="Hyperlink"/>
                  <w:sz w:val="20"/>
                </w:rPr>
                <w:t>ntrevenue</w:t>
              </w:r>
              <w:r w:rsidRPr="00393FB4">
                <w:rPr>
                  <w:rStyle w:val="Hyperlink"/>
                  <w:sz w:val="20"/>
                </w:rPr>
                <w:t>@nt.gov.au</w:t>
              </w:r>
            </w:hyperlink>
          </w:p>
        </w:tc>
        <w:tc>
          <w:tcPr>
            <w:tcW w:w="4927" w:type="dxa"/>
            <w:shd w:val="clear" w:color="auto" w:fill="auto"/>
          </w:tcPr>
          <w:p w14:paraId="1989F294" w14:textId="77777777" w:rsidR="00012596" w:rsidRPr="001F4BE5" w:rsidRDefault="00012596" w:rsidP="00C30B05">
            <w:pPr>
              <w:rPr>
                <w:sz w:val="20"/>
              </w:rPr>
            </w:pPr>
            <w:r w:rsidRPr="001F4BE5">
              <w:rPr>
                <w:sz w:val="20"/>
              </w:rPr>
              <w:t>Phone: 1300 305 353</w:t>
            </w:r>
          </w:p>
          <w:p w14:paraId="5C2BC911" w14:textId="77777777" w:rsidR="00012596" w:rsidRPr="001F4BE5" w:rsidRDefault="00012596" w:rsidP="00C30B05">
            <w:pPr>
              <w:rPr>
                <w:sz w:val="20"/>
              </w:rPr>
            </w:pPr>
            <w:r w:rsidRPr="001F4BE5">
              <w:rPr>
                <w:sz w:val="20"/>
              </w:rPr>
              <w:t xml:space="preserve">Website: </w:t>
            </w:r>
            <w:hyperlink r:id="rId10" w:tooltip="link to TRO Website" w:history="1">
              <w:r w:rsidRPr="001F4BE5">
                <w:rPr>
                  <w:rStyle w:val="Hyperlink"/>
                  <w:sz w:val="20"/>
                </w:rPr>
                <w:t>www.revenue.nt.gov.au</w:t>
              </w:r>
            </w:hyperlink>
          </w:p>
        </w:tc>
      </w:tr>
    </w:tbl>
    <w:p w14:paraId="163A864D" w14:textId="77777777" w:rsidR="00012596" w:rsidRPr="004207CF" w:rsidRDefault="00012596" w:rsidP="00012596">
      <w:pPr>
        <w:pStyle w:val="BlockText"/>
        <w:keepLines/>
        <w:spacing w:after="120"/>
        <w:jc w:val="both"/>
      </w:pPr>
    </w:p>
    <w:sectPr w:rsidR="00012596" w:rsidRPr="004207CF" w:rsidSect="00705C9D">
      <w:headerReference w:type="default" r:id="rId11"/>
      <w:footerReference w:type="default" r:id="rId12"/>
      <w:headerReference w:type="first" r:id="rId13"/>
      <w:footerReference w:type="first" r:id="rId14"/>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5BD76" w14:textId="77777777" w:rsidR="00C27E0B" w:rsidRDefault="00C27E0B" w:rsidP="007332FF">
      <w:r>
        <w:separator/>
      </w:r>
    </w:p>
    <w:p w14:paraId="40325513" w14:textId="77777777" w:rsidR="00C27E0B" w:rsidRDefault="00C27E0B"/>
  </w:endnote>
  <w:endnote w:type="continuationSeparator" w:id="0">
    <w:p w14:paraId="3CD15140" w14:textId="77777777" w:rsidR="00C27E0B" w:rsidRDefault="00C27E0B" w:rsidP="007332FF">
      <w:r>
        <w:continuationSeparator/>
      </w:r>
    </w:p>
    <w:p w14:paraId="4526E5BB" w14:textId="77777777" w:rsidR="00C27E0B" w:rsidRDefault="00C27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7C131C" w:rsidRPr="00132658" w14:paraId="4A9A084C" w14:textId="77777777" w:rsidTr="002A6F6A">
      <w:trPr>
        <w:cantSplit/>
        <w:trHeight w:hRule="exact" w:val="1400"/>
        <w:tblHeader/>
      </w:trPr>
      <w:tc>
        <w:tcPr>
          <w:tcW w:w="8505" w:type="dxa"/>
          <w:vAlign w:val="center"/>
        </w:tcPr>
        <w:p w14:paraId="32702F8B" w14:textId="77777777" w:rsidR="007C131C" w:rsidRPr="00705C9D" w:rsidRDefault="007C131C" w:rsidP="00B11C67">
          <w:pPr>
            <w:pStyle w:val="NTGFooter1items"/>
            <w:rPr>
              <w:rStyle w:val="NTGFooterDepartmentNameChar"/>
            </w:rPr>
          </w:pPr>
          <w:r>
            <w:rPr>
              <w:rStyle w:val="NTGFooterDepartmentofChar"/>
            </w:rPr>
            <w:t xml:space="preserve">DEPARTMENT OF </w:t>
          </w:r>
          <w:r>
            <w:rPr>
              <w:rStyle w:val="NTGFooterDepartmentNameChar"/>
            </w:rPr>
            <w:t>treasury and finance</w:t>
          </w:r>
        </w:p>
        <w:p w14:paraId="14DCB87F" w14:textId="551E7B15" w:rsidR="007C131C" w:rsidRPr="007B5DA2" w:rsidRDefault="00807C55" w:rsidP="00807C55">
          <w:pPr>
            <w:pStyle w:val="NTGFooter1items"/>
          </w:pPr>
          <w:r w:rsidRPr="00807C55">
            <w:rPr>
              <w:rStyle w:val="NTGFooter1itemsChar"/>
            </w:rPr>
            <w:t>16</w:t>
          </w:r>
          <w:r w:rsidR="007C131C" w:rsidRPr="00807C55">
            <w:rPr>
              <w:rStyle w:val="NTGFooter1itemsChar"/>
            </w:rPr>
            <w:t xml:space="preserve"> </w:t>
          </w:r>
          <w:r w:rsidRPr="00807C55">
            <w:rPr>
              <w:rStyle w:val="NTGFooter1itemsChar"/>
            </w:rPr>
            <w:t>December</w:t>
          </w:r>
          <w:r w:rsidR="007C131C" w:rsidRPr="00807C55">
            <w:rPr>
              <w:rStyle w:val="NTGFooter1itemsChar"/>
            </w:rPr>
            <w:t> 2019</w:t>
          </w:r>
        </w:p>
      </w:tc>
      <w:tc>
        <w:tcPr>
          <w:tcW w:w="2268" w:type="dxa"/>
          <w:vAlign w:val="center"/>
        </w:tcPr>
        <w:p w14:paraId="729EA12C" w14:textId="544E3EBC" w:rsidR="007C131C" w:rsidRPr="00DC1F0F" w:rsidRDefault="007C131C" w:rsidP="0076380C">
          <w:pPr>
            <w:pStyle w:val="NTGFooter2deptpagenum"/>
          </w:pPr>
          <w:r w:rsidRPr="0076380C">
            <w:t xml:space="preserve">Page </w:t>
          </w:r>
          <w:r w:rsidRPr="0076380C">
            <w:fldChar w:fldCharType="begin"/>
          </w:r>
          <w:r w:rsidRPr="0076380C">
            <w:instrText xml:space="preserve"> PAGE  \* Arabic  \* MERGEFORMAT </w:instrText>
          </w:r>
          <w:r w:rsidRPr="0076380C">
            <w:fldChar w:fldCharType="separate"/>
          </w:r>
          <w:r w:rsidR="00127D48">
            <w:rPr>
              <w:noProof/>
            </w:rPr>
            <w:t>3</w:t>
          </w:r>
          <w:r w:rsidRPr="0076380C">
            <w:fldChar w:fldCharType="end"/>
          </w:r>
          <w:r w:rsidRPr="0076380C">
            <w:t xml:space="preserve"> of</w:t>
          </w:r>
          <w:r w:rsidRPr="00DC1F0F">
            <w:t xml:space="preserve"> </w:t>
          </w:r>
          <w:r>
            <w:rPr>
              <w:noProof/>
            </w:rPr>
            <w:fldChar w:fldCharType="begin"/>
          </w:r>
          <w:r>
            <w:rPr>
              <w:noProof/>
            </w:rPr>
            <w:instrText xml:space="preserve"> NUMPAGES  \* Arabic  \* MERGEFORMAT </w:instrText>
          </w:r>
          <w:r>
            <w:rPr>
              <w:noProof/>
            </w:rPr>
            <w:fldChar w:fldCharType="separate"/>
          </w:r>
          <w:r w:rsidR="00127D48">
            <w:rPr>
              <w:noProof/>
            </w:rPr>
            <w:t>3</w:t>
          </w:r>
          <w:r>
            <w:rPr>
              <w:noProof/>
            </w:rPr>
            <w:fldChar w:fldCharType="end"/>
          </w:r>
        </w:p>
      </w:tc>
    </w:tr>
  </w:tbl>
  <w:p w14:paraId="123D3A6E" w14:textId="77777777" w:rsidR="007C131C" w:rsidRPr="00B11C67" w:rsidRDefault="007C131C" w:rsidP="00B11C67">
    <w:pPr>
      <w:pStyle w:val="Footer"/>
      <w:rPr>
        <w:rStyle w:val="NTGFooter2deptpagenumChar"/>
        <w:sz w:val="4"/>
        <w:szCs w:val="4"/>
      </w:rPr>
    </w:pPr>
  </w:p>
  <w:p w14:paraId="51F75A3D" w14:textId="77777777" w:rsidR="007C131C" w:rsidRDefault="007C13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7C131C" w:rsidRPr="00132658" w14:paraId="15B19104" w14:textId="77777777" w:rsidTr="007D4893">
      <w:trPr>
        <w:cantSplit/>
        <w:trHeight w:hRule="exact" w:val="1400"/>
        <w:tblHeader/>
      </w:trPr>
      <w:tc>
        <w:tcPr>
          <w:tcW w:w="8505" w:type="dxa"/>
          <w:vAlign w:val="center"/>
        </w:tcPr>
        <w:p w14:paraId="7E7B4245" w14:textId="77777777" w:rsidR="007C131C" w:rsidRPr="00705C9D" w:rsidRDefault="007C131C" w:rsidP="007B5DA2">
          <w:pPr>
            <w:pStyle w:val="NTGFooter1items"/>
            <w:rPr>
              <w:rStyle w:val="NTGFooterDepartmentNameChar"/>
            </w:rPr>
          </w:pPr>
          <w:r>
            <w:rPr>
              <w:rStyle w:val="NTGFooterDepartmentofChar"/>
            </w:rPr>
            <w:t xml:space="preserve">DEPARTMENT OF </w:t>
          </w:r>
          <w:r>
            <w:rPr>
              <w:rStyle w:val="NTGFooterDepartmentNameChar"/>
            </w:rPr>
            <w:t>Treasury and finance</w:t>
          </w:r>
        </w:p>
        <w:p w14:paraId="59AA4BB9" w14:textId="5C0AC59C" w:rsidR="007C131C" w:rsidRPr="007B5DA2" w:rsidRDefault="007C131C" w:rsidP="00807C55">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127D48">
            <w:rPr>
              <w:noProof/>
            </w:rPr>
            <w:t>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127D48">
            <w:rPr>
              <w:noProof/>
            </w:rPr>
            <w:t>3</w:t>
          </w:r>
          <w:r>
            <w:rPr>
              <w:noProof/>
            </w:rPr>
            <w:fldChar w:fldCharType="end"/>
          </w:r>
          <w:r w:rsidRPr="007B5DA2">
            <w:tab/>
          </w:r>
          <w:r w:rsidR="00807C55" w:rsidRPr="00807C55">
            <w:t>16</w:t>
          </w:r>
          <w:r w:rsidR="00FF471B" w:rsidRPr="00807C55">
            <w:t xml:space="preserve"> </w:t>
          </w:r>
          <w:r w:rsidR="00807C55" w:rsidRPr="00807C55">
            <w:t>December</w:t>
          </w:r>
          <w:r w:rsidRPr="00807C55">
            <w:t xml:space="preserve"> 2019</w:t>
          </w:r>
        </w:p>
      </w:tc>
      <w:tc>
        <w:tcPr>
          <w:tcW w:w="2268" w:type="dxa"/>
          <w:vAlign w:val="center"/>
        </w:tcPr>
        <w:p w14:paraId="7527DF61" w14:textId="77777777" w:rsidR="007C131C" w:rsidRPr="001E14EB" w:rsidRDefault="007C131C" w:rsidP="00B606A1">
          <w:pPr>
            <w:spacing w:after="0"/>
            <w:jc w:val="right"/>
          </w:pPr>
          <w:r>
            <w:rPr>
              <w:noProof/>
              <w:lang w:eastAsia="en-AU"/>
            </w:rPr>
            <w:drawing>
              <wp:inline distT="0" distB="0" distL="0" distR="0" wp14:anchorId="38BCBF76" wp14:editId="3C09E6E9">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14:paraId="5814F4D5" w14:textId="77777777" w:rsidR="007C131C" w:rsidRDefault="007C13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1E7D1" w14:textId="77777777" w:rsidR="00C27E0B" w:rsidRDefault="00C27E0B" w:rsidP="008E5B45">
      <w:pPr>
        <w:spacing w:after="0"/>
      </w:pPr>
      <w:r>
        <w:separator/>
      </w:r>
    </w:p>
  </w:footnote>
  <w:footnote w:type="continuationSeparator" w:id="0">
    <w:p w14:paraId="609713F9" w14:textId="77777777" w:rsidR="00C27E0B" w:rsidRDefault="00C27E0B" w:rsidP="007332FF">
      <w:r>
        <w:continuationSeparator/>
      </w:r>
    </w:p>
    <w:p w14:paraId="1EE62A06" w14:textId="77777777" w:rsidR="00C27E0B" w:rsidRDefault="00C27E0B"/>
  </w:footnote>
  <w:footnote w:id="1">
    <w:p w14:paraId="45D02E51" w14:textId="2B5C4FE1" w:rsidR="00E644D2" w:rsidRDefault="00E644D2">
      <w:pPr>
        <w:pStyle w:val="FootnoteText"/>
      </w:pPr>
      <w:r>
        <w:rPr>
          <w:rStyle w:val="FootnoteReference"/>
        </w:rPr>
        <w:footnoteRef/>
      </w:r>
      <w:r>
        <w:t xml:space="preserve"> </w:t>
      </w:r>
      <w:r w:rsidRPr="005C6F2D">
        <w:t>Section 38(1) of the TAA.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7CB97A83" w14:textId="63779379" w:rsidR="007C131C" w:rsidRDefault="00D606A7" w:rsidP="002926BC">
        <w:pPr>
          <w:pStyle w:val="Header"/>
          <w:tabs>
            <w:tab w:val="clear" w:pos="9026"/>
          </w:tabs>
          <w:ind w:right="-568"/>
        </w:pPr>
        <w:r>
          <w:t>Commissioner’s Guideline: Concessional interest rate</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14:paraId="53E1879F" w14:textId="5279B424" w:rsidR="007C131C" w:rsidRDefault="007C131C" w:rsidP="00063B36">
        <w:pPr>
          <w:pStyle w:val="Title"/>
        </w:pPr>
        <w:r>
          <w:t xml:space="preserve">Commissioner’s Guideline: </w:t>
        </w:r>
        <w:r w:rsidR="00D606A7">
          <w:t>Concessional interest rate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E1"/>
    <w:multiLevelType w:val="multilevel"/>
    <w:tmpl w:val="B43C14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7BC6DBF"/>
    <w:multiLevelType w:val="hybridMultilevel"/>
    <w:tmpl w:val="1D2209EE"/>
    <w:lvl w:ilvl="0" w:tplc="6AD8497C">
      <w:start w:val="1"/>
      <w:numFmt w:val="decimal"/>
      <w:pStyle w:val="ListNumber"/>
      <w:lvlText w:val="%1."/>
      <w:lvlJc w:val="left"/>
      <w:pPr>
        <w:ind w:left="720" w:hanging="360"/>
      </w:pPr>
    </w:lvl>
    <w:lvl w:ilvl="1" w:tplc="B5C60C6C">
      <w:start w:val="1"/>
      <w:numFmt w:val="lowerLetter"/>
      <w:pStyle w:val="ListNumber2"/>
      <w:lvlText w:val="%2."/>
      <w:lvlJc w:val="left"/>
      <w:pPr>
        <w:ind w:left="1440" w:hanging="360"/>
      </w:pPr>
    </w:lvl>
    <w:lvl w:ilvl="2" w:tplc="3C48EE78">
      <w:start w:val="1"/>
      <w:numFmt w:val="lowerRoman"/>
      <w:pStyle w:val="ListNumber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CCE7EA8"/>
    <w:multiLevelType w:val="hybridMultilevel"/>
    <w:tmpl w:val="9F6A244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0FEB5F75"/>
    <w:multiLevelType w:val="multilevel"/>
    <w:tmpl w:val="BEDA2F1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0EC6218"/>
    <w:multiLevelType w:val="hybridMultilevel"/>
    <w:tmpl w:val="EAB4BDB6"/>
    <w:lvl w:ilvl="0" w:tplc="E4C263D2">
      <w:start w:val="1"/>
      <w:numFmt w:val="lowerLetter"/>
      <w:lvlText w:val="%1)"/>
      <w:lvlJc w:val="left"/>
      <w:pPr>
        <w:ind w:left="1004" w:hanging="360"/>
      </w:pPr>
      <w:rPr>
        <w:rFonts w:eastAsiaTheme="minorEastAsia"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8D60D96"/>
    <w:multiLevelType w:val="multilevel"/>
    <w:tmpl w:val="B6D48A3E"/>
    <w:lvl w:ilvl="0">
      <w:start w:val="1"/>
      <w:numFmt w:val="decimal"/>
      <w:lvlText w:val="%1."/>
      <w:lvlJc w:val="left"/>
      <w:pPr>
        <w:tabs>
          <w:tab w:val="num" w:pos="644"/>
        </w:tabs>
        <w:ind w:left="644" w:hanging="360"/>
      </w:pPr>
      <w:rPr>
        <w:rFonts w:hint="default"/>
      </w:rPr>
    </w:lvl>
    <w:lvl w:ilvl="1">
      <w:start w:val="1"/>
      <w:numFmt w:val="upp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AC24B81"/>
    <w:multiLevelType w:val="hybridMultilevel"/>
    <w:tmpl w:val="22822422"/>
    <w:lvl w:ilvl="0" w:tplc="9184EDD8">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BD7302A"/>
    <w:multiLevelType w:val="hybridMultilevel"/>
    <w:tmpl w:val="06426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DA068F"/>
    <w:multiLevelType w:val="multilevel"/>
    <w:tmpl w:val="B6D48A3E"/>
    <w:lvl w:ilvl="0">
      <w:start w:val="1"/>
      <w:numFmt w:val="decimal"/>
      <w:lvlText w:val="%1."/>
      <w:lvlJc w:val="left"/>
      <w:pPr>
        <w:tabs>
          <w:tab w:val="num" w:pos="644"/>
        </w:tabs>
        <w:ind w:left="644" w:hanging="360"/>
      </w:pPr>
      <w:rPr>
        <w:rFonts w:hint="default"/>
      </w:rPr>
    </w:lvl>
    <w:lvl w:ilvl="1">
      <w:start w:val="1"/>
      <w:numFmt w:val="upp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46871E9"/>
    <w:multiLevelType w:val="hybridMultilevel"/>
    <w:tmpl w:val="50649D58"/>
    <w:lvl w:ilvl="0" w:tplc="0B9CD45C">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E3536A"/>
    <w:multiLevelType w:val="hybridMultilevel"/>
    <w:tmpl w:val="015A326C"/>
    <w:lvl w:ilvl="0" w:tplc="E8F6DDA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2B5B6B4D"/>
    <w:multiLevelType w:val="multilevel"/>
    <w:tmpl w:val="617A032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2F8964FA"/>
    <w:multiLevelType w:val="hybridMultilevel"/>
    <w:tmpl w:val="9986524C"/>
    <w:lvl w:ilvl="0" w:tplc="C9FEA0B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15:restartNumberingAfterBreak="0">
    <w:nsid w:val="310F42D7"/>
    <w:multiLevelType w:val="hybridMultilevel"/>
    <w:tmpl w:val="1B6200A0"/>
    <w:lvl w:ilvl="0" w:tplc="B5C035A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C40746"/>
    <w:multiLevelType w:val="hybridMultilevel"/>
    <w:tmpl w:val="B860F4E4"/>
    <w:lvl w:ilvl="0" w:tplc="0C09001B">
      <w:start w:val="1"/>
      <w:numFmt w:val="lowerRoman"/>
      <w:lvlText w:val="%1."/>
      <w:lvlJc w:val="right"/>
      <w:pPr>
        <w:ind w:left="2008" w:hanging="360"/>
      </w:pPr>
    </w:lvl>
    <w:lvl w:ilvl="1" w:tplc="0C090019" w:tentative="1">
      <w:start w:val="1"/>
      <w:numFmt w:val="lowerLetter"/>
      <w:lvlText w:val="%2."/>
      <w:lvlJc w:val="left"/>
      <w:pPr>
        <w:ind w:left="2728" w:hanging="360"/>
      </w:pPr>
    </w:lvl>
    <w:lvl w:ilvl="2" w:tplc="0C09001B" w:tentative="1">
      <w:start w:val="1"/>
      <w:numFmt w:val="lowerRoman"/>
      <w:lvlText w:val="%3."/>
      <w:lvlJc w:val="right"/>
      <w:pPr>
        <w:ind w:left="3448" w:hanging="180"/>
      </w:pPr>
    </w:lvl>
    <w:lvl w:ilvl="3" w:tplc="0C09000F" w:tentative="1">
      <w:start w:val="1"/>
      <w:numFmt w:val="decimal"/>
      <w:lvlText w:val="%4."/>
      <w:lvlJc w:val="left"/>
      <w:pPr>
        <w:ind w:left="4168" w:hanging="360"/>
      </w:pPr>
    </w:lvl>
    <w:lvl w:ilvl="4" w:tplc="0C090019" w:tentative="1">
      <w:start w:val="1"/>
      <w:numFmt w:val="lowerLetter"/>
      <w:lvlText w:val="%5."/>
      <w:lvlJc w:val="left"/>
      <w:pPr>
        <w:ind w:left="4888" w:hanging="360"/>
      </w:pPr>
    </w:lvl>
    <w:lvl w:ilvl="5" w:tplc="0C09001B" w:tentative="1">
      <w:start w:val="1"/>
      <w:numFmt w:val="lowerRoman"/>
      <w:lvlText w:val="%6."/>
      <w:lvlJc w:val="right"/>
      <w:pPr>
        <w:ind w:left="5608" w:hanging="180"/>
      </w:pPr>
    </w:lvl>
    <w:lvl w:ilvl="6" w:tplc="0C09000F" w:tentative="1">
      <w:start w:val="1"/>
      <w:numFmt w:val="decimal"/>
      <w:lvlText w:val="%7."/>
      <w:lvlJc w:val="left"/>
      <w:pPr>
        <w:ind w:left="6328" w:hanging="360"/>
      </w:pPr>
    </w:lvl>
    <w:lvl w:ilvl="7" w:tplc="0C090019" w:tentative="1">
      <w:start w:val="1"/>
      <w:numFmt w:val="lowerLetter"/>
      <w:lvlText w:val="%8."/>
      <w:lvlJc w:val="left"/>
      <w:pPr>
        <w:ind w:left="7048" w:hanging="360"/>
      </w:pPr>
    </w:lvl>
    <w:lvl w:ilvl="8" w:tplc="0C09001B" w:tentative="1">
      <w:start w:val="1"/>
      <w:numFmt w:val="lowerRoman"/>
      <w:lvlText w:val="%9."/>
      <w:lvlJc w:val="right"/>
      <w:pPr>
        <w:ind w:left="7768" w:hanging="180"/>
      </w:pPr>
    </w:lvl>
  </w:abstractNum>
  <w:abstractNum w:abstractNumId="36" w15:restartNumberingAfterBreak="0">
    <w:nsid w:val="39B518C6"/>
    <w:multiLevelType w:val="multilevel"/>
    <w:tmpl w:val="3BE064F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3C7211A8"/>
    <w:multiLevelType w:val="hybridMultilevel"/>
    <w:tmpl w:val="F80C99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0263CD0"/>
    <w:multiLevelType w:val="hybridMultilevel"/>
    <w:tmpl w:val="1B8C269A"/>
    <w:lvl w:ilvl="0" w:tplc="2E9C97EE">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0" w15:restartNumberingAfterBreak="0">
    <w:nsid w:val="44577BB2"/>
    <w:multiLevelType w:val="hybridMultilevel"/>
    <w:tmpl w:val="F07A04D2"/>
    <w:lvl w:ilvl="0" w:tplc="39A845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58B2D88"/>
    <w:multiLevelType w:val="hybridMultilevel"/>
    <w:tmpl w:val="8034C74C"/>
    <w:lvl w:ilvl="0" w:tplc="562EB4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8E82620"/>
    <w:multiLevelType w:val="multilevel"/>
    <w:tmpl w:val="BB1CC0F2"/>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3842BC6"/>
    <w:multiLevelType w:val="multilevel"/>
    <w:tmpl w:val="0C78A7AC"/>
    <w:numStyleLink w:val="Tablebulletlist"/>
  </w:abstractNum>
  <w:abstractNum w:abstractNumId="47" w15:restartNumberingAfterBreak="0">
    <w:nsid w:val="53C61D35"/>
    <w:multiLevelType w:val="multilevel"/>
    <w:tmpl w:val="83245F4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B185E3F"/>
    <w:multiLevelType w:val="multilevel"/>
    <w:tmpl w:val="A908138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52" w15:restartNumberingAfterBreak="0">
    <w:nsid w:val="5B9A5FFE"/>
    <w:multiLevelType w:val="multilevel"/>
    <w:tmpl w:val="0C78A7AC"/>
    <w:name w:val="NTG Table Bullet List33222222222222"/>
    <w:numStyleLink w:val="Tablebulletlist"/>
  </w:abstractNum>
  <w:abstractNum w:abstractNumId="53" w15:restartNumberingAfterBreak="0">
    <w:nsid w:val="5D067526"/>
    <w:multiLevelType w:val="hybridMultilevel"/>
    <w:tmpl w:val="0A98B1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D444259"/>
    <w:multiLevelType w:val="multilevel"/>
    <w:tmpl w:val="0C78A7AC"/>
    <w:name w:val="NTG Table Bullet List332222"/>
    <w:numStyleLink w:val="Tablebulletlist"/>
  </w:abstractNum>
  <w:abstractNum w:abstractNumId="55" w15:restartNumberingAfterBreak="0">
    <w:nsid w:val="5D775F6E"/>
    <w:multiLevelType w:val="multilevel"/>
    <w:tmpl w:val="94A4D9F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56" w15:restartNumberingAfterBreak="0">
    <w:nsid w:val="620D533C"/>
    <w:multiLevelType w:val="hybridMultilevel"/>
    <w:tmpl w:val="C2608182"/>
    <w:lvl w:ilvl="0" w:tplc="67B28C2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7" w15:restartNumberingAfterBreak="0">
    <w:nsid w:val="69262556"/>
    <w:multiLevelType w:val="multilevel"/>
    <w:tmpl w:val="3E5E177A"/>
    <w:name w:val="NTG Table Bullet List3322222222222222"/>
    <w:numStyleLink w:val="Tablenumberlist"/>
  </w:abstractNum>
  <w:abstractNum w:abstractNumId="58" w15:restartNumberingAfterBreak="0">
    <w:nsid w:val="6BAB5F97"/>
    <w:multiLevelType w:val="hybridMultilevel"/>
    <w:tmpl w:val="0590D4C4"/>
    <w:lvl w:ilvl="0" w:tplc="CDE8CCB6">
      <w:start w:val="1"/>
      <w:numFmt w:val="lowerLetter"/>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59" w15:restartNumberingAfterBreak="0">
    <w:nsid w:val="6BD75986"/>
    <w:multiLevelType w:val="multilevel"/>
    <w:tmpl w:val="8B8E47E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0" w15:restartNumberingAfterBreak="0">
    <w:nsid w:val="6D441B38"/>
    <w:multiLevelType w:val="multilevel"/>
    <w:tmpl w:val="37647C9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1" w15:restartNumberingAfterBreak="0">
    <w:nsid w:val="716455C4"/>
    <w:multiLevelType w:val="hybridMultilevel"/>
    <w:tmpl w:val="046AD784"/>
    <w:lvl w:ilvl="0" w:tplc="0C09001B">
      <w:start w:val="1"/>
      <w:numFmt w:val="lowerRoman"/>
      <w:lvlText w:val="%1."/>
      <w:lvlJc w:val="right"/>
      <w:pPr>
        <w:ind w:left="1988" w:hanging="360"/>
      </w:pPr>
    </w:lvl>
    <w:lvl w:ilvl="1" w:tplc="0C090019" w:tentative="1">
      <w:start w:val="1"/>
      <w:numFmt w:val="lowerLetter"/>
      <w:lvlText w:val="%2."/>
      <w:lvlJc w:val="left"/>
      <w:pPr>
        <w:ind w:left="2708" w:hanging="360"/>
      </w:pPr>
    </w:lvl>
    <w:lvl w:ilvl="2" w:tplc="0C09001B" w:tentative="1">
      <w:start w:val="1"/>
      <w:numFmt w:val="lowerRoman"/>
      <w:lvlText w:val="%3."/>
      <w:lvlJc w:val="right"/>
      <w:pPr>
        <w:ind w:left="3428" w:hanging="180"/>
      </w:pPr>
    </w:lvl>
    <w:lvl w:ilvl="3" w:tplc="0C09000F" w:tentative="1">
      <w:start w:val="1"/>
      <w:numFmt w:val="decimal"/>
      <w:lvlText w:val="%4."/>
      <w:lvlJc w:val="left"/>
      <w:pPr>
        <w:ind w:left="4148" w:hanging="360"/>
      </w:pPr>
    </w:lvl>
    <w:lvl w:ilvl="4" w:tplc="0C090019" w:tentative="1">
      <w:start w:val="1"/>
      <w:numFmt w:val="lowerLetter"/>
      <w:lvlText w:val="%5."/>
      <w:lvlJc w:val="left"/>
      <w:pPr>
        <w:ind w:left="4868" w:hanging="360"/>
      </w:pPr>
    </w:lvl>
    <w:lvl w:ilvl="5" w:tplc="0C09001B" w:tentative="1">
      <w:start w:val="1"/>
      <w:numFmt w:val="lowerRoman"/>
      <w:lvlText w:val="%6."/>
      <w:lvlJc w:val="right"/>
      <w:pPr>
        <w:ind w:left="5588" w:hanging="180"/>
      </w:pPr>
    </w:lvl>
    <w:lvl w:ilvl="6" w:tplc="0C09000F" w:tentative="1">
      <w:start w:val="1"/>
      <w:numFmt w:val="decimal"/>
      <w:lvlText w:val="%7."/>
      <w:lvlJc w:val="left"/>
      <w:pPr>
        <w:ind w:left="6308" w:hanging="360"/>
      </w:pPr>
    </w:lvl>
    <w:lvl w:ilvl="7" w:tplc="0C090019" w:tentative="1">
      <w:start w:val="1"/>
      <w:numFmt w:val="lowerLetter"/>
      <w:lvlText w:val="%8."/>
      <w:lvlJc w:val="left"/>
      <w:pPr>
        <w:ind w:left="7028" w:hanging="360"/>
      </w:pPr>
    </w:lvl>
    <w:lvl w:ilvl="8" w:tplc="0C09001B" w:tentative="1">
      <w:start w:val="1"/>
      <w:numFmt w:val="lowerRoman"/>
      <w:lvlText w:val="%9."/>
      <w:lvlJc w:val="right"/>
      <w:pPr>
        <w:ind w:left="7748" w:hanging="180"/>
      </w:pPr>
    </w:lvl>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58B2269"/>
    <w:multiLevelType w:val="multilevel"/>
    <w:tmpl w:val="A1388A1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7BC75242"/>
    <w:multiLevelType w:val="hybridMultilevel"/>
    <w:tmpl w:val="044C23A4"/>
    <w:lvl w:ilvl="0" w:tplc="2FBA4A84">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7" w15:restartNumberingAfterBreak="0">
    <w:nsid w:val="7D3B0B20"/>
    <w:multiLevelType w:val="hybridMultilevel"/>
    <w:tmpl w:val="02EA071E"/>
    <w:lvl w:ilvl="0" w:tplc="A762ECE0">
      <w:start w:val="1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1"/>
  </w:num>
  <w:num w:numId="3">
    <w:abstractNumId w:val="65"/>
  </w:num>
  <w:num w:numId="4">
    <w:abstractNumId w:val="44"/>
  </w:num>
  <w:num w:numId="5">
    <w:abstractNumId w:val="28"/>
  </w:num>
  <w:num w:numId="6">
    <w:abstractNumId w:val="13"/>
  </w:num>
  <w:num w:numId="7">
    <w:abstractNumId w:val="46"/>
  </w:num>
  <w:num w:numId="8">
    <w:abstractNumId w:val="25"/>
  </w:num>
  <w:num w:numId="9">
    <w:abstractNumId w:val="1"/>
  </w:num>
  <w:num w:numId="10">
    <w:abstractNumId w:val="20"/>
    <w:lvlOverride w:ilvl="0">
      <w:lvl w:ilvl="0">
        <w:start w:val="1"/>
        <w:numFmt w:val="lowerLetter"/>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11">
    <w:abstractNumId w:val="60"/>
  </w:num>
  <w:num w:numId="12">
    <w:abstractNumId w:val="59"/>
  </w:num>
  <w:num w:numId="13">
    <w:abstractNumId w:val="2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20"/>
  </w:num>
  <w:num w:numId="15">
    <w:abstractNumId w:val="51"/>
  </w:num>
  <w:num w:numId="16">
    <w:abstractNumId w:val="55"/>
  </w:num>
  <w:num w:numId="17">
    <w:abstractNumId w:val="53"/>
  </w:num>
  <w:num w:numId="18">
    <w:abstractNumId w:val="3"/>
  </w:num>
  <w:num w:numId="19">
    <w:abstractNumId w:val="47"/>
  </w:num>
  <w:num w:numId="20">
    <w:abstractNumId w:val="36"/>
  </w:num>
  <w:num w:numId="21">
    <w:abstractNumId w:val="27"/>
  </w:num>
  <w:num w:numId="22">
    <w:abstractNumId w:val="5"/>
  </w:num>
  <w:num w:numId="23">
    <w:abstractNumId w:val="63"/>
  </w:num>
  <w:num w:numId="24">
    <w:abstractNumId w:val="42"/>
  </w:num>
  <w:num w:numId="25">
    <w:abstractNumId w:val="0"/>
  </w:num>
  <w:num w:numId="26">
    <w:abstractNumId w:val="22"/>
  </w:num>
  <w:num w:numId="27">
    <w:abstractNumId w:val="58"/>
  </w:num>
  <w:num w:numId="28">
    <w:abstractNumId w:val="39"/>
  </w:num>
  <w:num w:numId="29">
    <w:abstractNumId w:val="56"/>
  </w:num>
  <w:num w:numId="30">
    <w:abstractNumId w:val="35"/>
  </w:num>
  <w:num w:numId="31">
    <w:abstractNumId w:val="61"/>
  </w:num>
  <w:num w:numId="32">
    <w:abstractNumId w:val="11"/>
  </w:num>
  <w:num w:numId="33">
    <w:abstractNumId w:val="31"/>
  </w:num>
  <w:num w:numId="34">
    <w:abstractNumId w:val="32"/>
  </w:num>
  <w:num w:numId="35">
    <w:abstractNumId w:val="14"/>
  </w:num>
  <w:num w:numId="36">
    <w:abstractNumId w:val="18"/>
  </w:num>
  <w:num w:numId="37">
    <w:abstractNumId w:val="8"/>
  </w:num>
  <w:num w:numId="38">
    <w:abstractNumId w:val="38"/>
  </w:num>
  <w:num w:numId="39">
    <w:abstractNumId w:val="26"/>
  </w:num>
  <w:num w:numId="40">
    <w:abstractNumId w:val="66"/>
  </w:num>
  <w:num w:numId="41">
    <w:abstractNumId w:val="17"/>
  </w:num>
  <w:num w:numId="42">
    <w:abstractNumId w:val="67"/>
  </w:num>
  <w:num w:numId="43">
    <w:abstractNumId w:val="40"/>
  </w:num>
  <w:num w:numId="44">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3MLOwtDQyNjQzMzNW0lEKTi0uzszPAykwqQUA821CfSwAAAA="/>
  </w:docVars>
  <w:rsids>
    <w:rsidRoot w:val="00063B36"/>
    <w:rsid w:val="00001DDF"/>
    <w:rsid w:val="0000322D"/>
    <w:rsid w:val="00007670"/>
    <w:rsid w:val="00010665"/>
    <w:rsid w:val="00012596"/>
    <w:rsid w:val="0002393A"/>
    <w:rsid w:val="00026471"/>
    <w:rsid w:val="00027DB8"/>
    <w:rsid w:val="00031A96"/>
    <w:rsid w:val="000407C8"/>
    <w:rsid w:val="00040BF3"/>
    <w:rsid w:val="0004211C"/>
    <w:rsid w:val="00044412"/>
    <w:rsid w:val="00046C59"/>
    <w:rsid w:val="00051362"/>
    <w:rsid w:val="00051F45"/>
    <w:rsid w:val="00052953"/>
    <w:rsid w:val="0005341A"/>
    <w:rsid w:val="00056DEF"/>
    <w:rsid w:val="00056EDC"/>
    <w:rsid w:val="00061F92"/>
    <w:rsid w:val="00063B36"/>
    <w:rsid w:val="0006635A"/>
    <w:rsid w:val="000720BE"/>
    <w:rsid w:val="0007259C"/>
    <w:rsid w:val="00080202"/>
    <w:rsid w:val="00080DCD"/>
    <w:rsid w:val="00080E22"/>
    <w:rsid w:val="00082573"/>
    <w:rsid w:val="000840A3"/>
    <w:rsid w:val="00085062"/>
    <w:rsid w:val="00086A5F"/>
    <w:rsid w:val="000911EF"/>
    <w:rsid w:val="000962C5"/>
    <w:rsid w:val="000A2038"/>
    <w:rsid w:val="000A4317"/>
    <w:rsid w:val="000A559C"/>
    <w:rsid w:val="000A683F"/>
    <w:rsid w:val="000A6D13"/>
    <w:rsid w:val="000B04FD"/>
    <w:rsid w:val="000B2CA1"/>
    <w:rsid w:val="000B5B18"/>
    <w:rsid w:val="000B6E44"/>
    <w:rsid w:val="000C73F9"/>
    <w:rsid w:val="000D1F29"/>
    <w:rsid w:val="000D633D"/>
    <w:rsid w:val="000E342B"/>
    <w:rsid w:val="000E5DD2"/>
    <w:rsid w:val="000F2958"/>
    <w:rsid w:val="000F3850"/>
    <w:rsid w:val="000F738A"/>
    <w:rsid w:val="00104E7F"/>
    <w:rsid w:val="001070BF"/>
    <w:rsid w:val="001137EC"/>
    <w:rsid w:val="001152F5"/>
    <w:rsid w:val="001158FA"/>
    <w:rsid w:val="00117743"/>
    <w:rsid w:val="00117F5B"/>
    <w:rsid w:val="00127D48"/>
    <w:rsid w:val="00132658"/>
    <w:rsid w:val="0014458D"/>
    <w:rsid w:val="00150DC0"/>
    <w:rsid w:val="00156CD4"/>
    <w:rsid w:val="0016153B"/>
    <w:rsid w:val="00164A3E"/>
    <w:rsid w:val="00166FF6"/>
    <w:rsid w:val="0017432B"/>
    <w:rsid w:val="00176123"/>
    <w:rsid w:val="001800B1"/>
    <w:rsid w:val="00181620"/>
    <w:rsid w:val="00192981"/>
    <w:rsid w:val="001957AD"/>
    <w:rsid w:val="001A2B7F"/>
    <w:rsid w:val="001A3AFD"/>
    <w:rsid w:val="001A496C"/>
    <w:rsid w:val="001A576A"/>
    <w:rsid w:val="001B0534"/>
    <w:rsid w:val="001B2B6C"/>
    <w:rsid w:val="001D01C4"/>
    <w:rsid w:val="001D1029"/>
    <w:rsid w:val="001D4C60"/>
    <w:rsid w:val="001D4F99"/>
    <w:rsid w:val="001D52B0"/>
    <w:rsid w:val="001D5A18"/>
    <w:rsid w:val="001D7CA4"/>
    <w:rsid w:val="001E057F"/>
    <w:rsid w:val="001E14EB"/>
    <w:rsid w:val="001F59E6"/>
    <w:rsid w:val="00203F1C"/>
    <w:rsid w:val="00206936"/>
    <w:rsid w:val="00206C6F"/>
    <w:rsid w:val="00206FBD"/>
    <w:rsid w:val="00207746"/>
    <w:rsid w:val="002230CC"/>
    <w:rsid w:val="00230031"/>
    <w:rsid w:val="00235C01"/>
    <w:rsid w:val="00247343"/>
    <w:rsid w:val="00262C98"/>
    <w:rsid w:val="00265C56"/>
    <w:rsid w:val="00266F32"/>
    <w:rsid w:val="002716CD"/>
    <w:rsid w:val="00274D4B"/>
    <w:rsid w:val="002806F5"/>
    <w:rsid w:val="00281577"/>
    <w:rsid w:val="00287AF1"/>
    <w:rsid w:val="002926BC"/>
    <w:rsid w:val="00293A72"/>
    <w:rsid w:val="002A0160"/>
    <w:rsid w:val="002A30C3"/>
    <w:rsid w:val="002A6562"/>
    <w:rsid w:val="002A6F6A"/>
    <w:rsid w:val="002A7712"/>
    <w:rsid w:val="002B22EC"/>
    <w:rsid w:val="002B2C4C"/>
    <w:rsid w:val="002B38F7"/>
    <w:rsid w:val="002B5591"/>
    <w:rsid w:val="002B6AA4"/>
    <w:rsid w:val="002C111C"/>
    <w:rsid w:val="002C1FE9"/>
    <w:rsid w:val="002C300C"/>
    <w:rsid w:val="002C7325"/>
    <w:rsid w:val="002D3A57"/>
    <w:rsid w:val="002D46A9"/>
    <w:rsid w:val="002D7D05"/>
    <w:rsid w:val="002E20C8"/>
    <w:rsid w:val="002E4290"/>
    <w:rsid w:val="002E66A6"/>
    <w:rsid w:val="002F0A84"/>
    <w:rsid w:val="002F0DB1"/>
    <w:rsid w:val="002F2885"/>
    <w:rsid w:val="002F45A1"/>
    <w:rsid w:val="003037F9"/>
    <w:rsid w:val="0030583E"/>
    <w:rsid w:val="00307FE1"/>
    <w:rsid w:val="003128F8"/>
    <w:rsid w:val="003130F6"/>
    <w:rsid w:val="003164BA"/>
    <w:rsid w:val="003258E6"/>
    <w:rsid w:val="00342283"/>
    <w:rsid w:val="00343A87"/>
    <w:rsid w:val="00344A36"/>
    <w:rsid w:val="003456F4"/>
    <w:rsid w:val="003472D4"/>
    <w:rsid w:val="00347FB6"/>
    <w:rsid w:val="003504FD"/>
    <w:rsid w:val="00350881"/>
    <w:rsid w:val="00357D55"/>
    <w:rsid w:val="00360516"/>
    <w:rsid w:val="00363513"/>
    <w:rsid w:val="003657E5"/>
    <w:rsid w:val="0036589C"/>
    <w:rsid w:val="00371312"/>
    <w:rsid w:val="003713A5"/>
    <w:rsid w:val="00371DC7"/>
    <w:rsid w:val="00377B21"/>
    <w:rsid w:val="00390CE3"/>
    <w:rsid w:val="00394876"/>
    <w:rsid w:val="00394AAF"/>
    <w:rsid w:val="00394CE5"/>
    <w:rsid w:val="00397439"/>
    <w:rsid w:val="003A6341"/>
    <w:rsid w:val="003B62E8"/>
    <w:rsid w:val="003B67FD"/>
    <w:rsid w:val="003B6A61"/>
    <w:rsid w:val="003C2660"/>
    <w:rsid w:val="003C7699"/>
    <w:rsid w:val="003D0F63"/>
    <w:rsid w:val="003D42C0"/>
    <w:rsid w:val="003D5B29"/>
    <w:rsid w:val="003D7818"/>
    <w:rsid w:val="003E2445"/>
    <w:rsid w:val="003E3BB2"/>
    <w:rsid w:val="003F5B58"/>
    <w:rsid w:val="003F5F5E"/>
    <w:rsid w:val="00400D1C"/>
    <w:rsid w:val="0040222A"/>
    <w:rsid w:val="004047BC"/>
    <w:rsid w:val="004100F7"/>
    <w:rsid w:val="00414CB3"/>
    <w:rsid w:val="0041563D"/>
    <w:rsid w:val="00423C86"/>
    <w:rsid w:val="00426E25"/>
    <w:rsid w:val="00427D9C"/>
    <w:rsid w:val="00427E7E"/>
    <w:rsid w:val="00432909"/>
    <w:rsid w:val="00434227"/>
    <w:rsid w:val="00435D86"/>
    <w:rsid w:val="00437279"/>
    <w:rsid w:val="0044117C"/>
    <w:rsid w:val="00443B6E"/>
    <w:rsid w:val="00451AFA"/>
    <w:rsid w:val="0045420A"/>
    <w:rsid w:val="004554D4"/>
    <w:rsid w:val="004573D9"/>
    <w:rsid w:val="00461744"/>
    <w:rsid w:val="00465AC1"/>
    <w:rsid w:val="00466185"/>
    <w:rsid w:val="00466303"/>
    <w:rsid w:val="004668A7"/>
    <w:rsid w:val="00466D96"/>
    <w:rsid w:val="00467747"/>
    <w:rsid w:val="00470017"/>
    <w:rsid w:val="00473C98"/>
    <w:rsid w:val="00474965"/>
    <w:rsid w:val="00482DF8"/>
    <w:rsid w:val="004864DE"/>
    <w:rsid w:val="00494BE5"/>
    <w:rsid w:val="004A0EBA"/>
    <w:rsid w:val="004A2538"/>
    <w:rsid w:val="004A2EF0"/>
    <w:rsid w:val="004B0C15"/>
    <w:rsid w:val="004B35EA"/>
    <w:rsid w:val="004B69E4"/>
    <w:rsid w:val="004C3BE2"/>
    <w:rsid w:val="004C6C39"/>
    <w:rsid w:val="004D075F"/>
    <w:rsid w:val="004D1B76"/>
    <w:rsid w:val="004D344E"/>
    <w:rsid w:val="004D50C9"/>
    <w:rsid w:val="004E019E"/>
    <w:rsid w:val="004E06EC"/>
    <w:rsid w:val="004E0A3F"/>
    <w:rsid w:val="004E2CB7"/>
    <w:rsid w:val="004E51AE"/>
    <w:rsid w:val="004F016A"/>
    <w:rsid w:val="005009E0"/>
    <w:rsid w:val="00500F94"/>
    <w:rsid w:val="00502FB3"/>
    <w:rsid w:val="00503DE9"/>
    <w:rsid w:val="00505307"/>
    <w:rsid w:val="0050530C"/>
    <w:rsid w:val="00505DEA"/>
    <w:rsid w:val="00507782"/>
    <w:rsid w:val="00512A04"/>
    <w:rsid w:val="00520499"/>
    <w:rsid w:val="005249F5"/>
    <w:rsid w:val="005260F7"/>
    <w:rsid w:val="00543BD1"/>
    <w:rsid w:val="00556113"/>
    <w:rsid w:val="00563546"/>
    <w:rsid w:val="00564C12"/>
    <w:rsid w:val="005654B8"/>
    <w:rsid w:val="00565E12"/>
    <w:rsid w:val="005762CC"/>
    <w:rsid w:val="00582D3D"/>
    <w:rsid w:val="0059044D"/>
    <w:rsid w:val="00595386"/>
    <w:rsid w:val="00597234"/>
    <w:rsid w:val="005A4AC0"/>
    <w:rsid w:val="005A5FDF"/>
    <w:rsid w:val="005B0FB7"/>
    <w:rsid w:val="005B122A"/>
    <w:rsid w:val="005B1FCB"/>
    <w:rsid w:val="005B34BD"/>
    <w:rsid w:val="005B5AC2"/>
    <w:rsid w:val="005C0D88"/>
    <w:rsid w:val="005C2833"/>
    <w:rsid w:val="005C6F2D"/>
    <w:rsid w:val="005D0370"/>
    <w:rsid w:val="005E0297"/>
    <w:rsid w:val="005E144D"/>
    <w:rsid w:val="005E1500"/>
    <w:rsid w:val="005E23CD"/>
    <w:rsid w:val="005E26D4"/>
    <w:rsid w:val="005E3A43"/>
    <w:rsid w:val="005F0B17"/>
    <w:rsid w:val="005F6893"/>
    <w:rsid w:val="005F77C7"/>
    <w:rsid w:val="00620675"/>
    <w:rsid w:val="00622910"/>
    <w:rsid w:val="00624DEA"/>
    <w:rsid w:val="006254B6"/>
    <w:rsid w:val="00627FC8"/>
    <w:rsid w:val="00632FE4"/>
    <w:rsid w:val="0063710A"/>
    <w:rsid w:val="006373AD"/>
    <w:rsid w:val="006433C3"/>
    <w:rsid w:val="00650F5B"/>
    <w:rsid w:val="00654B4F"/>
    <w:rsid w:val="00666DEE"/>
    <w:rsid w:val="006670D7"/>
    <w:rsid w:val="006719EA"/>
    <w:rsid w:val="00671F13"/>
    <w:rsid w:val="0067400A"/>
    <w:rsid w:val="00677594"/>
    <w:rsid w:val="006847AD"/>
    <w:rsid w:val="0069114B"/>
    <w:rsid w:val="006921F7"/>
    <w:rsid w:val="006A270F"/>
    <w:rsid w:val="006A3BAB"/>
    <w:rsid w:val="006A4E91"/>
    <w:rsid w:val="006A756A"/>
    <w:rsid w:val="006C2F90"/>
    <w:rsid w:val="006C2FBB"/>
    <w:rsid w:val="006C352E"/>
    <w:rsid w:val="006D18C7"/>
    <w:rsid w:val="006D66F7"/>
    <w:rsid w:val="006E1D38"/>
    <w:rsid w:val="006E2CFD"/>
    <w:rsid w:val="00701DD7"/>
    <w:rsid w:val="00705C9D"/>
    <w:rsid w:val="00705F13"/>
    <w:rsid w:val="00714F1D"/>
    <w:rsid w:val="00715225"/>
    <w:rsid w:val="00720CC6"/>
    <w:rsid w:val="00722DDB"/>
    <w:rsid w:val="00724728"/>
    <w:rsid w:val="00724F98"/>
    <w:rsid w:val="00730B9B"/>
    <w:rsid w:val="0073182E"/>
    <w:rsid w:val="00732C92"/>
    <w:rsid w:val="007332FF"/>
    <w:rsid w:val="007408F5"/>
    <w:rsid w:val="007412AE"/>
    <w:rsid w:val="00741EAE"/>
    <w:rsid w:val="00755248"/>
    <w:rsid w:val="007606A0"/>
    <w:rsid w:val="0076190B"/>
    <w:rsid w:val="0076355D"/>
    <w:rsid w:val="0076380C"/>
    <w:rsid w:val="00763A2D"/>
    <w:rsid w:val="007676A4"/>
    <w:rsid w:val="00777795"/>
    <w:rsid w:val="00783A57"/>
    <w:rsid w:val="007841EF"/>
    <w:rsid w:val="00784C92"/>
    <w:rsid w:val="007859CD"/>
    <w:rsid w:val="007907E4"/>
    <w:rsid w:val="00793716"/>
    <w:rsid w:val="00796461"/>
    <w:rsid w:val="007A6A4F"/>
    <w:rsid w:val="007A6F4A"/>
    <w:rsid w:val="007B03F5"/>
    <w:rsid w:val="007B5C09"/>
    <w:rsid w:val="007B5DA2"/>
    <w:rsid w:val="007C0966"/>
    <w:rsid w:val="007C131C"/>
    <w:rsid w:val="007C19E7"/>
    <w:rsid w:val="007C5373"/>
    <w:rsid w:val="007C5CFD"/>
    <w:rsid w:val="007C6D9F"/>
    <w:rsid w:val="007D4893"/>
    <w:rsid w:val="007E70CF"/>
    <w:rsid w:val="007E74A4"/>
    <w:rsid w:val="007F263F"/>
    <w:rsid w:val="008015A8"/>
    <w:rsid w:val="00805586"/>
    <w:rsid w:val="0080766E"/>
    <w:rsid w:val="00807C55"/>
    <w:rsid w:val="00811169"/>
    <w:rsid w:val="00815297"/>
    <w:rsid w:val="008170DB"/>
    <w:rsid w:val="00817BA1"/>
    <w:rsid w:val="00823022"/>
    <w:rsid w:val="0082634E"/>
    <w:rsid w:val="008313C4"/>
    <w:rsid w:val="00835434"/>
    <w:rsid w:val="008358C0"/>
    <w:rsid w:val="00842838"/>
    <w:rsid w:val="00854EC1"/>
    <w:rsid w:val="00857935"/>
    <w:rsid w:val="0085797F"/>
    <w:rsid w:val="00861DC3"/>
    <w:rsid w:val="00867019"/>
    <w:rsid w:val="00871FBB"/>
    <w:rsid w:val="008735A9"/>
    <w:rsid w:val="00877BC5"/>
    <w:rsid w:val="00877D20"/>
    <w:rsid w:val="0088195E"/>
    <w:rsid w:val="00881C48"/>
    <w:rsid w:val="00885B80"/>
    <w:rsid w:val="00885C30"/>
    <w:rsid w:val="00885E9B"/>
    <w:rsid w:val="00886410"/>
    <w:rsid w:val="00893C96"/>
    <w:rsid w:val="00894AFA"/>
    <w:rsid w:val="0089500A"/>
    <w:rsid w:val="008962F9"/>
    <w:rsid w:val="00897C94"/>
    <w:rsid w:val="008A0114"/>
    <w:rsid w:val="008A7C12"/>
    <w:rsid w:val="008B03CE"/>
    <w:rsid w:val="008B529E"/>
    <w:rsid w:val="008C17FB"/>
    <w:rsid w:val="008D1B00"/>
    <w:rsid w:val="008D57B8"/>
    <w:rsid w:val="008E029F"/>
    <w:rsid w:val="008E03FC"/>
    <w:rsid w:val="008E2673"/>
    <w:rsid w:val="008E510B"/>
    <w:rsid w:val="008E5B45"/>
    <w:rsid w:val="008F601D"/>
    <w:rsid w:val="00902B13"/>
    <w:rsid w:val="00911941"/>
    <w:rsid w:val="00912125"/>
    <w:rsid w:val="009131B9"/>
    <w:rsid w:val="0092024D"/>
    <w:rsid w:val="00925F0F"/>
    <w:rsid w:val="00926572"/>
    <w:rsid w:val="00932F6B"/>
    <w:rsid w:val="00940969"/>
    <w:rsid w:val="009468BC"/>
    <w:rsid w:val="009616DF"/>
    <w:rsid w:val="0096542F"/>
    <w:rsid w:val="00967847"/>
    <w:rsid w:val="00967FA7"/>
    <w:rsid w:val="00971645"/>
    <w:rsid w:val="009736E9"/>
    <w:rsid w:val="00973D22"/>
    <w:rsid w:val="009744C2"/>
    <w:rsid w:val="00977919"/>
    <w:rsid w:val="00983000"/>
    <w:rsid w:val="009833DF"/>
    <w:rsid w:val="009870FA"/>
    <w:rsid w:val="009909B6"/>
    <w:rsid w:val="00990A92"/>
    <w:rsid w:val="009921C3"/>
    <w:rsid w:val="0099551D"/>
    <w:rsid w:val="009A5897"/>
    <w:rsid w:val="009A5F24"/>
    <w:rsid w:val="009B0B3E"/>
    <w:rsid w:val="009B1722"/>
    <w:rsid w:val="009B1913"/>
    <w:rsid w:val="009B6657"/>
    <w:rsid w:val="009D0EB5"/>
    <w:rsid w:val="009D14F9"/>
    <w:rsid w:val="009D2B74"/>
    <w:rsid w:val="009D63FF"/>
    <w:rsid w:val="009E05CB"/>
    <w:rsid w:val="009E175D"/>
    <w:rsid w:val="009E3CC2"/>
    <w:rsid w:val="009E4B64"/>
    <w:rsid w:val="009F06BD"/>
    <w:rsid w:val="009F2A4D"/>
    <w:rsid w:val="00A00828"/>
    <w:rsid w:val="00A03290"/>
    <w:rsid w:val="00A0387E"/>
    <w:rsid w:val="00A07490"/>
    <w:rsid w:val="00A10655"/>
    <w:rsid w:val="00A12B64"/>
    <w:rsid w:val="00A22C38"/>
    <w:rsid w:val="00A25193"/>
    <w:rsid w:val="00A26E80"/>
    <w:rsid w:val="00A31AE8"/>
    <w:rsid w:val="00A3739D"/>
    <w:rsid w:val="00A37DDA"/>
    <w:rsid w:val="00A45005"/>
    <w:rsid w:val="00A62E6B"/>
    <w:rsid w:val="00A76790"/>
    <w:rsid w:val="00A925EC"/>
    <w:rsid w:val="00A929AA"/>
    <w:rsid w:val="00A92B6B"/>
    <w:rsid w:val="00A97B15"/>
    <w:rsid w:val="00AA541E"/>
    <w:rsid w:val="00AB78EC"/>
    <w:rsid w:val="00AD0DA4"/>
    <w:rsid w:val="00AD4169"/>
    <w:rsid w:val="00AE25C6"/>
    <w:rsid w:val="00AE306C"/>
    <w:rsid w:val="00AF28C1"/>
    <w:rsid w:val="00AF66D1"/>
    <w:rsid w:val="00B02EF1"/>
    <w:rsid w:val="00B07C97"/>
    <w:rsid w:val="00B11C67"/>
    <w:rsid w:val="00B145F8"/>
    <w:rsid w:val="00B15754"/>
    <w:rsid w:val="00B2046E"/>
    <w:rsid w:val="00B20E8B"/>
    <w:rsid w:val="00B257E1"/>
    <w:rsid w:val="00B2599A"/>
    <w:rsid w:val="00B27AC4"/>
    <w:rsid w:val="00B33B9A"/>
    <w:rsid w:val="00B343CC"/>
    <w:rsid w:val="00B5084A"/>
    <w:rsid w:val="00B606A1"/>
    <w:rsid w:val="00B6118D"/>
    <w:rsid w:val="00B614F7"/>
    <w:rsid w:val="00B61B26"/>
    <w:rsid w:val="00B64A7F"/>
    <w:rsid w:val="00B65E6B"/>
    <w:rsid w:val="00B675B2"/>
    <w:rsid w:val="00B81261"/>
    <w:rsid w:val="00B8223E"/>
    <w:rsid w:val="00B832AE"/>
    <w:rsid w:val="00B86678"/>
    <w:rsid w:val="00B92F9B"/>
    <w:rsid w:val="00B941B3"/>
    <w:rsid w:val="00B96513"/>
    <w:rsid w:val="00BA1625"/>
    <w:rsid w:val="00BA1D47"/>
    <w:rsid w:val="00BA66F0"/>
    <w:rsid w:val="00BB2239"/>
    <w:rsid w:val="00BB2AE7"/>
    <w:rsid w:val="00BB6464"/>
    <w:rsid w:val="00BB7CDE"/>
    <w:rsid w:val="00BC1BB8"/>
    <w:rsid w:val="00BC281F"/>
    <w:rsid w:val="00BD1459"/>
    <w:rsid w:val="00BD7FE1"/>
    <w:rsid w:val="00BE37CA"/>
    <w:rsid w:val="00BE6144"/>
    <w:rsid w:val="00BE635A"/>
    <w:rsid w:val="00BF17E9"/>
    <w:rsid w:val="00BF2ABB"/>
    <w:rsid w:val="00BF5099"/>
    <w:rsid w:val="00BF71CA"/>
    <w:rsid w:val="00BF7BCF"/>
    <w:rsid w:val="00C0772C"/>
    <w:rsid w:val="00C10F10"/>
    <w:rsid w:val="00C15D4D"/>
    <w:rsid w:val="00C175DC"/>
    <w:rsid w:val="00C27E0B"/>
    <w:rsid w:val="00C30171"/>
    <w:rsid w:val="00C309D8"/>
    <w:rsid w:val="00C351F7"/>
    <w:rsid w:val="00C35F93"/>
    <w:rsid w:val="00C43519"/>
    <w:rsid w:val="00C51537"/>
    <w:rsid w:val="00C52BC3"/>
    <w:rsid w:val="00C61AFA"/>
    <w:rsid w:val="00C61D64"/>
    <w:rsid w:val="00C62099"/>
    <w:rsid w:val="00C64EA3"/>
    <w:rsid w:val="00C72867"/>
    <w:rsid w:val="00C75E81"/>
    <w:rsid w:val="00C86609"/>
    <w:rsid w:val="00C92B4C"/>
    <w:rsid w:val="00C93DE2"/>
    <w:rsid w:val="00C954F6"/>
    <w:rsid w:val="00CA6BC5"/>
    <w:rsid w:val="00CC61CD"/>
    <w:rsid w:val="00CC737B"/>
    <w:rsid w:val="00CD5011"/>
    <w:rsid w:val="00CD6788"/>
    <w:rsid w:val="00CE0CF8"/>
    <w:rsid w:val="00CE640F"/>
    <w:rsid w:val="00CE76BC"/>
    <w:rsid w:val="00CF540E"/>
    <w:rsid w:val="00D02F07"/>
    <w:rsid w:val="00D0409D"/>
    <w:rsid w:val="00D07968"/>
    <w:rsid w:val="00D13A78"/>
    <w:rsid w:val="00D27EBE"/>
    <w:rsid w:val="00D36A49"/>
    <w:rsid w:val="00D517C6"/>
    <w:rsid w:val="00D606A7"/>
    <w:rsid w:val="00D66FD6"/>
    <w:rsid w:val="00D71D84"/>
    <w:rsid w:val="00D72464"/>
    <w:rsid w:val="00D768EB"/>
    <w:rsid w:val="00D81E17"/>
    <w:rsid w:val="00D82D1E"/>
    <w:rsid w:val="00D832D9"/>
    <w:rsid w:val="00D86A68"/>
    <w:rsid w:val="00D90F00"/>
    <w:rsid w:val="00D975C0"/>
    <w:rsid w:val="00DA5285"/>
    <w:rsid w:val="00DB191D"/>
    <w:rsid w:val="00DB4F91"/>
    <w:rsid w:val="00DB6D0A"/>
    <w:rsid w:val="00DC06BE"/>
    <w:rsid w:val="00DC1F0F"/>
    <w:rsid w:val="00DC3077"/>
    <w:rsid w:val="00DC3117"/>
    <w:rsid w:val="00DC5DD9"/>
    <w:rsid w:val="00DC6D2D"/>
    <w:rsid w:val="00DD0557"/>
    <w:rsid w:val="00DD3D9E"/>
    <w:rsid w:val="00DD4E59"/>
    <w:rsid w:val="00DE33B5"/>
    <w:rsid w:val="00DE597E"/>
    <w:rsid w:val="00DE5E18"/>
    <w:rsid w:val="00DF0487"/>
    <w:rsid w:val="00DF4A49"/>
    <w:rsid w:val="00DF5EA4"/>
    <w:rsid w:val="00E02681"/>
    <w:rsid w:val="00E02792"/>
    <w:rsid w:val="00E034D8"/>
    <w:rsid w:val="00E04CC0"/>
    <w:rsid w:val="00E0795A"/>
    <w:rsid w:val="00E11D0E"/>
    <w:rsid w:val="00E13A96"/>
    <w:rsid w:val="00E15816"/>
    <w:rsid w:val="00E160D5"/>
    <w:rsid w:val="00E239FF"/>
    <w:rsid w:val="00E27D7B"/>
    <w:rsid w:val="00E30556"/>
    <w:rsid w:val="00E30981"/>
    <w:rsid w:val="00E33136"/>
    <w:rsid w:val="00E34D7C"/>
    <w:rsid w:val="00E3723D"/>
    <w:rsid w:val="00E4311A"/>
    <w:rsid w:val="00E44C89"/>
    <w:rsid w:val="00E61BA2"/>
    <w:rsid w:val="00E63864"/>
    <w:rsid w:val="00E6403F"/>
    <w:rsid w:val="00E644D2"/>
    <w:rsid w:val="00E770C4"/>
    <w:rsid w:val="00E84C5A"/>
    <w:rsid w:val="00E861DB"/>
    <w:rsid w:val="00E92FF8"/>
    <w:rsid w:val="00E93406"/>
    <w:rsid w:val="00E956C5"/>
    <w:rsid w:val="00E95C39"/>
    <w:rsid w:val="00EA2C39"/>
    <w:rsid w:val="00EA60EC"/>
    <w:rsid w:val="00EB0A3C"/>
    <w:rsid w:val="00EB0A96"/>
    <w:rsid w:val="00EB3FC5"/>
    <w:rsid w:val="00EB77F9"/>
    <w:rsid w:val="00EC5769"/>
    <w:rsid w:val="00EC7D00"/>
    <w:rsid w:val="00ED0304"/>
    <w:rsid w:val="00EE38FA"/>
    <w:rsid w:val="00EE3E2C"/>
    <w:rsid w:val="00EE5D23"/>
    <w:rsid w:val="00EE750D"/>
    <w:rsid w:val="00EF16DD"/>
    <w:rsid w:val="00EF3CA4"/>
    <w:rsid w:val="00EF7859"/>
    <w:rsid w:val="00F014DA"/>
    <w:rsid w:val="00F02591"/>
    <w:rsid w:val="00F05152"/>
    <w:rsid w:val="00F11A2E"/>
    <w:rsid w:val="00F5696E"/>
    <w:rsid w:val="00F60EFF"/>
    <w:rsid w:val="00F67D2D"/>
    <w:rsid w:val="00F80B91"/>
    <w:rsid w:val="00F858F2"/>
    <w:rsid w:val="00F860CC"/>
    <w:rsid w:val="00F94398"/>
    <w:rsid w:val="00FA1D50"/>
    <w:rsid w:val="00FB2B56"/>
    <w:rsid w:val="00FB55D5"/>
    <w:rsid w:val="00FC12BF"/>
    <w:rsid w:val="00FC2C60"/>
    <w:rsid w:val="00FD06D9"/>
    <w:rsid w:val="00FD3E6F"/>
    <w:rsid w:val="00FD51B9"/>
    <w:rsid w:val="00FD5849"/>
    <w:rsid w:val="00FE2A39"/>
    <w:rsid w:val="00FF39CF"/>
    <w:rsid w:val="00FF471B"/>
    <w:rsid w:val="00FF70A4"/>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6EA8509A"/>
  <w15:docId w15:val="{05639708-B563-48F2-8057-B01C3E92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Number 2" w:uiPriority="5"/>
    <w:lsdException w:name="List Number 3" w:uiPriority="5"/>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EF"/>
  </w:style>
  <w:style w:type="paragraph" w:styleId="Heading1">
    <w:name w:val="heading 1"/>
    <w:basedOn w:val="Normal"/>
    <w:next w:val="Normal"/>
    <w:link w:val="Heading1Char"/>
    <w:uiPriority w:val="1"/>
    <w:qFormat/>
    <w:rsid w:val="001A576A"/>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1A576A"/>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1A576A"/>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1A576A"/>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1070BF"/>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1070BF"/>
    <w:rPr>
      <w:b/>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rsid w:val="001070BF"/>
    <w:rPr>
      <w:rFonts w:cs="Arial"/>
      <w:sz w:val="20"/>
      <w:szCs w:val="16"/>
    </w:rPr>
  </w:style>
  <w:style w:type="character" w:customStyle="1" w:styleId="NTGFooterDepartmentofChar">
    <w:name w:val="NTG Footer Department of Char"/>
    <w:basedOn w:val="DefaultParagraphFont"/>
    <w:link w:val="NTGFooterDepartmentof"/>
    <w:uiPriority w:val="9"/>
    <w:rsid w:val="001070BF"/>
    <w:rPr>
      <w:rFonts w:cs="Arial"/>
      <w:caps/>
      <w:szCs w:val="16"/>
    </w:rPr>
  </w:style>
  <w:style w:type="character" w:customStyle="1" w:styleId="NTGFooterDepartmentNameChar">
    <w:name w:val="NTG Footer Department Name Char"/>
    <w:basedOn w:val="NTGFooterDepartmentofChar"/>
    <w:link w:val="NTGFooterDepartmentName"/>
    <w:uiPriority w:val="9"/>
    <w:rsid w:val="001070BF"/>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rsid w:val="0076380C"/>
    <w:pPr>
      <w:tabs>
        <w:tab w:val="right" w:pos="9639"/>
      </w:tabs>
      <w:spacing w:after="0"/>
      <w:jc w:val="right"/>
    </w:pPr>
    <w:rPr>
      <w:sz w:val="20"/>
    </w:rPr>
  </w:style>
  <w:style w:type="character" w:customStyle="1" w:styleId="NTGFooter2deptpagenumChar">
    <w:name w:val="NTG Footer 2 dept &amp; page num Char"/>
    <w:basedOn w:val="DefaultParagraphFont"/>
    <w:link w:val="NTGFooter2deptpagenum"/>
    <w:uiPriority w:val="9"/>
    <w:rsid w:val="0076380C"/>
    <w:rPr>
      <w:sz w:val="20"/>
    </w:rPr>
  </w:style>
  <w:style w:type="character" w:customStyle="1" w:styleId="NTGFooter2DateVersionChar">
    <w:name w:val="NTG Footer 2 Date &amp; Version Char"/>
    <w:basedOn w:val="NTGFooter2deptpagenumChar"/>
    <w:link w:val="NTGFooter2DateVersion"/>
    <w:uiPriority w:val="9"/>
    <w:rsid w:val="0076380C"/>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rsid w:val="00C0772C"/>
    <w:pPr>
      <w:numPr>
        <w:numId w:val="9"/>
      </w:numPr>
      <w:spacing w:after="120"/>
    </w:pPr>
  </w:style>
  <w:style w:type="paragraph" w:styleId="ListNumber2">
    <w:name w:val="List Number 2"/>
    <w:aliases w:val="Number list level 2"/>
    <w:basedOn w:val="ListNumber"/>
    <w:uiPriority w:val="5"/>
    <w:rsid w:val="001070BF"/>
    <w:pPr>
      <w:numPr>
        <w:ilvl w:val="1"/>
      </w:numPr>
    </w:pPr>
  </w:style>
  <w:style w:type="paragraph" w:styleId="ListNumber3">
    <w:name w:val="List Number 3"/>
    <w:aliases w:val="Number list level 3"/>
    <w:basedOn w:val="ListNumber2"/>
    <w:uiPriority w:val="5"/>
    <w:rsid w:val="001070BF"/>
    <w:pPr>
      <w:numPr>
        <w:ilvl w:val="2"/>
      </w:numPr>
    </w:pPr>
  </w:style>
  <w:style w:type="paragraph" w:styleId="ListNumber4">
    <w:name w:val="List Number 4"/>
    <w:aliases w:val="Number list level 4"/>
    <w:basedOn w:val="Normal"/>
    <w:uiPriority w:val="5"/>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rsid w:val="00176123"/>
    <w:pPr>
      <w:numPr>
        <w:numId w:val="8"/>
      </w:numPr>
      <w:spacing w:after="120"/>
      <w:ind w:left="0" w:firstLine="0"/>
    </w:pPr>
  </w:style>
  <w:style w:type="paragraph" w:styleId="ListBullet2">
    <w:name w:val="List Bullet 2"/>
    <w:aliases w:val="Bullet list level 2"/>
    <w:basedOn w:val="Normal"/>
    <w:uiPriority w:val="4"/>
    <w:rsid w:val="006847AD"/>
    <w:pPr>
      <w:numPr>
        <w:ilvl w:val="1"/>
        <w:numId w:val="8"/>
      </w:numPr>
      <w:spacing w:after="120"/>
    </w:pPr>
  </w:style>
  <w:style w:type="paragraph" w:styleId="ListBullet3">
    <w:name w:val="List Bullet 3"/>
    <w:aliases w:val="Bullet list level 3"/>
    <w:basedOn w:val="Normal"/>
    <w:uiPriority w:val="4"/>
    <w:rsid w:val="006847AD"/>
    <w:pPr>
      <w:numPr>
        <w:ilvl w:val="2"/>
        <w:numId w:val="8"/>
      </w:numPr>
      <w:spacing w:after="120"/>
    </w:pPr>
  </w:style>
  <w:style w:type="paragraph" w:styleId="ListBullet4">
    <w:name w:val="List Bullet 4"/>
    <w:aliases w:val="Bullet list level 4"/>
    <w:basedOn w:val="Normal"/>
    <w:uiPriority w:val="4"/>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BF7BCF"/>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Tabletext-centred">
    <w:name w:val="Table text - centred"/>
    <w:qFormat/>
    <w:rsid w:val="000B6E44"/>
    <w:pPr>
      <w:spacing w:after="20"/>
      <w:jc w:val="center"/>
    </w:pPr>
  </w:style>
  <w:style w:type="paragraph" w:customStyle="1" w:styleId="Tabletext-leftaligned">
    <w:name w:val="Table text - left aligned"/>
    <w:qFormat/>
    <w:rsid w:val="0088195E"/>
    <w:pPr>
      <w:spacing w:after="20"/>
    </w:pPr>
  </w:style>
  <w:style w:type="table" w:styleId="PlainTable1">
    <w:name w:val="Plain Table 1"/>
    <w:basedOn w:val="TableNormal"/>
    <w:uiPriority w:val="41"/>
    <w:rsid w:val="000B6E4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B6E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6E4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6E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6E4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B6E4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B6E44"/>
    <w:pPr>
      <w:spacing w:after="0"/>
    </w:pPr>
    <w:tblPr>
      <w:tblStyleRowBandSize w:val="1"/>
      <w:tblStyleColBandSize w:val="1"/>
      <w:tblBorders>
        <w:top w:val="single" w:sz="4" w:space="0" w:color="B8C9DB" w:themeColor="accent1" w:themeTint="66"/>
        <w:left w:val="single" w:sz="4" w:space="0" w:color="B8C9DB" w:themeColor="accent1" w:themeTint="66"/>
        <w:bottom w:val="single" w:sz="4" w:space="0" w:color="B8C9DB" w:themeColor="accent1" w:themeTint="66"/>
        <w:right w:val="single" w:sz="4" w:space="0" w:color="B8C9DB" w:themeColor="accent1" w:themeTint="66"/>
        <w:insideH w:val="single" w:sz="4" w:space="0" w:color="B8C9DB" w:themeColor="accent1" w:themeTint="66"/>
        <w:insideV w:val="single" w:sz="4" w:space="0" w:color="B8C9DB" w:themeColor="accent1" w:themeTint="66"/>
      </w:tblBorders>
    </w:tblPr>
    <w:tblStylePr w:type="firstRow">
      <w:rPr>
        <w:b/>
        <w:bCs/>
      </w:rPr>
      <w:tblPr/>
      <w:tcPr>
        <w:tcBorders>
          <w:bottom w:val="single" w:sz="12" w:space="0" w:color="94AFC9" w:themeColor="accent1" w:themeTint="99"/>
        </w:tcBorders>
      </w:tcPr>
    </w:tblStylePr>
    <w:tblStylePr w:type="lastRow">
      <w:rPr>
        <w:b/>
        <w:bCs/>
      </w:rPr>
      <w:tblPr/>
      <w:tcPr>
        <w:tcBorders>
          <w:top w:val="double" w:sz="2" w:space="0" w:color="94AFC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B6E44"/>
    <w:pPr>
      <w:spacing w:after="0"/>
    </w:pPr>
    <w:tblPr>
      <w:tblStyleRowBandSize w:val="1"/>
      <w:tblStyleColBandSize w:val="1"/>
      <w:tblBorders>
        <w:top w:val="single" w:sz="4" w:space="0" w:color="CDCFB1" w:themeColor="accent2" w:themeTint="66"/>
        <w:left w:val="single" w:sz="4" w:space="0" w:color="CDCFB1" w:themeColor="accent2" w:themeTint="66"/>
        <w:bottom w:val="single" w:sz="4" w:space="0" w:color="CDCFB1" w:themeColor="accent2" w:themeTint="66"/>
        <w:right w:val="single" w:sz="4" w:space="0" w:color="CDCFB1" w:themeColor="accent2" w:themeTint="66"/>
        <w:insideH w:val="single" w:sz="4" w:space="0" w:color="CDCFB1" w:themeColor="accent2" w:themeTint="66"/>
        <w:insideV w:val="single" w:sz="4" w:space="0" w:color="CDCFB1" w:themeColor="accent2" w:themeTint="66"/>
      </w:tblBorders>
    </w:tblPr>
    <w:tblStylePr w:type="firstRow">
      <w:rPr>
        <w:b/>
        <w:bCs/>
      </w:rPr>
      <w:tblPr/>
      <w:tcPr>
        <w:tcBorders>
          <w:bottom w:val="single" w:sz="12" w:space="0" w:color="B4B68A" w:themeColor="accent2" w:themeTint="99"/>
        </w:tcBorders>
      </w:tcPr>
    </w:tblStylePr>
    <w:tblStylePr w:type="lastRow">
      <w:rPr>
        <w:b/>
        <w:bCs/>
      </w:rPr>
      <w:tblPr/>
      <w:tcPr>
        <w:tcBorders>
          <w:top w:val="double" w:sz="2" w:space="0" w:color="B4B68A"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B6E44"/>
    <w:pPr>
      <w:spacing w:after="0"/>
    </w:pPr>
    <w:tblPr>
      <w:tblStyleRowBandSize w:val="1"/>
      <w:tblStyleColBandSize w:val="1"/>
      <w:tblBorders>
        <w:top w:val="single" w:sz="4" w:space="0" w:color="E9C696" w:themeColor="accent5" w:themeTint="66"/>
        <w:left w:val="single" w:sz="4" w:space="0" w:color="E9C696" w:themeColor="accent5" w:themeTint="66"/>
        <w:bottom w:val="single" w:sz="4" w:space="0" w:color="E9C696" w:themeColor="accent5" w:themeTint="66"/>
        <w:right w:val="single" w:sz="4" w:space="0" w:color="E9C696" w:themeColor="accent5" w:themeTint="66"/>
        <w:insideH w:val="single" w:sz="4" w:space="0" w:color="E9C696" w:themeColor="accent5" w:themeTint="66"/>
        <w:insideV w:val="single" w:sz="4" w:space="0" w:color="E9C696" w:themeColor="accent5" w:themeTint="66"/>
      </w:tblBorders>
    </w:tblPr>
    <w:tblStylePr w:type="firstRow">
      <w:rPr>
        <w:b/>
        <w:bCs/>
      </w:rPr>
      <w:tblPr/>
      <w:tcPr>
        <w:tcBorders>
          <w:bottom w:val="single" w:sz="12" w:space="0" w:color="DFA961" w:themeColor="accent5" w:themeTint="99"/>
        </w:tcBorders>
      </w:tcPr>
    </w:tblStylePr>
    <w:tblStylePr w:type="lastRow">
      <w:rPr>
        <w:b/>
        <w:bCs/>
      </w:rPr>
      <w:tblPr/>
      <w:tcPr>
        <w:tcBorders>
          <w:top w:val="double" w:sz="2" w:space="0" w:color="DFA961" w:themeColor="accent5" w:themeTint="99"/>
        </w:tcBorders>
      </w:tcPr>
    </w:tblStylePr>
    <w:tblStylePr w:type="firstCol">
      <w:rPr>
        <w:b/>
        <w:bCs/>
      </w:rPr>
    </w:tblStylePr>
    <w:tblStylePr w:type="lastCol">
      <w:rPr>
        <w:b/>
        <w:bCs/>
      </w:rPr>
    </w:tblStylePr>
  </w:style>
  <w:style w:type="table" w:customStyle="1" w:styleId="Style1-allborders">
    <w:name w:val="Style1 - all borders"/>
    <w:basedOn w:val="TableNormal"/>
    <w:uiPriority w:val="99"/>
    <w:rsid w:val="008F60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tcMar>
        <w:top w:w="57" w:type="dxa"/>
        <w:left w:w="85" w:type="dxa"/>
        <w:bottom w:w="57" w:type="dxa"/>
        <w:right w:w="85" w:type="dxa"/>
      </w:tcMar>
    </w:tcPr>
  </w:style>
  <w:style w:type="character" w:customStyle="1" w:styleId="StyleBold">
    <w:name w:val="Style Bold"/>
    <w:rsid w:val="0088195E"/>
    <w:rPr>
      <w:b/>
      <w:bCs/>
    </w:rPr>
  </w:style>
  <w:style w:type="table" w:customStyle="1" w:styleId="Style2-topandbottomborders">
    <w:name w:val="Style2 - top and bottom borders"/>
    <w:basedOn w:val="TableNormal"/>
    <w:uiPriority w:val="99"/>
    <w:rsid w:val="008F601D"/>
    <w:pPr>
      <w:spacing w:after="0"/>
    </w:pPr>
    <w:tblPr>
      <w:tblBorders>
        <w:top w:val="single" w:sz="4" w:space="0" w:color="auto"/>
        <w:bottom w:val="single" w:sz="4" w:space="0" w:color="auto"/>
      </w:tblBorders>
      <w:tblCellMar>
        <w:top w:w="57" w:type="dxa"/>
        <w:left w:w="85" w:type="dxa"/>
        <w:bottom w:w="57" w:type="dxa"/>
        <w:right w:w="85" w:type="dxa"/>
      </w:tblCellMar>
    </w:tblPr>
    <w:tcPr>
      <w:tcMar>
        <w:top w:w="57" w:type="dxa"/>
        <w:left w:w="85" w:type="dxa"/>
        <w:bottom w:w="57" w:type="dxa"/>
        <w:right w:w="85" w:type="dxa"/>
      </w:tcMar>
    </w:tcPr>
  </w:style>
  <w:style w:type="paragraph" w:styleId="FootnoteText">
    <w:name w:val="footnote text"/>
    <w:basedOn w:val="Normal"/>
    <w:link w:val="FootnoteTextChar"/>
    <w:rsid w:val="00465AC1"/>
    <w:pPr>
      <w:spacing w:after="0"/>
    </w:pPr>
    <w:rPr>
      <w:sz w:val="18"/>
      <w:szCs w:val="20"/>
    </w:rPr>
  </w:style>
  <w:style w:type="character" w:customStyle="1" w:styleId="FootnoteTextChar">
    <w:name w:val="Footnote Text Char"/>
    <w:basedOn w:val="DefaultParagraphFont"/>
    <w:link w:val="FootnoteText"/>
    <w:uiPriority w:val="99"/>
    <w:rsid w:val="0017432B"/>
    <w:rPr>
      <w:sz w:val="18"/>
      <w:szCs w:val="20"/>
    </w:rPr>
  </w:style>
  <w:style w:type="character" w:styleId="FootnoteReference">
    <w:name w:val="footnote reference"/>
    <w:basedOn w:val="DefaultParagraphFont"/>
    <w:rsid w:val="00465AC1"/>
    <w:rPr>
      <w:vertAlign w:val="superscript"/>
    </w:rPr>
  </w:style>
  <w:style w:type="character" w:styleId="BookTitle">
    <w:name w:val="Book Title"/>
    <w:basedOn w:val="DefaultParagraphFont"/>
    <w:uiPriority w:val="33"/>
    <w:semiHidden/>
    <w:rsid w:val="0017432B"/>
    <w:rPr>
      <w:b/>
      <w:bCs/>
      <w:i/>
      <w:iCs/>
      <w:spacing w:val="5"/>
    </w:rPr>
  </w:style>
  <w:style w:type="paragraph" w:customStyle="1" w:styleId="BodyText0">
    <w:name w:val="Body Text."/>
    <w:basedOn w:val="Normal"/>
    <w:rsid w:val="00940969"/>
    <w:pPr>
      <w:spacing w:before="240" w:after="0" w:line="260" w:lineRule="exact"/>
    </w:pPr>
    <w:rPr>
      <w:rFonts w:eastAsia="Times New Roman"/>
      <w:szCs w:val="20"/>
      <w:lang w:eastAsia="en-AU"/>
    </w:rPr>
  </w:style>
  <w:style w:type="character" w:styleId="CommentReference">
    <w:name w:val="annotation reference"/>
    <w:basedOn w:val="DefaultParagraphFont"/>
    <w:uiPriority w:val="99"/>
    <w:semiHidden/>
    <w:unhideWhenUsed/>
    <w:rsid w:val="003713A5"/>
    <w:rPr>
      <w:sz w:val="16"/>
      <w:szCs w:val="16"/>
    </w:rPr>
  </w:style>
  <w:style w:type="paragraph" w:styleId="CommentText">
    <w:name w:val="annotation text"/>
    <w:basedOn w:val="Normal"/>
    <w:link w:val="CommentTextChar"/>
    <w:uiPriority w:val="99"/>
    <w:semiHidden/>
    <w:unhideWhenUsed/>
    <w:rsid w:val="003713A5"/>
    <w:rPr>
      <w:sz w:val="20"/>
      <w:szCs w:val="20"/>
    </w:rPr>
  </w:style>
  <w:style w:type="character" w:customStyle="1" w:styleId="CommentTextChar">
    <w:name w:val="Comment Text Char"/>
    <w:basedOn w:val="DefaultParagraphFont"/>
    <w:link w:val="CommentText"/>
    <w:uiPriority w:val="99"/>
    <w:semiHidden/>
    <w:rsid w:val="003713A5"/>
    <w:rPr>
      <w:sz w:val="20"/>
      <w:szCs w:val="20"/>
    </w:rPr>
  </w:style>
  <w:style w:type="paragraph" w:styleId="CommentSubject">
    <w:name w:val="annotation subject"/>
    <w:basedOn w:val="CommentText"/>
    <w:next w:val="CommentText"/>
    <w:link w:val="CommentSubjectChar"/>
    <w:uiPriority w:val="99"/>
    <w:semiHidden/>
    <w:unhideWhenUsed/>
    <w:rsid w:val="003713A5"/>
    <w:rPr>
      <w:b/>
      <w:bCs/>
    </w:rPr>
  </w:style>
  <w:style w:type="character" w:customStyle="1" w:styleId="CommentSubjectChar">
    <w:name w:val="Comment Subject Char"/>
    <w:basedOn w:val="CommentTextChar"/>
    <w:link w:val="CommentSubject"/>
    <w:uiPriority w:val="99"/>
    <w:semiHidden/>
    <w:rsid w:val="003713A5"/>
    <w:rPr>
      <w:b/>
      <w:bCs/>
      <w:sz w:val="20"/>
      <w:szCs w:val="20"/>
    </w:rPr>
  </w:style>
  <w:style w:type="paragraph" w:styleId="BalloonText">
    <w:name w:val="Balloon Text"/>
    <w:basedOn w:val="Normal"/>
    <w:link w:val="BalloonTextChar"/>
    <w:uiPriority w:val="99"/>
    <w:semiHidden/>
    <w:unhideWhenUsed/>
    <w:rsid w:val="003713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3A5"/>
    <w:rPr>
      <w:rFonts w:ascii="Segoe UI" w:hAnsi="Segoe UI" w:cs="Segoe UI"/>
      <w:sz w:val="18"/>
      <w:szCs w:val="18"/>
    </w:rPr>
  </w:style>
  <w:style w:type="numbering" w:customStyle="1" w:styleId="Text">
    <w:name w:val="Text"/>
    <w:rsid w:val="003B62E8"/>
    <w:pPr>
      <w:numPr>
        <w:numId w:val="14"/>
      </w:numPr>
    </w:pPr>
  </w:style>
  <w:style w:type="character" w:customStyle="1" w:styleId="BlockTextChar">
    <w:name w:val="Block Text Char"/>
    <w:basedOn w:val="DefaultParagraphFont"/>
    <w:link w:val="BlockText"/>
    <w:rsid w:val="003B62E8"/>
    <w:rPr>
      <w:rFonts w:eastAsiaTheme="minorEastAsia"/>
      <w:iCs/>
    </w:rPr>
  </w:style>
  <w:style w:type="paragraph" w:customStyle="1" w:styleId="HeadingThree">
    <w:name w:val="Heading Three"/>
    <w:basedOn w:val="Normal"/>
    <w:rsid w:val="001B0534"/>
    <w:pPr>
      <w:keepNext/>
      <w:keepLines/>
      <w:spacing w:before="360" w:after="120"/>
    </w:pPr>
    <w:rPr>
      <w:rFonts w:eastAsia="Times New Roman"/>
      <w:b/>
      <w:bCs/>
      <w:i/>
      <w:iCs/>
      <w:szCs w:val="20"/>
      <w:lang w:eastAsia="en-AU"/>
    </w:rPr>
  </w:style>
  <w:style w:type="paragraph" w:customStyle="1" w:styleId="ExampleBox">
    <w:name w:val="Example Box"/>
    <w:rsid w:val="001B0534"/>
    <w:pPr>
      <w:pBdr>
        <w:top w:val="single" w:sz="4" w:space="1" w:color="auto"/>
        <w:left w:val="single" w:sz="4" w:space="4" w:color="auto"/>
        <w:bottom w:val="single" w:sz="4" w:space="1" w:color="auto"/>
        <w:right w:val="single" w:sz="4" w:space="4" w:color="auto"/>
      </w:pBdr>
      <w:shd w:val="clear" w:color="auto" w:fill="F3F3F3"/>
      <w:spacing w:before="120" w:after="120"/>
    </w:pPr>
    <w:rPr>
      <w:rFonts w:eastAsia="Times New Roman"/>
      <w:szCs w:val="20"/>
      <w:lang w:eastAsia="en-AU"/>
    </w:rPr>
  </w:style>
  <w:style w:type="paragraph" w:customStyle="1" w:styleId="HeadingFour">
    <w:name w:val="Heading Four"/>
    <w:basedOn w:val="HeadingThree"/>
    <w:rsid w:val="001800B1"/>
    <w:rPr>
      <w:b w:val="0"/>
      <w:bCs w:val="0"/>
      <w:u w:val="single"/>
    </w:rPr>
  </w:style>
  <w:style w:type="character" w:styleId="FollowedHyperlink">
    <w:name w:val="FollowedHyperlink"/>
    <w:basedOn w:val="DefaultParagraphFont"/>
    <w:uiPriority w:val="99"/>
    <w:semiHidden/>
    <w:unhideWhenUsed/>
    <w:rsid w:val="00BA1625"/>
    <w:rPr>
      <w:color w:val="8C4799" w:themeColor="followedHyperlink"/>
      <w:u w:val="single"/>
    </w:rPr>
  </w:style>
  <w:style w:type="paragraph" w:customStyle="1" w:styleId="HeadingTwo">
    <w:name w:val="Heading Two"/>
    <w:basedOn w:val="Normal"/>
    <w:rsid w:val="00D07968"/>
    <w:pPr>
      <w:keepNext/>
      <w:keepLines/>
      <w:pBdr>
        <w:bottom w:val="single" w:sz="4" w:space="1" w:color="auto"/>
      </w:pBdr>
      <w:spacing w:before="360" w:after="120"/>
    </w:pPr>
    <w:rPr>
      <w:rFonts w:eastAsia="Times New Roman"/>
      <w:b/>
      <w:bCs/>
      <w:szCs w:val="20"/>
      <w:lang w:eastAsia="en-AU"/>
    </w:rPr>
  </w:style>
  <w:style w:type="paragraph" w:customStyle="1" w:styleId="Section">
    <w:name w:val="Section"/>
    <w:basedOn w:val="Normal"/>
    <w:rsid w:val="00D079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rFonts w:ascii="Times New Roman" w:eastAsia="Times New Roman" w:hAnsi="Times New Roman"/>
      <w:spacing w:val="-3"/>
      <w:sz w:val="26"/>
      <w:szCs w:val="20"/>
      <w:lang w:val="en-GB" w:eastAsia="en-AU"/>
    </w:rPr>
  </w:style>
  <w:style w:type="paragraph" w:styleId="Revision">
    <w:name w:val="Revision"/>
    <w:hidden/>
    <w:uiPriority w:val="99"/>
    <w:semiHidden/>
    <w:rsid w:val="0043727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mailto:ntrevenue@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BC5915"/>
      </a:dk2>
      <a:lt2>
        <a:srgbClr val="FFFFFF"/>
      </a:lt2>
      <a:accent1>
        <a:srgbClr val="527AA1"/>
      </a:accent1>
      <a:accent2>
        <a:srgbClr val="77794B"/>
      </a:accent2>
      <a:accent3>
        <a:srgbClr val="6E7C00"/>
      </a:accent3>
      <a:accent4>
        <a:srgbClr val="8C4799"/>
      </a:accent4>
      <a:accent5>
        <a:srgbClr val="A26B21"/>
      </a:accent5>
      <a:accent6>
        <a:srgbClr val="BD47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44C52-E679-40CC-8E97-9CF61C0F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Commissioner’s Guideline: Concessional interest rate</vt:lpstr>
    </vt:vector>
  </TitlesOfParts>
  <Company>Northern Territory Government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Guideline: Concessional interest rate</dc:title>
  <dc:creator>Northern Territory Government</dc:creator>
  <cp:lastModifiedBy>Jessica Symonds</cp:lastModifiedBy>
  <cp:revision>4</cp:revision>
  <cp:lastPrinted>2016-02-04T04:37:00Z</cp:lastPrinted>
  <dcterms:created xsi:type="dcterms:W3CDTF">2019-12-16T06:09:00Z</dcterms:created>
  <dcterms:modified xsi:type="dcterms:W3CDTF">2021-09-08T08:02:00Z</dcterms:modified>
</cp:coreProperties>
</file>