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Title"/>
        <w:id w:val="-509987125"/>
        <w:lock w:val="sdtLocked"/>
        <w:placeholder>
          <w:docPart w:val="AD33649769494524B27756A0A33D4BF2"/>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005F0147" w14:textId="3A099983" w:rsidR="00886C9D" w:rsidRPr="00886C9D" w:rsidRDefault="00273C62" w:rsidP="009F0166">
          <w:pPr>
            <w:pStyle w:val="Title"/>
          </w:pPr>
          <w:r>
            <w:t>Commissioner’s Guideline: Requirement for full and true disclosure</w:t>
          </w:r>
        </w:p>
      </w:sdtContent>
    </w:sdt>
    <w:p w14:paraId="57C0A62E" w14:textId="15650023" w:rsidR="00BD0F38" w:rsidRPr="00E77ACA" w:rsidRDefault="00273C62" w:rsidP="009F0166">
      <w:pPr>
        <w:pStyle w:val="Subtitle0"/>
        <w:sectPr w:rsidR="00BD0F38" w:rsidRPr="00E77ACA"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r>
        <w:t>CG-GEN-005</w:t>
      </w:r>
    </w:p>
    <w:tbl>
      <w:tblPr>
        <w:tblStyle w:val="NTGtable1"/>
        <w:tblW w:w="10348" w:type="dxa"/>
        <w:tblLook w:val="0480" w:firstRow="0" w:lastRow="0" w:firstColumn="1" w:lastColumn="0" w:noHBand="0" w:noVBand="1"/>
      </w:tblPr>
      <w:tblGrid>
        <w:gridCol w:w="2410"/>
        <w:gridCol w:w="7938"/>
      </w:tblGrid>
      <w:tr w:rsidR="00832B35" w14:paraId="00C2AA00"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14:paraId="14B4250E" w14:textId="77777777" w:rsidR="00832B35" w:rsidRPr="00FB0A2D" w:rsidRDefault="00832B35" w:rsidP="009F0166">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14:paraId="5DFE52FD" w14:textId="15512D28" w:rsidR="00832B35" w:rsidRPr="00050358" w:rsidRDefault="00CD1DC5" w:rsidP="009F0166">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C4B7B498AD6046EF83EE2ABC24714692"/>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273C62">
                  <w:t>Commissioner’s Guideline: Requirement for full and true disclosure</w:t>
                </w:r>
              </w:sdtContent>
            </w:sdt>
          </w:p>
        </w:tc>
      </w:tr>
      <w:tr w:rsidR="00832B35" w14:paraId="095A2843"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47007FAA" w14:textId="77777777" w:rsidR="00832B35" w:rsidRPr="00FB0A2D" w:rsidRDefault="00832B35" w:rsidP="009F0166">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14:paraId="792E8967" w14:textId="1EB879B6" w:rsidR="00832B35" w:rsidRPr="00050358" w:rsidRDefault="009F0166" w:rsidP="009F0166">
            <w:pPr>
              <w:cnfStyle w:val="000000010000" w:firstRow="0" w:lastRow="0" w:firstColumn="0" w:lastColumn="0" w:oddVBand="0" w:evenVBand="0" w:oddHBand="0" w:evenHBand="1" w:firstRowFirstColumn="0" w:firstRowLastColumn="0" w:lastRowFirstColumn="0" w:lastRowLastColumn="0"/>
            </w:pPr>
            <w:r>
              <w:t>Territory Revenue Office</w:t>
            </w:r>
          </w:p>
        </w:tc>
      </w:tr>
      <w:tr w:rsidR="00832B35" w14:paraId="0D769D09"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62C73EEC" w14:textId="77777777" w:rsidR="00832B35" w:rsidRPr="00FB0A2D" w:rsidRDefault="00832B35" w:rsidP="009F0166">
            <w:pPr>
              <w:rPr>
                <w:b/>
                <w:color w:val="FFFFFF" w:themeColor="background1"/>
              </w:rPr>
            </w:pPr>
            <w:r w:rsidRPr="00FB0A2D">
              <w:rPr>
                <w:b/>
                <w:color w:val="FFFFFF" w:themeColor="background1"/>
              </w:rPr>
              <w:t>Approved by</w:t>
            </w:r>
          </w:p>
        </w:tc>
        <w:tc>
          <w:tcPr>
            <w:tcW w:w="7938" w:type="dxa"/>
            <w:tcBorders>
              <w:top w:val="nil"/>
              <w:left w:val="single" w:sz="4" w:space="0" w:color="1F1F5F" w:themeColor="text1"/>
              <w:bottom w:val="nil"/>
              <w:right w:val="single" w:sz="4" w:space="0" w:color="1F1F5F" w:themeColor="text1"/>
            </w:tcBorders>
          </w:tcPr>
          <w:p w14:paraId="10C5C080" w14:textId="5D6E6FD7" w:rsidR="00832B35" w:rsidRPr="00050358" w:rsidRDefault="009F0166" w:rsidP="009F0166">
            <w:pPr>
              <w:cnfStyle w:val="000000100000" w:firstRow="0" w:lastRow="0" w:firstColumn="0" w:lastColumn="0" w:oddVBand="0" w:evenVBand="0" w:oddHBand="1" w:evenHBand="0" w:firstRowFirstColumn="0" w:firstRowLastColumn="0" w:lastRowFirstColumn="0" w:lastRowLastColumn="0"/>
            </w:pPr>
            <w:r>
              <w:t>Sarah Rummery, Commissioner of Revenue</w:t>
            </w:r>
          </w:p>
        </w:tc>
      </w:tr>
      <w:tr w:rsidR="00832B35" w14:paraId="276B081A"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1A730E08" w14:textId="77777777" w:rsidR="00832B35" w:rsidRPr="00FB0A2D" w:rsidRDefault="00832B35" w:rsidP="009F0166">
            <w:pPr>
              <w:rPr>
                <w:b/>
                <w:color w:val="FFFFFF" w:themeColor="background1"/>
              </w:rPr>
            </w:pPr>
            <w:r w:rsidRPr="00FB0A2D">
              <w:rPr>
                <w:b/>
                <w:color w:val="FFFFFF" w:themeColor="background1"/>
              </w:rPr>
              <w:t>Date approved</w:t>
            </w:r>
          </w:p>
        </w:tc>
        <w:tc>
          <w:tcPr>
            <w:tcW w:w="7938" w:type="dxa"/>
            <w:tcBorders>
              <w:top w:val="nil"/>
              <w:left w:val="single" w:sz="4" w:space="0" w:color="1F1F5F" w:themeColor="text1"/>
              <w:bottom w:val="nil"/>
              <w:right w:val="single" w:sz="4" w:space="0" w:color="1F1F5F" w:themeColor="text1"/>
            </w:tcBorders>
          </w:tcPr>
          <w:p w14:paraId="4AEDFF61" w14:textId="38784978" w:rsidR="00832B35" w:rsidRPr="00050358" w:rsidRDefault="009F0166" w:rsidP="009F0166">
            <w:pPr>
              <w:cnfStyle w:val="000000010000" w:firstRow="0" w:lastRow="0" w:firstColumn="0" w:lastColumn="0" w:oddVBand="0" w:evenVBand="0" w:oddHBand="0" w:evenHBand="1" w:firstRowFirstColumn="0" w:firstRowLastColumn="0" w:lastRowFirstColumn="0" w:lastRowLastColumn="0"/>
            </w:pPr>
            <w:r>
              <w:t>1 July 2024</w:t>
            </w:r>
          </w:p>
        </w:tc>
      </w:tr>
    </w:tbl>
    <w:p w14:paraId="453F15F8" w14:textId="77777777" w:rsidR="00832B35" w:rsidRDefault="00832B35" w:rsidP="009F0166"/>
    <w:tbl>
      <w:tblPr>
        <w:tblStyle w:val="NTGtable1"/>
        <w:tblW w:w="10341" w:type="dxa"/>
        <w:tblLayout w:type="fixed"/>
        <w:tblLook w:val="0120" w:firstRow="1" w:lastRow="0" w:firstColumn="0" w:lastColumn="1" w:noHBand="0" w:noVBand="0"/>
      </w:tblPr>
      <w:tblGrid>
        <w:gridCol w:w="1128"/>
        <w:gridCol w:w="2268"/>
        <w:gridCol w:w="2551"/>
        <w:gridCol w:w="4394"/>
      </w:tblGrid>
      <w:tr w:rsidR="00273C62" w:rsidRPr="00050358" w14:paraId="12752BC7" w14:textId="77777777" w:rsidTr="00162F44">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Merge w:val="restart"/>
          </w:tcPr>
          <w:p w14:paraId="203AB38C" w14:textId="617EFB78" w:rsidR="00273C62" w:rsidRPr="00273C62" w:rsidRDefault="00273C62" w:rsidP="009F0166">
            <w:pPr>
              <w:rPr>
                <w:b w:val="0"/>
              </w:rPr>
            </w:pPr>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vMerge w:val="restart"/>
          </w:tcPr>
          <w:p w14:paraId="0706BD48" w14:textId="025D4141" w:rsidR="00273C62" w:rsidRPr="00050358" w:rsidRDefault="00273C62" w:rsidP="009F0166">
            <w:r>
              <w:t>Issue Date</w:t>
            </w:r>
          </w:p>
        </w:tc>
        <w:tc>
          <w:tcPr>
            <w:cnfStyle w:val="000100001000" w:firstRow="0" w:lastRow="0" w:firstColumn="0" w:lastColumn="1" w:oddVBand="0" w:evenVBand="0" w:oddHBand="0" w:evenHBand="0" w:firstRowFirstColumn="0" w:firstRowLastColumn="1" w:lastRowFirstColumn="0" w:lastRowLastColumn="0"/>
            <w:tcW w:w="6945" w:type="dxa"/>
            <w:gridSpan w:val="2"/>
          </w:tcPr>
          <w:p w14:paraId="704B43CE" w14:textId="248D02C4" w:rsidR="00273C62" w:rsidRPr="00050358" w:rsidRDefault="00273C62" w:rsidP="009F0166">
            <w:r>
              <w:t xml:space="preserve">Dates of </w:t>
            </w:r>
            <w:r w:rsidR="009F0166">
              <w:t>effect</w:t>
            </w:r>
          </w:p>
        </w:tc>
      </w:tr>
      <w:tr w:rsidR="00273C62" w:rsidRPr="00050358" w14:paraId="1AE234D2" w14:textId="77777777" w:rsidTr="00273C62">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Merge/>
          </w:tcPr>
          <w:p w14:paraId="341D212C" w14:textId="13E95270" w:rsidR="00273C62" w:rsidRPr="00050358" w:rsidRDefault="00273C62" w:rsidP="009F0166"/>
        </w:tc>
        <w:tc>
          <w:tcPr>
            <w:cnfStyle w:val="000001000000" w:firstRow="0" w:lastRow="0" w:firstColumn="0" w:lastColumn="0" w:oddVBand="0" w:evenVBand="1" w:oddHBand="0" w:evenHBand="0" w:firstRowFirstColumn="0" w:firstRowLastColumn="0" w:lastRowFirstColumn="0" w:lastRowLastColumn="0"/>
            <w:tcW w:w="2268" w:type="dxa"/>
            <w:vMerge/>
          </w:tcPr>
          <w:p w14:paraId="5C8E7172" w14:textId="24909EC5" w:rsidR="00273C62" w:rsidRPr="00050358" w:rsidRDefault="00273C62" w:rsidP="009F0166"/>
        </w:tc>
        <w:tc>
          <w:tcPr>
            <w:cnfStyle w:val="000010000000" w:firstRow="0" w:lastRow="0" w:firstColumn="0" w:lastColumn="0" w:oddVBand="1" w:evenVBand="0" w:oddHBand="0" w:evenHBand="0" w:firstRowFirstColumn="0" w:firstRowLastColumn="0" w:lastRowFirstColumn="0" w:lastRowLastColumn="0"/>
            <w:tcW w:w="2551" w:type="dxa"/>
            <w:shd w:val="clear" w:color="auto" w:fill="1F1F5F" w:themeFill="text1"/>
          </w:tcPr>
          <w:p w14:paraId="5FA301CC" w14:textId="18D13E5B" w:rsidR="00273C62" w:rsidRPr="00050358" w:rsidRDefault="00273C62" w:rsidP="009F0166">
            <w:r>
              <w:t>From:</w:t>
            </w:r>
          </w:p>
        </w:tc>
        <w:tc>
          <w:tcPr>
            <w:cnfStyle w:val="000100000000" w:firstRow="0" w:lastRow="0" w:firstColumn="0" w:lastColumn="1" w:oddVBand="0" w:evenVBand="0" w:oddHBand="0" w:evenHBand="0" w:firstRowFirstColumn="0" w:firstRowLastColumn="0" w:lastRowFirstColumn="0" w:lastRowLastColumn="0"/>
            <w:tcW w:w="4394" w:type="dxa"/>
            <w:shd w:val="clear" w:color="auto" w:fill="1F1F5F" w:themeFill="text1"/>
          </w:tcPr>
          <w:p w14:paraId="0B88D1B8" w14:textId="5780C086" w:rsidR="00273C62" w:rsidRPr="00050358" w:rsidRDefault="00273C62" w:rsidP="009F0166">
            <w:r>
              <w:t>To:</w:t>
            </w:r>
          </w:p>
        </w:tc>
      </w:tr>
      <w:tr w:rsidR="003223FE" w:rsidRPr="00050358" w14:paraId="287833E3"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73111FDF" w14:textId="0166BFD5" w:rsidR="003223FE" w:rsidRPr="00050358" w:rsidRDefault="00273C62" w:rsidP="009F0166">
            <w:r>
              <w:t>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7300A811" w14:textId="337CF5E4" w:rsidR="003223FE" w:rsidRPr="00050358" w:rsidRDefault="00273C62" w:rsidP="009F0166">
            <w:r>
              <w:t>2 January 2008</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7B3C9054" w14:textId="15CE815B" w:rsidR="003223FE" w:rsidRPr="00050358" w:rsidRDefault="00273C62" w:rsidP="009F0166">
            <w:r>
              <w:t>1 January 2008</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5D79E5F8" w14:textId="737D96DD" w:rsidR="003223FE" w:rsidRPr="00050358" w:rsidRDefault="00273C62" w:rsidP="009F0166">
            <w:r>
              <w:t>30 June 2024</w:t>
            </w:r>
          </w:p>
        </w:tc>
      </w:tr>
      <w:tr w:rsidR="003223FE" w:rsidRPr="00050358" w14:paraId="4F649151"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14:paraId="266B484F" w14:textId="5DD9F81D" w:rsidR="003223FE" w:rsidRPr="00050358" w:rsidRDefault="00273C62" w:rsidP="009F0166">
            <w:r>
              <w:t>2</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14:paraId="7CC1C50E" w14:textId="084D20BD" w:rsidR="003223FE" w:rsidRPr="00050358" w:rsidRDefault="00273C62" w:rsidP="009F0166">
            <w:r>
              <w:t>1 July 2024</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tcPr>
          <w:p w14:paraId="30B1996E" w14:textId="79E8687F" w:rsidR="003223FE" w:rsidRPr="00050358" w:rsidRDefault="00273C62" w:rsidP="009F0166">
            <w:r>
              <w:t>1 July 2024</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tcPr>
          <w:p w14:paraId="2857E7CE" w14:textId="2A5CAD10" w:rsidR="003223FE" w:rsidRPr="00050358" w:rsidRDefault="00273C62" w:rsidP="009F0166">
            <w:r>
              <w:t>Current</w:t>
            </w:r>
          </w:p>
        </w:tc>
      </w:tr>
    </w:tbl>
    <w:p w14:paraId="6027B534" w14:textId="77777777" w:rsidR="003223FE" w:rsidRDefault="003223FE" w:rsidP="009F0166"/>
    <w:tbl>
      <w:tblPr>
        <w:tblStyle w:val="NTGtable1"/>
        <w:tblW w:w="10341" w:type="dxa"/>
        <w:tblLayout w:type="fixed"/>
        <w:tblLook w:val="0120" w:firstRow="1" w:lastRow="0" w:firstColumn="0" w:lastColumn="1" w:noHBand="0" w:noVBand="0"/>
      </w:tblPr>
      <w:tblGrid>
        <w:gridCol w:w="1979"/>
        <w:gridCol w:w="8362"/>
      </w:tblGrid>
      <w:tr w:rsidR="003223FE" w:rsidRPr="00E87DE1" w14:paraId="1B8A6C9C"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E5F717E" w14:textId="77777777" w:rsidR="003223FE" w:rsidRPr="00E87DE1" w:rsidRDefault="003223FE" w:rsidP="009F0166">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5E91D44D" w14:textId="77777777" w:rsidR="003223FE" w:rsidRPr="00E87DE1" w:rsidRDefault="003223FE" w:rsidP="009F0166">
            <w:r w:rsidRPr="00E87DE1">
              <w:rPr>
                <w:w w:val="105"/>
              </w:rPr>
              <w:t>Full</w:t>
            </w:r>
            <w:r w:rsidRPr="00E87DE1">
              <w:rPr>
                <w:spacing w:val="-17"/>
                <w:w w:val="105"/>
              </w:rPr>
              <w:t xml:space="preserve"> </w:t>
            </w:r>
            <w:r w:rsidRPr="00E87DE1">
              <w:rPr>
                <w:w w:val="105"/>
              </w:rPr>
              <w:t>form</w:t>
            </w:r>
          </w:p>
        </w:tc>
      </w:tr>
      <w:tr w:rsidR="003223FE" w:rsidRPr="00E87DE1" w14:paraId="247FCFA4"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8755FF6" w14:textId="5F8B6548" w:rsidR="003223FE" w:rsidRPr="00050358" w:rsidRDefault="00473632" w:rsidP="009F0166">
            <w:r>
              <w:t>MRA24</w:t>
            </w:r>
          </w:p>
        </w:tc>
        <w:tc>
          <w:tcPr>
            <w:cnfStyle w:val="000100000000" w:firstRow="0" w:lastRow="0" w:firstColumn="0" w:lastColumn="1" w:oddVBand="0" w:evenVBand="0" w:oddHBand="0" w:evenHBand="0" w:firstRowFirstColumn="0" w:firstRowLastColumn="0" w:lastRowFirstColumn="0" w:lastRowLastColumn="0"/>
            <w:tcW w:w="8362" w:type="dxa"/>
          </w:tcPr>
          <w:p w14:paraId="39EF1831" w14:textId="2ADFE51C" w:rsidR="003223FE" w:rsidRPr="00473632" w:rsidRDefault="00473632" w:rsidP="009F0166">
            <w:pPr>
              <w:rPr>
                <w:i/>
                <w:iCs/>
              </w:rPr>
            </w:pPr>
            <w:r w:rsidRPr="00473632">
              <w:rPr>
                <w:i/>
                <w:iCs/>
              </w:rPr>
              <w:t>Mineral Royalties Act 2024</w:t>
            </w:r>
          </w:p>
        </w:tc>
      </w:tr>
      <w:tr w:rsidR="003223FE" w:rsidRPr="00E87DE1" w14:paraId="44F03571"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64D9720" w14:textId="2808C2BD" w:rsidR="003223FE" w:rsidRPr="00050358" w:rsidRDefault="00473632" w:rsidP="009F0166">
            <w:r>
              <w:t>PRA</w:t>
            </w:r>
          </w:p>
        </w:tc>
        <w:tc>
          <w:tcPr>
            <w:cnfStyle w:val="000100000000" w:firstRow="0" w:lastRow="0" w:firstColumn="0" w:lastColumn="1" w:oddVBand="0" w:evenVBand="0" w:oddHBand="0" w:evenHBand="0" w:firstRowFirstColumn="0" w:firstRowLastColumn="0" w:lastRowFirstColumn="0" w:lastRowLastColumn="0"/>
            <w:tcW w:w="8362" w:type="dxa"/>
          </w:tcPr>
          <w:p w14:paraId="79AB8A93" w14:textId="6B6BADFF" w:rsidR="003223FE" w:rsidRPr="00473632" w:rsidRDefault="00473632" w:rsidP="009F0166">
            <w:pPr>
              <w:rPr>
                <w:i/>
                <w:iCs/>
              </w:rPr>
            </w:pPr>
            <w:r w:rsidRPr="00473632">
              <w:rPr>
                <w:i/>
                <w:iCs/>
              </w:rPr>
              <w:t>Petroleum Royalty Act 2023</w:t>
            </w:r>
          </w:p>
        </w:tc>
      </w:tr>
      <w:tr w:rsidR="003223FE" w:rsidRPr="00E87DE1" w14:paraId="55800D8E"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E3F1C9F" w14:textId="70AC00B3" w:rsidR="003223FE" w:rsidRPr="00050358" w:rsidRDefault="00473632" w:rsidP="009F0166">
            <w:r>
              <w:t>TRO</w:t>
            </w:r>
          </w:p>
        </w:tc>
        <w:tc>
          <w:tcPr>
            <w:cnfStyle w:val="000100000000" w:firstRow="0" w:lastRow="0" w:firstColumn="0" w:lastColumn="1" w:oddVBand="0" w:evenVBand="0" w:oddHBand="0" w:evenHBand="0" w:firstRowFirstColumn="0" w:firstRowLastColumn="0" w:lastRowFirstColumn="0" w:lastRowLastColumn="0"/>
            <w:tcW w:w="8362" w:type="dxa"/>
          </w:tcPr>
          <w:p w14:paraId="6639E12B" w14:textId="75D3ED31" w:rsidR="003223FE" w:rsidRPr="00050358" w:rsidRDefault="00473632" w:rsidP="009F0166">
            <w:r>
              <w:t>Territory Revenue Office</w:t>
            </w:r>
          </w:p>
        </w:tc>
      </w:tr>
    </w:tbl>
    <w:p w14:paraId="0DBBE621" w14:textId="77777777" w:rsidR="00702D61" w:rsidRDefault="00702D61" w:rsidP="009F0166">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7C7837E2" w14:textId="77777777" w:rsidR="00964B22" w:rsidRPr="00422874" w:rsidRDefault="00964B22" w:rsidP="009F0166">
          <w:pPr>
            <w:pStyle w:val="TOCHeading"/>
            <w:tabs>
              <w:tab w:val="left" w:pos="8601"/>
            </w:tabs>
            <w:rPr>
              <w:lang w:eastAsia="ja-JP"/>
            </w:rPr>
          </w:pPr>
          <w:r w:rsidRPr="00422874">
            <w:t>Contents</w:t>
          </w:r>
        </w:p>
        <w:p w14:paraId="1EB4CCC2" w14:textId="50CBD158" w:rsidR="00CD1DC5" w:rsidRDefault="006747E0">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70396787" w:history="1">
            <w:r w:rsidR="00CD1DC5" w:rsidRPr="00113383">
              <w:rPr>
                <w:rStyle w:val="Hyperlink"/>
                <w:noProof/>
                <w:lang w:eastAsia="en-AU"/>
              </w:rPr>
              <w:t>Purpose</w:t>
            </w:r>
            <w:r w:rsidR="00CD1DC5">
              <w:rPr>
                <w:noProof/>
                <w:webHidden/>
              </w:rPr>
              <w:tab/>
            </w:r>
            <w:r w:rsidR="00CD1DC5">
              <w:rPr>
                <w:noProof/>
                <w:webHidden/>
              </w:rPr>
              <w:fldChar w:fldCharType="begin"/>
            </w:r>
            <w:r w:rsidR="00CD1DC5">
              <w:rPr>
                <w:noProof/>
                <w:webHidden/>
              </w:rPr>
              <w:instrText xml:space="preserve"> PAGEREF _Toc170396787 \h </w:instrText>
            </w:r>
            <w:r w:rsidR="00CD1DC5">
              <w:rPr>
                <w:noProof/>
                <w:webHidden/>
              </w:rPr>
            </w:r>
            <w:r w:rsidR="00CD1DC5">
              <w:rPr>
                <w:noProof/>
                <w:webHidden/>
              </w:rPr>
              <w:fldChar w:fldCharType="separate"/>
            </w:r>
            <w:r w:rsidR="00CD1DC5">
              <w:rPr>
                <w:noProof/>
                <w:webHidden/>
              </w:rPr>
              <w:t>4</w:t>
            </w:r>
            <w:r w:rsidR="00CD1DC5">
              <w:rPr>
                <w:noProof/>
                <w:webHidden/>
              </w:rPr>
              <w:fldChar w:fldCharType="end"/>
            </w:r>
          </w:hyperlink>
        </w:p>
        <w:p w14:paraId="191FF00B" w14:textId="2AF1C1DD" w:rsidR="00CD1DC5" w:rsidRDefault="00CD1DC5">
          <w:pPr>
            <w:pStyle w:val="TOC1"/>
            <w:rPr>
              <w:rFonts w:asciiTheme="minorHAnsi" w:eastAsiaTheme="minorEastAsia" w:hAnsiTheme="minorHAnsi" w:cstheme="minorBidi"/>
              <w:b w:val="0"/>
              <w:noProof/>
              <w:kern w:val="2"/>
              <w:lang w:eastAsia="en-AU"/>
              <w14:ligatures w14:val="standardContextual"/>
            </w:rPr>
          </w:pPr>
          <w:hyperlink w:anchor="_Toc170396788" w:history="1">
            <w:r w:rsidRPr="00113383">
              <w:rPr>
                <w:rStyle w:val="Hyperlink"/>
                <w:noProof/>
              </w:rPr>
              <w:t>Obligation to fully and truly disclose relevant facts and circumstances</w:t>
            </w:r>
            <w:r>
              <w:rPr>
                <w:noProof/>
                <w:webHidden/>
              </w:rPr>
              <w:tab/>
            </w:r>
            <w:r>
              <w:rPr>
                <w:noProof/>
                <w:webHidden/>
              </w:rPr>
              <w:fldChar w:fldCharType="begin"/>
            </w:r>
            <w:r>
              <w:rPr>
                <w:noProof/>
                <w:webHidden/>
              </w:rPr>
              <w:instrText xml:space="preserve"> PAGEREF _Toc170396788 \h </w:instrText>
            </w:r>
            <w:r>
              <w:rPr>
                <w:noProof/>
                <w:webHidden/>
              </w:rPr>
            </w:r>
            <w:r>
              <w:rPr>
                <w:noProof/>
                <w:webHidden/>
              </w:rPr>
              <w:fldChar w:fldCharType="separate"/>
            </w:r>
            <w:r>
              <w:rPr>
                <w:noProof/>
                <w:webHidden/>
              </w:rPr>
              <w:t>4</w:t>
            </w:r>
            <w:r>
              <w:rPr>
                <w:noProof/>
                <w:webHidden/>
              </w:rPr>
              <w:fldChar w:fldCharType="end"/>
            </w:r>
          </w:hyperlink>
        </w:p>
        <w:p w14:paraId="794886FF" w14:textId="7B44D372" w:rsidR="00CD1DC5" w:rsidRDefault="00CD1DC5">
          <w:pPr>
            <w:pStyle w:val="TOC1"/>
            <w:rPr>
              <w:rFonts w:asciiTheme="minorHAnsi" w:eastAsiaTheme="minorEastAsia" w:hAnsiTheme="minorHAnsi" w:cstheme="minorBidi"/>
              <w:b w:val="0"/>
              <w:noProof/>
              <w:kern w:val="2"/>
              <w:lang w:eastAsia="en-AU"/>
              <w14:ligatures w14:val="standardContextual"/>
            </w:rPr>
          </w:pPr>
          <w:hyperlink w:anchor="_Toc170396789" w:history="1">
            <w:r w:rsidRPr="00113383">
              <w:rPr>
                <w:rStyle w:val="Hyperlink"/>
                <w:noProof/>
              </w:rPr>
              <w:t>The disclosure is required ‘up front’</w:t>
            </w:r>
            <w:r>
              <w:rPr>
                <w:noProof/>
                <w:webHidden/>
              </w:rPr>
              <w:tab/>
            </w:r>
            <w:r>
              <w:rPr>
                <w:noProof/>
                <w:webHidden/>
              </w:rPr>
              <w:fldChar w:fldCharType="begin"/>
            </w:r>
            <w:r>
              <w:rPr>
                <w:noProof/>
                <w:webHidden/>
              </w:rPr>
              <w:instrText xml:space="preserve"> PAGEREF _Toc170396789 \h </w:instrText>
            </w:r>
            <w:r>
              <w:rPr>
                <w:noProof/>
                <w:webHidden/>
              </w:rPr>
            </w:r>
            <w:r>
              <w:rPr>
                <w:noProof/>
                <w:webHidden/>
              </w:rPr>
              <w:fldChar w:fldCharType="separate"/>
            </w:r>
            <w:r>
              <w:rPr>
                <w:noProof/>
                <w:webHidden/>
              </w:rPr>
              <w:t>5</w:t>
            </w:r>
            <w:r>
              <w:rPr>
                <w:noProof/>
                <w:webHidden/>
              </w:rPr>
              <w:fldChar w:fldCharType="end"/>
            </w:r>
          </w:hyperlink>
        </w:p>
        <w:p w14:paraId="6E6FDCE5" w14:textId="72CCE209" w:rsidR="00CD1DC5" w:rsidRDefault="00CD1DC5">
          <w:pPr>
            <w:pStyle w:val="TOC1"/>
            <w:rPr>
              <w:rFonts w:asciiTheme="minorHAnsi" w:eastAsiaTheme="minorEastAsia" w:hAnsiTheme="minorHAnsi" w:cstheme="minorBidi"/>
              <w:b w:val="0"/>
              <w:noProof/>
              <w:kern w:val="2"/>
              <w:lang w:eastAsia="en-AU"/>
              <w14:ligatures w14:val="standardContextual"/>
            </w:rPr>
          </w:pPr>
          <w:hyperlink w:anchor="_Toc170396790" w:history="1">
            <w:r w:rsidRPr="00113383">
              <w:rPr>
                <w:rStyle w:val="Hyperlink"/>
                <w:noProof/>
              </w:rPr>
              <w:t>Extent of the disclosure obligations</w:t>
            </w:r>
            <w:r>
              <w:rPr>
                <w:noProof/>
                <w:webHidden/>
              </w:rPr>
              <w:tab/>
            </w:r>
            <w:r>
              <w:rPr>
                <w:noProof/>
                <w:webHidden/>
              </w:rPr>
              <w:fldChar w:fldCharType="begin"/>
            </w:r>
            <w:r>
              <w:rPr>
                <w:noProof/>
                <w:webHidden/>
              </w:rPr>
              <w:instrText xml:space="preserve"> PAGEREF _Toc170396790 \h </w:instrText>
            </w:r>
            <w:r>
              <w:rPr>
                <w:noProof/>
                <w:webHidden/>
              </w:rPr>
            </w:r>
            <w:r>
              <w:rPr>
                <w:noProof/>
                <w:webHidden/>
              </w:rPr>
              <w:fldChar w:fldCharType="separate"/>
            </w:r>
            <w:r>
              <w:rPr>
                <w:noProof/>
                <w:webHidden/>
              </w:rPr>
              <w:t>5</w:t>
            </w:r>
            <w:r>
              <w:rPr>
                <w:noProof/>
                <w:webHidden/>
              </w:rPr>
              <w:fldChar w:fldCharType="end"/>
            </w:r>
          </w:hyperlink>
        </w:p>
        <w:p w14:paraId="547A2B8F" w14:textId="12AD6D04" w:rsidR="00CD1DC5" w:rsidRDefault="00CD1DC5">
          <w:pPr>
            <w:pStyle w:val="TOC2"/>
            <w:rPr>
              <w:rFonts w:asciiTheme="minorHAnsi" w:eastAsiaTheme="minorEastAsia" w:hAnsiTheme="minorHAnsi" w:cstheme="minorBidi"/>
              <w:noProof/>
              <w:kern w:val="2"/>
              <w:lang w:eastAsia="en-AU"/>
              <w14:ligatures w14:val="standardContextual"/>
            </w:rPr>
          </w:pPr>
          <w:hyperlink w:anchor="_Toc170396791" w:history="1">
            <w:r w:rsidRPr="00113383">
              <w:rPr>
                <w:rStyle w:val="Hyperlink"/>
                <w:noProof/>
              </w:rPr>
              <w:t>Disclosure of known information – no requirement to research</w:t>
            </w:r>
            <w:r>
              <w:rPr>
                <w:noProof/>
                <w:webHidden/>
              </w:rPr>
              <w:tab/>
            </w:r>
            <w:r>
              <w:rPr>
                <w:noProof/>
                <w:webHidden/>
              </w:rPr>
              <w:fldChar w:fldCharType="begin"/>
            </w:r>
            <w:r>
              <w:rPr>
                <w:noProof/>
                <w:webHidden/>
              </w:rPr>
              <w:instrText xml:space="preserve"> PAGEREF _Toc170396791 \h </w:instrText>
            </w:r>
            <w:r>
              <w:rPr>
                <w:noProof/>
                <w:webHidden/>
              </w:rPr>
            </w:r>
            <w:r>
              <w:rPr>
                <w:noProof/>
                <w:webHidden/>
              </w:rPr>
              <w:fldChar w:fldCharType="separate"/>
            </w:r>
            <w:r>
              <w:rPr>
                <w:noProof/>
                <w:webHidden/>
              </w:rPr>
              <w:t>5</w:t>
            </w:r>
            <w:r>
              <w:rPr>
                <w:noProof/>
                <w:webHidden/>
              </w:rPr>
              <w:fldChar w:fldCharType="end"/>
            </w:r>
          </w:hyperlink>
        </w:p>
        <w:p w14:paraId="6DE5FC37" w14:textId="71CDAC27" w:rsidR="00CD1DC5" w:rsidRDefault="00CD1DC5">
          <w:pPr>
            <w:pStyle w:val="TOC2"/>
            <w:rPr>
              <w:rFonts w:asciiTheme="minorHAnsi" w:eastAsiaTheme="minorEastAsia" w:hAnsiTheme="minorHAnsi" w:cstheme="minorBidi"/>
              <w:noProof/>
              <w:kern w:val="2"/>
              <w:lang w:eastAsia="en-AU"/>
              <w14:ligatures w14:val="standardContextual"/>
            </w:rPr>
          </w:pPr>
          <w:hyperlink w:anchor="_Toc170396792" w:history="1">
            <w:r w:rsidRPr="00113383">
              <w:rPr>
                <w:rStyle w:val="Hyperlink"/>
                <w:noProof/>
              </w:rPr>
              <w:t>Disclosure of relevant facts and circumstances, not documents</w:t>
            </w:r>
            <w:r>
              <w:rPr>
                <w:noProof/>
                <w:webHidden/>
              </w:rPr>
              <w:tab/>
            </w:r>
            <w:r>
              <w:rPr>
                <w:noProof/>
                <w:webHidden/>
              </w:rPr>
              <w:fldChar w:fldCharType="begin"/>
            </w:r>
            <w:r>
              <w:rPr>
                <w:noProof/>
                <w:webHidden/>
              </w:rPr>
              <w:instrText xml:space="preserve"> PAGEREF _Toc170396792 \h </w:instrText>
            </w:r>
            <w:r>
              <w:rPr>
                <w:noProof/>
                <w:webHidden/>
              </w:rPr>
            </w:r>
            <w:r>
              <w:rPr>
                <w:noProof/>
                <w:webHidden/>
              </w:rPr>
              <w:fldChar w:fldCharType="separate"/>
            </w:r>
            <w:r>
              <w:rPr>
                <w:noProof/>
                <w:webHidden/>
              </w:rPr>
              <w:t>5</w:t>
            </w:r>
            <w:r>
              <w:rPr>
                <w:noProof/>
                <w:webHidden/>
              </w:rPr>
              <w:fldChar w:fldCharType="end"/>
            </w:r>
          </w:hyperlink>
        </w:p>
        <w:p w14:paraId="2B09C012" w14:textId="41288CF4" w:rsidR="00CD1DC5" w:rsidRDefault="00CD1DC5">
          <w:pPr>
            <w:pStyle w:val="TOC2"/>
            <w:rPr>
              <w:rFonts w:asciiTheme="minorHAnsi" w:eastAsiaTheme="minorEastAsia" w:hAnsiTheme="minorHAnsi" w:cstheme="minorBidi"/>
              <w:noProof/>
              <w:kern w:val="2"/>
              <w:lang w:eastAsia="en-AU"/>
              <w14:ligatures w14:val="standardContextual"/>
            </w:rPr>
          </w:pPr>
          <w:hyperlink w:anchor="_Toc170396793" w:history="1">
            <w:r w:rsidRPr="00113383">
              <w:rPr>
                <w:rStyle w:val="Hyperlink"/>
                <w:noProof/>
              </w:rPr>
              <w:t>Legal professional privilege</w:t>
            </w:r>
            <w:r>
              <w:rPr>
                <w:noProof/>
                <w:webHidden/>
              </w:rPr>
              <w:tab/>
            </w:r>
            <w:r>
              <w:rPr>
                <w:noProof/>
                <w:webHidden/>
              </w:rPr>
              <w:fldChar w:fldCharType="begin"/>
            </w:r>
            <w:r>
              <w:rPr>
                <w:noProof/>
                <w:webHidden/>
              </w:rPr>
              <w:instrText xml:space="preserve"> PAGEREF _Toc170396793 \h </w:instrText>
            </w:r>
            <w:r>
              <w:rPr>
                <w:noProof/>
                <w:webHidden/>
              </w:rPr>
            </w:r>
            <w:r>
              <w:rPr>
                <w:noProof/>
                <w:webHidden/>
              </w:rPr>
              <w:fldChar w:fldCharType="separate"/>
            </w:r>
            <w:r>
              <w:rPr>
                <w:noProof/>
                <w:webHidden/>
              </w:rPr>
              <w:t>5</w:t>
            </w:r>
            <w:r>
              <w:rPr>
                <w:noProof/>
                <w:webHidden/>
              </w:rPr>
              <w:fldChar w:fldCharType="end"/>
            </w:r>
          </w:hyperlink>
        </w:p>
        <w:p w14:paraId="301A3035" w14:textId="5F4E1F5A" w:rsidR="00CD1DC5" w:rsidRDefault="00CD1DC5">
          <w:pPr>
            <w:pStyle w:val="TOC2"/>
            <w:rPr>
              <w:rFonts w:asciiTheme="minorHAnsi" w:eastAsiaTheme="minorEastAsia" w:hAnsiTheme="minorHAnsi" w:cstheme="minorBidi"/>
              <w:noProof/>
              <w:kern w:val="2"/>
              <w:lang w:eastAsia="en-AU"/>
              <w14:ligatures w14:val="standardContextual"/>
            </w:rPr>
          </w:pPr>
          <w:hyperlink w:anchor="_Toc170396794" w:history="1">
            <w:r w:rsidRPr="00113383">
              <w:rPr>
                <w:rStyle w:val="Hyperlink"/>
                <w:noProof/>
              </w:rPr>
              <w:t>Tax advisers to disclose information relating to matters for which they are engaged</w:t>
            </w:r>
            <w:r>
              <w:rPr>
                <w:noProof/>
                <w:webHidden/>
              </w:rPr>
              <w:tab/>
            </w:r>
            <w:r>
              <w:rPr>
                <w:noProof/>
                <w:webHidden/>
              </w:rPr>
              <w:fldChar w:fldCharType="begin"/>
            </w:r>
            <w:r>
              <w:rPr>
                <w:noProof/>
                <w:webHidden/>
              </w:rPr>
              <w:instrText xml:space="preserve"> PAGEREF _Toc170396794 \h </w:instrText>
            </w:r>
            <w:r>
              <w:rPr>
                <w:noProof/>
                <w:webHidden/>
              </w:rPr>
            </w:r>
            <w:r>
              <w:rPr>
                <w:noProof/>
                <w:webHidden/>
              </w:rPr>
              <w:fldChar w:fldCharType="separate"/>
            </w:r>
            <w:r>
              <w:rPr>
                <w:noProof/>
                <w:webHidden/>
              </w:rPr>
              <w:t>6</w:t>
            </w:r>
            <w:r>
              <w:rPr>
                <w:noProof/>
                <w:webHidden/>
              </w:rPr>
              <w:fldChar w:fldCharType="end"/>
            </w:r>
          </w:hyperlink>
        </w:p>
        <w:p w14:paraId="77B82789" w14:textId="01B80B87" w:rsidR="00CD1DC5" w:rsidRDefault="00CD1DC5">
          <w:pPr>
            <w:pStyle w:val="TOC2"/>
            <w:rPr>
              <w:rFonts w:asciiTheme="minorHAnsi" w:eastAsiaTheme="minorEastAsia" w:hAnsiTheme="minorHAnsi" w:cstheme="minorBidi"/>
              <w:noProof/>
              <w:kern w:val="2"/>
              <w:lang w:eastAsia="en-AU"/>
              <w14:ligatures w14:val="standardContextual"/>
            </w:rPr>
          </w:pPr>
          <w:hyperlink w:anchor="_Toc170396795" w:history="1">
            <w:r w:rsidRPr="00113383">
              <w:rPr>
                <w:rStyle w:val="Hyperlink"/>
                <w:noProof/>
              </w:rPr>
              <w:t>Unsubstantiated allegations</w:t>
            </w:r>
            <w:r>
              <w:rPr>
                <w:noProof/>
                <w:webHidden/>
              </w:rPr>
              <w:tab/>
            </w:r>
            <w:r>
              <w:rPr>
                <w:noProof/>
                <w:webHidden/>
              </w:rPr>
              <w:fldChar w:fldCharType="begin"/>
            </w:r>
            <w:r>
              <w:rPr>
                <w:noProof/>
                <w:webHidden/>
              </w:rPr>
              <w:instrText xml:space="preserve"> PAGEREF _Toc170396795 \h </w:instrText>
            </w:r>
            <w:r>
              <w:rPr>
                <w:noProof/>
                <w:webHidden/>
              </w:rPr>
            </w:r>
            <w:r>
              <w:rPr>
                <w:noProof/>
                <w:webHidden/>
              </w:rPr>
              <w:fldChar w:fldCharType="separate"/>
            </w:r>
            <w:r>
              <w:rPr>
                <w:noProof/>
                <w:webHidden/>
              </w:rPr>
              <w:t>6</w:t>
            </w:r>
            <w:r>
              <w:rPr>
                <w:noProof/>
                <w:webHidden/>
              </w:rPr>
              <w:fldChar w:fldCharType="end"/>
            </w:r>
          </w:hyperlink>
        </w:p>
        <w:p w14:paraId="6ED19B24" w14:textId="47F3DA06" w:rsidR="00CD1DC5" w:rsidRDefault="00CD1DC5">
          <w:pPr>
            <w:pStyle w:val="TOC2"/>
            <w:rPr>
              <w:rFonts w:asciiTheme="minorHAnsi" w:eastAsiaTheme="minorEastAsia" w:hAnsiTheme="minorHAnsi" w:cstheme="minorBidi"/>
              <w:noProof/>
              <w:kern w:val="2"/>
              <w:lang w:eastAsia="en-AU"/>
              <w14:ligatures w14:val="standardContextual"/>
            </w:rPr>
          </w:pPr>
          <w:hyperlink w:anchor="_Toc170396796" w:history="1">
            <w:r w:rsidRPr="00113383">
              <w:rPr>
                <w:rStyle w:val="Hyperlink"/>
                <w:noProof/>
              </w:rPr>
              <w:t>Examples of breach of disclosure requirement</w:t>
            </w:r>
            <w:r>
              <w:rPr>
                <w:noProof/>
                <w:webHidden/>
              </w:rPr>
              <w:tab/>
            </w:r>
            <w:r>
              <w:rPr>
                <w:noProof/>
                <w:webHidden/>
              </w:rPr>
              <w:fldChar w:fldCharType="begin"/>
            </w:r>
            <w:r>
              <w:rPr>
                <w:noProof/>
                <w:webHidden/>
              </w:rPr>
              <w:instrText xml:space="preserve"> PAGEREF _Toc170396796 \h </w:instrText>
            </w:r>
            <w:r>
              <w:rPr>
                <w:noProof/>
                <w:webHidden/>
              </w:rPr>
            </w:r>
            <w:r>
              <w:rPr>
                <w:noProof/>
                <w:webHidden/>
              </w:rPr>
              <w:fldChar w:fldCharType="separate"/>
            </w:r>
            <w:r>
              <w:rPr>
                <w:noProof/>
                <w:webHidden/>
              </w:rPr>
              <w:t>6</w:t>
            </w:r>
            <w:r>
              <w:rPr>
                <w:noProof/>
                <w:webHidden/>
              </w:rPr>
              <w:fldChar w:fldCharType="end"/>
            </w:r>
          </w:hyperlink>
        </w:p>
        <w:p w14:paraId="7A39B554" w14:textId="288661DD" w:rsidR="00CD1DC5" w:rsidRDefault="00CD1DC5">
          <w:pPr>
            <w:pStyle w:val="TOC1"/>
            <w:rPr>
              <w:rFonts w:asciiTheme="minorHAnsi" w:eastAsiaTheme="minorEastAsia" w:hAnsiTheme="minorHAnsi" w:cstheme="minorBidi"/>
              <w:b w:val="0"/>
              <w:noProof/>
              <w:kern w:val="2"/>
              <w:lang w:eastAsia="en-AU"/>
              <w14:ligatures w14:val="standardContextual"/>
            </w:rPr>
          </w:pPr>
          <w:hyperlink w:anchor="_Toc170396797" w:history="1">
            <w:r w:rsidRPr="00113383">
              <w:rPr>
                <w:rStyle w:val="Hyperlink"/>
                <w:noProof/>
              </w:rPr>
              <w:t>Stamp Duty Lodgement Guide</w:t>
            </w:r>
            <w:r>
              <w:rPr>
                <w:noProof/>
                <w:webHidden/>
              </w:rPr>
              <w:tab/>
            </w:r>
            <w:r>
              <w:rPr>
                <w:noProof/>
                <w:webHidden/>
              </w:rPr>
              <w:fldChar w:fldCharType="begin"/>
            </w:r>
            <w:r>
              <w:rPr>
                <w:noProof/>
                <w:webHidden/>
              </w:rPr>
              <w:instrText xml:space="preserve"> PAGEREF _Toc170396797 \h </w:instrText>
            </w:r>
            <w:r>
              <w:rPr>
                <w:noProof/>
                <w:webHidden/>
              </w:rPr>
            </w:r>
            <w:r>
              <w:rPr>
                <w:noProof/>
                <w:webHidden/>
              </w:rPr>
              <w:fldChar w:fldCharType="separate"/>
            </w:r>
            <w:r>
              <w:rPr>
                <w:noProof/>
                <w:webHidden/>
              </w:rPr>
              <w:t>6</w:t>
            </w:r>
            <w:r>
              <w:rPr>
                <w:noProof/>
                <w:webHidden/>
              </w:rPr>
              <w:fldChar w:fldCharType="end"/>
            </w:r>
          </w:hyperlink>
        </w:p>
        <w:p w14:paraId="12EE3E18" w14:textId="2FE28A45" w:rsidR="00CD1DC5" w:rsidRDefault="00CD1DC5">
          <w:pPr>
            <w:pStyle w:val="TOC1"/>
            <w:rPr>
              <w:rFonts w:asciiTheme="minorHAnsi" w:eastAsiaTheme="minorEastAsia" w:hAnsiTheme="minorHAnsi" w:cstheme="minorBidi"/>
              <w:b w:val="0"/>
              <w:noProof/>
              <w:kern w:val="2"/>
              <w:lang w:eastAsia="en-AU"/>
              <w14:ligatures w14:val="standardContextual"/>
            </w:rPr>
          </w:pPr>
          <w:hyperlink w:anchor="_Toc170396798" w:history="1">
            <w:r w:rsidRPr="00113383">
              <w:rPr>
                <w:rStyle w:val="Hyperlink"/>
                <w:noProof/>
              </w:rPr>
              <w:t>Correcting information</w:t>
            </w:r>
            <w:r>
              <w:rPr>
                <w:noProof/>
                <w:webHidden/>
              </w:rPr>
              <w:tab/>
            </w:r>
            <w:r>
              <w:rPr>
                <w:noProof/>
                <w:webHidden/>
              </w:rPr>
              <w:fldChar w:fldCharType="begin"/>
            </w:r>
            <w:r>
              <w:rPr>
                <w:noProof/>
                <w:webHidden/>
              </w:rPr>
              <w:instrText xml:space="preserve"> PAGEREF _Toc170396798 \h </w:instrText>
            </w:r>
            <w:r>
              <w:rPr>
                <w:noProof/>
                <w:webHidden/>
              </w:rPr>
            </w:r>
            <w:r>
              <w:rPr>
                <w:noProof/>
                <w:webHidden/>
              </w:rPr>
              <w:fldChar w:fldCharType="separate"/>
            </w:r>
            <w:r>
              <w:rPr>
                <w:noProof/>
                <w:webHidden/>
              </w:rPr>
              <w:t>7</w:t>
            </w:r>
            <w:r>
              <w:rPr>
                <w:noProof/>
                <w:webHidden/>
              </w:rPr>
              <w:fldChar w:fldCharType="end"/>
            </w:r>
          </w:hyperlink>
        </w:p>
        <w:p w14:paraId="58D0EBD2" w14:textId="2FADC049" w:rsidR="00CD1DC5" w:rsidRDefault="00CD1DC5">
          <w:pPr>
            <w:pStyle w:val="TOC1"/>
            <w:rPr>
              <w:rFonts w:asciiTheme="minorHAnsi" w:eastAsiaTheme="minorEastAsia" w:hAnsiTheme="minorHAnsi" w:cstheme="minorBidi"/>
              <w:b w:val="0"/>
              <w:noProof/>
              <w:kern w:val="2"/>
              <w:lang w:eastAsia="en-AU"/>
              <w14:ligatures w14:val="standardContextual"/>
            </w:rPr>
          </w:pPr>
          <w:hyperlink w:anchor="_Toc170396799" w:history="1">
            <w:r w:rsidRPr="00113383">
              <w:rPr>
                <w:rStyle w:val="Hyperlink"/>
                <w:noProof/>
              </w:rPr>
              <w:t>Confidentiality of information disclosed to the Commissioner</w:t>
            </w:r>
            <w:r>
              <w:rPr>
                <w:noProof/>
                <w:webHidden/>
              </w:rPr>
              <w:tab/>
            </w:r>
            <w:r>
              <w:rPr>
                <w:noProof/>
                <w:webHidden/>
              </w:rPr>
              <w:fldChar w:fldCharType="begin"/>
            </w:r>
            <w:r>
              <w:rPr>
                <w:noProof/>
                <w:webHidden/>
              </w:rPr>
              <w:instrText xml:space="preserve"> PAGEREF _Toc170396799 \h </w:instrText>
            </w:r>
            <w:r>
              <w:rPr>
                <w:noProof/>
                <w:webHidden/>
              </w:rPr>
            </w:r>
            <w:r>
              <w:rPr>
                <w:noProof/>
                <w:webHidden/>
              </w:rPr>
              <w:fldChar w:fldCharType="separate"/>
            </w:r>
            <w:r>
              <w:rPr>
                <w:noProof/>
                <w:webHidden/>
              </w:rPr>
              <w:t>7</w:t>
            </w:r>
            <w:r>
              <w:rPr>
                <w:noProof/>
                <w:webHidden/>
              </w:rPr>
              <w:fldChar w:fldCharType="end"/>
            </w:r>
          </w:hyperlink>
        </w:p>
        <w:p w14:paraId="61F3AD9B" w14:textId="7000C770" w:rsidR="00CD1DC5" w:rsidRDefault="00CD1DC5">
          <w:pPr>
            <w:pStyle w:val="TOC1"/>
            <w:rPr>
              <w:rFonts w:asciiTheme="minorHAnsi" w:eastAsiaTheme="minorEastAsia" w:hAnsiTheme="minorHAnsi" w:cstheme="minorBidi"/>
              <w:b w:val="0"/>
              <w:noProof/>
              <w:kern w:val="2"/>
              <w:lang w:eastAsia="en-AU"/>
              <w14:ligatures w14:val="standardContextual"/>
            </w:rPr>
          </w:pPr>
          <w:hyperlink w:anchor="_Toc170396800" w:history="1">
            <w:r w:rsidRPr="00113383">
              <w:rPr>
                <w:rStyle w:val="Hyperlink"/>
                <w:noProof/>
              </w:rPr>
              <w:t>Defences</w:t>
            </w:r>
            <w:r>
              <w:rPr>
                <w:noProof/>
                <w:webHidden/>
              </w:rPr>
              <w:tab/>
            </w:r>
            <w:r>
              <w:rPr>
                <w:noProof/>
                <w:webHidden/>
              </w:rPr>
              <w:fldChar w:fldCharType="begin"/>
            </w:r>
            <w:r>
              <w:rPr>
                <w:noProof/>
                <w:webHidden/>
              </w:rPr>
              <w:instrText xml:space="preserve"> PAGEREF _Toc170396800 \h </w:instrText>
            </w:r>
            <w:r>
              <w:rPr>
                <w:noProof/>
                <w:webHidden/>
              </w:rPr>
            </w:r>
            <w:r>
              <w:rPr>
                <w:noProof/>
                <w:webHidden/>
              </w:rPr>
              <w:fldChar w:fldCharType="separate"/>
            </w:r>
            <w:r>
              <w:rPr>
                <w:noProof/>
                <w:webHidden/>
              </w:rPr>
              <w:t>7</w:t>
            </w:r>
            <w:r>
              <w:rPr>
                <w:noProof/>
                <w:webHidden/>
              </w:rPr>
              <w:fldChar w:fldCharType="end"/>
            </w:r>
          </w:hyperlink>
        </w:p>
        <w:p w14:paraId="5C57F6BD" w14:textId="5AD0BF40" w:rsidR="00CD1DC5" w:rsidRDefault="00CD1DC5">
          <w:pPr>
            <w:pStyle w:val="TOC1"/>
            <w:rPr>
              <w:rFonts w:asciiTheme="minorHAnsi" w:eastAsiaTheme="minorEastAsia" w:hAnsiTheme="minorHAnsi" w:cstheme="minorBidi"/>
              <w:b w:val="0"/>
              <w:noProof/>
              <w:kern w:val="2"/>
              <w:lang w:eastAsia="en-AU"/>
              <w14:ligatures w14:val="standardContextual"/>
            </w:rPr>
          </w:pPr>
          <w:hyperlink w:anchor="_Toc170396801" w:history="1">
            <w:r w:rsidRPr="00113383">
              <w:rPr>
                <w:rStyle w:val="Hyperlink"/>
                <w:noProof/>
              </w:rPr>
              <w:t>Relevant Definitions</w:t>
            </w:r>
            <w:r>
              <w:rPr>
                <w:noProof/>
                <w:webHidden/>
              </w:rPr>
              <w:tab/>
            </w:r>
            <w:r>
              <w:rPr>
                <w:noProof/>
                <w:webHidden/>
              </w:rPr>
              <w:fldChar w:fldCharType="begin"/>
            </w:r>
            <w:r>
              <w:rPr>
                <w:noProof/>
                <w:webHidden/>
              </w:rPr>
              <w:instrText xml:space="preserve"> PAGEREF _Toc170396801 \h </w:instrText>
            </w:r>
            <w:r>
              <w:rPr>
                <w:noProof/>
                <w:webHidden/>
              </w:rPr>
            </w:r>
            <w:r>
              <w:rPr>
                <w:noProof/>
                <w:webHidden/>
              </w:rPr>
              <w:fldChar w:fldCharType="separate"/>
            </w:r>
            <w:r>
              <w:rPr>
                <w:noProof/>
                <w:webHidden/>
              </w:rPr>
              <w:t>7</w:t>
            </w:r>
            <w:r>
              <w:rPr>
                <w:noProof/>
                <w:webHidden/>
              </w:rPr>
              <w:fldChar w:fldCharType="end"/>
            </w:r>
          </w:hyperlink>
        </w:p>
        <w:p w14:paraId="35A18BEC" w14:textId="33CF1D8E" w:rsidR="00CD1DC5" w:rsidRDefault="00CD1DC5">
          <w:pPr>
            <w:pStyle w:val="TOC2"/>
            <w:rPr>
              <w:rFonts w:asciiTheme="minorHAnsi" w:eastAsiaTheme="minorEastAsia" w:hAnsiTheme="minorHAnsi" w:cstheme="minorBidi"/>
              <w:noProof/>
              <w:kern w:val="2"/>
              <w:lang w:eastAsia="en-AU"/>
              <w14:ligatures w14:val="standardContextual"/>
            </w:rPr>
          </w:pPr>
          <w:hyperlink w:anchor="_Toc170396802" w:history="1">
            <w:r w:rsidRPr="00113383">
              <w:rPr>
                <w:rStyle w:val="Hyperlink"/>
                <w:noProof/>
              </w:rPr>
              <w:t>Tax</w:t>
            </w:r>
            <w:r>
              <w:rPr>
                <w:rStyle w:val="Hyperlink"/>
                <w:noProof/>
              </w:rPr>
              <w:t>…………………………………………………………………………………………………………………………………………………………</w:t>
            </w:r>
            <w:r>
              <w:rPr>
                <w:noProof/>
                <w:webHidden/>
              </w:rPr>
              <w:tab/>
            </w:r>
            <w:r>
              <w:rPr>
                <w:noProof/>
                <w:webHidden/>
              </w:rPr>
              <w:fldChar w:fldCharType="begin"/>
            </w:r>
            <w:r>
              <w:rPr>
                <w:noProof/>
                <w:webHidden/>
              </w:rPr>
              <w:instrText xml:space="preserve"> PAGEREF _Toc170396802 \h </w:instrText>
            </w:r>
            <w:r>
              <w:rPr>
                <w:noProof/>
                <w:webHidden/>
              </w:rPr>
            </w:r>
            <w:r>
              <w:rPr>
                <w:noProof/>
                <w:webHidden/>
              </w:rPr>
              <w:fldChar w:fldCharType="separate"/>
            </w:r>
            <w:r>
              <w:rPr>
                <w:noProof/>
                <w:webHidden/>
              </w:rPr>
              <w:t>7</w:t>
            </w:r>
            <w:r>
              <w:rPr>
                <w:noProof/>
                <w:webHidden/>
              </w:rPr>
              <w:fldChar w:fldCharType="end"/>
            </w:r>
          </w:hyperlink>
        </w:p>
        <w:p w14:paraId="1181BFB8" w14:textId="3C56B879" w:rsidR="00CD1DC5" w:rsidRDefault="00CD1DC5">
          <w:pPr>
            <w:pStyle w:val="TOC2"/>
            <w:rPr>
              <w:rFonts w:asciiTheme="minorHAnsi" w:eastAsiaTheme="minorEastAsia" w:hAnsiTheme="minorHAnsi" w:cstheme="minorBidi"/>
              <w:noProof/>
              <w:kern w:val="2"/>
              <w:lang w:eastAsia="en-AU"/>
              <w14:ligatures w14:val="standardContextual"/>
            </w:rPr>
          </w:pPr>
          <w:hyperlink w:anchor="_Toc170396803" w:history="1">
            <w:r w:rsidRPr="00113383">
              <w:rPr>
                <w:rStyle w:val="Hyperlink"/>
                <w:noProof/>
              </w:rPr>
              <w:t>Tax advisers</w:t>
            </w:r>
            <w:r>
              <w:rPr>
                <w:noProof/>
                <w:webHidden/>
              </w:rPr>
              <w:tab/>
            </w:r>
            <w:r>
              <w:rPr>
                <w:noProof/>
                <w:webHidden/>
              </w:rPr>
              <w:fldChar w:fldCharType="begin"/>
            </w:r>
            <w:r>
              <w:rPr>
                <w:noProof/>
                <w:webHidden/>
              </w:rPr>
              <w:instrText xml:space="preserve"> PAGEREF _Toc170396803 \h </w:instrText>
            </w:r>
            <w:r>
              <w:rPr>
                <w:noProof/>
                <w:webHidden/>
              </w:rPr>
            </w:r>
            <w:r>
              <w:rPr>
                <w:noProof/>
                <w:webHidden/>
              </w:rPr>
              <w:fldChar w:fldCharType="separate"/>
            </w:r>
            <w:r>
              <w:rPr>
                <w:noProof/>
                <w:webHidden/>
              </w:rPr>
              <w:t>8</w:t>
            </w:r>
            <w:r>
              <w:rPr>
                <w:noProof/>
                <w:webHidden/>
              </w:rPr>
              <w:fldChar w:fldCharType="end"/>
            </w:r>
          </w:hyperlink>
        </w:p>
        <w:p w14:paraId="39A4A74C" w14:textId="3DBF5DB8" w:rsidR="00CD1DC5" w:rsidRDefault="00CD1DC5">
          <w:pPr>
            <w:pStyle w:val="TOC1"/>
            <w:rPr>
              <w:rFonts w:asciiTheme="minorHAnsi" w:eastAsiaTheme="minorEastAsia" w:hAnsiTheme="minorHAnsi" w:cstheme="minorBidi"/>
              <w:b w:val="0"/>
              <w:noProof/>
              <w:kern w:val="2"/>
              <w:lang w:eastAsia="en-AU"/>
              <w14:ligatures w14:val="standardContextual"/>
            </w:rPr>
          </w:pPr>
          <w:hyperlink w:anchor="_Toc170396804" w:history="1">
            <w:r w:rsidRPr="00113383">
              <w:rPr>
                <w:rStyle w:val="Hyperlink"/>
                <w:noProof/>
              </w:rPr>
              <w:t>Commissioners Guidelines</w:t>
            </w:r>
            <w:r>
              <w:rPr>
                <w:noProof/>
                <w:webHidden/>
              </w:rPr>
              <w:tab/>
            </w:r>
            <w:r>
              <w:rPr>
                <w:noProof/>
                <w:webHidden/>
              </w:rPr>
              <w:fldChar w:fldCharType="begin"/>
            </w:r>
            <w:r>
              <w:rPr>
                <w:noProof/>
                <w:webHidden/>
              </w:rPr>
              <w:instrText xml:space="preserve"> PAGEREF _Toc170396804 \h </w:instrText>
            </w:r>
            <w:r>
              <w:rPr>
                <w:noProof/>
                <w:webHidden/>
              </w:rPr>
            </w:r>
            <w:r>
              <w:rPr>
                <w:noProof/>
                <w:webHidden/>
              </w:rPr>
              <w:fldChar w:fldCharType="separate"/>
            </w:r>
            <w:r>
              <w:rPr>
                <w:noProof/>
                <w:webHidden/>
              </w:rPr>
              <w:t>8</w:t>
            </w:r>
            <w:r>
              <w:rPr>
                <w:noProof/>
                <w:webHidden/>
              </w:rPr>
              <w:fldChar w:fldCharType="end"/>
            </w:r>
          </w:hyperlink>
        </w:p>
        <w:p w14:paraId="7CB2E3F3" w14:textId="1F936311" w:rsidR="00CD1DC5" w:rsidRDefault="00CD1DC5">
          <w:pPr>
            <w:pStyle w:val="TOC1"/>
            <w:rPr>
              <w:rFonts w:asciiTheme="minorHAnsi" w:eastAsiaTheme="minorEastAsia" w:hAnsiTheme="minorHAnsi" w:cstheme="minorBidi"/>
              <w:b w:val="0"/>
              <w:noProof/>
              <w:kern w:val="2"/>
              <w:lang w:eastAsia="en-AU"/>
              <w14:ligatures w14:val="standardContextual"/>
            </w:rPr>
          </w:pPr>
          <w:hyperlink w:anchor="_Toc170396805" w:history="1">
            <w:r w:rsidRPr="00113383">
              <w:rPr>
                <w:rStyle w:val="Hyperlink"/>
                <w:noProof/>
              </w:rPr>
              <w:t>Date of effect</w:t>
            </w:r>
            <w:r>
              <w:rPr>
                <w:noProof/>
                <w:webHidden/>
              </w:rPr>
              <w:tab/>
            </w:r>
            <w:r>
              <w:rPr>
                <w:noProof/>
                <w:webHidden/>
              </w:rPr>
              <w:fldChar w:fldCharType="begin"/>
            </w:r>
            <w:r>
              <w:rPr>
                <w:noProof/>
                <w:webHidden/>
              </w:rPr>
              <w:instrText xml:space="preserve"> PAGEREF _Toc170396805 \h </w:instrText>
            </w:r>
            <w:r>
              <w:rPr>
                <w:noProof/>
                <w:webHidden/>
              </w:rPr>
            </w:r>
            <w:r>
              <w:rPr>
                <w:noProof/>
                <w:webHidden/>
              </w:rPr>
              <w:fldChar w:fldCharType="separate"/>
            </w:r>
            <w:r>
              <w:rPr>
                <w:noProof/>
                <w:webHidden/>
              </w:rPr>
              <w:t>8</w:t>
            </w:r>
            <w:r>
              <w:rPr>
                <w:noProof/>
                <w:webHidden/>
              </w:rPr>
              <w:fldChar w:fldCharType="end"/>
            </w:r>
          </w:hyperlink>
        </w:p>
        <w:p w14:paraId="62E34083" w14:textId="75DFDD35" w:rsidR="004E7885" w:rsidRPr="004E7885" w:rsidRDefault="006747E0" w:rsidP="009F0166">
          <w:pPr>
            <w:rPr>
              <w:rFonts w:eastAsiaTheme="minorEastAsia" w:cs="Arial"/>
              <w:b/>
              <w:lang w:eastAsia="en-AU"/>
            </w:rPr>
          </w:pPr>
          <w:r>
            <w:rPr>
              <w:rFonts w:eastAsiaTheme="minorEastAsia" w:cs="Arial"/>
              <w:lang w:eastAsia="en-AU"/>
            </w:rPr>
            <w:fldChar w:fldCharType="end"/>
          </w:r>
        </w:p>
      </w:sdtContent>
    </w:sdt>
    <w:p w14:paraId="4621C389" w14:textId="53C05371" w:rsidR="00964B22" w:rsidRDefault="00473632" w:rsidP="009F0166">
      <w:pPr>
        <w:tabs>
          <w:tab w:val="left" w:pos="3382"/>
        </w:tabs>
      </w:pPr>
      <w:r>
        <w:tab/>
      </w:r>
    </w:p>
    <w:p w14:paraId="432EB9EE" w14:textId="27B13162" w:rsidR="00473632" w:rsidRPr="00473632" w:rsidRDefault="00473632" w:rsidP="009F0166">
      <w:pPr>
        <w:tabs>
          <w:tab w:val="left" w:pos="3382"/>
        </w:tabs>
        <w:sectPr w:rsidR="00473632" w:rsidRPr="00473632" w:rsidSect="004E7885">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r>
        <w:tab/>
      </w:r>
    </w:p>
    <w:p w14:paraId="5B5C9E31" w14:textId="1660AC6E" w:rsidR="000B280D" w:rsidRDefault="00273C62" w:rsidP="009F0166">
      <w:pPr>
        <w:pStyle w:val="Heading1"/>
        <w:numPr>
          <w:ilvl w:val="0"/>
          <w:numId w:val="0"/>
        </w:numPr>
        <w:ind w:left="432" w:hanging="432"/>
        <w:rPr>
          <w:lang w:eastAsia="en-AU"/>
        </w:rPr>
      </w:pPr>
      <w:bookmarkStart w:id="0" w:name="_Toc170396787"/>
      <w:r>
        <w:rPr>
          <w:lang w:eastAsia="en-AU"/>
        </w:rPr>
        <w:lastRenderedPageBreak/>
        <w:t>Purpose</w:t>
      </w:r>
      <w:bookmarkEnd w:id="0"/>
    </w:p>
    <w:p w14:paraId="0A23FA15" w14:textId="382F0648" w:rsidR="00273C62" w:rsidRDefault="00273C62" w:rsidP="009F0166">
      <w:pPr>
        <w:pStyle w:val="BlockText"/>
        <w:keepLines/>
        <w:numPr>
          <w:ilvl w:val="0"/>
          <w:numId w:val="43"/>
        </w:numPr>
        <w:spacing w:after="120"/>
        <w:ind w:left="357" w:hanging="357"/>
      </w:pPr>
      <w:r>
        <w:t xml:space="preserve">This Guideline explains the operation of section 24 of the </w:t>
      </w:r>
      <w:r w:rsidRPr="00473632">
        <w:rPr>
          <w:i/>
          <w:iCs w:val="0"/>
        </w:rPr>
        <w:t>Taxation Administration Act</w:t>
      </w:r>
      <w:r w:rsidR="00473632">
        <w:rPr>
          <w:i/>
          <w:iCs w:val="0"/>
        </w:rPr>
        <w:t xml:space="preserve"> 2007</w:t>
      </w:r>
      <w:r w:rsidRPr="00273C62">
        <w:t xml:space="preserve"> </w:t>
      </w:r>
      <w:r>
        <w:t>(the Act), which imposes an obligation on taxpayers and tax advisers to fully and truly disclose relevant information for the purposes of assessing a taxpayer’s tax liability.</w:t>
      </w:r>
    </w:p>
    <w:p w14:paraId="213DB599" w14:textId="0CAEA001" w:rsidR="00273C62" w:rsidRDefault="00273C62" w:rsidP="009F0166">
      <w:pPr>
        <w:pStyle w:val="BlockText"/>
        <w:keepLines/>
        <w:numPr>
          <w:ilvl w:val="0"/>
          <w:numId w:val="43"/>
        </w:numPr>
        <w:spacing w:after="120"/>
        <w:ind w:left="357" w:hanging="357"/>
      </w:pPr>
      <w:r>
        <w:t xml:space="preserve">Under the </w:t>
      </w:r>
      <w:r w:rsidRPr="00273C62">
        <w:t xml:space="preserve">Mineral Royalties Act 2024 </w:t>
      </w:r>
      <w:r>
        <w:t>(MRA24)</w:t>
      </w:r>
      <w:r w:rsidRPr="00473632">
        <w:rPr>
          <w:vertAlign w:val="superscript"/>
        </w:rPr>
        <w:footnoteReference w:id="2"/>
      </w:r>
      <w:r>
        <w:t xml:space="preserve"> and </w:t>
      </w:r>
      <w:r w:rsidRPr="00273C62">
        <w:t xml:space="preserve">Petroleum Royalty Act 2023 </w:t>
      </w:r>
      <w:r>
        <w:t>(PRA)</w:t>
      </w:r>
      <w:r w:rsidRPr="00473632">
        <w:rPr>
          <w:vertAlign w:val="superscript"/>
        </w:rPr>
        <w:footnoteReference w:id="3"/>
      </w:r>
      <w:r>
        <w:t xml:space="preserve">, the </w:t>
      </w:r>
      <w:r w:rsidR="00473632">
        <w:t>Act</w:t>
      </w:r>
      <w:r>
        <w:t xml:space="preserve"> also applies to a royalty as if:</w:t>
      </w:r>
    </w:p>
    <w:p w14:paraId="576C6A60" w14:textId="77777777" w:rsidR="00273C62" w:rsidRDefault="00273C62" w:rsidP="009F0166">
      <w:pPr>
        <w:pStyle w:val="BlockText"/>
        <w:keepLines/>
        <w:numPr>
          <w:ilvl w:val="1"/>
          <w:numId w:val="43"/>
        </w:numPr>
        <w:spacing w:after="120"/>
      </w:pPr>
      <w:r>
        <w:t>a reference in the Act and this guideline to tax were a reference to royalty; and</w:t>
      </w:r>
    </w:p>
    <w:p w14:paraId="7539BCC3" w14:textId="77777777" w:rsidR="00273C62" w:rsidRDefault="00273C62" w:rsidP="009F0166">
      <w:pPr>
        <w:pStyle w:val="BlockText"/>
        <w:keepLines/>
        <w:numPr>
          <w:ilvl w:val="1"/>
          <w:numId w:val="43"/>
        </w:numPr>
        <w:spacing w:after="120"/>
      </w:pPr>
      <w:r>
        <w:t>a reference in the TAA and this guideline to taxpayer/s were a reference to holder of a mining tenement (MRA24) or, licensee or permittee (PRA).</w:t>
      </w:r>
    </w:p>
    <w:p w14:paraId="54E43C5A" w14:textId="1BF049A6" w:rsidR="00B05CE0" w:rsidRDefault="00B05CE0" w:rsidP="00B05CE0">
      <w:pPr>
        <w:pStyle w:val="BlockText"/>
        <w:keepLines/>
        <w:numPr>
          <w:ilvl w:val="1"/>
          <w:numId w:val="43"/>
        </w:numPr>
        <w:spacing w:after="120"/>
        <w:jc w:val="both"/>
      </w:pPr>
      <w:r>
        <w:t>a reference in the TAA and this guideline to a taxation law includes the MRA24 and PRA.</w:t>
      </w:r>
    </w:p>
    <w:p w14:paraId="727112C0" w14:textId="77777777" w:rsidR="00273C62" w:rsidRPr="00733450" w:rsidRDefault="00273C62" w:rsidP="009F0166">
      <w:pPr>
        <w:pStyle w:val="Heading1"/>
        <w:numPr>
          <w:ilvl w:val="0"/>
          <w:numId w:val="0"/>
        </w:numPr>
      </w:pPr>
      <w:bookmarkStart w:id="1" w:name="_Toc170396788"/>
      <w:r>
        <w:t xml:space="preserve">Obligation to fully and truly disclose relevant facts and </w:t>
      </w:r>
      <w:r w:rsidRPr="00273C62">
        <w:t>circumstances</w:t>
      </w:r>
      <w:bookmarkEnd w:id="1"/>
    </w:p>
    <w:p w14:paraId="76E939B2" w14:textId="77777777" w:rsidR="00273C62" w:rsidRDefault="00273C62" w:rsidP="009F0166">
      <w:pPr>
        <w:pStyle w:val="BlockText"/>
        <w:keepLines/>
        <w:numPr>
          <w:ilvl w:val="0"/>
          <w:numId w:val="45"/>
        </w:numPr>
        <w:spacing w:after="120"/>
        <w:ind w:left="357" w:hanging="357"/>
      </w:pPr>
      <w:r>
        <w:t>Section 24 of the Act requires that a taxpayer or a</w:t>
      </w:r>
      <w:r w:rsidRPr="009A6AF4">
        <w:t xml:space="preserve"> </w:t>
      </w:r>
      <w:r>
        <w:rPr>
          <w:b/>
        </w:rPr>
        <w:t>tax a</w:t>
      </w:r>
      <w:r w:rsidRPr="006821EA">
        <w:rPr>
          <w:b/>
        </w:rPr>
        <w:t>dviser</w:t>
      </w:r>
      <w:r w:rsidRPr="009A6AF4">
        <w:t xml:space="preserve"> </w:t>
      </w:r>
      <w:r>
        <w:t xml:space="preserve">acting on behalf of a taxpayer </w:t>
      </w:r>
      <w:r w:rsidRPr="009A6AF4">
        <w:t xml:space="preserve">(see </w:t>
      </w:r>
      <w:r>
        <w:t xml:space="preserve">page 4 for </w:t>
      </w:r>
      <w:r w:rsidRPr="009A6AF4">
        <w:t>the definition of tax a</w:t>
      </w:r>
      <w:r>
        <w:t xml:space="preserve">dviser for this provision) must fully and truly disclose in writing all </w:t>
      </w:r>
      <w:r w:rsidRPr="009A6AF4">
        <w:t xml:space="preserve">relevant facts and circumstances that affect </w:t>
      </w:r>
      <w:r>
        <w:t>the</w:t>
      </w:r>
      <w:r w:rsidRPr="009A6AF4">
        <w:t xml:space="preserve"> taxpayer’s tax liability when any one of the </w:t>
      </w:r>
      <w:r>
        <w:t xml:space="preserve">following </w:t>
      </w:r>
      <w:r>
        <w:rPr>
          <w:b/>
        </w:rPr>
        <w:t>relevant occasions</w:t>
      </w:r>
      <w:r w:rsidRPr="009A6AF4">
        <w:t xml:space="preserve"> </w:t>
      </w:r>
      <w:r>
        <w:t>occurs:</w:t>
      </w:r>
    </w:p>
    <w:p w14:paraId="6C575BDF" w14:textId="77777777" w:rsidR="00273C62" w:rsidRDefault="00273C62" w:rsidP="009F0166">
      <w:pPr>
        <w:pStyle w:val="BlockText"/>
        <w:keepLines/>
        <w:numPr>
          <w:ilvl w:val="1"/>
          <w:numId w:val="46"/>
        </w:numPr>
        <w:spacing w:after="120"/>
      </w:pPr>
      <w:r>
        <w:t xml:space="preserve">They </w:t>
      </w:r>
      <w:r w:rsidRPr="009561C0">
        <w:t>submit an instrument or return for the</w:t>
      </w:r>
      <w:r>
        <w:t xml:space="preserve"> </w:t>
      </w:r>
      <w:r w:rsidRPr="009561C0">
        <w:t>assessment of tax</w:t>
      </w:r>
      <w:r>
        <w:t>.</w:t>
      </w:r>
    </w:p>
    <w:p w14:paraId="6E6C5DBD" w14:textId="77777777" w:rsidR="00273C62" w:rsidRPr="009561C0" w:rsidRDefault="00273C62" w:rsidP="009F0166">
      <w:pPr>
        <w:pStyle w:val="BlockText"/>
        <w:keepLines/>
        <w:numPr>
          <w:ilvl w:val="1"/>
          <w:numId w:val="46"/>
        </w:numPr>
        <w:spacing w:after="120"/>
      </w:pPr>
      <w:r>
        <w:t xml:space="preserve">They </w:t>
      </w:r>
      <w:r w:rsidRPr="009561C0">
        <w:t>submit an application for an</w:t>
      </w:r>
      <w:r>
        <w:t xml:space="preserve"> </w:t>
      </w:r>
      <w:r w:rsidRPr="009561C0">
        <w:t>assessment of tax</w:t>
      </w:r>
      <w:r>
        <w:t>.</w:t>
      </w:r>
    </w:p>
    <w:p w14:paraId="4E5512DF" w14:textId="77777777" w:rsidR="00273C62" w:rsidRPr="009561C0" w:rsidRDefault="00273C62" w:rsidP="009F0166">
      <w:pPr>
        <w:pStyle w:val="BlockText"/>
        <w:keepLines/>
        <w:numPr>
          <w:ilvl w:val="1"/>
          <w:numId w:val="46"/>
        </w:numPr>
        <w:spacing w:after="120"/>
      </w:pPr>
      <w:r>
        <w:t>T</w:t>
      </w:r>
      <w:r w:rsidRPr="009561C0">
        <w:t>he Commissioner</w:t>
      </w:r>
      <w:r>
        <w:t xml:space="preserve"> of Territory Revenue issues a</w:t>
      </w:r>
      <w:r w:rsidRPr="009561C0">
        <w:t xml:space="preserve"> </w:t>
      </w:r>
      <w:r>
        <w:t xml:space="preserve">written </w:t>
      </w:r>
      <w:r w:rsidRPr="009561C0">
        <w:t>notice</w:t>
      </w:r>
      <w:r>
        <w:t xml:space="preserve"> </w:t>
      </w:r>
      <w:r w:rsidRPr="009561C0">
        <w:t>request</w:t>
      </w:r>
      <w:r>
        <w:t xml:space="preserve">ing them </w:t>
      </w:r>
      <w:r w:rsidRPr="009561C0">
        <w:t xml:space="preserve">to </w:t>
      </w:r>
      <w:r>
        <w:t>disclos</w:t>
      </w:r>
      <w:r w:rsidRPr="009561C0">
        <w:t>e information about a tax</w:t>
      </w:r>
      <w:r>
        <w:t xml:space="preserve"> </w:t>
      </w:r>
      <w:r w:rsidRPr="009561C0">
        <w:t>liability that the Commissioner proposes to assess</w:t>
      </w:r>
      <w:r>
        <w:t>.</w:t>
      </w:r>
    </w:p>
    <w:p w14:paraId="30C1CE8D" w14:textId="77777777" w:rsidR="00273C62" w:rsidRPr="009561C0" w:rsidRDefault="00273C62" w:rsidP="009F0166">
      <w:pPr>
        <w:pStyle w:val="BlockText"/>
        <w:keepLines/>
        <w:numPr>
          <w:ilvl w:val="1"/>
          <w:numId w:val="46"/>
        </w:numPr>
        <w:spacing w:after="120"/>
      </w:pPr>
      <w:r>
        <w:t>F</w:t>
      </w:r>
      <w:r w:rsidRPr="009561C0">
        <w:t>acts or circumsta</w:t>
      </w:r>
      <w:r>
        <w:t>nces become known to them</w:t>
      </w:r>
      <w:r w:rsidRPr="009561C0">
        <w:t>, showing that the</w:t>
      </w:r>
      <w:r>
        <w:t xml:space="preserve"> </w:t>
      </w:r>
      <w:r w:rsidRPr="009561C0">
        <w:t>basis on which tax has been paid, or the basis on which the</w:t>
      </w:r>
      <w:r>
        <w:t xml:space="preserve"> </w:t>
      </w:r>
      <w:r w:rsidRPr="009561C0">
        <w:t xml:space="preserve">Commissioner has assessed or </w:t>
      </w:r>
      <w:r>
        <w:t xml:space="preserve">will </w:t>
      </w:r>
      <w:r w:rsidRPr="009561C0">
        <w:t>assess a tax</w:t>
      </w:r>
      <w:r>
        <w:t xml:space="preserve"> liability, is incorrect.</w:t>
      </w:r>
      <w:r>
        <w:rPr>
          <w:rStyle w:val="FootnoteReference"/>
          <w:sz w:val="24"/>
          <w:szCs w:val="24"/>
        </w:rPr>
        <w:footnoteReference w:id="4"/>
      </w:r>
    </w:p>
    <w:p w14:paraId="161DD363" w14:textId="77777777" w:rsidR="00273C62" w:rsidRDefault="00273C62" w:rsidP="009F0166">
      <w:pPr>
        <w:pStyle w:val="BlockText"/>
        <w:keepLines/>
        <w:numPr>
          <w:ilvl w:val="0"/>
          <w:numId w:val="45"/>
        </w:numPr>
        <w:spacing w:after="120"/>
        <w:ind w:left="357" w:hanging="357"/>
      </w:pPr>
      <w:r>
        <w:t>The obligation is to make the disclosure in writing, which means that where the relevant return, application or instrument does not set out all of the relevant facts and circumstances, additional written documents setting out those facts and circumstances must be provided.</w:t>
      </w:r>
    </w:p>
    <w:p w14:paraId="4D5884A3" w14:textId="77777777" w:rsidR="00273C62" w:rsidRDefault="00273C62" w:rsidP="009F0166">
      <w:pPr>
        <w:pStyle w:val="BlockText"/>
        <w:keepLines/>
        <w:numPr>
          <w:ilvl w:val="0"/>
          <w:numId w:val="45"/>
        </w:numPr>
        <w:spacing w:after="120"/>
        <w:ind w:left="357" w:hanging="357"/>
      </w:pPr>
      <w:r>
        <w:t>Breach of this obligation is an offence, the m</w:t>
      </w:r>
      <w:r w:rsidRPr="007576DD">
        <w:t>aximum penalty</w:t>
      </w:r>
      <w:r>
        <w:t xml:space="preserve"> for which is</w:t>
      </w:r>
      <w:r w:rsidRPr="007576DD">
        <w:t xml:space="preserve"> 100 penalty units</w:t>
      </w:r>
      <w:r>
        <w:t xml:space="preserve"> (current penalty unit values are available from the Territory Revenue Office (TRO) website).</w:t>
      </w:r>
      <w:r w:rsidRPr="00473632">
        <w:rPr>
          <w:vertAlign w:val="superscript"/>
        </w:rPr>
        <w:footnoteReference w:id="5"/>
      </w:r>
      <w:r w:rsidRPr="00473632">
        <w:rPr>
          <w:vertAlign w:val="superscript"/>
        </w:rPr>
        <w:t xml:space="preserve"> </w:t>
      </w:r>
      <w:r>
        <w:t xml:space="preserve"> </w:t>
      </w:r>
    </w:p>
    <w:p w14:paraId="57E543BF" w14:textId="3222A4F1" w:rsidR="00273C62" w:rsidRDefault="00273C62" w:rsidP="009F0166">
      <w:pPr>
        <w:pStyle w:val="BlockText"/>
        <w:keepLines/>
        <w:numPr>
          <w:ilvl w:val="0"/>
          <w:numId w:val="45"/>
        </w:numPr>
        <w:spacing w:after="120"/>
        <w:ind w:left="357" w:hanging="357"/>
      </w:pPr>
      <w:r>
        <w:t>A failure to make a full and true disclosure that results in the taxpayer being assessed for a lower amount of tax than they otherwise ought to have means that TRO may at any later time reassess the liability, notwithstanding the normal 5-year time limit on reassessments.</w:t>
      </w:r>
      <w:r w:rsidRPr="00473632">
        <w:rPr>
          <w:vertAlign w:val="superscript"/>
        </w:rPr>
        <w:footnoteReference w:id="6"/>
      </w:r>
      <w:r>
        <w:t xml:space="preserve">  Such an assessment will require the payment of interest and penalty tax at a rate dependent upon the culpability of the taxpayer.</w:t>
      </w:r>
      <w:r w:rsidRPr="00473632">
        <w:rPr>
          <w:vertAlign w:val="superscript"/>
        </w:rPr>
        <w:footnoteReference w:id="7"/>
      </w:r>
    </w:p>
    <w:p w14:paraId="082297B5" w14:textId="089A9DC2" w:rsidR="00273C62" w:rsidRPr="00273C62" w:rsidRDefault="00273C62" w:rsidP="009F0166">
      <w:pPr>
        <w:rPr>
          <w:rFonts w:eastAsiaTheme="minorEastAsia"/>
          <w:iCs/>
        </w:rPr>
      </w:pPr>
      <w:r>
        <w:br w:type="page"/>
      </w:r>
    </w:p>
    <w:p w14:paraId="1164CAC2" w14:textId="77777777" w:rsidR="00273C62" w:rsidRPr="003958ED" w:rsidRDefault="00273C62" w:rsidP="009F0166">
      <w:pPr>
        <w:pStyle w:val="Heading1"/>
        <w:numPr>
          <w:ilvl w:val="0"/>
          <w:numId w:val="0"/>
        </w:numPr>
        <w:ind w:left="432" w:hanging="432"/>
      </w:pPr>
      <w:bookmarkStart w:id="2" w:name="_Toc170396789"/>
      <w:r>
        <w:lastRenderedPageBreak/>
        <w:t>The disclosure is required ‘up front’</w:t>
      </w:r>
      <w:bookmarkEnd w:id="2"/>
      <w:r>
        <w:t xml:space="preserve"> </w:t>
      </w:r>
    </w:p>
    <w:p w14:paraId="62C33C2E" w14:textId="77777777" w:rsidR="00273C62" w:rsidRDefault="00273C62" w:rsidP="009F0166">
      <w:pPr>
        <w:pStyle w:val="BlockText"/>
        <w:keepLines/>
        <w:numPr>
          <w:ilvl w:val="0"/>
          <w:numId w:val="45"/>
        </w:numPr>
        <w:spacing w:after="120"/>
        <w:ind w:left="357" w:hanging="357"/>
      </w:pPr>
      <w:r>
        <w:t>Full and true disclosure of relevant facts and circumstances is required to occur ‘up front’ when instruments, returns and applications are lodged for the assessment of tax. This is a positive obligation on taxpayers and tax advisers to disclose information relevant to the assessment of the tax liability and the obligation does not require the Commissioner to request the information, whether by formal notice or otherwise.</w:t>
      </w:r>
    </w:p>
    <w:p w14:paraId="76E8AA64" w14:textId="77777777" w:rsidR="00273C62" w:rsidRPr="009E7035" w:rsidRDefault="00273C62" w:rsidP="009F0166">
      <w:pPr>
        <w:pStyle w:val="Heading1"/>
        <w:numPr>
          <w:ilvl w:val="0"/>
          <w:numId w:val="0"/>
        </w:numPr>
      </w:pPr>
      <w:bookmarkStart w:id="3" w:name="_Toc170396790"/>
      <w:r w:rsidRPr="009E7035">
        <w:t>Extent of the disclosure obligations</w:t>
      </w:r>
      <w:bookmarkEnd w:id="3"/>
    </w:p>
    <w:p w14:paraId="56DDBDEE" w14:textId="77777777" w:rsidR="00273C62" w:rsidRPr="003958ED" w:rsidRDefault="00273C62" w:rsidP="009F0166">
      <w:pPr>
        <w:pStyle w:val="Heading2"/>
        <w:numPr>
          <w:ilvl w:val="0"/>
          <w:numId w:val="0"/>
        </w:numPr>
        <w:ind w:left="576" w:hanging="576"/>
      </w:pPr>
      <w:bookmarkStart w:id="4" w:name="_Toc170396791"/>
      <w:r>
        <w:t>Disclosure of known information – no requirement to research</w:t>
      </w:r>
      <w:bookmarkEnd w:id="4"/>
    </w:p>
    <w:p w14:paraId="13CC3A31" w14:textId="02F3DDD5" w:rsidR="00273C62" w:rsidRDefault="00273C62" w:rsidP="009F0166">
      <w:pPr>
        <w:pStyle w:val="BlockText"/>
        <w:keepLines/>
        <w:numPr>
          <w:ilvl w:val="0"/>
          <w:numId w:val="45"/>
        </w:numPr>
        <w:spacing w:after="120"/>
        <w:ind w:left="357" w:hanging="357"/>
      </w:pPr>
      <w:r w:rsidRPr="009A6AF4">
        <w:t xml:space="preserve">Taxpayers and tax advisers are required to disclose relevant information in their </w:t>
      </w:r>
      <w:r>
        <w:t xml:space="preserve">knowledge or </w:t>
      </w:r>
      <w:r w:rsidRPr="009A6AF4">
        <w:t>possession</w:t>
      </w:r>
      <w:r>
        <w:t xml:space="preserve">. However, section 24 of the Act does not oblige taxpayers and tax advisers to </w:t>
      </w:r>
      <w:r w:rsidRPr="009A6AF4">
        <w:t>research or audit a matter to ensure compliance with th</w:t>
      </w:r>
      <w:r>
        <w:t>e</w:t>
      </w:r>
      <w:r w:rsidRPr="009A6AF4">
        <w:t xml:space="preserve"> requirement</w:t>
      </w:r>
      <w:r>
        <w:t xml:space="preserve"> for full and true disclosure</w:t>
      </w:r>
      <w:r w:rsidRPr="009A6AF4">
        <w:t xml:space="preserve">. </w:t>
      </w:r>
    </w:p>
    <w:p w14:paraId="1CE11E67" w14:textId="6091F291" w:rsidR="00273C62" w:rsidRDefault="00273C62" w:rsidP="009F0166">
      <w:pPr>
        <w:pStyle w:val="BlockText"/>
        <w:keepLines/>
        <w:numPr>
          <w:ilvl w:val="0"/>
          <w:numId w:val="45"/>
        </w:numPr>
        <w:spacing w:after="120"/>
        <w:ind w:left="357" w:hanging="357"/>
      </w:pPr>
      <w:r w:rsidRPr="009A6AF4">
        <w:t xml:space="preserve">If a </w:t>
      </w:r>
      <w:r>
        <w:t>tax adviser</w:t>
      </w:r>
      <w:r w:rsidRPr="009A6AF4">
        <w:t xml:space="preserve"> lodges a return or document with the Commissioner for assessment, they will meet their disclosure requirements where, relying on the taxpayer’s disclosure, they lodge all relevant information in their possession.</w:t>
      </w:r>
      <w:r>
        <w:t xml:space="preserve"> For example, where</w:t>
      </w:r>
      <w:r w:rsidRPr="009A6AF4">
        <w:t xml:space="preserve"> </w:t>
      </w:r>
      <w:r>
        <w:t xml:space="preserve">a </w:t>
      </w:r>
      <w:r w:rsidRPr="009A6AF4">
        <w:t>tax adviser simply prepares and lodges a return based on information provided by a client and that return accurately reflects all of the information provided to the tax adviser, the adviser would have met their disclosure requirements by lodging the return</w:t>
      </w:r>
      <w:r>
        <w:t>.</w:t>
      </w:r>
    </w:p>
    <w:p w14:paraId="03581C87" w14:textId="77777777" w:rsidR="00273C62" w:rsidRPr="003958ED" w:rsidRDefault="00273C62" w:rsidP="009F0166">
      <w:pPr>
        <w:pStyle w:val="Heading2"/>
        <w:numPr>
          <w:ilvl w:val="0"/>
          <w:numId w:val="0"/>
        </w:numPr>
        <w:ind w:left="576" w:hanging="576"/>
      </w:pPr>
      <w:bookmarkStart w:id="5" w:name="_Toc170396792"/>
      <w:r>
        <w:t>Disclosure of relevant facts and circumstances, not documents</w:t>
      </w:r>
      <w:bookmarkEnd w:id="5"/>
    </w:p>
    <w:p w14:paraId="664B28FA" w14:textId="1FB6FF1A" w:rsidR="00273C62" w:rsidRDefault="00273C62" w:rsidP="009F0166">
      <w:pPr>
        <w:pStyle w:val="BlockText"/>
        <w:keepLines/>
        <w:numPr>
          <w:ilvl w:val="0"/>
          <w:numId w:val="45"/>
        </w:numPr>
        <w:spacing w:after="120"/>
        <w:ind w:left="357" w:hanging="357"/>
      </w:pPr>
      <w:r>
        <w:t>TRO is aware that in large and complicated transactions, a considerable amount of documentation (such as during due diligence processes) may be generated in relation to the transaction. However, the obligation is simply to disclose all facts and circumstances relevant to assessing a taxpayer’s tax liability, but not necessarily all of the documentation. For example, where a due diligence process reveals information relevant to a tax assessment, the obligation is satisfied by disclosing in writing the relevant facts and circumstances that the reports revealed – it is not necessary to lodge all of the physical material to TRO in the first instance.</w:t>
      </w:r>
    </w:p>
    <w:p w14:paraId="592827E0" w14:textId="77777777" w:rsidR="00273C62" w:rsidRPr="003958ED" w:rsidRDefault="00273C62" w:rsidP="009F0166">
      <w:pPr>
        <w:pStyle w:val="Heading2"/>
        <w:numPr>
          <w:ilvl w:val="0"/>
          <w:numId w:val="0"/>
        </w:numPr>
        <w:ind w:left="576" w:hanging="576"/>
      </w:pPr>
      <w:bookmarkStart w:id="6" w:name="_Toc170396793"/>
      <w:r w:rsidRPr="004B3D53">
        <w:t>Legal professional privilege</w:t>
      </w:r>
      <w:bookmarkEnd w:id="6"/>
    </w:p>
    <w:p w14:paraId="53D2F5E2" w14:textId="4A653EB1" w:rsidR="00473632" w:rsidRDefault="00273C62" w:rsidP="009F0166">
      <w:pPr>
        <w:pStyle w:val="BlockText"/>
        <w:keepLines/>
        <w:numPr>
          <w:ilvl w:val="0"/>
          <w:numId w:val="45"/>
        </w:numPr>
        <w:spacing w:after="120"/>
        <w:ind w:left="357" w:hanging="357"/>
      </w:pPr>
      <w:r w:rsidRPr="009A6AF4">
        <w:t>Th</w:t>
      </w:r>
      <w:r>
        <w:t>e</w:t>
      </w:r>
      <w:r w:rsidRPr="009A6AF4">
        <w:t xml:space="preserve"> requirement for full and true disclosure does not override legal professional</w:t>
      </w:r>
      <w:r>
        <w:t xml:space="preserve"> </w:t>
      </w:r>
      <w:r w:rsidRPr="009A6AF4">
        <w:t>privilege a taxpayer may have over communications with their lawyer. Accordingly,</w:t>
      </w:r>
      <w:r w:rsidRPr="009E7035">
        <w:t xml:space="preserve"> </w:t>
      </w:r>
      <w:r>
        <w:t xml:space="preserve">actual </w:t>
      </w:r>
      <w:r w:rsidRPr="009E7035">
        <w:t>communications that are properly the subject of legal professional privilege</w:t>
      </w:r>
      <w:r>
        <w:t xml:space="preserve"> </w:t>
      </w:r>
      <w:r w:rsidRPr="009A6AF4">
        <w:t xml:space="preserve">do not have to </w:t>
      </w:r>
      <w:r>
        <w:t>be provided</w:t>
      </w:r>
      <w:r w:rsidRPr="009A6AF4">
        <w:t xml:space="preserve"> to the Commissioner.</w:t>
      </w:r>
      <w:r>
        <w:t xml:space="preserve"> </w:t>
      </w:r>
      <w:r w:rsidRPr="009A6AF4">
        <w:t xml:space="preserve">However, the taxpayer and </w:t>
      </w:r>
      <w:r>
        <w:t xml:space="preserve">tax </w:t>
      </w:r>
      <w:r w:rsidRPr="009A6AF4">
        <w:t>adviser must still fully and truly disclose</w:t>
      </w:r>
      <w:r>
        <w:t xml:space="preserve"> </w:t>
      </w:r>
      <w:r w:rsidRPr="009A6AF4">
        <w:t>all relevant facts and circumstances affecti</w:t>
      </w:r>
      <w:r>
        <w:t xml:space="preserve">ng an assessment and the mere fact that those facts and circumstances are contained in privileged communications does not alter this obligation. In this situation, the relevant facts and circumstances can be disclosed by way of précis (for example) without providing the privileged communications. Disclosing relevant facts and circumstances in privileged communications does not result in privilege over those communications being waived. </w:t>
      </w:r>
    </w:p>
    <w:p w14:paraId="4303A7C8" w14:textId="77777777" w:rsidR="00473632" w:rsidRDefault="00473632" w:rsidP="009F0166">
      <w:pPr>
        <w:rPr>
          <w:rFonts w:asciiTheme="majorHAnsi" w:eastAsiaTheme="majorEastAsia" w:hAnsiTheme="majorHAnsi" w:cstheme="majorBidi"/>
          <w:bCs/>
          <w:iCs/>
          <w:color w:val="454347"/>
          <w:sz w:val="32"/>
          <w:szCs w:val="32"/>
        </w:rPr>
      </w:pPr>
      <w:r>
        <w:br w:type="page"/>
      </w:r>
    </w:p>
    <w:p w14:paraId="1C1759D0" w14:textId="1FA2C8F2" w:rsidR="00273C62" w:rsidRPr="003958ED" w:rsidRDefault="00273C62" w:rsidP="009F0166">
      <w:pPr>
        <w:pStyle w:val="Heading2"/>
        <w:numPr>
          <w:ilvl w:val="0"/>
          <w:numId w:val="0"/>
        </w:numPr>
      </w:pPr>
      <w:bookmarkStart w:id="7" w:name="_Toc170396794"/>
      <w:r w:rsidRPr="00CB2B7C">
        <w:lastRenderedPageBreak/>
        <w:t xml:space="preserve">Tax advisers to disclose information relating to </w:t>
      </w:r>
      <w:r>
        <w:t>matters</w:t>
      </w:r>
      <w:r w:rsidRPr="00CB2B7C">
        <w:t xml:space="preserve"> for which they</w:t>
      </w:r>
      <w:r w:rsidR="00473632">
        <w:t xml:space="preserve"> </w:t>
      </w:r>
      <w:r w:rsidRPr="00CB2B7C">
        <w:t>are engaged</w:t>
      </w:r>
      <w:bookmarkEnd w:id="7"/>
    </w:p>
    <w:p w14:paraId="46DD3756" w14:textId="2922F99F" w:rsidR="00273C62" w:rsidRPr="003958ED" w:rsidRDefault="00273C62" w:rsidP="009F0166">
      <w:pPr>
        <w:pStyle w:val="BlockText"/>
        <w:keepLines/>
        <w:numPr>
          <w:ilvl w:val="0"/>
          <w:numId w:val="45"/>
        </w:numPr>
        <w:spacing w:after="120"/>
        <w:ind w:left="357" w:hanging="357"/>
      </w:pPr>
      <w:r>
        <w:t>The</w:t>
      </w:r>
      <w:r w:rsidRPr="009A6AF4">
        <w:t xml:space="preserve"> obligation on tax advisers is only intended to extend to those matters in respect of which the tax adviser has been engaged by a taxpayer to provide services or advice.</w:t>
      </w:r>
      <w:r>
        <w:t xml:space="preserve"> For example, i</w:t>
      </w:r>
      <w:r w:rsidRPr="009A6AF4">
        <w:t xml:space="preserve">f a tax adviser has been engaged to complete payroll tax </w:t>
      </w:r>
      <w:r>
        <w:t xml:space="preserve">or royalty </w:t>
      </w:r>
      <w:r w:rsidRPr="009A6AF4">
        <w:t>returns on behalf of a client and that same client engages another tax adviser to provide advice in relation to a stamp duty matter, it would not be expected that the tax adviser engaged to complete the payroll tax</w:t>
      </w:r>
      <w:r>
        <w:t xml:space="preserve"> or royalty</w:t>
      </w:r>
      <w:r w:rsidRPr="009A6AF4">
        <w:t xml:space="preserve"> returns would be required to disclose any information in relation to the stamp duty matter and vice versa.</w:t>
      </w:r>
      <w:r>
        <w:t xml:space="preserve">  </w:t>
      </w:r>
    </w:p>
    <w:p w14:paraId="2FA0AF9E" w14:textId="77777777" w:rsidR="00273C62" w:rsidRDefault="00273C62" w:rsidP="009F0166">
      <w:pPr>
        <w:pStyle w:val="BlockText"/>
        <w:keepLines/>
        <w:numPr>
          <w:ilvl w:val="0"/>
          <w:numId w:val="45"/>
        </w:numPr>
        <w:spacing w:after="120"/>
        <w:ind w:left="357" w:hanging="357"/>
      </w:pPr>
      <w:r>
        <w:t xml:space="preserve">Furthermore, a </w:t>
      </w:r>
      <w:r w:rsidRPr="009A6AF4">
        <w:t>person engaged to perform federal taxation work, bookkeeping or any other services not involving the preparation or lodgement of instruments</w:t>
      </w:r>
      <w:r>
        <w:t>, returns, submissions or application</w:t>
      </w:r>
      <w:r w:rsidRPr="009A6AF4">
        <w:t xml:space="preserve"> </w:t>
      </w:r>
      <w:r>
        <w:t xml:space="preserve">to TRO </w:t>
      </w:r>
      <w:r w:rsidRPr="009A6AF4">
        <w:t>will not be a “tax adviser”</w:t>
      </w:r>
      <w:r>
        <w:t xml:space="preserve"> for the purposes of the disclosure obligation.</w:t>
      </w:r>
    </w:p>
    <w:p w14:paraId="427DFDEA" w14:textId="77777777" w:rsidR="00273C62" w:rsidRDefault="00273C62" w:rsidP="009F0166">
      <w:pPr>
        <w:pStyle w:val="BlockText"/>
        <w:keepLines/>
        <w:numPr>
          <w:ilvl w:val="0"/>
          <w:numId w:val="45"/>
        </w:numPr>
        <w:spacing w:after="120"/>
        <w:ind w:left="357" w:hanging="357"/>
      </w:pPr>
      <w:r>
        <w:t>For similar reasons, an a</w:t>
      </w:r>
      <w:r w:rsidRPr="009A6AF4">
        <w:t>ccountant</w:t>
      </w:r>
      <w:r>
        <w:t xml:space="preserve"> or other adviser that is still considered to be “engaged” </w:t>
      </w:r>
      <w:r w:rsidRPr="009A6AF4">
        <w:t xml:space="preserve">under the terms of a letter of engagement when not actually performing work for </w:t>
      </w:r>
      <w:r>
        <w:t xml:space="preserve">a client is not a tax adviser, other than </w:t>
      </w:r>
      <w:r w:rsidRPr="009A6AF4">
        <w:t>when actually performing work in relation to a Territory tax</w:t>
      </w:r>
      <w:r>
        <w:t>ation law</w:t>
      </w:r>
      <w:r w:rsidRPr="009A6AF4">
        <w:t>.</w:t>
      </w:r>
    </w:p>
    <w:p w14:paraId="7682D8B7" w14:textId="77777777" w:rsidR="00273C62" w:rsidRPr="003958ED" w:rsidRDefault="00273C62" w:rsidP="009F0166">
      <w:pPr>
        <w:pStyle w:val="Heading2"/>
        <w:numPr>
          <w:ilvl w:val="0"/>
          <w:numId w:val="0"/>
        </w:numPr>
        <w:ind w:left="576" w:hanging="576"/>
      </w:pPr>
      <w:bookmarkStart w:id="8" w:name="_Toc170396795"/>
      <w:r w:rsidRPr="004B3D53">
        <w:t>Unsubstantiated allegations</w:t>
      </w:r>
      <w:bookmarkEnd w:id="8"/>
    </w:p>
    <w:p w14:paraId="14C0D51A" w14:textId="2A5679BA" w:rsidR="00273C62" w:rsidRPr="003958ED" w:rsidRDefault="00273C62" w:rsidP="009F0166">
      <w:pPr>
        <w:pStyle w:val="BlockText"/>
        <w:keepLines/>
        <w:numPr>
          <w:ilvl w:val="0"/>
          <w:numId w:val="45"/>
        </w:numPr>
        <w:spacing w:after="120"/>
        <w:ind w:left="357" w:hanging="357"/>
      </w:pPr>
      <w:r w:rsidRPr="009A6AF4">
        <w:t>The</w:t>
      </w:r>
      <w:r>
        <w:t>re is no</w:t>
      </w:r>
      <w:r w:rsidRPr="009A6AF4">
        <w:t xml:space="preserve"> </w:t>
      </w:r>
      <w:r>
        <w:t xml:space="preserve">obligation on a tax adviser to pass on unsubstantiated rumours or allegations about a taxpayer in circumstances where the tax adviser is unable to </w:t>
      </w:r>
      <w:r w:rsidRPr="009A6AF4">
        <w:t>determine whether the client has underpaid tax</w:t>
      </w:r>
      <w:r>
        <w:t xml:space="preserve">. The </w:t>
      </w:r>
      <w:r w:rsidRPr="009A6AF4">
        <w:t>definition of “relevant occasion</w:t>
      </w:r>
      <w:r>
        <w:t>” only requires disclosure where f</w:t>
      </w:r>
      <w:r w:rsidRPr="009E7035">
        <w:t xml:space="preserve">acts or circumstances become </w:t>
      </w:r>
      <w:r w:rsidRPr="00473632">
        <w:t>known</w:t>
      </w:r>
      <w:r w:rsidRPr="009E7035">
        <w:t xml:space="preserve"> to the taxpayer or tax adviser</w:t>
      </w:r>
      <w:r>
        <w:t xml:space="preserve"> </w:t>
      </w:r>
      <w:r w:rsidRPr="00473632">
        <w:t>showing</w:t>
      </w:r>
      <w:r w:rsidRPr="009E7035">
        <w:t xml:space="preserve"> that the basis on which tax has been paid, or the basis on which the Commissioner has assessed or will assess a tax liability, is incorrect.</w:t>
      </w:r>
      <w:r>
        <w:t xml:space="preserve"> It is considered that there is no obligation to pass on mere suspicions or unsubstantiated allegations where the tax adviser does not know that the relevant facts or circumstances exist.</w:t>
      </w:r>
    </w:p>
    <w:p w14:paraId="44BBFA39" w14:textId="77777777" w:rsidR="00273C62" w:rsidRPr="003958ED" w:rsidRDefault="00273C62" w:rsidP="009F0166">
      <w:pPr>
        <w:pStyle w:val="Heading2"/>
        <w:numPr>
          <w:ilvl w:val="0"/>
          <w:numId w:val="0"/>
        </w:numPr>
        <w:ind w:left="576" w:hanging="576"/>
      </w:pPr>
      <w:bookmarkStart w:id="9" w:name="_Toc170396796"/>
      <w:r>
        <w:t>Examples of breach of disclosure requirement</w:t>
      </w:r>
      <w:bookmarkEnd w:id="9"/>
    </w:p>
    <w:p w14:paraId="7A7B23E3" w14:textId="77777777" w:rsidR="00273C62" w:rsidRDefault="00273C62" w:rsidP="009F0166">
      <w:pPr>
        <w:pStyle w:val="BlockText"/>
        <w:keepLines/>
        <w:numPr>
          <w:ilvl w:val="0"/>
          <w:numId w:val="45"/>
        </w:numPr>
        <w:spacing w:after="120"/>
        <w:ind w:left="357" w:hanging="357"/>
      </w:pPr>
      <w:r>
        <w:t>The following example is a situation where taxpayers and tax advisers have failed to fully and truly disclose facts relevant to a tax assessment on a relevant occasion.</w:t>
      </w:r>
    </w:p>
    <w:p w14:paraId="611CAABB" w14:textId="5288AFAF" w:rsidR="00273C62" w:rsidRDefault="00273C62" w:rsidP="009F0166">
      <w:pPr>
        <w:pStyle w:val="ExampleBox"/>
        <w:spacing w:before="240"/>
      </w:pPr>
      <w:r>
        <w:t>In relation to a conveyance of land from a related party, a taxpayer has obtained a valuation of the land and is aware that the consideration being paid is less than the value of the land. If the taxpayer lodges the instrument for assessment without disclosing the fact that the land has been valued at greater than the consideration being paid, the disclosure obligation will have been breached.</w:t>
      </w:r>
    </w:p>
    <w:p w14:paraId="701DDEC2" w14:textId="77777777" w:rsidR="00473632" w:rsidRPr="003958ED" w:rsidRDefault="00473632" w:rsidP="009F0166">
      <w:pPr>
        <w:pStyle w:val="Heading1"/>
        <w:numPr>
          <w:ilvl w:val="0"/>
          <w:numId w:val="0"/>
        </w:numPr>
        <w:ind w:left="432" w:hanging="432"/>
      </w:pPr>
      <w:bookmarkStart w:id="10" w:name="_Toc170396797"/>
      <w:r>
        <w:t>Stamp Duty Lodgement Guide</w:t>
      </w:r>
      <w:bookmarkEnd w:id="10"/>
    </w:p>
    <w:p w14:paraId="44F7BA7A" w14:textId="77777777" w:rsidR="00473632" w:rsidRDefault="00473632" w:rsidP="009F0166">
      <w:pPr>
        <w:pStyle w:val="BlockText"/>
        <w:keepLines/>
        <w:numPr>
          <w:ilvl w:val="0"/>
          <w:numId w:val="45"/>
        </w:numPr>
        <w:spacing w:after="120"/>
        <w:ind w:left="357" w:hanging="357"/>
      </w:pPr>
      <w:r>
        <w:t xml:space="preserve">The </w:t>
      </w:r>
      <w:r w:rsidRPr="00E21EC5">
        <w:rPr>
          <w:i/>
        </w:rPr>
        <w:t>Stamp Duty Lodgement Guide</w:t>
      </w:r>
      <w:r>
        <w:t xml:space="preserve"> (</w:t>
      </w:r>
      <w:hyperlink r:id="rId17" w:history="1">
        <w:r w:rsidRPr="008A751E">
          <w:rPr>
            <w:rStyle w:val="Hyperlink"/>
          </w:rPr>
          <w:t>I-SD-001</w:t>
        </w:r>
      </w:hyperlink>
      <w:r>
        <w:t xml:space="preserve">) (the Guide) </w:t>
      </w:r>
      <w:r w:rsidRPr="00E21EC5">
        <w:t xml:space="preserve">provides guidance to taxpayers </w:t>
      </w:r>
      <w:r>
        <w:t xml:space="preserve">of </w:t>
      </w:r>
      <w:r w:rsidRPr="00E21EC5">
        <w:t xml:space="preserve">the </w:t>
      </w:r>
      <w:r>
        <w:t xml:space="preserve">type of </w:t>
      </w:r>
      <w:r w:rsidRPr="00E21EC5">
        <w:t>information</w:t>
      </w:r>
      <w:r>
        <w:t xml:space="preserve"> and documents</w:t>
      </w:r>
      <w:r w:rsidRPr="00E21EC5">
        <w:t xml:space="preserve"> </w:t>
      </w:r>
      <w:r>
        <w:t xml:space="preserve">usually required by TRO to assess stamp duty on a wide range of </w:t>
      </w:r>
      <w:r w:rsidRPr="00E21EC5">
        <w:t>instruments</w:t>
      </w:r>
      <w:r>
        <w:t>. It does this by listing documents and information relevant for certain types of transactions, applications for exemptions or concessions or in certain cases where evidence of value may be required.</w:t>
      </w:r>
    </w:p>
    <w:p w14:paraId="6EB9B9DA" w14:textId="60C8A19E" w:rsidR="00473632" w:rsidRDefault="00473632" w:rsidP="009F0166">
      <w:pPr>
        <w:pStyle w:val="BlockText"/>
        <w:keepLines/>
        <w:numPr>
          <w:ilvl w:val="0"/>
          <w:numId w:val="45"/>
        </w:numPr>
        <w:spacing w:after="120"/>
        <w:ind w:left="357" w:hanging="357"/>
      </w:pPr>
      <w:r w:rsidRPr="00E21EC5">
        <w:t xml:space="preserve">The Guide does not </w:t>
      </w:r>
      <w:r>
        <w:t>(and does not purport to) provide an exhaustive list of the information required to assess any particular instrument or transaction. It is designed to assist taxpayers to provide the usual information needed by TRO to assess a tax liability, but it does not replace the obligation to fully and truly disclose all relevant facts and circumstances</w:t>
      </w:r>
      <w:r w:rsidRPr="00E21EC5">
        <w:t xml:space="preserve"> </w:t>
      </w:r>
      <w:r>
        <w:t>t</w:t>
      </w:r>
      <w:r w:rsidRPr="009A6AF4">
        <w:t xml:space="preserve">hat affect </w:t>
      </w:r>
      <w:r>
        <w:t xml:space="preserve">a </w:t>
      </w:r>
      <w:r w:rsidRPr="009A6AF4">
        <w:t>taxpayer’s tax liability</w:t>
      </w:r>
      <w:r>
        <w:t xml:space="preserve">. That is, the obligation to disclose may </w:t>
      </w:r>
      <w:r>
        <w:rPr>
          <w:u w:val="single"/>
        </w:rPr>
        <w:t>not</w:t>
      </w:r>
      <w:r>
        <w:t xml:space="preserve"> be fulfilled merely by providing the information and documents listed in the Guide.</w:t>
      </w:r>
    </w:p>
    <w:p w14:paraId="661BD0BC" w14:textId="77777777" w:rsidR="00473632" w:rsidRPr="003958ED" w:rsidRDefault="00473632" w:rsidP="009F0166">
      <w:pPr>
        <w:pStyle w:val="BlockText"/>
        <w:keepLines/>
        <w:numPr>
          <w:ilvl w:val="0"/>
          <w:numId w:val="45"/>
        </w:numPr>
        <w:spacing w:after="120"/>
        <w:ind w:left="357" w:hanging="357"/>
      </w:pPr>
      <w:r>
        <w:lastRenderedPageBreak/>
        <w:t>Where the taxpayer or tax adviser is aware of facts or circumstances</w:t>
      </w:r>
      <w:r w:rsidRPr="00EE6FBC">
        <w:t xml:space="preserve"> </w:t>
      </w:r>
      <w:r>
        <w:t>relevant to assessing the taxpayer’s tax liability that are not listed in the documents and information set out in the Guide in relation to that type of transaction, it is an offence not to disclose that information in writing on the relevant occasion (such as when lodging the instrument).</w:t>
      </w:r>
    </w:p>
    <w:p w14:paraId="786FC474" w14:textId="77777777" w:rsidR="00473632" w:rsidRPr="003958ED" w:rsidRDefault="00473632" w:rsidP="009F0166">
      <w:pPr>
        <w:pStyle w:val="Heading1"/>
        <w:numPr>
          <w:ilvl w:val="0"/>
          <w:numId w:val="0"/>
        </w:numPr>
        <w:ind w:left="432" w:hanging="432"/>
      </w:pPr>
      <w:bookmarkStart w:id="11" w:name="_Toc170396798"/>
      <w:r w:rsidRPr="009E7035">
        <w:t>Correcting info</w:t>
      </w:r>
      <w:r w:rsidRPr="008A751E">
        <w:t>r</w:t>
      </w:r>
      <w:r w:rsidRPr="009E7035">
        <w:t>mation</w:t>
      </w:r>
      <w:bookmarkEnd w:id="11"/>
    </w:p>
    <w:p w14:paraId="72D07CD9" w14:textId="0BED0A76" w:rsidR="00473632" w:rsidRPr="003958ED" w:rsidRDefault="00473632" w:rsidP="009F0166">
      <w:pPr>
        <w:pStyle w:val="BlockText"/>
        <w:keepLines/>
        <w:numPr>
          <w:ilvl w:val="0"/>
          <w:numId w:val="45"/>
        </w:numPr>
        <w:spacing w:after="120"/>
      </w:pPr>
      <w:r>
        <w:t xml:space="preserve">The focus of the obligation for taxpayers and tax advisers to disclose information is to enable the Commissioner to make an efficient and timely assessment of a taxpayer’s tax liability. Accordingly, </w:t>
      </w:r>
      <w:r w:rsidRPr="00055B1E">
        <w:t xml:space="preserve">a taxpayer or tax adviser </w:t>
      </w:r>
      <w:r>
        <w:t xml:space="preserve">may be allowed </w:t>
      </w:r>
      <w:r w:rsidRPr="00055B1E">
        <w:t>to correct</w:t>
      </w:r>
      <w:r>
        <w:t xml:space="preserve"> </w:t>
      </w:r>
      <w:r w:rsidRPr="00055B1E">
        <w:t>an error in any instrument, return or informatio</w:t>
      </w:r>
      <w:r>
        <w:t>n submitted to the Commissioner in order to fulfil the disclosure obligations.</w:t>
      </w:r>
      <w:r>
        <w:rPr>
          <w:rStyle w:val="FootnoteReference"/>
          <w:sz w:val="24"/>
          <w:szCs w:val="24"/>
        </w:rPr>
        <w:footnoteReference w:id="8"/>
      </w:r>
    </w:p>
    <w:p w14:paraId="435273AA" w14:textId="77777777" w:rsidR="00473632" w:rsidRPr="003958ED" w:rsidRDefault="00473632" w:rsidP="009F0166">
      <w:pPr>
        <w:pStyle w:val="Heading1"/>
        <w:numPr>
          <w:ilvl w:val="0"/>
          <w:numId w:val="0"/>
        </w:numPr>
      </w:pPr>
      <w:bookmarkStart w:id="12" w:name="_Toc170396799"/>
      <w:r>
        <w:t xml:space="preserve">Confidentiality </w:t>
      </w:r>
      <w:r w:rsidRPr="0095445C">
        <w:t>of information</w:t>
      </w:r>
      <w:r>
        <w:t xml:space="preserve"> disclosed to the Commissioner</w:t>
      </w:r>
      <w:bookmarkEnd w:id="12"/>
    </w:p>
    <w:p w14:paraId="4D2C0AB6" w14:textId="77777777" w:rsidR="00473632" w:rsidRPr="003958ED" w:rsidRDefault="00473632" w:rsidP="009F0166">
      <w:pPr>
        <w:pStyle w:val="BlockText"/>
        <w:keepLines/>
        <w:numPr>
          <w:ilvl w:val="0"/>
          <w:numId w:val="45"/>
        </w:numPr>
        <w:spacing w:after="120"/>
      </w:pPr>
      <w:r>
        <w:t>Information obtained under the taxation laws about the identity</w:t>
      </w:r>
      <w:r w:rsidRPr="0095445C">
        <w:t xml:space="preserve"> or</w:t>
      </w:r>
      <w:r>
        <w:t xml:space="preserve"> </w:t>
      </w:r>
      <w:r w:rsidRPr="0095445C">
        <w:t>th</w:t>
      </w:r>
      <w:r>
        <w:t>e personal or financial affairs</w:t>
      </w:r>
      <w:r w:rsidRPr="0095445C">
        <w:t xml:space="preserve"> of a person </w:t>
      </w:r>
      <w:r>
        <w:t>is confidential and may not be disclosed by a tax officer except in limited circumstances relating to</w:t>
      </w:r>
      <w:r w:rsidRPr="00B25884">
        <w:t xml:space="preserve"> the administration o</w:t>
      </w:r>
      <w:r>
        <w:t>r enforcement of a taxation law.</w:t>
      </w:r>
      <w:r>
        <w:rPr>
          <w:rStyle w:val="FootnoteReference"/>
          <w:sz w:val="24"/>
          <w:szCs w:val="24"/>
        </w:rPr>
        <w:footnoteReference w:id="9"/>
      </w:r>
    </w:p>
    <w:p w14:paraId="2DA3CCAC" w14:textId="77777777" w:rsidR="00473632" w:rsidRPr="003958ED" w:rsidRDefault="00473632" w:rsidP="009F0166">
      <w:pPr>
        <w:pStyle w:val="Heading1"/>
        <w:numPr>
          <w:ilvl w:val="0"/>
          <w:numId w:val="0"/>
        </w:numPr>
        <w:ind w:left="432" w:hanging="432"/>
      </w:pPr>
      <w:bookmarkStart w:id="13" w:name="_Toc170396800"/>
      <w:r w:rsidRPr="00E5585F">
        <w:t>Defences</w:t>
      </w:r>
      <w:bookmarkEnd w:id="13"/>
    </w:p>
    <w:p w14:paraId="7FEFB32E" w14:textId="77777777" w:rsidR="00473632" w:rsidRPr="009A6AF4" w:rsidRDefault="00473632" w:rsidP="009F0166">
      <w:pPr>
        <w:pStyle w:val="BlockText"/>
        <w:keepLines/>
        <w:numPr>
          <w:ilvl w:val="0"/>
          <w:numId w:val="45"/>
        </w:numPr>
        <w:spacing w:after="120"/>
      </w:pPr>
      <w:r w:rsidRPr="009A6AF4">
        <w:t xml:space="preserve">For a taxpayer, it is a defence to a charge of not </w:t>
      </w:r>
      <w:r>
        <w:t xml:space="preserve">fully and truly </w:t>
      </w:r>
      <w:r w:rsidRPr="009A6AF4">
        <w:t>disclosing relevant information if</w:t>
      </w:r>
      <w:r>
        <w:t xml:space="preserve"> the taxpayer relied on either</w:t>
      </w:r>
      <w:r w:rsidRPr="009A6AF4">
        <w:t>:</w:t>
      </w:r>
    </w:p>
    <w:p w14:paraId="29B9DD9B" w14:textId="77777777" w:rsidR="00473632" w:rsidRPr="009A6AF4" w:rsidRDefault="00473632" w:rsidP="009F0166">
      <w:pPr>
        <w:pStyle w:val="BlockText"/>
        <w:keepLines/>
        <w:numPr>
          <w:ilvl w:val="1"/>
          <w:numId w:val="45"/>
        </w:numPr>
        <w:spacing w:after="120"/>
        <w:ind w:left="1134"/>
      </w:pPr>
      <w:r w:rsidRPr="009A6AF4">
        <w:t xml:space="preserve">another person </w:t>
      </w:r>
      <w:r>
        <w:t>also liable to pay the same tax liability</w:t>
      </w:r>
      <w:r w:rsidRPr="009A6AF4">
        <w:t xml:space="preserve"> (such as a payroll tax group member) to ensure </w:t>
      </w:r>
      <w:r>
        <w:t xml:space="preserve">that </w:t>
      </w:r>
      <w:r w:rsidRPr="009A6AF4">
        <w:t xml:space="preserve">the </w:t>
      </w:r>
      <w:r>
        <w:t xml:space="preserve">requirement to </w:t>
      </w:r>
      <w:r w:rsidRPr="009A6AF4">
        <w:t>disclos</w:t>
      </w:r>
      <w:r>
        <w:t xml:space="preserve">e was </w:t>
      </w:r>
      <w:r w:rsidRPr="009A6AF4">
        <w:t>met; or</w:t>
      </w:r>
    </w:p>
    <w:p w14:paraId="5A773A61" w14:textId="77777777" w:rsidR="00473632" w:rsidRPr="003958ED" w:rsidRDefault="00473632" w:rsidP="009F0166">
      <w:pPr>
        <w:pStyle w:val="BlockText"/>
        <w:keepLines/>
        <w:numPr>
          <w:ilvl w:val="1"/>
          <w:numId w:val="45"/>
        </w:numPr>
        <w:spacing w:after="120"/>
        <w:ind w:left="1134"/>
      </w:pPr>
      <w:r w:rsidRPr="009A6AF4">
        <w:t>their tax adviser to comply with the disclosure requirements and in doing so made a full disclosure to the adviser of all facts and circumstances affecting their tax liability</w:t>
      </w:r>
      <w:r>
        <w:t xml:space="preserve"> that was in the taxpayer’s knowledge or possession</w:t>
      </w:r>
      <w:r w:rsidRPr="009A6AF4">
        <w:t>.</w:t>
      </w:r>
      <w:r>
        <w:rPr>
          <w:rStyle w:val="FootnoteReference"/>
          <w:sz w:val="24"/>
          <w:szCs w:val="24"/>
        </w:rPr>
        <w:footnoteReference w:id="10"/>
      </w:r>
    </w:p>
    <w:p w14:paraId="2B07887C" w14:textId="77777777" w:rsidR="00473632" w:rsidRPr="003958ED" w:rsidRDefault="00473632" w:rsidP="009F0166">
      <w:pPr>
        <w:pStyle w:val="BlockText"/>
        <w:keepLines/>
        <w:numPr>
          <w:ilvl w:val="0"/>
          <w:numId w:val="45"/>
        </w:numPr>
        <w:spacing w:after="120"/>
      </w:pPr>
      <w:r w:rsidRPr="009A6AF4">
        <w:t xml:space="preserve">For a tax adviser, it is a defence to a charge of not </w:t>
      </w:r>
      <w:r>
        <w:t xml:space="preserve">fully and truly </w:t>
      </w:r>
      <w:r w:rsidRPr="009A6AF4">
        <w:t>disclosing relevant information if</w:t>
      </w:r>
      <w:r>
        <w:t xml:space="preserve"> the tax adviser</w:t>
      </w:r>
      <w:r w:rsidRPr="009A6AF4">
        <w:t>:</w:t>
      </w:r>
    </w:p>
    <w:p w14:paraId="5B0BD071" w14:textId="77777777" w:rsidR="00473632" w:rsidRPr="009A6AF4" w:rsidRDefault="00473632" w:rsidP="009F0166">
      <w:pPr>
        <w:pStyle w:val="BlockText"/>
        <w:keepLines/>
        <w:numPr>
          <w:ilvl w:val="1"/>
          <w:numId w:val="45"/>
        </w:numPr>
        <w:spacing w:after="120"/>
        <w:ind w:left="1134"/>
      </w:pPr>
      <w:r w:rsidRPr="009A6AF4">
        <w:t>relied on the taxpayer’s apparent full and true disclosure of all facts and circumstances affecting the taxpayer’s tax liability; and</w:t>
      </w:r>
    </w:p>
    <w:p w14:paraId="6F485F42" w14:textId="77777777" w:rsidR="00473632" w:rsidRDefault="00473632" w:rsidP="009F0166">
      <w:pPr>
        <w:pStyle w:val="BlockText"/>
        <w:keepLines/>
        <w:numPr>
          <w:ilvl w:val="1"/>
          <w:numId w:val="45"/>
        </w:numPr>
        <w:spacing w:after="120"/>
        <w:ind w:left="1134"/>
      </w:pPr>
      <w:r w:rsidRPr="009A6AF4">
        <w:t>made a full and true disclosure of all the facts and circumstances the adviser was aware of.</w:t>
      </w:r>
      <w:r>
        <w:rPr>
          <w:rStyle w:val="FootnoteReference"/>
          <w:sz w:val="24"/>
          <w:szCs w:val="24"/>
        </w:rPr>
        <w:footnoteReference w:id="11"/>
      </w:r>
    </w:p>
    <w:p w14:paraId="467B4982" w14:textId="77777777" w:rsidR="00473632" w:rsidRPr="003958ED" w:rsidRDefault="00473632" w:rsidP="009F0166">
      <w:pPr>
        <w:pStyle w:val="Heading1"/>
        <w:numPr>
          <w:ilvl w:val="0"/>
          <w:numId w:val="0"/>
        </w:numPr>
        <w:ind w:left="432" w:hanging="432"/>
      </w:pPr>
      <w:bookmarkStart w:id="14" w:name="_Toc170396801"/>
      <w:r>
        <w:t>Relevant Definitions</w:t>
      </w:r>
      <w:bookmarkEnd w:id="14"/>
    </w:p>
    <w:p w14:paraId="02BFD4AD" w14:textId="77777777" w:rsidR="00473632" w:rsidRPr="003958ED" w:rsidRDefault="00473632" w:rsidP="00CD1DC5">
      <w:pPr>
        <w:pStyle w:val="Heading2"/>
        <w:numPr>
          <w:ilvl w:val="0"/>
          <w:numId w:val="0"/>
        </w:numPr>
        <w:ind w:left="576" w:hanging="576"/>
      </w:pPr>
      <w:bookmarkStart w:id="15" w:name="_Toc170396802"/>
      <w:r w:rsidRPr="00473632">
        <w:t>Tax</w:t>
      </w:r>
      <w:bookmarkEnd w:id="15"/>
    </w:p>
    <w:p w14:paraId="144E9929" w14:textId="4D8CDE46" w:rsidR="00473632" w:rsidRPr="003958ED" w:rsidRDefault="00473632" w:rsidP="009F0166">
      <w:pPr>
        <w:pStyle w:val="BlockText"/>
        <w:keepLines/>
        <w:numPr>
          <w:ilvl w:val="0"/>
          <w:numId w:val="45"/>
        </w:numPr>
        <w:spacing w:after="120"/>
      </w:pPr>
      <w:r>
        <w:t xml:space="preserve">References to “tax” means any stamp duty, tax (including penalty tax and interest) or other amount payable under the Act, the </w:t>
      </w:r>
      <w:r>
        <w:rPr>
          <w:i/>
        </w:rPr>
        <w:t>Stamp Duty Act 1978</w:t>
      </w:r>
      <w:r>
        <w:t xml:space="preserve">, the </w:t>
      </w:r>
      <w:r>
        <w:rPr>
          <w:i/>
        </w:rPr>
        <w:t xml:space="preserve">Payroll Tax Act 2009, </w:t>
      </w:r>
      <w:r w:rsidRPr="00473632">
        <w:rPr>
          <w:iCs w:val="0"/>
        </w:rPr>
        <w:t>the</w:t>
      </w:r>
      <w:r>
        <w:rPr>
          <w:i/>
        </w:rPr>
        <w:t xml:space="preserve"> </w:t>
      </w:r>
      <w:r>
        <w:rPr>
          <w:iCs w:val="0"/>
        </w:rPr>
        <w:t xml:space="preserve">PRA or MRA24 </w:t>
      </w:r>
      <w:r>
        <w:t>(or regulations under those Acts).</w:t>
      </w:r>
      <w:r>
        <w:rPr>
          <w:rStyle w:val="FootnoteReference"/>
          <w:sz w:val="24"/>
          <w:szCs w:val="24"/>
        </w:rPr>
        <w:footnoteReference w:id="12"/>
      </w:r>
    </w:p>
    <w:p w14:paraId="26568919" w14:textId="77777777" w:rsidR="00473632" w:rsidRPr="003958ED" w:rsidRDefault="00473632" w:rsidP="009F0166">
      <w:pPr>
        <w:pStyle w:val="Heading2"/>
        <w:numPr>
          <w:ilvl w:val="0"/>
          <w:numId w:val="0"/>
        </w:numPr>
        <w:ind w:left="576" w:hanging="576"/>
      </w:pPr>
      <w:bookmarkStart w:id="16" w:name="_Toc170396803"/>
      <w:r w:rsidRPr="006D7D49">
        <w:lastRenderedPageBreak/>
        <w:t>Tax advisers</w:t>
      </w:r>
      <w:bookmarkEnd w:id="16"/>
    </w:p>
    <w:p w14:paraId="60D64E56" w14:textId="77777777" w:rsidR="00473632" w:rsidRPr="009A6AF4" w:rsidRDefault="00473632" w:rsidP="009F0166">
      <w:pPr>
        <w:pStyle w:val="BlockText"/>
        <w:keepLines/>
        <w:numPr>
          <w:ilvl w:val="0"/>
          <w:numId w:val="45"/>
        </w:numPr>
        <w:spacing w:after="120"/>
      </w:pPr>
      <w:r>
        <w:t xml:space="preserve">A tax adviser is </w:t>
      </w:r>
      <w:r w:rsidRPr="007576DD">
        <w:t>a person engaged in a professional capacity by a</w:t>
      </w:r>
      <w:r>
        <w:t xml:space="preserve"> </w:t>
      </w:r>
      <w:r w:rsidRPr="007576DD">
        <w:t>taxpayer for fee or reward (but not as an employee of the taxpayer)</w:t>
      </w:r>
      <w:r>
        <w:t xml:space="preserve"> </w:t>
      </w:r>
      <w:r w:rsidRPr="007576DD">
        <w:t xml:space="preserve">in business </w:t>
      </w:r>
      <w:r w:rsidRPr="009A6AF4">
        <w:t xml:space="preserve">to perform services specifically relating to </w:t>
      </w:r>
      <w:smartTag w:uri="urn:schemas-microsoft-com:office:smarttags" w:element="place">
        <w:smartTag w:uri="urn:schemas-microsoft-com:office:smarttags" w:element="State">
          <w:r w:rsidRPr="009A6AF4">
            <w:t>Northern Territory</w:t>
          </w:r>
        </w:smartTag>
      </w:smartTag>
      <w:r w:rsidRPr="009A6AF4">
        <w:t xml:space="preserve"> taxation matters. That is, a tax adviser is a person engaged by a taxpayer to:</w:t>
      </w:r>
    </w:p>
    <w:p w14:paraId="1888134F" w14:textId="77777777" w:rsidR="00473632" w:rsidRPr="009A6AF4" w:rsidRDefault="00473632" w:rsidP="009F0166">
      <w:pPr>
        <w:pStyle w:val="BlockText"/>
        <w:keepLines/>
        <w:numPr>
          <w:ilvl w:val="1"/>
          <w:numId w:val="45"/>
        </w:numPr>
        <w:spacing w:after="120"/>
        <w:ind w:left="1134"/>
      </w:pPr>
      <w:r w:rsidRPr="009A6AF4">
        <w:t>prepare a return or instrument that will be used to assess the taxpayer’s payroll tax</w:t>
      </w:r>
      <w:r>
        <w:t>, royalty</w:t>
      </w:r>
      <w:r w:rsidRPr="009A6AF4">
        <w:t xml:space="preserve"> or stamp duty liability;</w:t>
      </w:r>
    </w:p>
    <w:p w14:paraId="37597DEA" w14:textId="77777777" w:rsidR="00473632" w:rsidRPr="009A6AF4" w:rsidRDefault="00473632" w:rsidP="009F0166">
      <w:pPr>
        <w:pStyle w:val="BlockText"/>
        <w:keepLines/>
        <w:numPr>
          <w:ilvl w:val="1"/>
          <w:numId w:val="45"/>
        </w:numPr>
        <w:spacing w:after="120"/>
        <w:ind w:left="1134"/>
      </w:pPr>
      <w:r w:rsidRPr="009A6AF4">
        <w:t>submit such an instrument or return to the Commissioner; or</w:t>
      </w:r>
    </w:p>
    <w:p w14:paraId="7F404708" w14:textId="77777777" w:rsidR="00473632" w:rsidRDefault="00473632" w:rsidP="009F0166">
      <w:pPr>
        <w:pStyle w:val="BlockText"/>
        <w:keepLines/>
        <w:numPr>
          <w:ilvl w:val="1"/>
          <w:numId w:val="45"/>
        </w:numPr>
        <w:spacing w:after="120"/>
        <w:ind w:left="1134"/>
      </w:pPr>
      <w:r w:rsidRPr="009A6AF4">
        <w:t>provide information or make submissions about the taxpayer’s payroll tax</w:t>
      </w:r>
      <w:r>
        <w:t>, royalty</w:t>
      </w:r>
      <w:r w:rsidRPr="009A6AF4">
        <w:t xml:space="preserve"> or stamp duty liability, including penalty tax and interest</w:t>
      </w:r>
      <w:r>
        <w:t>,</w:t>
      </w:r>
      <w:r w:rsidRPr="009A6AF4">
        <w:t xml:space="preserve"> in relation to those liabilities.</w:t>
      </w:r>
      <w:r>
        <w:rPr>
          <w:rStyle w:val="FootnoteReference"/>
          <w:sz w:val="24"/>
          <w:szCs w:val="24"/>
        </w:rPr>
        <w:footnoteReference w:id="13"/>
      </w:r>
    </w:p>
    <w:p w14:paraId="5FF1F39E" w14:textId="77777777" w:rsidR="00473632" w:rsidRPr="00C0092B" w:rsidRDefault="00473632" w:rsidP="009F0166">
      <w:pPr>
        <w:pStyle w:val="Heading1"/>
        <w:numPr>
          <w:ilvl w:val="0"/>
          <w:numId w:val="0"/>
        </w:numPr>
        <w:ind w:left="432" w:hanging="432"/>
      </w:pPr>
      <w:bookmarkStart w:id="17" w:name="_Toc170396804"/>
      <w:r>
        <w:t>Commissioners Guidelines</w:t>
      </w:r>
      <w:bookmarkEnd w:id="17"/>
    </w:p>
    <w:p w14:paraId="601BDC06" w14:textId="77777777" w:rsidR="00473632" w:rsidRPr="002D6D82" w:rsidRDefault="00473632" w:rsidP="009F0166">
      <w:pPr>
        <w:pStyle w:val="BlockText"/>
        <w:keepLines/>
        <w:numPr>
          <w:ilvl w:val="0"/>
          <w:numId w:val="45"/>
        </w:numPr>
        <w:spacing w:after="120"/>
      </w:pPr>
      <w:r w:rsidRPr="002D6D82">
        <w:t>Co</w:t>
      </w:r>
      <w:r>
        <w:t xml:space="preserve">mmissioner’s Guideline </w:t>
      </w:r>
      <w:hyperlink r:id="rId18" w:history="1">
        <w:r>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t xml:space="preserve">the </w:t>
      </w:r>
      <w:r w:rsidRPr="00987211">
        <w:t>TRO website.</w:t>
      </w:r>
    </w:p>
    <w:p w14:paraId="27D4B40A" w14:textId="77777777" w:rsidR="00473632" w:rsidRDefault="00473632" w:rsidP="009F0166">
      <w:pPr>
        <w:pStyle w:val="Heading1"/>
        <w:numPr>
          <w:ilvl w:val="0"/>
          <w:numId w:val="0"/>
        </w:numPr>
        <w:ind w:left="432" w:hanging="432"/>
      </w:pPr>
      <w:bookmarkStart w:id="18" w:name="_Toc170396805"/>
      <w:r>
        <w:t>Date of effect</w:t>
      </w:r>
      <w:bookmarkEnd w:id="18"/>
    </w:p>
    <w:p w14:paraId="260B9FA7" w14:textId="77777777" w:rsidR="00473632" w:rsidRDefault="00473632" w:rsidP="009F0166">
      <w:pPr>
        <w:pStyle w:val="BlockText"/>
        <w:keepLines/>
        <w:numPr>
          <w:ilvl w:val="0"/>
          <w:numId w:val="45"/>
        </w:numPr>
        <w:spacing w:after="120"/>
      </w:pPr>
      <w:r>
        <w:t>This version of the Guideline takes effect from 1 July 2024.</w:t>
      </w:r>
    </w:p>
    <w:p w14:paraId="572AE665" w14:textId="77777777" w:rsidR="00473632" w:rsidRDefault="00473632" w:rsidP="009F0166"/>
    <w:p w14:paraId="550A743A" w14:textId="77777777" w:rsidR="00473632" w:rsidRDefault="00473632" w:rsidP="009F0166"/>
    <w:p w14:paraId="3162C3C3" w14:textId="77777777" w:rsidR="00473632" w:rsidRDefault="00473632" w:rsidP="009F0166"/>
    <w:p w14:paraId="114D4389" w14:textId="0D19C9E3" w:rsidR="00473632" w:rsidRDefault="00473632" w:rsidP="009F0166">
      <w:r>
        <w:t>Sarah Rummery</w:t>
      </w:r>
    </w:p>
    <w:p w14:paraId="5C249D2F" w14:textId="77777777" w:rsidR="00473632" w:rsidRPr="00C0092B" w:rsidRDefault="00473632" w:rsidP="009F0166">
      <w:r>
        <w:t>Commissioner of Territory Revenue</w:t>
      </w:r>
    </w:p>
    <w:p w14:paraId="14980C70" w14:textId="75CBBE78" w:rsidR="00473632" w:rsidRDefault="00473632" w:rsidP="009F0166">
      <w:r>
        <w:t>Date of Issue:</w:t>
      </w:r>
      <w:r>
        <w:tab/>
        <w:t xml:space="preserve"> 1 July 2024</w:t>
      </w: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473632" w:rsidRPr="002916A4" w14:paraId="36C1C5AC" w14:textId="77777777" w:rsidTr="00662052">
        <w:tc>
          <w:tcPr>
            <w:tcW w:w="9854" w:type="dxa"/>
            <w:gridSpan w:val="2"/>
          </w:tcPr>
          <w:p w14:paraId="2821E102" w14:textId="77777777" w:rsidR="00473632" w:rsidRPr="002916A4" w:rsidRDefault="00473632" w:rsidP="009F0166">
            <w:pPr>
              <w:rPr>
                <w:sz w:val="20"/>
              </w:rPr>
            </w:pPr>
            <w:r w:rsidRPr="002916A4">
              <w:rPr>
                <w:sz w:val="20"/>
              </w:rPr>
              <w:t>For further information please contact the Territory Revenue Office:</w:t>
            </w:r>
          </w:p>
        </w:tc>
      </w:tr>
      <w:tr w:rsidR="00473632" w:rsidRPr="002916A4" w14:paraId="7EA593C6" w14:textId="77777777" w:rsidTr="00662052">
        <w:tc>
          <w:tcPr>
            <w:tcW w:w="4927" w:type="dxa"/>
          </w:tcPr>
          <w:p w14:paraId="42C916F3" w14:textId="77777777" w:rsidR="00473632" w:rsidRPr="002916A4" w:rsidRDefault="00473632" w:rsidP="009F0166">
            <w:pPr>
              <w:rPr>
                <w:sz w:val="20"/>
              </w:rPr>
            </w:pPr>
            <w:r w:rsidRPr="002916A4">
              <w:rPr>
                <w:sz w:val="20"/>
              </w:rPr>
              <w:t>GPO Box 1</w:t>
            </w:r>
            <w:r>
              <w:rPr>
                <w:sz w:val="20"/>
              </w:rPr>
              <w:t>97</w:t>
            </w:r>
            <w:r w:rsidRPr="002916A4">
              <w:rPr>
                <w:sz w:val="20"/>
              </w:rPr>
              <w:t>4</w:t>
            </w:r>
          </w:p>
          <w:p w14:paraId="37823C59" w14:textId="77777777" w:rsidR="00473632" w:rsidRPr="002916A4" w:rsidRDefault="00473632" w:rsidP="009F0166">
            <w:pPr>
              <w:rPr>
                <w:sz w:val="20"/>
              </w:rPr>
            </w:pPr>
            <w:r w:rsidRPr="002916A4">
              <w:rPr>
                <w:sz w:val="20"/>
              </w:rPr>
              <w:t>Darwin  NT  0801</w:t>
            </w:r>
          </w:p>
          <w:p w14:paraId="1A51F488" w14:textId="77777777" w:rsidR="00473632" w:rsidRPr="002916A4" w:rsidRDefault="00473632" w:rsidP="009F0166">
            <w:pPr>
              <w:pStyle w:val="BlockText"/>
              <w:rPr>
                <w:sz w:val="20"/>
              </w:rPr>
            </w:pPr>
            <w:r w:rsidRPr="002916A4">
              <w:rPr>
                <w:sz w:val="20"/>
              </w:rPr>
              <w:t xml:space="preserve">Email: </w:t>
            </w:r>
            <w:hyperlink r:id="rId19" w:history="1">
              <w:r w:rsidRPr="00F149EB">
                <w:rPr>
                  <w:rStyle w:val="Hyperlink"/>
                  <w:sz w:val="20"/>
                </w:rPr>
                <w:t>ntrevenue@nt.gov.au</w:t>
              </w:r>
            </w:hyperlink>
          </w:p>
        </w:tc>
        <w:tc>
          <w:tcPr>
            <w:tcW w:w="4927" w:type="dxa"/>
          </w:tcPr>
          <w:p w14:paraId="551EC2D9" w14:textId="77777777" w:rsidR="00473632" w:rsidRPr="002916A4" w:rsidRDefault="00473632" w:rsidP="009F0166">
            <w:pPr>
              <w:rPr>
                <w:sz w:val="20"/>
              </w:rPr>
            </w:pPr>
            <w:r w:rsidRPr="002916A4">
              <w:rPr>
                <w:sz w:val="20"/>
              </w:rPr>
              <w:t>Phone: 1300 305 353</w:t>
            </w:r>
          </w:p>
          <w:p w14:paraId="1825D693" w14:textId="77777777" w:rsidR="00473632" w:rsidRPr="002916A4" w:rsidRDefault="00473632" w:rsidP="009F0166">
            <w:pPr>
              <w:rPr>
                <w:sz w:val="20"/>
              </w:rPr>
            </w:pPr>
            <w:r w:rsidRPr="002916A4">
              <w:rPr>
                <w:sz w:val="20"/>
              </w:rPr>
              <w:t xml:space="preserve">Website: </w:t>
            </w:r>
            <w:hyperlink r:id="rId20" w:history="1">
              <w:r w:rsidRPr="002916A4">
                <w:rPr>
                  <w:rStyle w:val="Hyperlink"/>
                  <w:sz w:val="20"/>
                </w:rPr>
                <w:t>www.revenue.nt.gov.au</w:t>
              </w:r>
            </w:hyperlink>
          </w:p>
        </w:tc>
      </w:tr>
    </w:tbl>
    <w:p w14:paraId="0F5270D4" w14:textId="77777777" w:rsidR="00273C62" w:rsidRPr="00273C62" w:rsidRDefault="00273C62" w:rsidP="009F0166">
      <w:pPr>
        <w:rPr>
          <w:lang w:eastAsia="en-AU"/>
        </w:rPr>
      </w:pPr>
    </w:p>
    <w:sectPr w:rsidR="00273C62" w:rsidRPr="00273C62" w:rsidSect="00C95D30">
      <w:footerReference w:type="default" r:id="rId21"/>
      <w:headerReference w:type="first" r:id="rId22"/>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93B4" w14:textId="77777777" w:rsidR="00AD2F80" w:rsidRDefault="00AD2F80">
      <w:r>
        <w:separator/>
      </w:r>
    </w:p>
  </w:endnote>
  <w:endnote w:type="continuationSeparator" w:id="0">
    <w:p w14:paraId="731208C1" w14:textId="77777777" w:rsidR="00AD2F80" w:rsidRDefault="00AD2F80">
      <w:r>
        <w:continuationSeparator/>
      </w:r>
    </w:p>
  </w:endnote>
  <w:endnote w:type="continuationNotice" w:id="1">
    <w:p w14:paraId="52E4DF2D" w14:textId="77777777" w:rsidR="00AD2F80" w:rsidRDefault="00AD2F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0A2B8F55"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8870" w14:textId="77777777" w:rsidR="00964B22" w:rsidRPr="00F538BD" w:rsidRDefault="004E7885" w:rsidP="004E7885">
    <w:pPr>
      <w:spacing w:after="0"/>
      <w:jc w:val="right"/>
      <w:rPr>
        <w:sz w:val="6"/>
        <w:szCs w:val="6"/>
      </w:rPr>
    </w:pPr>
    <w:r w:rsidRPr="001852AF">
      <w:rPr>
        <w:noProof/>
        <w:lang w:eastAsia="en-AU"/>
      </w:rPr>
      <w:drawing>
        <wp:inline distT="0" distB="0" distL="0" distR="0" wp14:anchorId="780AE412" wp14:editId="54DC6D0A">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EB68"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7237"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5BE5"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6428B477" w14:textId="77777777" w:rsidTr="00AD224A">
      <w:trPr>
        <w:cantSplit/>
        <w:trHeight w:hRule="exact" w:val="850"/>
        <w:tblHeader/>
      </w:trPr>
      <w:tc>
        <w:tcPr>
          <w:tcW w:w="10318" w:type="dxa"/>
          <w:vAlign w:val="bottom"/>
        </w:tcPr>
        <w:p w14:paraId="5D55426C" w14:textId="2B72E267"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3161C03748F6446FA7AF6FF7D61C9DEA"/>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473632">
                <w:rPr>
                  <w:rStyle w:val="PageNumber"/>
                  <w:b/>
                </w:rPr>
                <w:t>TREASURY AND FINANCE</w:t>
              </w:r>
            </w:sdtContent>
          </w:sdt>
        </w:p>
        <w:p w14:paraId="2AE20818" w14:textId="548E864B" w:rsidR="00A50829" w:rsidRPr="00CE6614" w:rsidRDefault="00CD1DC5" w:rsidP="00A50829">
          <w:pPr>
            <w:spacing w:after="0"/>
            <w:rPr>
              <w:rStyle w:val="PageNumber"/>
            </w:rPr>
          </w:pPr>
          <w:sdt>
            <w:sdtPr>
              <w:rPr>
                <w:rStyle w:val="PageNumber"/>
              </w:rPr>
              <w:alias w:val="Date"/>
              <w:tag w:val=""/>
              <w:id w:val="1578473972"/>
              <w:placeholder>
                <w:docPart w:val="1B491A81696640C4B2BCCC5C3B121006"/>
              </w:placeholder>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473632">
                <w:rPr>
                  <w:rStyle w:val="PageNumber"/>
                </w:rPr>
                <w:t>1 July 2024</w:t>
              </w:r>
            </w:sdtContent>
          </w:sdt>
          <w:r w:rsidR="00A50829" w:rsidRPr="00CE6614">
            <w:rPr>
              <w:rStyle w:val="PageNumber"/>
            </w:rPr>
            <w:t xml:space="preserve"> | Version </w:t>
          </w:r>
          <w:r w:rsidR="00473632">
            <w:rPr>
              <w:rStyle w:val="PageNumber"/>
            </w:rPr>
            <w:t>2</w:t>
          </w:r>
        </w:p>
        <w:p w14:paraId="3C5D58E9" w14:textId="3520335C"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71D27">
            <w:rPr>
              <w:rStyle w:val="PageNumber"/>
              <w:noProof/>
            </w:rPr>
            <w:t>8</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71D27">
            <w:rPr>
              <w:rStyle w:val="PageNumber"/>
              <w:noProof/>
            </w:rPr>
            <w:t>8</w:t>
          </w:r>
          <w:r w:rsidRPr="00AC4488">
            <w:rPr>
              <w:rStyle w:val="PageNumber"/>
            </w:rPr>
            <w:fldChar w:fldCharType="end"/>
          </w:r>
        </w:p>
      </w:tc>
    </w:tr>
  </w:tbl>
  <w:p w14:paraId="08A0208F"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0EAC" w14:textId="77777777" w:rsidR="00AD2F80" w:rsidRDefault="00AD2F80">
      <w:r>
        <w:separator/>
      </w:r>
    </w:p>
  </w:footnote>
  <w:footnote w:type="continuationSeparator" w:id="0">
    <w:p w14:paraId="5C036F8C" w14:textId="77777777" w:rsidR="00AD2F80" w:rsidRDefault="00AD2F80">
      <w:r>
        <w:continuationSeparator/>
      </w:r>
    </w:p>
  </w:footnote>
  <w:footnote w:type="continuationNotice" w:id="1">
    <w:p w14:paraId="18A240C2" w14:textId="77777777" w:rsidR="00AD2F80" w:rsidRDefault="00AD2F80">
      <w:pPr>
        <w:spacing w:after="0"/>
      </w:pPr>
    </w:p>
  </w:footnote>
  <w:footnote w:id="2">
    <w:p w14:paraId="430B8784" w14:textId="77777777" w:rsidR="00273C62" w:rsidRPr="00662052" w:rsidRDefault="00273C62" w:rsidP="00273C62">
      <w:pPr>
        <w:pStyle w:val="FootnoteText"/>
        <w:rPr>
          <w:rFonts w:ascii="Arial" w:hAnsi="Arial" w:cs="Arial"/>
          <w:sz w:val="18"/>
          <w:szCs w:val="18"/>
        </w:rPr>
      </w:pPr>
      <w:r>
        <w:rPr>
          <w:rStyle w:val="FootnoteReference"/>
        </w:rPr>
        <w:footnoteRef/>
      </w:r>
      <w:r>
        <w:t xml:space="preserve"> </w:t>
      </w:r>
      <w:r w:rsidRPr="00662052">
        <w:rPr>
          <w:rFonts w:ascii="Arial" w:hAnsi="Arial" w:cs="Arial"/>
          <w:sz w:val="18"/>
          <w:szCs w:val="18"/>
        </w:rPr>
        <w:t>Section 11 of the MRA24.</w:t>
      </w:r>
    </w:p>
  </w:footnote>
  <w:footnote w:id="3">
    <w:p w14:paraId="2C5AA467" w14:textId="77777777" w:rsidR="00273C62" w:rsidRDefault="00273C62" w:rsidP="00273C62">
      <w:pPr>
        <w:pStyle w:val="FootnoteText"/>
      </w:pPr>
      <w:r w:rsidRPr="00662052">
        <w:rPr>
          <w:rStyle w:val="FootnoteReference"/>
          <w:rFonts w:ascii="Arial" w:hAnsi="Arial" w:cs="Arial"/>
          <w:sz w:val="18"/>
          <w:szCs w:val="18"/>
        </w:rPr>
        <w:footnoteRef/>
      </w:r>
      <w:r w:rsidRPr="00662052">
        <w:rPr>
          <w:rFonts w:ascii="Arial" w:hAnsi="Arial" w:cs="Arial"/>
          <w:sz w:val="18"/>
          <w:szCs w:val="18"/>
        </w:rPr>
        <w:t xml:space="preserve"> Section 22 of the PRA.</w:t>
      </w:r>
    </w:p>
  </w:footnote>
  <w:footnote w:id="4">
    <w:p w14:paraId="1143407A" w14:textId="77777777" w:rsidR="00273C62" w:rsidRPr="00AF0DFC" w:rsidRDefault="00273C62" w:rsidP="00273C62">
      <w:pPr>
        <w:pStyle w:val="FootnoteText"/>
        <w:rPr>
          <w:rFonts w:ascii="Arial" w:hAnsi="Arial" w:cs="Arial"/>
          <w:sz w:val="18"/>
          <w:szCs w:val="18"/>
        </w:rPr>
      </w:pPr>
      <w:r w:rsidRPr="00AF0DFC">
        <w:rPr>
          <w:rStyle w:val="FootnoteReference"/>
          <w:rFonts w:ascii="Arial" w:hAnsi="Arial" w:cs="Arial"/>
          <w:sz w:val="18"/>
          <w:szCs w:val="18"/>
        </w:rPr>
        <w:footnoteRef/>
      </w:r>
      <w:r w:rsidRPr="00AF0DFC">
        <w:rPr>
          <w:rFonts w:ascii="Arial" w:hAnsi="Arial" w:cs="Arial"/>
          <w:sz w:val="18"/>
          <w:szCs w:val="18"/>
        </w:rPr>
        <w:t xml:space="preserve"> Section 24(1), (3) and (6) of the Act.</w:t>
      </w:r>
    </w:p>
  </w:footnote>
  <w:footnote w:id="5">
    <w:p w14:paraId="6C6FF907" w14:textId="77777777" w:rsidR="00273C62" w:rsidRDefault="00273C62" w:rsidP="00273C62">
      <w:pPr>
        <w:pStyle w:val="FootnoteText"/>
      </w:pPr>
      <w:r w:rsidRPr="00AF0DFC">
        <w:rPr>
          <w:rStyle w:val="FootnoteReference"/>
          <w:rFonts w:ascii="Arial" w:hAnsi="Arial" w:cs="Arial"/>
          <w:sz w:val="18"/>
          <w:szCs w:val="18"/>
        </w:rPr>
        <w:footnoteRef/>
      </w:r>
      <w:r w:rsidRPr="00AF0DFC">
        <w:rPr>
          <w:rFonts w:ascii="Arial" w:hAnsi="Arial" w:cs="Arial"/>
          <w:sz w:val="18"/>
          <w:szCs w:val="18"/>
        </w:rPr>
        <w:t xml:space="preserve"> Section </w:t>
      </w:r>
      <w:r>
        <w:rPr>
          <w:rFonts w:ascii="Arial" w:hAnsi="Arial" w:cs="Arial"/>
          <w:sz w:val="18"/>
          <w:szCs w:val="18"/>
        </w:rPr>
        <w:t>24</w:t>
      </w:r>
      <w:r w:rsidRPr="00AF0DFC">
        <w:rPr>
          <w:rFonts w:ascii="Arial" w:hAnsi="Arial" w:cs="Arial"/>
          <w:sz w:val="18"/>
          <w:szCs w:val="18"/>
        </w:rPr>
        <w:t>(1) and (3) of the Act.</w:t>
      </w:r>
    </w:p>
  </w:footnote>
  <w:footnote w:id="6">
    <w:p w14:paraId="1EB16533" w14:textId="77777777" w:rsidR="00273C62" w:rsidRPr="00B25884" w:rsidRDefault="00273C62" w:rsidP="00273C62">
      <w:pPr>
        <w:pStyle w:val="FootnoteText"/>
        <w:rPr>
          <w:rFonts w:ascii="Arial" w:hAnsi="Arial" w:cs="Arial"/>
          <w:sz w:val="18"/>
          <w:szCs w:val="18"/>
        </w:rPr>
      </w:pPr>
      <w:r w:rsidRPr="00B25884">
        <w:rPr>
          <w:rStyle w:val="FootnoteReference"/>
          <w:rFonts w:ascii="Arial" w:hAnsi="Arial" w:cs="Arial"/>
          <w:sz w:val="18"/>
          <w:szCs w:val="18"/>
        </w:rPr>
        <w:footnoteRef/>
      </w:r>
      <w:r w:rsidRPr="00B25884">
        <w:rPr>
          <w:rFonts w:ascii="Arial" w:hAnsi="Arial" w:cs="Arial"/>
          <w:sz w:val="18"/>
          <w:szCs w:val="18"/>
        </w:rPr>
        <w:t xml:space="preserve"> Section 21(4)(b) of the Act.</w:t>
      </w:r>
    </w:p>
  </w:footnote>
  <w:footnote w:id="7">
    <w:p w14:paraId="16841F7C" w14:textId="77777777" w:rsidR="00273C62" w:rsidRPr="00B25884" w:rsidRDefault="00273C62" w:rsidP="00273C62">
      <w:pPr>
        <w:pStyle w:val="FootnoteText"/>
        <w:jc w:val="both"/>
        <w:rPr>
          <w:rFonts w:ascii="Arial" w:hAnsi="Arial" w:cs="Arial"/>
          <w:sz w:val="18"/>
          <w:szCs w:val="18"/>
        </w:rPr>
      </w:pPr>
      <w:r w:rsidRPr="00B25884">
        <w:rPr>
          <w:rStyle w:val="FootnoteReference"/>
          <w:rFonts w:ascii="Arial" w:hAnsi="Arial" w:cs="Arial"/>
          <w:sz w:val="18"/>
          <w:szCs w:val="18"/>
        </w:rPr>
        <w:footnoteRef/>
      </w:r>
      <w:r w:rsidRPr="00B25884">
        <w:rPr>
          <w:rFonts w:ascii="Arial" w:hAnsi="Arial" w:cs="Arial"/>
          <w:sz w:val="18"/>
          <w:szCs w:val="18"/>
        </w:rPr>
        <w:t xml:space="preserve"> See Part 5 of the Act</w:t>
      </w:r>
      <w:r>
        <w:rPr>
          <w:rFonts w:ascii="Arial" w:hAnsi="Arial" w:cs="Arial"/>
          <w:sz w:val="18"/>
          <w:szCs w:val="18"/>
        </w:rPr>
        <w:t xml:space="preserve"> and </w:t>
      </w:r>
      <w:r w:rsidRPr="00B25884">
        <w:rPr>
          <w:rFonts w:ascii="Arial" w:hAnsi="Arial" w:cs="Arial"/>
          <w:sz w:val="18"/>
          <w:szCs w:val="18"/>
        </w:rPr>
        <w:t>Commissioner’s Guideline CG-G</w:t>
      </w:r>
      <w:r>
        <w:rPr>
          <w:rFonts w:ascii="Arial" w:hAnsi="Arial" w:cs="Arial"/>
          <w:sz w:val="18"/>
          <w:szCs w:val="18"/>
        </w:rPr>
        <w:t>EN</w:t>
      </w:r>
      <w:r w:rsidRPr="00B25884">
        <w:rPr>
          <w:rFonts w:ascii="Arial" w:hAnsi="Arial" w:cs="Arial"/>
          <w:sz w:val="18"/>
          <w:szCs w:val="18"/>
        </w:rPr>
        <w:t>-00</w:t>
      </w:r>
      <w:r>
        <w:rPr>
          <w:rFonts w:ascii="Arial" w:hAnsi="Arial" w:cs="Arial"/>
          <w:sz w:val="18"/>
          <w:szCs w:val="18"/>
        </w:rPr>
        <w:t>2</w:t>
      </w:r>
      <w:r w:rsidRPr="00B25884">
        <w:rPr>
          <w:rFonts w:ascii="Arial" w:hAnsi="Arial" w:cs="Arial"/>
          <w:sz w:val="18"/>
          <w:szCs w:val="18"/>
        </w:rPr>
        <w:t xml:space="preserve">: </w:t>
      </w:r>
      <w:r w:rsidRPr="00B25884">
        <w:rPr>
          <w:rFonts w:ascii="Arial" w:hAnsi="Arial" w:cs="Arial"/>
          <w:i/>
          <w:sz w:val="18"/>
          <w:szCs w:val="18"/>
        </w:rPr>
        <w:t>Interest and penalty tax</w:t>
      </w:r>
      <w:r>
        <w:rPr>
          <w:rFonts w:ascii="Arial" w:hAnsi="Arial" w:cs="Arial"/>
          <w:sz w:val="18"/>
          <w:szCs w:val="18"/>
        </w:rPr>
        <w:t xml:space="preserve"> for further information.</w:t>
      </w:r>
    </w:p>
  </w:footnote>
  <w:footnote w:id="8">
    <w:p w14:paraId="26F8901A" w14:textId="77777777" w:rsidR="00473632" w:rsidRDefault="00473632" w:rsidP="00473632">
      <w:pPr>
        <w:pStyle w:val="FootnoteText"/>
      </w:pPr>
      <w:r w:rsidRPr="00AF0DFC">
        <w:rPr>
          <w:rStyle w:val="FootnoteReference"/>
          <w:rFonts w:ascii="Arial" w:hAnsi="Arial" w:cs="Arial"/>
          <w:sz w:val="18"/>
          <w:szCs w:val="18"/>
        </w:rPr>
        <w:footnoteRef/>
      </w:r>
      <w:r w:rsidRPr="00AF0DFC">
        <w:rPr>
          <w:rFonts w:ascii="Arial" w:hAnsi="Arial" w:cs="Arial"/>
          <w:sz w:val="18"/>
          <w:szCs w:val="18"/>
        </w:rPr>
        <w:t xml:space="preserve"> Section 24(5) of the Act.</w:t>
      </w:r>
    </w:p>
  </w:footnote>
  <w:footnote w:id="9">
    <w:p w14:paraId="28BD0565" w14:textId="77777777" w:rsidR="00473632" w:rsidRPr="00B25884" w:rsidRDefault="00473632" w:rsidP="00473632">
      <w:pPr>
        <w:pStyle w:val="FootnoteText"/>
        <w:rPr>
          <w:rFonts w:ascii="Arial" w:hAnsi="Arial" w:cs="Arial"/>
          <w:sz w:val="18"/>
          <w:szCs w:val="18"/>
        </w:rPr>
      </w:pPr>
      <w:r w:rsidRPr="00B25884">
        <w:rPr>
          <w:rStyle w:val="FootnoteReference"/>
          <w:rFonts w:ascii="Arial" w:hAnsi="Arial" w:cs="Arial"/>
          <w:sz w:val="18"/>
          <w:szCs w:val="18"/>
        </w:rPr>
        <w:footnoteRef/>
      </w:r>
      <w:r w:rsidRPr="00B25884">
        <w:rPr>
          <w:rFonts w:ascii="Arial" w:hAnsi="Arial" w:cs="Arial"/>
          <w:sz w:val="18"/>
          <w:szCs w:val="18"/>
        </w:rPr>
        <w:t xml:space="preserve"> Section 102 of the Act.</w:t>
      </w:r>
    </w:p>
  </w:footnote>
  <w:footnote w:id="10">
    <w:p w14:paraId="7684C642" w14:textId="77777777" w:rsidR="00473632" w:rsidRPr="00AF0DFC" w:rsidRDefault="00473632" w:rsidP="00473632">
      <w:pPr>
        <w:pStyle w:val="FootnoteText"/>
        <w:rPr>
          <w:rFonts w:ascii="Arial" w:hAnsi="Arial" w:cs="Arial"/>
          <w:sz w:val="18"/>
          <w:szCs w:val="18"/>
        </w:rPr>
      </w:pPr>
      <w:r w:rsidRPr="00AF0DFC">
        <w:rPr>
          <w:rStyle w:val="FootnoteReference"/>
          <w:rFonts w:ascii="Arial" w:hAnsi="Arial" w:cs="Arial"/>
          <w:sz w:val="18"/>
          <w:szCs w:val="18"/>
        </w:rPr>
        <w:footnoteRef/>
      </w:r>
      <w:r w:rsidRPr="00AF0DFC">
        <w:rPr>
          <w:rFonts w:ascii="Arial" w:hAnsi="Arial" w:cs="Arial"/>
          <w:sz w:val="18"/>
          <w:szCs w:val="18"/>
        </w:rPr>
        <w:t xml:space="preserve"> Section 24(2) of the Act.</w:t>
      </w:r>
    </w:p>
  </w:footnote>
  <w:footnote w:id="11">
    <w:p w14:paraId="5EB6D89F" w14:textId="77777777" w:rsidR="00473632" w:rsidRPr="00AF0DFC" w:rsidRDefault="00473632" w:rsidP="00473632">
      <w:pPr>
        <w:pStyle w:val="FootnoteText"/>
        <w:rPr>
          <w:rFonts w:ascii="Arial" w:hAnsi="Arial" w:cs="Arial"/>
          <w:sz w:val="18"/>
          <w:szCs w:val="18"/>
        </w:rPr>
      </w:pPr>
      <w:r w:rsidRPr="00AF0DFC">
        <w:rPr>
          <w:rStyle w:val="FootnoteReference"/>
          <w:rFonts w:ascii="Arial" w:hAnsi="Arial" w:cs="Arial"/>
          <w:sz w:val="18"/>
          <w:szCs w:val="18"/>
        </w:rPr>
        <w:footnoteRef/>
      </w:r>
      <w:r w:rsidRPr="00AF0DFC">
        <w:rPr>
          <w:rFonts w:ascii="Arial" w:hAnsi="Arial" w:cs="Arial"/>
          <w:sz w:val="18"/>
          <w:szCs w:val="18"/>
        </w:rPr>
        <w:t xml:space="preserve"> Section 24(4) of the Act.</w:t>
      </w:r>
    </w:p>
  </w:footnote>
  <w:footnote w:id="12">
    <w:p w14:paraId="27A13556" w14:textId="77777777" w:rsidR="00473632" w:rsidRPr="006D7D49" w:rsidRDefault="00473632" w:rsidP="00473632">
      <w:pPr>
        <w:pStyle w:val="FootnoteText"/>
        <w:rPr>
          <w:rFonts w:ascii="Arial" w:hAnsi="Arial" w:cs="Arial"/>
          <w:sz w:val="18"/>
          <w:szCs w:val="18"/>
        </w:rPr>
      </w:pPr>
      <w:r w:rsidRPr="006D7D49">
        <w:rPr>
          <w:rStyle w:val="FootnoteReference"/>
          <w:rFonts w:ascii="Arial" w:hAnsi="Arial" w:cs="Arial"/>
          <w:sz w:val="18"/>
          <w:szCs w:val="18"/>
        </w:rPr>
        <w:footnoteRef/>
      </w:r>
      <w:r w:rsidRPr="006D7D49">
        <w:rPr>
          <w:rFonts w:ascii="Arial" w:hAnsi="Arial" w:cs="Arial"/>
          <w:sz w:val="18"/>
          <w:szCs w:val="18"/>
        </w:rPr>
        <w:t xml:space="preserve"> Section 3(1) of the Act (“tax” and “taxation law”).</w:t>
      </w:r>
    </w:p>
  </w:footnote>
  <w:footnote w:id="13">
    <w:p w14:paraId="6E87FB75" w14:textId="77777777" w:rsidR="00473632" w:rsidRPr="00AF0DFC" w:rsidRDefault="00473632" w:rsidP="00473632">
      <w:pPr>
        <w:pStyle w:val="FootnoteText"/>
        <w:rPr>
          <w:rFonts w:ascii="Arial" w:hAnsi="Arial" w:cs="Arial"/>
          <w:sz w:val="18"/>
          <w:szCs w:val="18"/>
        </w:rPr>
      </w:pPr>
      <w:r w:rsidRPr="00AF0DFC">
        <w:rPr>
          <w:rStyle w:val="FootnoteReference"/>
          <w:rFonts w:ascii="Arial" w:hAnsi="Arial" w:cs="Arial"/>
          <w:sz w:val="18"/>
          <w:szCs w:val="18"/>
        </w:rPr>
        <w:footnoteRef/>
      </w:r>
      <w:r w:rsidRPr="00AF0DFC">
        <w:rPr>
          <w:rFonts w:ascii="Arial" w:hAnsi="Arial" w:cs="Arial"/>
          <w:sz w:val="18"/>
          <w:szCs w:val="18"/>
        </w:rPr>
        <w:t xml:space="preserve"> Section 24(6) of the Act</w:t>
      </w:r>
      <w:r>
        <w:rPr>
          <w:rFonts w:ascii="Arial" w:hAnsi="Arial" w:cs="Arial"/>
          <w:sz w:val="18"/>
          <w:szCs w:val="18"/>
        </w:rPr>
        <w:t xml:space="preserve"> (“tax adviser”)</w:t>
      </w:r>
      <w:r w:rsidRPr="00AF0DFC">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CCA8" w14:textId="6DFA65EC" w:rsidR="00964B22" w:rsidRPr="008E0345" w:rsidRDefault="00CD1DC5" w:rsidP="005A5A44">
    <w:pPr>
      <w:pStyle w:val="Header"/>
    </w:pPr>
    <w:sdt>
      <w:sdtPr>
        <w:alias w:val="Title"/>
        <w:tag w:val=""/>
        <w:id w:val="-477918894"/>
        <w:placeholder>
          <w:docPart w:val="80FE340359004F3A979BAFFEE4E3CBC3"/>
        </w:placeholder>
        <w:dataBinding w:prefixMappings="xmlns:ns0='http://purl.org/dc/elements/1.1/' xmlns:ns1='http://schemas.openxmlformats.org/package/2006/metadata/core-properties' " w:xpath="/ns1:coreProperties[1]/ns0:title[1]" w:storeItemID="{6C3C8BC8-F283-45AE-878A-BAB7291924A1}"/>
        <w:text/>
      </w:sdtPr>
      <w:sdtEndPr/>
      <w:sdtContent>
        <w:r w:rsidR="00273C62">
          <w:t>Commissioner’s Guideline: Requirement for full and true disclosure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E926" w14:textId="77777777"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5B245846" wp14:editId="1C5B5CFC">
          <wp:simplePos x="0" y="0"/>
          <wp:positionH relativeFrom="page">
            <wp:align>left</wp:align>
          </wp:positionH>
          <wp:positionV relativeFrom="page">
            <wp:posOffset>3393830</wp:posOffset>
          </wp:positionV>
          <wp:extent cx="7553130" cy="5448285"/>
          <wp:effectExtent l="0" t="0" r="0" b="635"/>
          <wp:wrapTopAndBottom/>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FE60" w14:textId="05068716" w:rsidR="00717C37" w:rsidRPr="004E7885" w:rsidRDefault="00CD1DC5" w:rsidP="004E7885">
    <w:pPr>
      <w:pStyle w:val="Header"/>
    </w:pPr>
    <w:sdt>
      <w:sdtPr>
        <w:alias w:val="Title"/>
        <w:tag w:val="Title"/>
        <w:id w:val="94911156"/>
        <w:lock w:val="sdtLocked"/>
        <w:placeholder>
          <w:docPart w:val="80FE340359004F3A979BAFFEE4E3CBC3"/>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273C62">
          <w:t>Commissioner’s Guideline: Requirement for full and true disclosure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4383"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placeholder>
        <w:docPart w:val="A23D1F80903D417186FFDF518BDACB52"/>
      </w:placeholder>
      <w:dataBinding w:prefixMappings="xmlns:ns0='http://purl.org/dc/elements/1.1/' xmlns:ns1='http://schemas.openxmlformats.org/package/2006/metadata/core-properties' " w:xpath="/ns1:coreProperties[1]/ns0:title[1]" w:storeItemID="{6C3C8BC8-F283-45AE-878A-BAB7291924A1}"/>
      <w:text/>
    </w:sdtPr>
    <w:sdtEndPr/>
    <w:sdtContent>
      <w:p w14:paraId="67884453" w14:textId="78FECDDC" w:rsidR="00983000" w:rsidRPr="00964B22" w:rsidRDefault="00273C62" w:rsidP="008E0345">
        <w:pPr>
          <w:pStyle w:val="Header"/>
          <w:rPr>
            <w:b/>
          </w:rPr>
        </w:pPr>
        <w:r>
          <w:t>Commissioner’s Guideline: Requirement for full and true disclosure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A1520E7"/>
    <w:multiLevelType w:val="multilevel"/>
    <w:tmpl w:val="4E6AC8F6"/>
    <w:numStyleLink w:val="Numberlist"/>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5" w15:restartNumberingAfterBreak="0">
    <w:nsid w:val="3BE61945"/>
    <w:multiLevelType w:val="multilevel"/>
    <w:tmpl w:val="3928FD02"/>
    <w:name w:val="NTG Table Bullet List332222222222222222"/>
    <w:numStyleLink w:val="Bulletlist"/>
  </w:abstractNum>
  <w:abstractNum w:abstractNumId="36" w15:restartNumberingAfterBreak="0">
    <w:nsid w:val="400676E3"/>
    <w:multiLevelType w:val="multilevel"/>
    <w:tmpl w:val="FD1CD746"/>
    <w:numStyleLink w:val="Numberedlist"/>
  </w:abstractNum>
  <w:abstractNum w:abstractNumId="37"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0" w15:restartNumberingAfterBreak="0">
    <w:nsid w:val="49FD3A20"/>
    <w:multiLevelType w:val="multilevel"/>
    <w:tmpl w:val="3E5E177A"/>
    <w:name w:val="NTG Table Bullet List3322222222222"/>
    <w:numStyleLink w:val="Tablenumberlist"/>
  </w:abstractNum>
  <w:abstractNum w:abstractNumId="4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CB786D"/>
    <w:multiLevelType w:val="multilevel"/>
    <w:tmpl w:val="FD1CD746"/>
    <w:numStyleLink w:val="Numberedlist"/>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6DA2CAE"/>
    <w:multiLevelType w:val="multilevel"/>
    <w:tmpl w:val="3E5E177A"/>
    <w:name w:val="NTG Table Bullet List332222222222222"/>
    <w:numStyleLink w:val="Tablenumberlist"/>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8964E44"/>
    <w:multiLevelType w:val="multilevel"/>
    <w:tmpl w:val="29483796"/>
    <w:lvl w:ilvl="0">
      <w:start w:val="1"/>
      <w:numFmt w:val="decimal"/>
      <w:lvlText w:val="%1."/>
      <w:lvlJc w:val="left"/>
      <w:pPr>
        <w:tabs>
          <w:tab w:val="num" w:pos="360"/>
        </w:tabs>
        <w:ind w:left="360" w:hanging="360"/>
      </w:pPr>
      <w:rPr>
        <w:rFonts w:hint="default"/>
      </w:rPr>
    </w:lvl>
    <w:lvl w:ilvl="1">
      <w:start w:val="1"/>
      <w:numFmt w:val="lowerLetter"/>
      <w:lvlText w:val="%2."/>
      <w:lvlJc w:val="left"/>
      <w:pPr>
        <w:ind w:left="785" w:hanging="360"/>
      </w:p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8E21323"/>
    <w:multiLevelType w:val="multilevel"/>
    <w:tmpl w:val="4E6AC8F6"/>
    <w:numStyleLink w:val="Numberlist"/>
  </w:abstractNum>
  <w:abstractNum w:abstractNumId="55"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0"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2" w15:restartNumberingAfterBreak="0">
    <w:nsid w:val="69262556"/>
    <w:multiLevelType w:val="multilevel"/>
    <w:tmpl w:val="3E5E177A"/>
    <w:name w:val="NTG Table Bullet List3322222222222222"/>
    <w:numStyleLink w:val="Tablenumberlist"/>
  </w:abstractNum>
  <w:abstractNum w:abstractNumId="63" w15:restartNumberingAfterBreak="0">
    <w:nsid w:val="6D441B38"/>
    <w:multiLevelType w:val="multilevel"/>
    <w:tmpl w:val="7D06AC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7453664D"/>
    <w:multiLevelType w:val="multilevel"/>
    <w:tmpl w:val="0C78A7AC"/>
    <w:name w:val="NTG Table Bullet List3322222222222222222"/>
    <w:numStyleLink w:val="Tablebulletlist"/>
  </w:abstractNum>
  <w:abstractNum w:abstractNumId="65" w15:restartNumberingAfterBreak="0">
    <w:nsid w:val="76141D1E"/>
    <w:multiLevelType w:val="multilevel"/>
    <w:tmpl w:val="0C78A7AC"/>
    <w:name w:val="NTG Table Bullet List332222222222"/>
    <w:numStyleLink w:val="Tablebulletlist"/>
  </w:abstractNum>
  <w:abstractNum w:abstractNumId="66" w15:restartNumberingAfterBreak="0">
    <w:nsid w:val="765A32D4"/>
    <w:multiLevelType w:val="multilevel"/>
    <w:tmpl w:val="4E6AC8F6"/>
    <w:numStyleLink w:val="Numberlist"/>
  </w:abstractNum>
  <w:abstractNum w:abstractNumId="67"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01819987">
    <w:abstractNumId w:val="31"/>
  </w:num>
  <w:num w:numId="2" w16cid:durableId="1824152360">
    <w:abstractNumId w:val="20"/>
  </w:num>
  <w:num w:numId="3" w16cid:durableId="1297686821">
    <w:abstractNumId w:val="69"/>
  </w:num>
  <w:num w:numId="4" w16cid:durableId="1047101076">
    <w:abstractNumId w:val="41"/>
  </w:num>
  <w:num w:numId="5" w16cid:durableId="1366444727">
    <w:abstractNumId w:val="25"/>
  </w:num>
  <w:num w:numId="6" w16cid:durableId="446857192">
    <w:abstractNumId w:val="13"/>
  </w:num>
  <w:num w:numId="7" w16cid:durableId="757561316">
    <w:abstractNumId w:val="46"/>
  </w:num>
  <w:num w:numId="8" w16cid:durableId="1740440484">
    <w:abstractNumId w:val="23"/>
  </w:num>
  <w:num w:numId="9" w16cid:durableId="18436947">
    <w:abstractNumId w:val="54"/>
  </w:num>
  <w:num w:numId="10" w16cid:durableId="745763142">
    <w:abstractNumId w:val="19"/>
  </w:num>
  <w:num w:numId="11" w16cid:durableId="948855343">
    <w:abstractNumId w:val="60"/>
  </w:num>
  <w:num w:numId="12" w16cid:durableId="1742632054">
    <w:abstractNumId w:val="15"/>
  </w:num>
  <w:num w:numId="13" w16cid:durableId="199827119">
    <w:abstractNumId w:val="1"/>
  </w:num>
  <w:num w:numId="14" w16cid:durableId="717826927">
    <w:abstractNumId w:val="58"/>
  </w:num>
  <w:num w:numId="15" w16cid:durableId="1290671630">
    <w:abstractNumId w:val="24"/>
  </w:num>
  <w:num w:numId="16" w16cid:durableId="527766986">
    <w:abstractNumId w:val="59"/>
  </w:num>
  <w:num w:numId="17" w16cid:durableId="918709180">
    <w:abstractNumId w:val="66"/>
  </w:num>
  <w:num w:numId="18" w16cid:durableId="1780950207">
    <w:abstractNumId w:val="53"/>
  </w:num>
  <w:num w:numId="19" w16cid:durableId="46877212">
    <w:abstractNumId w:val="44"/>
  </w:num>
  <w:num w:numId="20" w16cid:durableId="2145544009">
    <w:abstractNumId w:val="48"/>
  </w:num>
  <w:num w:numId="21" w16cid:durableId="1514490180">
    <w:abstractNumId w:val="37"/>
  </w:num>
  <w:num w:numId="22" w16cid:durableId="1827940008">
    <w:abstractNumId w:val="51"/>
  </w:num>
  <w:num w:numId="23" w16cid:durableId="545335008">
    <w:abstractNumId w:val="43"/>
  </w:num>
  <w:num w:numId="24" w16cid:durableId="5595004">
    <w:abstractNumId w:val="39"/>
  </w:num>
  <w:num w:numId="25" w16cid:durableId="607585936">
    <w:abstractNumId w:val="34"/>
  </w:num>
  <w:num w:numId="26" w16cid:durableId="85883922">
    <w:abstractNumId w:val="10"/>
  </w:num>
  <w:num w:numId="27" w16cid:durableId="657995724">
    <w:abstractNumId w:val="67"/>
  </w:num>
  <w:num w:numId="28" w16cid:durableId="638728990">
    <w:abstractNumId w:val="33"/>
  </w:num>
  <w:num w:numId="29" w16cid:durableId="1342661708">
    <w:abstractNumId w:val="26"/>
  </w:num>
  <w:num w:numId="30" w16cid:durableId="616523834">
    <w:abstractNumId w:val="0"/>
  </w:num>
  <w:num w:numId="31" w16cid:durableId="1291742287">
    <w:abstractNumId w:val="38"/>
  </w:num>
  <w:num w:numId="32" w16cid:durableId="1107505204">
    <w:abstractNumId w:val="9"/>
  </w:num>
  <w:num w:numId="33" w16cid:durableId="479924884">
    <w:abstractNumId w:val="61"/>
  </w:num>
  <w:num w:numId="34" w16cid:durableId="1389255929">
    <w:abstractNumId w:val="29"/>
  </w:num>
  <w:num w:numId="35" w16cid:durableId="1614821207">
    <w:abstractNumId w:val="68"/>
  </w:num>
  <w:num w:numId="36" w16cid:durableId="492918733">
    <w:abstractNumId w:val="55"/>
  </w:num>
  <w:num w:numId="37" w16cid:durableId="391008216">
    <w:abstractNumId w:val="4"/>
  </w:num>
  <w:num w:numId="38" w16cid:durableId="1741782685">
    <w:abstractNumId w:val="32"/>
  </w:num>
  <w:num w:numId="39" w16cid:durableId="1039861544">
    <w:abstractNumId w:val="45"/>
  </w:num>
  <w:num w:numId="40" w16cid:durableId="676619127">
    <w:abstractNumId w:val="36"/>
  </w:num>
  <w:num w:numId="41" w16cid:durableId="45614905">
    <w:abstractNumId w:val="2"/>
  </w:num>
  <w:num w:numId="42" w16cid:durableId="58997379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6868384">
    <w:abstractNumId w:val="18"/>
    <w:lvlOverride w:ilvl="0">
      <w:lvl w:ilvl="0">
        <w:start w:val="1"/>
        <w:numFmt w:val="decimal"/>
        <w:lvlText w:val="%1."/>
        <w:lvlJc w:val="left"/>
        <w:pPr>
          <w:ind w:left="360" w:hanging="360"/>
        </w:pPr>
      </w:lvl>
    </w:lvlOverride>
    <w:lvlOverride w:ilvl="1">
      <w:lvl w:ilvl="1">
        <w:start w:val="1"/>
        <w:numFmt w:val="lowerLetter"/>
        <w:lvlText w:val="%2."/>
        <w:lvlJc w:val="left"/>
        <w:pPr>
          <w:ind w:left="785"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4" w16cid:durableId="124391313">
    <w:abstractNumId w:val="18"/>
  </w:num>
  <w:num w:numId="45" w16cid:durableId="1156804156">
    <w:abstractNumId w:val="18"/>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2)"/>
        <w:lvlJc w:val="left"/>
        <w:pPr>
          <w:tabs>
            <w:tab w:val="num" w:pos="992"/>
          </w:tabs>
          <w:ind w:left="992"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6" w16cid:durableId="832180298">
    <w:abstractNumId w:val="52"/>
  </w:num>
  <w:num w:numId="47" w16cid:durableId="1941642745">
    <w:abstractNumId w:val="6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62"/>
    <w:rsid w:val="00001DDF"/>
    <w:rsid w:val="0000322D"/>
    <w:rsid w:val="00007670"/>
    <w:rsid w:val="00010665"/>
    <w:rsid w:val="000238B4"/>
    <w:rsid w:val="0002393A"/>
    <w:rsid w:val="00027DB8"/>
    <w:rsid w:val="000307A7"/>
    <w:rsid w:val="00031A96"/>
    <w:rsid w:val="00040BF3"/>
    <w:rsid w:val="0004562E"/>
    <w:rsid w:val="00046700"/>
    <w:rsid w:val="00046C59"/>
    <w:rsid w:val="00050358"/>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D1F29"/>
    <w:rsid w:val="000D633D"/>
    <w:rsid w:val="000E0962"/>
    <w:rsid w:val="000E342B"/>
    <w:rsid w:val="000E38FB"/>
    <w:rsid w:val="000E5DD2"/>
    <w:rsid w:val="000F2958"/>
    <w:rsid w:val="000F480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59E6"/>
    <w:rsid w:val="00202014"/>
    <w:rsid w:val="00206936"/>
    <w:rsid w:val="00206C6F"/>
    <w:rsid w:val="00206FBD"/>
    <w:rsid w:val="00207746"/>
    <w:rsid w:val="00221220"/>
    <w:rsid w:val="00230031"/>
    <w:rsid w:val="00235C01"/>
    <w:rsid w:val="00236878"/>
    <w:rsid w:val="00247343"/>
    <w:rsid w:val="00247538"/>
    <w:rsid w:val="00264C90"/>
    <w:rsid w:val="00265C56"/>
    <w:rsid w:val="002716CD"/>
    <w:rsid w:val="00272232"/>
    <w:rsid w:val="00273C62"/>
    <w:rsid w:val="00274D4B"/>
    <w:rsid w:val="002806F5"/>
    <w:rsid w:val="00281577"/>
    <w:rsid w:val="002926BC"/>
    <w:rsid w:val="00293A72"/>
    <w:rsid w:val="002A0160"/>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90CE3"/>
    <w:rsid w:val="00394876"/>
    <w:rsid w:val="00394AAF"/>
    <w:rsid w:val="00394CE5"/>
    <w:rsid w:val="003A6341"/>
    <w:rsid w:val="003B173F"/>
    <w:rsid w:val="003B3B00"/>
    <w:rsid w:val="003B67FD"/>
    <w:rsid w:val="003B6A61"/>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632"/>
    <w:rsid w:val="00473C98"/>
    <w:rsid w:val="00474965"/>
    <w:rsid w:val="00482DF8"/>
    <w:rsid w:val="004864DE"/>
    <w:rsid w:val="00494BE5"/>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249F5"/>
    <w:rsid w:val="005260F7"/>
    <w:rsid w:val="00543BD1"/>
    <w:rsid w:val="00546D7E"/>
    <w:rsid w:val="00556113"/>
    <w:rsid w:val="00564C12"/>
    <w:rsid w:val="005654B8"/>
    <w:rsid w:val="0057377F"/>
    <w:rsid w:val="005762CC"/>
    <w:rsid w:val="00582D3D"/>
    <w:rsid w:val="00583889"/>
    <w:rsid w:val="00595386"/>
    <w:rsid w:val="005953B0"/>
    <w:rsid w:val="005A3179"/>
    <w:rsid w:val="005A3621"/>
    <w:rsid w:val="005A4AC0"/>
    <w:rsid w:val="005A5A44"/>
    <w:rsid w:val="005A5FDF"/>
    <w:rsid w:val="005B0FB7"/>
    <w:rsid w:val="005B122A"/>
    <w:rsid w:val="005B5AC2"/>
    <w:rsid w:val="005C2833"/>
    <w:rsid w:val="005E144D"/>
    <w:rsid w:val="005E1500"/>
    <w:rsid w:val="005E3A43"/>
    <w:rsid w:val="005E51A4"/>
    <w:rsid w:val="005F77C7"/>
    <w:rsid w:val="00600B22"/>
    <w:rsid w:val="00620675"/>
    <w:rsid w:val="00622910"/>
    <w:rsid w:val="00622E24"/>
    <w:rsid w:val="006433C3"/>
    <w:rsid w:val="00647A30"/>
    <w:rsid w:val="00650F5B"/>
    <w:rsid w:val="00652DC0"/>
    <w:rsid w:val="00660584"/>
    <w:rsid w:val="006605DD"/>
    <w:rsid w:val="006670D7"/>
    <w:rsid w:val="00667797"/>
    <w:rsid w:val="006719EA"/>
    <w:rsid w:val="00671F13"/>
    <w:rsid w:val="0067400A"/>
    <w:rsid w:val="006747E0"/>
    <w:rsid w:val="006847AD"/>
    <w:rsid w:val="0069114B"/>
    <w:rsid w:val="006A58BF"/>
    <w:rsid w:val="006A756A"/>
    <w:rsid w:val="006C396A"/>
    <w:rsid w:val="006D1ADA"/>
    <w:rsid w:val="006D66F7"/>
    <w:rsid w:val="006E2EF5"/>
    <w:rsid w:val="006E3B5D"/>
    <w:rsid w:val="006F7233"/>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0F38"/>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15F8"/>
    <w:rsid w:val="00831BB6"/>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C17FB"/>
    <w:rsid w:val="008D1B00"/>
    <w:rsid w:val="008D57B8"/>
    <w:rsid w:val="008E0345"/>
    <w:rsid w:val="008E03FC"/>
    <w:rsid w:val="008E42FE"/>
    <w:rsid w:val="008E510B"/>
    <w:rsid w:val="00902B13"/>
    <w:rsid w:val="00911941"/>
    <w:rsid w:val="009138A0"/>
    <w:rsid w:val="00925F0F"/>
    <w:rsid w:val="00930C91"/>
    <w:rsid w:val="00932F6B"/>
    <w:rsid w:val="009436FF"/>
    <w:rsid w:val="009468BC"/>
    <w:rsid w:val="009616DF"/>
    <w:rsid w:val="00964B22"/>
    <w:rsid w:val="0096542F"/>
    <w:rsid w:val="00966B57"/>
    <w:rsid w:val="00967FA7"/>
    <w:rsid w:val="00971645"/>
    <w:rsid w:val="00977919"/>
    <w:rsid w:val="00983000"/>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166"/>
    <w:rsid w:val="009F06BD"/>
    <w:rsid w:val="009F2A4D"/>
    <w:rsid w:val="009F3302"/>
    <w:rsid w:val="00A00828"/>
    <w:rsid w:val="00A03290"/>
    <w:rsid w:val="00A07490"/>
    <w:rsid w:val="00A10655"/>
    <w:rsid w:val="00A1197C"/>
    <w:rsid w:val="00A12B64"/>
    <w:rsid w:val="00A15DB4"/>
    <w:rsid w:val="00A22C38"/>
    <w:rsid w:val="00A25193"/>
    <w:rsid w:val="00A26E80"/>
    <w:rsid w:val="00A31AE8"/>
    <w:rsid w:val="00A32EFF"/>
    <w:rsid w:val="00A3739D"/>
    <w:rsid w:val="00A37DDA"/>
    <w:rsid w:val="00A37ED8"/>
    <w:rsid w:val="00A50829"/>
    <w:rsid w:val="00A925EC"/>
    <w:rsid w:val="00A929AA"/>
    <w:rsid w:val="00A92B6B"/>
    <w:rsid w:val="00A955A9"/>
    <w:rsid w:val="00AA4C49"/>
    <w:rsid w:val="00AA541E"/>
    <w:rsid w:val="00AD0DA4"/>
    <w:rsid w:val="00AD134E"/>
    <w:rsid w:val="00AD1B26"/>
    <w:rsid w:val="00AD23F7"/>
    <w:rsid w:val="00AD2F80"/>
    <w:rsid w:val="00AD4169"/>
    <w:rsid w:val="00AD7557"/>
    <w:rsid w:val="00AE25C6"/>
    <w:rsid w:val="00AE306C"/>
    <w:rsid w:val="00AF28C1"/>
    <w:rsid w:val="00B02EF1"/>
    <w:rsid w:val="00B05CE0"/>
    <w:rsid w:val="00B070B3"/>
    <w:rsid w:val="00B07C97"/>
    <w:rsid w:val="00B07EA1"/>
    <w:rsid w:val="00B11C67"/>
    <w:rsid w:val="00B15754"/>
    <w:rsid w:val="00B15A27"/>
    <w:rsid w:val="00B2046E"/>
    <w:rsid w:val="00B20E8B"/>
    <w:rsid w:val="00B257E1"/>
    <w:rsid w:val="00B2599A"/>
    <w:rsid w:val="00B27AC4"/>
    <w:rsid w:val="00B343CC"/>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17E9"/>
    <w:rsid w:val="00BF2ABB"/>
    <w:rsid w:val="00BF5099"/>
    <w:rsid w:val="00C10F10"/>
    <w:rsid w:val="00C15D4D"/>
    <w:rsid w:val="00C175DC"/>
    <w:rsid w:val="00C30171"/>
    <w:rsid w:val="00C309D8"/>
    <w:rsid w:val="00C33998"/>
    <w:rsid w:val="00C43519"/>
    <w:rsid w:val="00C51537"/>
    <w:rsid w:val="00C52BC3"/>
    <w:rsid w:val="00C5584B"/>
    <w:rsid w:val="00C61AFA"/>
    <w:rsid w:val="00C61D64"/>
    <w:rsid w:val="00C62099"/>
    <w:rsid w:val="00C64EA3"/>
    <w:rsid w:val="00C67611"/>
    <w:rsid w:val="00C71D27"/>
    <w:rsid w:val="00C72867"/>
    <w:rsid w:val="00C75E81"/>
    <w:rsid w:val="00C75F52"/>
    <w:rsid w:val="00C86609"/>
    <w:rsid w:val="00C92B4C"/>
    <w:rsid w:val="00C954F6"/>
    <w:rsid w:val="00C95D30"/>
    <w:rsid w:val="00CA6BC5"/>
    <w:rsid w:val="00CB3E57"/>
    <w:rsid w:val="00CC1CCA"/>
    <w:rsid w:val="00CC61CD"/>
    <w:rsid w:val="00CD1DC5"/>
    <w:rsid w:val="00CD5011"/>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13212"/>
    <w:rsid w:val="00F14273"/>
    <w:rsid w:val="00F15D8F"/>
    <w:rsid w:val="00F479D5"/>
    <w:rsid w:val="00F5445C"/>
    <w:rsid w:val="00F5696E"/>
    <w:rsid w:val="00F60EFF"/>
    <w:rsid w:val="00F67D2D"/>
    <w:rsid w:val="00F70155"/>
    <w:rsid w:val="00F860CC"/>
    <w:rsid w:val="00F90858"/>
    <w:rsid w:val="00F94398"/>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2BF1BD3"/>
  <w15:docId w15:val="{848CFBDE-5402-4A48-AEE2-94D378A9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2"/>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link w:val="BlockTextChar"/>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nhideWhenUsed/>
    <w:rsid w:val="000B6E48"/>
    <w:pPr>
      <w:spacing w:after="0"/>
    </w:pPr>
    <w:rPr>
      <w:sz w:val="20"/>
      <w:szCs w:val="20"/>
    </w:rPr>
  </w:style>
  <w:style w:type="character" w:customStyle="1" w:styleId="FootnoteTextChar">
    <w:name w:val="Footnote Text Char"/>
    <w:basedOn w:val="DefaultParagraphFont"/>
    <w:link w:val="FootnoteText"/>
    <w:rsid w:val="000B6E48"/>
    <w:rPr>
      <w:rFonts w:ascii="Lato" w:hAnsi="Lato"/>
      <w:sz w:val="20"/>
      <w:szCs w:val="20"/>
    </w:rPr>
  </w:style>
  <w:style w:type="character" w:styleId="FootnoteReference">
    <w:name w:val="footnote reference"/>
    <w:basedOn w:val="DefaultParagraphFont"/>
    <w:uiPriority w:val="99"/>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numbering" w:customStyle="1" w:styleId="Text">
    <w:name w:val="Text"/>
    <w:rsid w:val="00273C62"/>
    <w:pPr>
      <w:numPr>
        <w:numId w:val="44"/>
      </w:numPr>
    </w:pPr>
  </w:style>
  <w:style w:type="character" w:customStyle="1" w:styleId="BlockTextChar">
    <w:name w:val="Block Text Char"/>
    <w:basedOn w:val="DefaultParagraphFont"/>
    <w:link w:val="BlockText"/>
    <w:rsid w:val="00273C62"/>
    <w:rPr>
      <w:rFonts w:ascii="Lato" w:eastAsiaTheme="minorEastAsia" w:hAnsi="Lato"/>
      <w:iCs/>
    </w:rPr>
  </w:style>
  <w:style w:type="paragraph" w:customStyle="1" w:styleId="HeadingTwo">
    <w:name w:val="Heading Two"/>
    <w:basedOn w:val="Normal"/>
    <w:link w:val="HeadingTwoChar"/>
    <w:rsid w:val="00273C62"/>
    <w:pPr>
      <w:keepNext/>
      <w:keepLines/>
      <w:pBdr>
        <w:bottom w:val="single" w:sz="4" w:space="1" w:color="auto"/>
      </w:pBdr>
      <w:spacing w:before="360" w:after="120"/>
    </w:pPr>
    <w:rPr>
      <w:rFonts w:ascii="Arial" w:eastAsia="Times New Roman" w:hAnsi="Arial"/>
      <w:b/>
      <w:bCs/>
      <w:szCs w:val="20"/>
      <w:lang w:eastAsia="en-AU"/>
    </w:rPr>
  </w:style>
  <w:style w:type="character" w:customStyle="1" w:styleId="HeadingTwoChar">
    <w:name w:val="Heading Two Char"/>
    <w:link w:val="HeadingTwo"/>
    <w:rsid w:val="00273C62"/>
    <w:rPr>
      <w:rFonts w:eastAsia="Times New Roman"/>
      <w:b/>
      <w:bCs/>
      <w:szCs w:val="20"/>
      <w:lang w:eastAsia="en-AU"/>
    </w:rPr>
  </w:style>
  <w:style w:type="paragraph" w:customStyle="1" w:styleId="HeadingThree">
    <w:name w:val="Heading Three"/>
    <w:basedOn w:val="HeadingTwo"/>
    <w:rsid w:val="00273C62"/>
    <w:pPr>
      <w:pBdr>
        <w:bottom w:val="none" w:sz="0" w:space="0" w:color="auto"/>
      </w:pBdr>
    </w:pPr>
    <w:rPr>
      <w:i/>
      <w:iCs/>
    </w:rPr>
  </w:style>
  <w:style w:type="paragraph" w:customStyle="1" w:styleId="HeadingFour">
    <w:name w:val="Heading Four"/>
    <w:basedOn w:val="HeadingThree"/>
    <w:rsid w:val="00273C62"/>
    <w:rPr>
      <w:b w:val="0"/>
      <w:bCs w:val="0"/>
      <w:u w:val="single"/>
    </w:rPr>
  </w:style>
  <w:style w:type="paragraph" w:customStyle="1" w:styleId="ExampleBox">
    <w:name w:val="Example Box"/>
    <w:rsid w:val="00273C62"/>
    <w:pPr>
      <w:pBdr>
        <w:top w:val="single" w:sz="4" w:space="1" w:color="auto"/>
        <w:left w:val="single" w:sz="4" w:space="4" w:color="auto"/>
        <w:bottom w:val="single" w:sz="4" w:space="1" w:color="auto"/>
        <w:right w:val="single" w:sz="4" w:space="4" w:color="auto"/>
      </w:pBdr>
      <w:shd w:val="clear" w:color="auto" w:fill="F3F3F3"/>
      <w:spacing w:before="120" w:after="120"/>
    </w:pPr>
    <w:rPr>
      <w:rFonts w:eastAsia="Times New Roman"/>
      <w:szCs w:val="20"/>
      <w:lang w:eastAsia="en-AU"/>
    </w:rPr>
  </w:style>
  <w:style w:type="character" w:styleId="CommentReference">
    <w:name w:val="annotation reference"/>
    <w:basedOn w:val="DefaultParagraphFont"/>
    <w:uiPriority w:val="99"/>
    <w:semiHidden/>
    <w:unhideWhenUsed/>
    <w:rsid w:val="008E42FE"/>
    <w:rPr>
      <w:sz w:val="16"/>
      <w:szCs w:val="16"/>
    </w:rPr>
  </w:style>
  <w:style w:type="paragraph" w:styleId="CommentText">
    <w:name w:val="annotation text"/>
    <w:basedOn w:val="Normal"/>
    <w:link w:val="CommentTextChar"/>
    <w:uiPriority w:val="99"/>
    <w:unhideWhenUsed/>
    <w:rsid w:val="008E42FE"/>
    <w:rPr>
      <w:sz w:val="20"/>
      <w:szCs w:val="20"/>
    </w:rPr>
  </w:style>
  <w:style w:type="character" w:customStyle="1" w:styleId="CommentTextChar">
    <w:name w:val="Comment Text Char"/>
    <w:basedOn w:val="DefaultParagraphFont"/>
    <w:link w:val="CommentText"/>
    <w:uiPriority w:val="99"/>
    <w:rsid w:val="008E42FE"/>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E42FE"/>
    <w:rPr>
      <w:b/>
      <w:bCs/>
    </w:rPr>
  </w:style>
  <w:style w:type="character" w:customStyle="1" w:styleId="CommentSubjectChar">
    <w:name w:val="Comment Subject Char"/>
    <w:basedOn w:val="CommentTextChar"/>
    <w:link w:val="CommentSubject"/>
    <w:uiPriority w:val="99"/>
    <w:semiHidden/>
    <w:rsid w:val="008E42FE"/>
    <w:rPr>
      <w:rFonts w:ascii="Lato" w:hAnsi="Lato"/>
      <w:b/>
      <w:bCs/>
      <w:sz w:val="20"/>
      <w:szCs w:val="20"/>
    </w:rPr>
  </w:style>
  <w:style w:type="paragraph" w:styleId="BalloonText">
    <w:name w:val="Balloon Text"/>
    <w:basedOn w:val="Normal"/>
    <w:link w:val="BalloonTextChar"/>
    <w:uiPriority w:val="99"/>
    <w:semiHidden/>
    <w:unhideWhenUsed/>
    <w:rsid w:val="006605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treasury.nt.gov.au/PMS/Publications/TaxesRoyaltiesGrants/GeneralAdmin/CG-GEN-001.pdf"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treasury.nt.gov.au/PMS/Publications/TaxesRoyaltiesGrants/StampDuty/I-SD-00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revenue.nt.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ntrevenue@nt.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33649769494524B27756A0A33D4BF2"/>
        <w:category>
          <w:name w:val="General"/>
          <w:gallery w:val="placeholder"/>
        </w:category>
        <w:types>
          <w:type w:val="bbPlcHdr"/>
        </w:types>
        <w:behaviors>
          <w:behavior w:val="content"/>
        </w:behaviors>
        <w:guid w:val="{B6C9ACBA-3AEC-4F7F-9AE8-1B1BE7FEF217}"/>
      </w:docPartPr>
      <w:docPartBody>
        <w:p w:rsidR="00A5121B" w:rsidRDefault="00426062">
          <w:pPr>
            <w:pStyle w:val="AD33649769494524B27756A0A33D4BF2"/>
          </w:pPr>
          <w:r>
            <w:t>&lt;Document title&gt;</w:t>
          </w:r>
        </w:p>
      </w:docPartBody>
    </w:docPart>
    <w:docPart>
      <w:docPartPr>
        <w:name w:val="C4B7B498AD6046EF83EE2ABC24714692"/>
        <w:category>
          <w:name w:val="General"/>
          <w:gallery w:val="placeholder"/>
        </w:category>
        <w:types>
          <w:type w:val="bbPlcHdr"/>
        </w:types>
        <w:behaviors>
          <w:behavior w:val="content"/>
        </w:behaviors>
        <w:guid w:val="{89F66202-AEB6-47C1-866E-006F4E790ED2}"/>
      </w:docPartPr>
      <w:docPartBody>
        <w:p w:rsidR="00A5121B" w:rsidRDefault="00426062">
          <w:pPr>
            <w:pStyle w:val="C4B7B498AD6046EF83EE2ABC24714692"/>
          </w:pPr>
          <w:r w:rsidRPr="004E7885">
            <w:rPr>
              <w:rStyle w:val="PlaceholderText"/>
            </w:rPr>
            <w:t>&lt;Document title&gt;</w:t>
          </w:r>
        </w:p>
      </w:docPartBody>
    </w:docPart>
    <w:docPart>
      <w:docPartPr>
        <w:name w:val="80FE340359004F3A979BAFFEE4E3CBC3"/>
        <w:category>
          <w:name w:val="General"/>
          <w:gallery w:val="placeholder"/>
        </w:category>
        <w:types>
          <w:type w:val="bbPlcHdr"/>
        </w:types>
        <w:behaviors>
          <w:behavior w:val="content"/>
        </w:behaviors>
        <w:guid w:val="{510F25E2-DEA1-4FA0-B4D1-4481BE324F57}"/>
      </w:docPartPr>
      <w:docPartBody>
        <w:p w:rsidR="00A5121B" w:rsidRDefault="00426062">
          <w:pPr>
            <w:pStyle w:val="80FE340359004F3A979BAFFEE4E3CBC3"/>
          </w:pPr>
          <w:r w:rsidRPr="004E7885">
            <w:rPr>
              <w:rStyle w:val="PlaceholderText"/>
            </w:rPr>
            <w:t>&lt;Document title&gt;</w:t>
          </w:r>
        </w:p>
      </w:docPartBody>
    </w:docPart>
    <w:docPart>
      <w:docPartPr>
        <w:name w:val="3161C03748F6446FA7AF6FF7D61C9DEA"/>
        <w:category>
          <w:name w:val="General"/>
          <w:gallery w:val="placeholder"/>
        </w:category>
        <w:types>
          <w:type w:val="bbPlcHdr"/>
        </w:types>
        <w:behaviors>
          <w:behavior w:val="content"/>
        </w:behaviors>
        <w:guid w:val="{8FABDB2B-87D4-4EC9-AD87-2CCE455EF316}"/>
      </w:docPartPr>
      <w:docPartBody>
        <w:p w:rsidR="00A5121B" w:rsidRDefault="00426062">
          <w:pPr>
            <w:pStyle w:val="3161C03748F6446FA7AF6FF7D61C9DEA"/>
          </w:pPr>
          <w:r w:rsidRPr="007B29CC">
            <w:rPr>
              <w:rStyle w:val="PlaceholderText"/>
            </w:rPr>
            <w:t>[Company]</w:t>
          </w:r>
        </w:p>
      </w:docPartBody>
    </w:docPart>
    <w:docPart>
      <w:docPartPr>
        <w:name w:val="1B491A81696640C4B2BCCC5C3B121006"/>
        <w:category>
          <w:name w:val="General"/>
          <w:gallery w:val="placeholder"/>
        </w:category>
        <w:types>
          <w:type w:val="bbPlcHdr"/>
        </w:types>
        <w:behaviors>
          <w:behavior w:val="content"/>
        </w:behaviors>
        <w:guid w:val="{5FAC258A-8281-49FF-8D2E-2B00BFCDAE89}"/>
      </w:docPartPr>
      <w:docPartBody>
        <w:p w:rsidR="00A5121B" w:rsidRDefault="00426062">
          <w:pPr>
            <w:pStyle w:val="1B491A81696640C4B2BCCC5C3B121006"/>
          </w:pPr>
          <w:r w:rsidRPr="005076E2">
            <w:t>&lt;Date Month Year&gt;</w:t>
          </w:r>
        </w:p>
      </w:docPartBody>
    </w:docPart>
    <w:docPart>
      <w:docPartPr>
        <w:name w:val="A23D1F80903D417186FFDF518BDACB52"/>
        <w:category>
          <w:name w:val="General"/>
          <w:gallery w:val="placeholder"/>
        </w:category>
        <w:types>
          <w:type w:val="bbPlcHdr"/>
        </w:types>
        <w:behaviors>
          <w:behavior w:val="content"/>
        </w:behaviors>
        <w:guid w:val="{00677787-CF8E-4BA2-87C8-4EA5FAE5800D}"/>
      </w:docPartPr>
      <w:docPartBody>
        <w:p w:rsidR="00A5121B" w:rsidRDefault="00426062">
          <w:pPr>
            <w:pStyle w:val="A23D1F80903D417186FFDF518BDACB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A9"/>
    <w:rsid w:val="00070C06"/>
    <w:rsid w:val="000E6027"/>
    <w:rsid w:val="00426062"/>
    <w:rsid w:val="004E744B"/>
    <w:rsid w:val="005A24D0"/>
    <w:rsid w:val="007830A9"/>
    <w:rsid w:val="00A512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33649769494524B27756A0A33D4BF2">
    <w:name w:val="AD33649769494524B27756A0A33D4BF2"/>
  </w:style>
  <w:style w:type="character" w:styleId="PlaceholderText">
    <w:name w:val="Placeholder Text"/>
    <w:basedOn w:val="DefaultParagraphFont"/>
    <w:uiPriority w:val="99"/>
    <w:semiHidden/>
    <w:rPr>
      <w:color w:val="808080"/>
    </w:rPr>
  </w:style>
  <w:style w:type="paragraph" w:customStyle="1" w:styleId="C4B7B498AD6046EF83EE2ABC24714692">
    <w:name w:val="C4B7B498AD6046EF83EE2ABC24714692"/>
  </w:style>
  <w:style w:type="paragraph" w:customStyle="1" w:styleId="80FE340359004F3A979BAFFEE4E3CBC3">
    <w:name w:val="80FE340359004F3A979BAFFEE4E3CBC3"/>
  </w:style>
  <w:style w:type="paragraph" w:customStyle="1" w:styleId="3161C03748F6446FA7AF6FF7D61C9DEA">
    <w:name w:val="3161C03748F6446FA7AF6FF7D61C9DEA"/>
  </w:style>
  <w:style w:type="paragraph" w:customStyle="1" w:styleId="1B491A81696640C4B2BCCC5C3B121006">
    <w:name w:val="1B491A81696640C4B2BCCC5C3B121006"/>
  </w:style>
  <w:style w:type="paragraph" w:customStyle="1" w:styleId="A23D1F80903D417186FFDF518BDACB52">
    <w:name w:val="A23D1F80903D417186FFDF518BDAC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80E52A-625B-48AC-8A92-E970B695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3</TotalTime>
  <Pages>8</Pages>
  <Words>2278</Words>
  <Characters>12988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Commissioner’s Guideline: Requirement for full and true disclosure</vt:lpstr>
    </vt:vector>
  </TitlesOfParts>
  <Company>TREASURY AND FINANCE</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Guideline: Requirement for full and true disclosure</dc:title>
  <dc:creator>Sarah Rummery</dc:creator>
  <cp:lastModifiedBy>Jacob Port</cp:lastModifiedBy>
  <cp:revision>2</cp:revision>
  <cp:lastPrinted>2016-02-04T04:37:00Z</cp:lastPrinted>
  <dcterms:created xsi:type="dcterms:W3CDTF">2024-06-27T06:38:00Z</dcterms:created>
  <dcterms:modified xsi:type="dcterms:W3CDTF">2024-06-27T06:38:00Z</dcterms:modified>
</cp:coreProperties>
</file>