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E1D36" w14:textId="01640E0E" w:rsidR="00BF2A85" w:rsidRDefault="00AE1285" w:rsidP="00BF2A85">
      <w:pPr>
        <w:pStyle w:val="Title"/>
      </w:pPr>
      <w:sdt>
        <w:sdtPr>
          <w:alias w:val="Title"/>
          <w:tag w:val="Title"/>
          <w:id w:val="-509987125"/>
          <w:lock w:val="sdtLocked"/>
          <w:placeholder>
            <w:docPart w:val="5D2712B4233143228679CA727F4C16D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F2A85">
            <w:t>Commissioner’s Guideline: Instalment arrangements</w:t>
          </w:r>
        </w:sdtContent>
      </w:sdt>
    </w:p>
    <w:p w14:paraId="20442C63" w14:textId="0567B61D" w:rsidR="00BD0F38" w:rsidRPr="00E77ACA" w:rsidRDefault="00BF2A85" w:rsidP="00E77ACA">
      <w:pPr>
        <w:pStyle w:val="Subtitle0"/>
        <w:sectPr w:rsidR="00BD0F38"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CG</w:t>
      </w:r>
      <w:r>
        <w:noBreakHyphen/>
        <w:t>GEN</w:t>
      </w:r>
      <w:r>
        <w:noBreakHyphen/>
        <w:t>004</w:t>
      </w:r>
    </w:p>
    <w:tbl>
      <w:tblPr>
        <w:tblStyle w:val="NTGtable1"/>
        <w:tblW w:w="10348" w:type="dxa"/>
        <w:tblLook w:val="0480" w:firstRow="0" w:lastRow="0" w:firstColumn="1" w:lastColumn="0" w:noHBand="0" w:noVBand="1"/>
      </w:tblPr>
      <w:tblGrid>
        <w:gridCol w:w="2410"/>
        <w:gridCol w:w="7938"/>
      </w:tblGrid>
      <w:tr w:rsidR="00832B35" w14:paraId="628B500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7267903A"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0A14FF1A" w14:textId="01633C38" w:rsidR="00832B35" w:rsidRPr="00050358" w:rsidRDefault="00AE1285"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8174D0E9EABD41EFBCA6830B8ADA2875"/>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BF2A85">
                  <w:t>Commissioner’s Guideline: Instalment arrangements</w:t>
                </w:r>
              </w:sdtContent>
            </w:sdt>
          </w:p>
        </w:tc>
      </w:tr>
      <w:tr w:rsidR="00832B35" w14:paraId="711DBD8C"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1588FBC0"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432EAFDE" w14:textId="340F4927" w:rsidR="00832B35" w:rsidRPr="00050358" w:rsidRDefault="00BF2A85" w:rsidP="00050358">
            <w:pPr>
              <w:cnfStyle w:val="000000010000" w:firstRow="0" w:lastRow="0" w:firstColumn="0" w:lastColumn="0" w:oddVBand="0" w:evenVBand="0" w:oddHBand="0" w:evenHBand="1" w:firstRowFirstColumn="0" w:firstRowLastColumn="0" w:lastRowFirstColumn="0" w:lastRowLastColumn="0"/>
            </w:pPr>
            <w:r>
              <w:t>Territory Revenue Office</w:t>
            </w:r>
          </w:p>
        </w:tc>
      </w:tr>
      <w:tr w:rsidR="00832B35" w14:paraId="7773AB8E"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1CFDA543"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49B9C97D" w14:textId="5C9D17AC" w:rsidR="00832B35" w:rsidRPr="00050358" w:rsidRDefault="00BF2A85" w:rsidP="00050358">
            <w:pPr>
              <w:cnfStyle w:val="000000100000" w:firstRow="0" w:lastRow="0" w:firstColumn="0" w:lastColumn="0" w:oddVBand="0" w:evenVBand="0" w:oddHBand="1" w:evenHBand="0" w:firstRowFirstColumn="0" w:firstRowLastColumn="0" w:lastRowFirstColumn="0" w:lastRowLastColumn="0"/>
            </w:pPr>
            <w:r>
              <w:t>Sarah Rummery, Commissioner of Territory Revenue</w:t>
            </w:r>
          </w:p>
        </w:tc>
      </w:tr>
      <w:tr w:rsidR="00832B35" w14:paraId="18907D90"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2B895D0D"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4FC375F1" w14:textId="2D665E07" w:rsidR="00832B35" w:rsidRPr="00050358" w:rsidRDefault="00BF2A85" w:rsidP="00050358">
            <w:pPr>
              <w:cnfStyle w:val="000000010000" w:firstRow="0" w:lastRow="0" w:firstColumn="0" w:lastColumn="0" w:oddVBand="0" w:evenVBand="0" w:oddHBand="0" w:evenHBand="1" w:firstRowFirstColumn="0" w:firstRowLastColumn="0" w:lastRowFirstColumn="0" w:lastRowLastColumn="0"/>
            </w:pPr>
            <w:r>
              <w:t>1 July 2024</w:t>
            </w:r>
          </w:p>
        </w:tc>
      </w:tr>
    </w:tbl>
    <w:p w14:paraId="4DF907D2"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BF2A85" w:rsidRPr="00050358" w14:paraId="7563C95F" w14:textId="77777777" w:rsidTr="001430D4">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Merge w:val="restart"/>
          </w:tcPr>
          <w:p w14:paraId="65ADF195" w14:textId="0CD8D9E9" w:rsidR="00BF2A85" w:rsidRPr="00050358" w:rsidRDefault="00BF2A85" w:rsidP="00050358">
            <w:r>
              <w:t>Version</w:t>
            </w:r>
          </w:p>
        </w:tc>
        <w:tc>
          <w:tcPr>
            <w:cnfStyle w:val="000001000000" w:firstRow="0" w:lastRow="0" w:firstColumn="0" w:lastColumn="0" w:oddVBand="0" w:evenVBand="1" w:oddHBand="0" w:evenHBand="0" w:firstRowFirstColumn="0" w:firstRowLastColumn="0" w:lastRowFirstColumn="0" w:lastRowLastColumn="0"/>
            <w:tcW w:w="2268" w:type="dxa"/>
            <w:vMerge w:val="restart"/>
          </w:tcPr>
          <w:p w14:paraId="5D19C95A" w14:textId="5F2EEB22" w:rsidR="00BF2A85" w:rsidRPr="00050358" w:rsidRDefault="00BF2A85" w:rsidP="00050358">
            <w:r>
              <w:t>Issue Date</w:t>
            </w:r>
          </w:p>
        </w:tc>
        <w:tc>
          <w:tcPr>
            <w:cnfStyle w:val="000100001000" w:firstRow="0" w:lastRow="0" w:firstColumn="0" w:lastColumn="1" w:oddVBand="0" w:evenVBand="0" w:oddHBand="0" w:evenHBand="0" w:firstRowFirstColumn="0" w:firstRowLastColumn="1" w:lastRowFirstColumn="0" w:lastRowLastColumn="0"/>
            <w:tcW w:w="6945" w:type="dxa"/>
            <w:gridSpan w:val="2"/>
          </w:tcPr>
          <w:p w14:paraId="79E8DC99" w14:textId="1D11CEAA" w:rsidR="00BF2A85" w:rsidRPr="00BF2A85" w:rsidRDefault="00BF2A85" w:rsidP="00050358">
            <w:pPr>
              <w:rPr>
                <w:b w:val="0"/>
              </w:rPr>
            </w:pPr>
            <w:r>
              <w:t>Dates of effect</w:t>
            </w:r>
          </w:p>
        </w:tc>
      </w:tr>
      <w:tr w:rsidR="00BF2A85" w:rsidRPr="00050358" w14:paraId="022B43C8" w14:textId="77777777" w:rsidTr="00BF2A85">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Merge/>
          </w:tcPr>
          <w:p w14:paraId="10314204" w14:textId="49E803CD" w:rsidR="00BF2A85" w:rsidRPr="00050358" w:rsidRDefault="00BF2A85" w:rsidP="00050358"/>
        </w:tc>
        <w:tc>
          <w:tcPr>
            <w:cnfStyle w:val="000001000000" w:firstRow="0" w:lastRow="0" w:firstColumn="0" w:lastColumn="0" w:oddVBand="0" w:evenVBand="1" w:oddHBand="0" w:evenHBand="0" w:firstRowFirstColumn="0" w:firstRowLastColumn="0" w:lastRowFirstColumn="0" w:lastRowLastColumn="0"/>
            <w:tcW w:w="2268" w:type="dxa"/>
            <w:vMerge/>
          </w:tcPr>
          <w:p w14:paraId="4CBE5AB6" w14:textId="087CFD6C" w:rsidR="00BF2A85" w:rsidRPr="00050358" w:rsidRDefault="00BF2A85" w:rsidP="00050358"/>
        </w:tc>
        <w:tc>
          <w:tcPr>
            <w:cnfStyle w:val="000010000000" w:firstRow="0" w:lastRow="0" w:firstColumn="0" w:lastColumn="0" w:oddVBand="1" w:evenVBand="0" w:oddHBand="0" w:evenHBand="0" w:firstRowFirstColumn="0" w:firstRowLastColumn="0" w:lastRowFirstColumn="0" w:lastRowLastColumn="0"/>
            <w:tcW w:w="2551" w:type="dxa"/>
            <w:shd w:val="clear" w:color="auto" w:fill="1F1F5F" w:themeFill="text1"/>
          </w:tcPr>
          <w:p w14:paraId="3DAAC7FE" w14:textId="101521A6" w:rsidR="00BF2A85" w:rsidRPr="00050358" w:rsidRDefault="00BF2A85" w:rsidP="00050358">
            <w:r>
              <w:t>From:</w:t>
            </w:r>
          </w:p>
        </w:tc>
        <w:tc>
          <w:tcPr>
            <w:cnfStyle w:val="000100000000" w:firstRow="0" w:lastRow="0" w:firstColumn="0" w:lastColumn="1" w:oddVBand="0" w:evenVBand="0" w:oddHBand="0" w:evenHBand="0" w:firstRowFirstColumn="0" w:firstRowLastColumn="0" w:lastRowFirstColumn="0" w:lastRowLastColumn="0"/>
            <w:tcW w:w="4394" w:type="dxa"/>
            <w:shd w:val="clear" w:color="auto" w:fill="1F1F5F" w:themeFill="text1"/>
          </w:tcPr>
          <w:p w14:paraId="5BC726E0" w14:textId="470B593D" w:rsidR="00BF2A85" w:rsidRPr="00050358" w:rsidRDefault="00BF2A85" w:rsidP="00050358">
            <w:r>
              <w:t>To:</w:t>
            </w:r>
          </w:p>
        </w:tc>
      </w:tr>
      <w:tr w:rsidR="00BF2A85" w:rsidRPr="00050358" w14:paraId="168A272B" w14:textId="77777777" w:rsidTr="001A7B6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vAlign w:val="top"/>
          </w:tcPr>
          <w:p w14:paraId="50D4126B" w14:textId="05AC7BB3" w:rsidR="00BF2A85" w:rsidRPr="00050358" w:rsidRDefault="00BF2A85" w:rsidP="00BF2A85">
            <w:r w:rsidRPr="00DC3077">
              <w:t>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vAlign w:val="top"/>
          </w:tcPr>
          <w:p w14:paraId="72D366A4" w14:textId="45123BCC" w:rsidR="00BF2A85" w:rsidRPr="00050358" w:rsidRDefault="00BF2A85" w:rsidP="00BF2A85">
            <w:r>
              <w:t>15 December 2006</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vAlign w:val="top"/>
          </w:tcPr>
          <w:p w14:paraId="33159545" w14:textId="678CDCAB" w:rsidR="00BF2A85" w:rsidRPr="00050358" w:rsidRDefault="00BF2A85" w:rsidP="00BF2A85">
            <w:r>
              <w:t>15 December 2006</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vAlign w:val="top"/>
          </w:tcPr>
          <w:p w14:paraId="5E0C3CED" w14:textId="21FA8AFA" w:rsidR="00BF2A85" w:rsidRPr="00050358" w:rsidRDefault="00BF2A85" w:rsidP="00BF2A85">
            <w:r>
              <w:t>31 December 2007</w:t>
            </w:r>
          </w:p>
        </w:tc>
      </w:tr>
      <w:tr w:rsidR="00BF2A85" w:rsidRPr="00050358" w14:paraId="2C695CA8" w14:textId="77777777" w:rsidTr="001A7B6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vAlign w:val="top"/>
          </w:tcPr>
          <w:p w14:paraId="4D0D52A5" w14:textId="23B26027" w:rsidR="00BF2A85" w:rsidRPr="00050358" w:rsidRDefault="00BF2A85" w:rsidP="00BF2A85">
            <w:r w:rsidRPr="00DC3077">
              <w:t>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vAlign w:val="top"/>
          </w:tcPr>
          <w:p w14:paraId="13285C5C" w14:textId="0D1F8F03" w:rsidR="00BF2A85" w:rsidRPr="00050358" w:rsidRDefault="00BF2A85" w:rsidP="00BF2A85">
            <w:r>
              <w:t>2 January 2008</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vAlign w:val="top"/>
          </w:tcPr>
          <w:p w14:paraId="0E6BF5CA" w14:textId="0EBE2D93" w:rsidR="00BF2A85" w:rsidRPr="00050358" w:rsidRDefault="00BF2A85" w:rsidP="00BF2A85">
            <w:r>
              <w:t>1 January 2008</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vAlign w:val="top"/>
          </w:tcPr>
          <w:p w14:paraId="5EC0FAFB" w14:textId="30E71ED2" w:rsidR="00BF2A85" w:rsidRPr="00050358" w:rsidRDefault="00BF2A85" w:rsidP="00BF2A85">
            <w:r>
              <w:t>30 June 2011</w:t>
            </w:r>
          </w:p>
        </w:tc>
      </w:tr>
      <w:tr w:rsidR="00BF2A85" w:rsidRPr="00050358" w14:paraId="2352C4D7" w14:textId="77777777" w:rsidTr="001A7B6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vAlign w:val="top"/>
          </w:tcPr>
          <w:p w14:paraId="44288063" w14:textId="39562833" w:rsidR="00BF2A85" w:rsidRPr="00DC3077" w:rsidRDefault="00BF2A85" w:rsidP="00BF2A85">
            <w:r w:rsidRPr="00DC3077">
              <w:t>3</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vAlign w:val="top"/>
          </w:tcPr>
          <w:p w14:paraId="60D2338C" w14:textId="3950F9EE" w:rsidR="00BF2A85" w:rsidRDefault="00BF2A85" w:rsidP="00BF2A85">
            <w:r>
              <w:t>1 July 2011</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vAlign w:val="top"/>
          </w:tcPr>
          <w:p w14:paraId="7B107D0A" w14:textId="7290EB49" w:rsidR="00BF2A85" w:rsidRDefault="00BF2A85" w:rsidP="00BF2A85">
            <w:r>
              <w:t>1 July 2011</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vAlign w:val="top"/>
          </w:tcPr>
          <w:p w14:paraId="4299DA26" w14:textId="3C9F48D4" w:rsidR="00BF2A85" w:rsidRDefault="00BF2A85" w:rsidP="00BF2A85">
            <w:r>
              <w:t>3 December 2012</w:t>
            </w:r>
          </w:p>
        </w:tc>
      </w:tr>
      <w:tr w:rsidR="00BF2A85" w:rsidRPr="00050358" w14:paraId="7D536403" w14:textId="77777777" w:rsidTr="001A7B6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vAlign w:val="top"/>
          </w:tcPr>
          <w:p w14:paraId="26036B41" w14:textId="0330B264" w:rsidR="00BF2A85" w:rsidRPr="00DC3077" w:rsidRDefault="00BF2A85" w:rsidP="00BF2A85">
            <w:r w:rsidRPr="00DC3077">
              <w:t>4</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vAlign w:val="top"/>
          </w:tcPr>
          <w:p w14:paraId="6C365602" w14:textId="7E385DFF" w:rsidR="00BF2A85" w:rsidRDefault="00BF2A85" w:rsidP="00BF2A85">
            <w:r>
              <w:t>7 December 2012</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vAlign w:val="top"/>
          </w:tcPr>
          <w:p w14:paraId="7B8E69CF" w14:textId="537AFE44" w:rsidR="00BF2A85" w:rsidRDefault="00BF2A85" w:rsidP="00BF2A85">
            <w:r>
              <w:t>4 December 2012</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vAlign w:val="top"/>
          </w:tcPr>
          <w:p w14:paraId="217E175F" w14:textId="30796693" w:rsidR="00BF2A85" w:rsidRDefault="00BF2A85" w:rsidP="00BF2A85">
            <w:r>
              <w:t>30 June 2024</w:t>
            </w:r>
          </w:p>
        </w:tc>
      </w:tr>
      <w:tr w:rsidR="00BF2A85" w:rsidRPr="00050358" w14:paraId="60D8C40F" w14:textId="77777777" w:rsidTr="001A7B6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vAlign w:val="top"/>
          </w:tcPr>
          <w:p w14:paraId="03BC7030" w14:textId="76E65ECD" w:rsidR="00BF2A85" w:rsidRPr="00DC3077" w:rsidRDefault="00BF2A85" w:rsidP="00BF2A85">
            <w:r>
              <w:t>5</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vAlign w:val="top"/>
          </w:tcPr>
          <w:p w14:paraId="6F28833A" w14:textId="7ECFCB57" w:rsidR="00BF2A85" w:rsidRDefault="00BF2A85" w:rsidP="00BF2A85">
            <w:r w:rsidRPr="005563F7">
              <w:t>1 July 2024</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vAlign w:val="top"/>
          </w:tcPr>
          <w:p w14:paraId="003F4534" w14:textId="04B8C5F7" w:rsidR="00BF2A85" w:rsidRDefault="00BF2A85" w:rsidP="00BF2A85">
            <w:r>
              <w:t>1 July 2024</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vAlign w:val="top"/>
          </w:tcPr>
          <w:p w14:paraId="164E9C8E" w14:textId="3F8F43DC" w:rsidR="00BF2A85" w:rsidRDefault="00BF2A85" w:rsidP="00BF2A85">
            <w:r>
              <w:t>Current</w:t>
            </w:r>
          </w:p>
        </w:tc>
      </w:tr>
    </w:tbl>
    <w:p w14:paraId="61145AF7"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3B06C146"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4F2AFF0"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4D546DD7"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2A7900" w:rsidRPr="00E87DE1" w14:paraId="1E5E26D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3BD19BB" w14:textId="77777777" w:rsidR="002A7900" w:rsidRPr="00050358" w:rsidRDefault="002A7900" w:rsidP="00050358">
            <w:r>
              <w:t>MRA24</w:t>
            </w:r>
          </w:p>
        </w:tc>
        <w:tc>
          <w:tcPr>
            <w:cnfStyle w:val="000100000000" w:firstRow="0" w:lastRow="0" w:firstColumn="0" w:lastColumn="1" w:oddVBand="0" w:evenVBand="0" w:oddHBand="0" w:evenHBand="0" w:firstRowFirstColumn="0" w:firstRowLastColumn="0" w:lastRowFirstColumn="0" w:lastRowLastColumn="0"/>
            <w:tcW w:w="8362" w:type="dxa"/>
          </w:tcPr>
          <w:p w14:paraId="68910448" w14:textId="321ECD7E" w:rsidR="008B64E8" w:rsidRPr="002A7900" w:rsidRDefault="002A7900" w:rsidP="00050358">
            <w:pPr>
              <w:rPr>
                <w:i/>
                <w:iCs/>
              </w:rPr>
            </w:pPr>
            <w:r>
              <w:rPr>
                <w:i/>
                <w:iCs/>
              </w:rPr>
              <w:t>Mineral Royalties Act 2024</w:t>
            </w:r>
          </w:p>
        </w:tc>
      </w:tr>
      <w:tr w:rsidR="002A7900" w:rsidRPr="00E87DE1" w14:paraId="38F5F3B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D0489B4" w14:textId="77777777" w:rsidR="002A7900" w:rsidRPr="00050358" w:rsidRDefault="002A7900" w:rsidP="00050358">
            <w:r>
              <w:t>PRA</w:t>
            </w:r>
          </w:p>
        </w:tc>
        <w:tc>
          <w:tcPr>
            <w:cnfStyle w:val="000100000000" w:firstRow="0" w:lastRow="0" w:firstColumn="0" w:lastColumn="1" w:oddVBand="0" w:evenVBand="0" w:oddHBand="0" w:evenHBand="0" w:firstRowFirstColumn="0" w:firstRowLastColumn="0" w:lastRowFirstColumn="0" w:lastRowLastColumn="0"/>
            <w:tcW w:w="8362" w:type="dxa"/>
          </w:tcPr>
          <w:p w14:paraId="52238D70" w14:textId="77777777" w:rsidR="002A7900" w:rsidRPr="002A7900" w:rsidRDefault="002A7900" w:rsidP="00050358">
            <w:pPr>
              <w:rPr>
                <w:i/>
                <w:iCs/>
              </w:rPr>
            </w:pPr>
            <w:r>
              <w:rPr>
                <w:i/>
                <w:iCs/>
              </w:rPr>
              <w:t>Petroleum Royalty Act 2023</w:t>
            </w:r>
          </w:p>
        </w:tc>
      </w:tr>
      <w:tr w:rsidR="002A7900" w:rsidRPr="00E87DE1" w14:paraId="740A2EB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E9411F1" w14:textId="77777777" w:rsidR="002A7900" w:rsidRPr="00050358" w:rsidRDefault="002A7900" w:rsidP="00050358">
            <w:r>
              <w:t>TAA</w:t>
            </w:r>
          </w:p>
        </w:tc>
        <w:tc>
          <w:tcPr>
            <w:cnfStyle w:val="000100000000" w:firstRow="0" w:lastRow="0" w:firstColumn="0" w:lastColumn="1" w:oddVBand="0" w:evenVBand="0" w:oddHBand="0" w:evenHBand="0" w:firstRowFirstColumn="0" w:firstRowLastColumn="0" w:lastRowFirstColumn="0" w:lastRowLastColumn="0"/>
            <w:tcW w:w="8362" w:type="dxa"/>
          </w:tcPr>
          <w:p w14:paraId="21812F8E" w14:textId="77777777" w:rsidR="002A7900" w:rsidRPr="002A7900" w:rsidRDefault="002A7900" w:rsidP="00050358">
            <w:pPr>
              <w:rPr>
                <w:i/>
                <w:iCs/>
              </w:rPr>
            </w:pPr>
            <w:r>
              <w:rPr>
                <w:i/>
                <w:iCs/>
              </w:rPr>
              <w:t>Taxation Administration Act 2007</w:t>
            </w:r>
          </w:p>
        </w:tc>
      </w:tr>
      <w:tr w:rsidR="002A7900" w:rsidRPr="00E87DE1" w14:paraId="6A8A5A0F"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5AF9519" w14:textId="77777777" w:rsidR="002A7900" w:rsidRPr="00050358" w:rsidRDefault="002A7900" w:rsidP="00050358">
            <w:r>
              <w:t>TRO</w:t>
            </w:r>
          </w:p>
        </w:tc>
        <w:tc>
          <w:tcPr>
            <w:cnfStyle w:val="000100000000" w:firstRow="0" w:lastRow="0" w:firstColumn="0" w:lastColumn="1" w:oddVBand="0" w:evenVBand="0" w:oddHBand="0" w:evenHBand="0" w:firstRowFirstColumn="0" w:firstRowLastColumn="0" w:lastRowFirstColumn="0" w:lastRowLastColumn="0"/>
            <w:tcW w:w="8362" w:type="dxa"/>
          </w:tcPr>
          <w:p w14:paraId="7BF7BFE9" w14:textId="77777777" w:rsidR="002A7900" w:rsidRPr="00050358" w:rsidRDefault="002A7900" w:rsidP="00050358">
            <w:r>
              <w:t>Territory Revenue Office</w:t>
            </w:r>
          </w:p>
        </w:tc>
      </w:tr>
    </w:tbl>
    <w:p w14:paraId="39F382FD"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DF50983" w14:textId="77777777" w:rsidR="00964B22" w:rsidRPr="00422874" w:rsidRDefault="00964B22" w:rsidP="00F479D5">
          <w:pPr>
            <w:pStyle w:val="TOCHeading"/>
            <w:tabs>
              <w:tab w:val="left" w:pos="8601"/>
            </w:tabs>
            <w:rPr>
              <w:lang w:eastAsia="ja-JP"/>
            </w:rPr>
          </w:pPr>
          <w:r w:rsidRPr="00422874">
            <w:t>Contents</w:t>
          </w:r>
        </w:p>
        <w:p w14:paraId="15F30484" w14:textId="15668F03" w:rsidR="00AA6775"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72098214" w:history="1">
            <w:r w:rsidR="00AA6775" w:rsidRPr="00EF29B9">
              <w:rPr>
                <w:rStyle w:val="Hyperlink"/>
                <w:noProof/>
              </w:rPr>
              <w:t>Purpose</w:t>
            </w:r>
            <w:r w:rsidR="00AA6775">
              <w:rPr>
                <w:noProof/>
                <w:webHidden/>
              </w:rPr>
              <w:tab/>
            </w:r>
            <w:r w:rsidR="00AA6775">
              <w:rPr>
                <w:noProof/>
                <w:webHidden/>
              </w:rPr>
              <w:fldChar w:fldCharType="begin"/>
            </w:r>
            <w:r w:rsidR="00AA6775">
              <w:rPr>
                <w:noProof/>
                <w:webHidden/>
              </w:rPr>
              <w:instrText xml:space="preserve"> PAGEREF _Toc172098214 \h </w:instrText>
            </w:r>
            <w:r w:rsidR="00AA6775">
              <w:rPr>
                <w:noProof/>
                <w:webHidden/>
              </w:rPr>
            </w:r>
            <w:r w:rsidR="00AA6775">
              <w:rPr>
                <w:noProof/>
                <w:webHidden/>
              </w:rPr>
              <w:fldChar w:fldCharType="separate"/>
            </w:r>
            <w:r w:rsidR="00AA6775">
              <w:rPr>
                <w:noProof/>
                <w:webHidden/>
              </w:rPr>
              <w:t>4</w:t>
            </w:r>
            <w:r w:rsidR="00AA6775">
              <w:rPr>
                <w:noProof/>
                <w:webHidden/>
              </w:rPr>
              <w:fldChar w:fldCharType="end"/>
            </w:r>
          </w:hyperlink>
        </w:p>
        <w:p w14:paraId="2701066F" w14:textId="0BE08D39"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15" w:history="1">
            <w:r w:rsidR="00AA6775" w:rsidRPr="00EF29B9">
              <w:rPr>
                <w:rStyle w:val="Hyperlink"/>
                <w:noProof/>
              </w:rPr>
              <w:t>Demonstrated financial incapacity</w:t>
            </w:r>
            <w:r w:rsidR="00AA6775">
              <w:rPr>
                <w:noProof/>
                <w:webHidden/>
              </w:rPr>
              <w:tab/>
            </w:r>
            <w:r w:rsidR="00AA6775">
              <w:rPr>
                <w:noProof/>
                <w:webHidden/>
              </w:rPr>
              <w:fldChar w:fldCharType="begin"/>
            </w:r>
            <w:r w:rsidR="00AA6775">
              <w:rPr>
                <w:noProof/>
                <w:webHidden/>
              </w:rPr>
              <w:instrText xml:space="preserve"> PAGEREF _Toc172098215 \h </w:instrText>
            </w:r>
            <w:r w:rsidR="00AA6775">
              <w:rPr>
                <w:noProof/>
                <w:webHidden/>
              </w:rPr>
            </w:r>
            <w:r w:rsidR="00AA6775">
              <w:rPr>
                <w:noProof/>
                <w:webHidden/>
              </w:rPr>
              <w:fldChar w:fldCharType="separate"/>
            </w:r>
            <w:r w:rsidR="00AA6775">
              <w:rPr>
                <w:noProof/>
                <w:webHidden/>
              </w:rPr>
              <w:t>4</w:t>
            </w:r>
            <w:r w:rsidR="00AA6775">
              <w:rPr>
                <w:noProof/>
                <w:webHidden/>
              </w:rPr>
              <w:fldChar w:fldCharType="end"/>
            </w:r>
          </w:hyperlink>
        </w:p>
        <w:p w14:paraId="6D6098ED" w14:textId="4FA0C127"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16" w:history="1">
            <w:r w:rsidR="00AA6775" w:rsidRPr="00EF29B9">
              <w:rPr>
                <w:rStyle w:val="Hyperlink"/>
                <w:noProof/>
              </w:rPr>
              <w:t>Partners, group members, spouses and interest holders in a mining tenement to be included in instalment proposal</w:t>
            </w:r>
            <w:r w:rsidR="00AA6775">
              <w:rPr>
                <w:noProof/>
                <w:webHidden/>
              </w:rPr>
              <w:tab/>
            </w:r>
            <w:r w:rsidR="00AA6775">
              <w:rPr>
                <w:noProof/>
                <w:webHidden/>
              </w:rPr>
              <w:fldChar w:fldCharType="begin"/>
            </w:r>
            <w:r w:rsidR="00AA6775">
              <w:rPr>
                <w:noProof/>
                <w:webHidden/>
              </w:rPr>
              <w:instrText xml:space="preserve"> PAGEREF _Toc172098216 \h </w:instrText>
            </w:r>
            <w:r w:rsidR="00AA6775">
              <w:rPr>
                <w:noProof/>
                <w:webHidden/>
              </w:rPr>
            </w:r>
            <w:r w:rsidR="00AA6775">
              <w:rPr>
                <w:noProof/>
                <w:webHidden/>
              </w:rPr>
              <w:fldChar w:fldCharType="separate"/>
            </w:r>
            <w:r w:rsidR="00AA6775">
              <w:rPr>
                <w:noProof/>
                <w:webHidden/>
              </w:rPr>
              <w:t>5</w:t>
            </w:r>
            <w:r w:rsidR="00AA6775">
              <w:rPr>
                <w:noProof/>
                <w:webHidden/>
              </w:rPr>
              <w:fldChar w:fldCharType="end"/>
            </w:r>
          </w:hyperlink>
        </w:p>
        <w:p w14:paraId="2DD7BCAD" w14:textId="62B71545"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17" w:history="1">
            <w:r w:rsidR="00AA6775" w:rsidRPr="00EF29B9">
              <w:rPr>
                <w:rStyle w:val="Hyperlink"/>
                <w:noProof/>
              </w:rPr>
              <w:t>Length of instalment arrangements</w:t>
            </w:r>
            <w:r w:rsidR="00AA6775">
              <w:rPr>
                <w:noProof/>
                <w:webHidden/>
              </w:rPr>
              <w:tab/>
            </w:r>
            <w:r w:rsidR="00AA6775">
              <w:rPr>
                <w:noProof/>
                <w:webHidden/>
              </w:rPr>
              <w:fldChar w:fldCharType="begin"/>
            </w:r>
            <w:r w:rsidR="00AA6775">
              <w:rPr>
                <w:noProof/>
                <w:webHidden/>
              </w:rPr>
              <w:instrText xml:space="preserve"> PAGEREF _Toc172098217 \h </w:instrText>
            </w:r>
            <w:r w:rsidR="00AA6775">
              <w:rPr>
                <w:noProof/>
                <w:webHidden/>
              </w:rPr>
            </w:r>
            <w:r w:rsidR="00AA6775">
              <w:rPr>
                <w:noProof/>
                <w:webHidden/>
              </w:rPr>
              <w:fldChar w:fldCharType="separate"/>
            </w:r>
            <w:r w:rsidR="00AA6775">
              <w:rPr>
                <w:noProof/>
                <w:webHidden/>
              </w:rPr>
              <w:t>5</w:t>
            </w:r>
            <w:r w:rsidR="00AA6775">
              <w:rPr>
                <w:noProof/>
                <w:webHidden/>
              </w:rPr>
              <w:fldChar w:fldCharType="end"/>
            </w:r>
          </w:hyperlink>
        </w:p>
        <w:p w14:paraId="486E06FF" w14:textId="6A47EC21"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18" w:history="1">
            <w:r w:rsidR="00AA6775" w:rsidRPr="00EF29B9">
              <w:rPr>
                <w:rStyle w:val="Hyperlink"/>
                <w:noProof/>
              </w:rPr>
              <w:t>Periodic review</w:t>
            </w:r>
            <w:r w:rsidR="00AA6775">
              <w:rPr>
                <w:noProof/>
                <w:webHidden/>
              </w:rPr>
              <w:tab/>
            </w:r>
            <w:r w:rsidR="00AA6775">
              <w:rPr>
                <w:noProof/>
                <w:webHidden/>
              </w:rPr>
              <w:fldChar w:fldCharType="begin"/>
            </w:r>
            <w:r w:rsidR="00AA6775">
              <w:rPr>
                <w:noProof/>
                <w:webHidden/>
              </w:rPr>
              <w:instrText xml:space="preserve"> PAGEREF _Toc172098218 \h </w:instrText>
            </w:r>
            <w:r w:rsidR="00AA6775">
              <w:rPr>
                <w:noProof/>
                <w:webHidden/>
              </w:rPr>
            </w:r>
            <w:r w:rsidR="00AA6775">
              <w:rPr>
                <w:noProof/>
                <w:webHidden/>
              </w:rPr>
              <w:fldChar w:fldCharType="separate"/>
            </w:r>
            <w:r w:rsidR="00AA6775">
              <w:rPr>
                <w:noProof/>
                <w:webHidden/>
              </w:rPr>
              <w:t>5</w:t>
            </w:r>
            <w:r w:rsidR="00AA6775">
              <w:rPr>
                <w:noProof/>
                <w:webHidden/>
              </w:rPr>
              <w:fldChar w:fldCharType="end"/>
            </w:r>
          </w:hyperlink>
        </w:p>
        <w:p w14:paraId="400F4FC9" w14:textId="661339C2"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19" w:history="1">
            <w:r w:rsidR="00AA6775" w:rsidRPr="00EF29B9">
              <w:rPr>
                <w:rStyle w:val="Hyperlink"/>
                <w:noProof/>
              </w:rPr>
              <w:t>Commitment of additional funds</w:t>
            </w:r>
            <w:r w:rsidR="00AA6775">
              <w:rPr>
                <w:noProof/>
                <w:webHidden/>
              </w:rPr>
              <w:tab/>
            </w:r>
            <w:r w:rsidR="00AA6775">
              <w:rPr>
                <w:noProof/>
                <w:webHidden/>
              </w:rPr>
              <w:fldChar w:fldCharType="begin"/>
            </w:r>
            <w:r w:rsidR="00AA6775">
              <w:rPr>
                <w:noProof/>
                <w:webHidden/>
              </w:rPr>
              <w:instrText xml:space="preserve"> PAGEREF _Toc172098219 \h </w:instrText>
            </w:r>
            <w:r w:rsidR="00AA6775">
              <w:rPr>
                <w:noProof/>
                <w:webHidden/>
              </w:rPr>
            </w:r>
            <w:r w:rsidR="00AA6775">
              <w:rPr>
                <w:noProof/>
                <w:webHidden/>
              </w:rPr>
              <w:fldChar w:fldCharType="separate"/>
            </w:r>
            <w:r w:rsidR="00AA6775">
              <w:rPr>
                <w:noProof/>
                <w:webHidden/>
              </w:rPr>
              <w:t>5</w:t>
            </w:r>
            <w:r w:rsidR="00AA6775">
              <w:rPr>
                <w:noProof/>
                <w:webHidden/>
              </w:rPr>
              <w:fldChar w:fldCharType="end"/>
            </w:r>
          </w:hyperlink>
        </w:p>
        <w:p w14:paraId="2674A21F" w14:textId="0274E68A"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20" w:history="1">
            <w:r w:rsidR="00AA6775" w:rsidRPr="00EF29B9">
              <w:rPr>
                <w:rStyle w:val="Hyperlink"/>
                <w:noProof/>
              </w:rPr>
              <w:t>Security for payment of debt</w:t>
            </w:r>
            <w:r w:rsidR="00AA6775">
              <w:rPr>
                <w:noProof/>
                <w:webHidden/>
              </w:rPr>
              <w:tab/>
            </w:r>
            <w:r w:rsidR="00AA6775">
              <w:rPr>
                <w:noProof/>
                <w:webHidden/>
              </w:rPr>
              <w:fldChar w:fldCharType="begin"/>
            </w:r>
            <w:r w:rsidR="00AA6775">
              <w:rPr>
                <w:noProof/>
                <w:webHidden/>
              </w:rPr>
              <w:instrText xml:space="preserve"> PAGEREF _Toc172098220 \h </w:instrText>
            </w:r>
            <w:r w:rsidR="00AA6775">
              <w:rPr>
                <w:noProof/>
                <w:webHidden/>
              </w:rPr>
            </w:r>
            <w:r w:rsidR="00AA6775">
              <w:rPr>
                <w:noProof/>
                <w:webHidden/>
              </w:rPr>
              <w:fldChar w:fldCharType="separate"/>
            </w:r>
            <w:r w:rsidR="00AA6775">
              <w:rPr>
                <w:noProof/>
                <w:webHidden/>
              </w:rPr>
              <w:t>5</w:t>
            </w:r>
            <w:r w:rsidR="00AA6775">
              <w:rPr>
                <w:noProof/>
                <w:webHidden/>
              </w:rPr>
              <w:fldChar w:fldCharType="end"/>
            </w:r>
          </w:hyperlink>
        </w:p>
        <w:p w14:paraId="637C3967" w14:textId="5E5748A0"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21" w:history="1">
            <w:r w:rsidR="00AA6775" w:rsidRPr="00EF29B9">
              <w:rPr>
                <w:rStyle w:val="Hyperlink"/>
                <w:noProof/>
              </w:rPr>
              <w:t>Penalty tax and interest</w:t>
            </w:r>
            <w:r w:rsidR="00AA6775">
              <w:rPr>
                <w:noProof/>
                <w:webHidden/>
              </w:rPr>
              <w:tab/>
            </w:r>
            <w:r w:rsidR="00AA6775">
              <w:rPr>
                <w:noProof/>
                <w:webHidden/>
              </w:rPr>
              <w:fldChar w:fldCharType="begin"/>
            </w:r>
            <w:r w:rsidR="00AA6775">
              <w:rPr>
                <w:noProof/>
                <w:webHidden/>
              </w:rPr>
              <w:instrText xml:space="preserve"> PAGEREF _Toc172098221 \h </w:instrText>
            </w:r>
            <w:r w:rsidR="00AA6775">
              <w:rPr>
                <w:noProof/>
                <w:webHidden/>
              </w:rPr>
            </w:r>
            <w:r w:rsidR="00AA6775">
              <w:rPr>
                <w:noProof/>
                <w:webHidden/>
              </w:rPr>
              <w:fldChar w:fldCharType="separate"/>
            </w:r>
            <w:r w:rsidR="00AA6775">
              <w:rPr>
                <w:noProof/>
                <w:webHidden/>
              </w:rPr>
              <w:t>6</w:t>
            </w:r>
            <w:r w:rsidR="00AA6775">
              <w:rPr>
                <w:noProof/>
                <w:webHidden/>
              </w:rPr>
              <w:fldChar w:fldCharType="end"/>
            </w:r>
          </w:hyperlink>
        </w:p>
        <w:p w14:paraId="2FB322D3" w14:textId="2FC50F57"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22" w:history="1">
            <w:r w:rsidR="00AA6775" w:rsidRPr="00EF29B9">
              <w:rPr>
                <w:rStyle w:val="Hyperlink"/>
                <w:noProof/>
              </w:rPr>
              <w:t>Continuing liabilities</w:t>
            </w:r>
            <w:r w:rsidR="00AA6775">
              <w:rPr>
                <w:noProof/>
                <w:webHidden/>
              </w:rPr>
              <w:tab/>
            </w:r>
            <w:r w:rsidR="00AA6775">
              <w:rPr>
                <w:noProof/>
                <w:webHidden/>
              </w:rPr>
              <w:fldChar w:fldCharType="begin"/>
            </w:r>
            <w:r w:rsidR="00AA6775">
              <w:rPr>
                <w:noProof/>
                <w:webHidden/>
              </w:rPr>
              <w:instrText xml:space="preserve"> PAGEREF _Toc172098222 \h </w:instrText>
            </w:r>
            <w:r w:rsidR="00AA6775">
              <w:rPr>
                <w:noProof/>
                <w:webHidden/>
              </w:rPr>
            </w:r>
            <w:r w:rsidR="00AA6775">
              <w:rPr>
                <w:noProof/>
                <w:webHidden/>
              </w:rPr>
              <w:fldChar w:fldCharType="separate"/>
            </w:r>
            <w:r w:rsidR="00AA6775">
              <w:rPr>
                <w:noProof/>
                <w:webHidden/>
              </w:rPr>
              <w:t>6</w:t>
            </w:r>
            <w:r w:rsidR="00AA6775">
              <w:rPr>
                <w:noProof/>
                <w:webHidden/>
              </w:rPr>
              <w:fldChar w:fldCharType="end"/>
            </w:r>
          </w:hyperlink>
        </w:p>
        <w:p w14:paraId="064BBC8B" w14:textId="7439F5E5" w:rsidR="00AA6775" w:rsidRDefault="00AE1285">
          <w:pPr>
            <w:pStyle w:val="TOC2"/>
            <w:rPr>
              <w:rFonts w:asciiTheme="minorHAnsi" w:eastAsiaTheme="minorEastAsia" w:hAnsiTheme="minorHAnsi" w:cstheme="minorBidi"/>
              <w:noProof/>
              <w:kern w:val="2"/>
              <w:lang w:eastAsia="en-AU"/>
              <w14:ligatures w14:val="standardContextual"/>
            </w:rPr>
          </w:pPr>
          <w:hyperlink w:anchor="_Toc172098223" w:history="1">
            <w:r w:rsidR="00AA6775" w:rsidRPr="00EF29B9">
              <w:rPr>
                <w:rStyle w:val="Hyperlink"/>
                <w:noProof/>
              </w:rPr>
              <w:t>Other conditions</w:t>
            </w:r>
            <w:r w:rsidR="00AA6775">
              <w:rPr>
                <w:noProof/>
                <w:webHidden/>
              </w:rPr>
              <w:tab/>
            </w:r>
            <w:r w:rsidR="00AA6775">
              <w:rPr>
                <w:noProof/>
                <w:webHidden/>
              </w:rPr>
              <w:fldChar w:fldCharType="begin"/>
            </w:r>
            <w:r w:rsidR="00AA6775">
              <w:rPr>
                <w:noProof/>
                <w:webHidden/>
              </w:rPr>
              <w:instrText xml:space="preserve"> PAGEREF _Toc172098223 \h </w:instrText>
            </w:r>
            <w:r w:rsidR="00AA6775">
              <w:rPr>
                <w:noProof/>
                <w:webHidden/>
              </w:rPr>
            </w:r>
            <w:r w:rsidR="00AA6775">
              <w:rPr>
                <w:noProof/>
                <w:webHidden/>
              </w:rPr>
              <w:fldChar w:fldCharType="separate"/>
            </w:r>
            <w:r w:rsidR="00AA6775">
              <w:rPr>
                <w:noProof/>
                <w:webHidden/>
              </w:rPr>
              <w:t>6</w:t>
            </w:r>
            <w:r w:rsidR="00AA6775">
              <w:rPr>
                <w:noProof/>
                <w:webHidden/>
              </w:rPr>
              <w:fldChar w:fldCharType="end"/>
            </w:r>
          </w:hyperlink>
        </w:p>
        <w:p w14:paraId="228CC357" w14:textId="7192F99D"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24" w:history="1">
            <w:r w:rsidR="00AA6775" w:rsidRPr="00EF29B9">
              <w:rPr>
                <w:rStyle w:val="Hyperlink"/>
                <w:noProof/>
              </w:rPr>
              <w:t>Applications and supporting information</w:t>
            </w:r>
            <w:r w:rsidR="00AA6775">
              <w:rPr>
                <w:noProof/>
                <w:webHidden/>
              </w:rPr>
              <w:tab/>
            </w:r>
            <w:r w:rsidR="00AA6775">
              <w:rPr>
                <w:noProof/>
                <w:webHidden/>
              </w:rPr>
              <w:fldChar w:fldCharType="begin"/>
            </w:r>
            <w:r w:rsidR="00AA6775">
              <w:rPr>
                <w:noProof/>
                <w:webHidden/>
              </w:rPr>
              <w:instrText xml:space="preserve"> PAGEREF _Toc172098224 \h </w:instrText>
            </w:r>
            <w:r w:rsidR="00AA6775">
              <w:rPr>
                <w:noProof/>
                <w:webHidden/>
              </w:rPr>
            </w:r>
            <w:r w:rsidR="00AA6775">
              <w:rPr>
                <w:noProof/>
                <w:webHidden/>
              </w:rPr>
              <w:fldChar w:fldCharType="separate"/>
            </w:r>
            <w:r w:rsidR="00AA6775">
              <w:rPr>
                <w:noProof/>
                <w:webHidden/>
              </w:rPr>
              <w:t>7</w:t>
            </w:r>
            <w:r w:rsidR="00AA6775">
              <w:rPr>
                <w:noProof/>
                <w:webHidden/>
              </w:rPr>
              <w:fldChar w:fldCharType="end"/>
            </w:r>
          </w:hyperlink>
        </w:p>
        <w:p w14:paraId="0D2EA5D8" w14:textId="5CE938CD"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25" w:history="1">
            <w:r w:rsidR="00AA6775" w:rsidRPr="00EF29B9">
              <w:rPr>
                <w:rStyle w:val="Hyperlink"/>
                <w:noProof/>
              </w:rPr>
              <w:t>Approval of an instalment plan</w:t>
            </w:r>
            <w:r w:rsidR="00AA6775">
              <w:rPr>
                <w:noProof/>
                <w:webHidden/>
              </w:rPr>
              <w:tab/>
            </w:r>
            <w:r w:rsidR="00AA6775">
              <w:rPr>
                <w:noProof/>
                <w:webHidden/>
              </w:rPr>
              <w:fldChar w:fldCharType="begin"/>
            </w:r>
            <w:r w:rsidR="00AA6775">
              <w:rPr>
                <w:noProof/>
                <w:webHidden/>
              </w:rPr>
              <w:instrText xml:space="preserve"> PAGEREF _Toc172098225 \h </w:instrText>
            </w:r>
            <w:r w:rsidR="00AA6775">
              <w:rPr>
                <w:noProof/>
                <w:webHidden/>
              </w:rPr>
            </w:r>
            <w:r w:rsidR="00AA6775">
              <w:rPr>
                <w:noProof/>
                <w:webHidden/>
              </w:rPr>
              <w:fldChar w:fldCharType="separate"/>
            </w:r>
            <w:r w:rsidR="00AA6775">
              <w:rPr>
                <w:noProof/>
                <w:webHidden/>
              </w:rPr>
              <w:t>7</w:t>
            </w:r>
            <w:r w:rsidR="00AA6775">
              <w:rPr>
                <w:noProof/>
                <w:webHidden/>
              </w:rPr>
              <w:fldChar w:fldCharType="end"/>
            </w:r>
          </w:hyperlink>
        </w:p>
        <w:p w14:paraId="519CFCA6" w14:textId="1BEBBD2C"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26" w:history="1">
            <w:r w:rsidR="00AA6775" w:rsidRPr="00EF29B9">
              <w:rPr>
                <w:rStyle w:val="Hyperlink"/>
                <w:noProof/>
              </w:rPr>
              <w:t>Order of repayments</w:t>
            </w:r>
            <w:r w:rsidR="00AA6775">
              <w:rPr>
                <w:noProof/>
                <w:webHidden/>
              </w:rPr>
              <w:tab/>
            </w:r>
            <w:r w:rsidR="00AA6775">
              <w:rPr>
                <w:noProof/>
                <w:webHidden/>
              </w:rPr>
              <w:fldChar w:fldCharType="begin"/>
            </w:r>
            <w:r w:rsidR="00AA6775">
              <w:rPr>
                <w:noProof/>
                <w:webHidden/>
              </w:rPr>
              <w:instrText xml:space="preserve"> PAGEREF _Toc172098226 \h </w:instrText>
            </w:r>
            <w:r w:rsidR="00AA6775">
              <w:rPr>
                <w:noProof/>
                <w:webHidden/>
              </w:rPr>
            </w:r>
            <w:r w:rsidR="00AA6775">
              <w:rPr>
                <w:noProof/>
                <w:webHidden/>
              </w:rPr>
              <w:fldChar w:fldCharType="separate"/>
            </w:r>
            <w:r w:rsidR="00AA6775">
              <w:rPr>
                <w:noProof/>
                <w:webHidden/>
              </w:rPr>
              <w:t>8</w:t>
            </w:r>
            <w:r w:rsidR="00AA6775">
              <w:rPr>
                <w:noProof/>
                <w:webHidden/>
              </w:rPr>
              <w:fldChar w:fldCharType="end"/>
            </w:r>
          </w:hyperlink>
        </w:p>
        <w:p w14:paraId="0E955A74" w14:textId="6436EBD1"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27" w:history="1">
            <w:r w:rsidR="00AA6775" w:rsidRPr="00EF29B9">
              <w:rPr>
                <w:rStyle w:val="Hyperlink"/>
                <w:noProof/>
              </w:rPr>
              <w:t>Review of instalment arrangements</w:t>
            </w:r>
            <w:r w:rsidR="00AA6775">
              <w:rPr>
                <w:noProof/>
                <w:webHidden/>
              </w:rPr>
              <w:tab/>
            </w:r>
            <w:r w:rsidR="00AA6775">
              <w:rPr>
                <w:noProof/>
                <w:webHidden/>
              </w:rPr>
              <w:fldChar w:fldCharType="begin"/>
            </w:r>
            <w:r w:rsidR="00AA6775">
              <w:rPr>
                <w:noProof/>
                <w:webHidden/>
              </w:rPr>
              <w:instrText xml:space="preserve"> PAGEREF _Toc172098227 \h </w:instrText>
            </w:r>
            <w:r w:rsidR="00AA6775">
              <w:rPr>
                <w:noProof/>
                <w:webHidden/>
              </w:rPr>
            </w:r>
            <w:r w:rsidR="00AA6775">
              <w:rPr>
                <w:noProof/>
                <w:webHidden/>
              </w:rPr>
              <w:fldChar w:fldCharType="separate"/>
            </w:r>
            <w:r w:rsidR="00AA6775">
              <w:rPr>
                <w:noProof/>
                <w:webHidden/>
              </w:rPr>
              <w:t>8</w:t>
            </w:r>
            <w:r w:rsidR="00AA6775">
              <w:rPr>
                <w:noProof/>
                <w:webHidden/>
              </w:rPr>
              <w:fldChar w:fldCharType="end"/>
            </w:r>
          </w:hyperlink>
        </w:p>
        <w:p w14:paraId="12BBC812" w14:textId="5E097136"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28" w:history="1">
            <w:r w:rsidR="00AA6775" w:rsidRPr="00EF29B9">
              <w:rPr>
                <w:rStyle w:val="Hyperlink"/>
                <w:noProof/>
              </w:rPr>
              <w:t>Breach of instalment arrangements</w:t>
            </w:r>
            <w:r w:rsidR="00AA6775">
              <w:rPr>
                <w:noProof/>
                <w:webHidden/>
              </w:rPr>
              <w:tab/>
            </w:r>
            <w:r w:rsidR="00AA6775">
              <w:rPr>
                <w:noProof/>
                <w:webHidden/>
              </w:rPr>
              <w:fldChar w:fldCharType="begin"/>
            </w:r>
            <w:r w:rsidR="00AA6775">
              <w:rPr>
                <w:noProof/>
                <w:webHidden/>
              </w:rPr>
              <w:instrText xml:space="preserve"> PAGEREF _Toc172098228 \h </w:instrText>
            </w:r>
            <w:r w:rsidR="00AA6775">
              <w:rPr>
                <w:noProof/>
                <w:webHidden/>
              </w:rPr>
            </w:r>
            <w:r w:rsidR="00AA6775">
              <w:rPr>
                <w:noProof/>
                <w:webHidden/>
              </w:rPr>
              <w:fldChar w:fldCharType="separate"/>
            </w:r>
            <w:r w:rsidR="00AA6775">
              <w:rPr>
                <w:noProof/>
                <w:webHidden/>
              </w:rPr>
              <w:t>8</w:t>
            </w:r>
            <w:r w:rsidR="00AA6775">
              <w:rPr>
                <w:noProof/>
                <w:webHidden/>
              </w:rPr>
              <w:fldChar w:fldCharType="end"/>
            </w:r>
          </w:hyperlink>
        </w:p>
        <w:p w14:paraId="48F7094B" w14:textId="3C9338E2"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29" w:history="1">
            <w:r w:rsidR="00AA6775" w:rsidRPr="00EF29B9">
              <w:rPr>
                <w:rStyle w:val="Hyperlink"/>
                <w:noProof/>
              </w:rPr>
              <w:t>First Home Owner Grant</w:t>
            </w:r>
            <w:r w:rsidR="00AA6775">
              <w:rPr>
                <w:noProof/>
                <w:webHidden/>
              </w:rPr>
              <w:tab/>
            </w:r>
            <w:r w:rsidR="00AA6775">
              <w:rPr>
                <w:noProof/>
                <w:webHidden/>
              </w:rPr>
              <w:fldChar w:fldCharType="begin"/>
            </w:r>
            <w:r w:rsidR="00AA6775">
              <w:rPr>
                <w:noProof/>
                <w:webHidden/>
              </w:rPr>
              <w:instrText xml:space="preserve"> PAGEREF _Toc172098229 \h </w:instrText>
            </w:r>
            <w:r w:rsidR="00AA6775">
              <w:rPr>
                <w:noProof/>
                <w:webHidden/>
              </w:rPr>
            </w:r>
            <w:r w:rsidR="00AA6775">
              <w:rPr>
                <w:noProof/>
                <w:webHidden/>
              </w:rPr>
              <w:fldChar w:fldCharType="separate"/>
            </w:r>
            <w:r w:rsidR="00AA6775">
              <w:rPr>
                <w:noProof/>
                <w:webHidden/>
              </w:rPr>
              <w:t>8</w:t>
            </w:r>
            <w:r w:rsidR="00AA6775">
              <w:rPr>
                <w:noProof/>
                <w:webHidden/>
              </w:rPr>
              <w:fldChar w:fldCharType="end"/>
            </w:r>
          </w:hyperlink>
        </w:p>
        <w:p w14:paraId="482C6946" w14:textId="1BAE9EBF"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30" w:history="1">
            <w:r w:rsidR="00AA6775" w:rsidRPr="00EF29B9">
              <w:rPr>
                <w:rStyle w:val="Hyperlink"/>
                <w:noProof/>
              </w:rPr>
              <w:t>Commissioner’s Guidelines</w:t>
            </w:r>
            <w:r w:rsidR="00AA6775">
              <w:rPr>
                <w:noProof/>
                <w:webHidden/>
              </w:rPr>
              <w:tab/>
            </w:r>
            <w:r w:rsidR="00AA6775">
              <w:rPr>
                <w:noProof/>
                <w:webHidden/>
              </w:rPr>
              <w:fldChar w:fldCharType="begin"/>
            </w:r>
            <w:r w:rsidR="00AA6775">
              <w:rPr>
                <w:noProof/>
                <w:webHidden/>
              </w:rPr>
              <w:instrText xml:space="preserve"> PAGEREF _Toc172098230 \h </w:instrText>
            </w:r>
            <w:r w:rsidR="00AA6775">
              <w:rPr>
                <w:noProof/>
                <w:webHidden/>
              </w:rPr>
            </w:r>
            <w:r w:rsidR="00AA6775">
              <w:rPr>
                <w:noProof/>
                <w:webHidden/>
              </w:rPr>
              <w:fldChar w:fldCharType="separate"/>
            </w:r>
            <w:r w:rsidR="00AA6775">
              <w:rPr>
                <w:noProof/>
                <w:webHidden/>
              </w:rPr>
              <w:t>8</w:t>
            </w:r>
            <w:r w:rsidR="00AA6775">
              <w:rPr>
                <w:noProof/>
                <w:webHidden/>
              </w:rPr>
              <w:fldChar w:fldCharType="end"/>
            </w:r>
          </w:hyperlink>
        </w:p>
        <w:p w14:paraId="6ACF72E6" w14:textId="02FDA386" w:rsidR="00AA6775" w:rsidRDefault="00AE1285">
          <w:pPr>
            <w:pStyle w:val="TOC1"/>
            <w:rPr>
              <w:rFonts w:asciiTheme="minorHAnsi" w:eastAsiaTheme="minorEastAsia" w:hAnsiTheme="minorHAnsi" w:cstheme="minorBidi"/>
              <w:b w:val="0"/>
              <w:noProof/>
              <w:kern w:val="2"/>
              <w:lang w:eastAsia="en-AU"/>
              <w14:ligatures w14:val="standardContextual"/>
            </w:rPr>
          </w:pPr>
          <w:hyperlink w:anchor="_Toc172098231" w:history="1">
            <w:r w:rsidR="00AA6775" w:rsidRPr="00EF29B9">
              <w:rPr>
                <w:rStyle w:val="Hyperlink"/>
                <w:noProof/>
              </w:rPr>
              <w:t>Date of effect</w:t>
            </w:r>
            <w:r w:rsidR="00AA6775">
              <w:rPr>
                <w:noProof/>
                <w:webHidden/>
              </w:rPr>
              <w:tab/>
            </w:r>
            <w:r w:rsidR="00AA6775">
              <w:rPr>
                <w:noProof/>
                <w:webHidden/>
              </w:rPr>
              <w:fldChar w:fldCharType="begin"/>
            </w:r>
            <w:r w:rsidR="00AA6775">
              <w:rPr>
                <w:noProof/>
                <w:webHidden/>
              </w:rPr>
              <w:instrText xml:space="preserve"> PAGEREF _Toc172098231 \h </w:instrText>
            </w:r>
            <w:r w:rsidR="00AA6775">
              <w:rPr>
                <w:noProof/>
                <w:webHidden/>
              </w:rPr>
            </w:r>
            <w:r w:rsidR="00AA6775">
              <w:rPr>
                <w:noProof/>
                <w:webHidden/>
              </w:rPr>
              <w:fldChar w:fldCharType="separate"/>
            </w:r>
            <w:r w:rsidR="00AA6775">
              <w:rPr>
                <w:noProof/>
                <w:webHidden/>
              </w:rPr>
              <w:t>9</w:t>
            </w:r>
            <w:r w:rsidR="00AA6775">
              <w:rPr>
                <w:noProof/>
                <w:webHidden/>
              </w:rPr>
              <w:fldChar w:fldCharType="end"/>
            </w:r>
          </w:hyperlink>
        </w:p>
        <w:p w14:paraId="0013CD62" w14:textId="3377E4E8"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12BAE812" w14:textId="77777777"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061E53C4" w14:textId="77777777" w:rsidR="00BF2A85" w:rsidRDefault="00BF2A85" w:rsidP="00BF2A85">
      <w:pPr>
        <w:pStyle w:val="Heading1"/>
        <w:numPr>
          <w:ilvl w:val="0"/>
          <w:numId w:val="0"/>
        </w:numPr>
        <w:ind w:left="432" w:hanging="432"/>
      </w:pPr>
      <w:bookmarkStart w:id="0" w:name="_Toc172098214"/>
      <w:r>
        <w:lastRenderedPageBreak/>
        <w:t>Purpose</w:t>
      </w:r>
      <w:bookmarkEnd w:id="0"/>
    </w:p>
    <w:p w14:paraId="54803243" w14:textId="77777777" w:rsidR="00BF2A85" w:rsidRDefault="00BF2A85" w:rsidP="00BF2A85">
      <w:pPr>
        <w:pStyle w:val="ListParagraph"/>
        <w:numPr>
          <w:ilvl w:val="0"/>
          <w:numId w:val="43"/>
        </w:numPr>
      </w:pPr>
      <w:r w:rsidRPr="0010695D">
        <w:t>This Guideline sets out the circumstances and conditions under which the Territory Revenue Office (TRO) may approve an instalment arrangement</w:t>
      </w:r>
      <w:r>
        <w:rPr>
          <w:rStyle w:val="FootnoteReference"/>
        </w:rPr>
        <w:footnoteReference w:id="2"/>
      </w:r>
      <w:r w:rsidRPr="0010695D">
        <w:t xml:space="preserve">  under the </w:t>
      </w:r>
      <w:r w:rsidRPr="00E71BA7">
        <w:rPr>
          <w:i/>
        </w:rPr>
        <w:t>Taxation Administration Act</w:t>
      </w:r>
      <w:r w:rsidRPr="0010695D">
        <w:t xml:space="preserve"> (the TAA) as an alternative to commencing recovery action for a stamp duty</w:t>
      </w:r>
      <w:r>
        <w:t xml:space="preserve"> </w:t>
      </w:r>
      <w:r w:rsidRPr="0010695D">
        <w:t>or payroll tax debt.</w:t>
      </w:r>
    </w:p>
    <w:p w14:paraId="551506AF" w14:textId="77777777" w:rsidR="00BF2A85" w:rsidRDefault="00BF2A85" w:rsidP="00BF2A85">
      <w:pPr>
        <w:pStyle w:val="BlockText"/>
        <w:keepLines/>
        <w:numPr>
          <w:ilvl w:val="0"/>
          <w:numId w:val="43"/>
        </w:numPr>
        <w:spacing w:after="120"/>
        <w:jc w:val="both"/>
      </w:pPr>
      <w:r>
        <w:t xml:space="preserve">Under the </w:t>
      </w:r>
      <w:r>
        <w:rPr>
          <w:i/>
          <w:iCs w:val="0"/>
        </w:rPr>
        <w:t xml:space="preserve">Mineral Royalties Act 2024 </w:t>
      </w:r>
      <w:r>
        <w:t>(MRA24)</w:t>
      </w:r>
      <w:r>
        <w:rPr>
          <w:rStyle w:val="FootnoteReference"/>
        </w:rPr>
        <w:footnoteReference w:id="3"/>
      </w:r>
      <w:r>
        <w:t xml:space="preserve"> and </w:t>
      </w:r>
      <w:r>
        <w:rPr>
          <w:i/>
          <w:iCs w:val="0"/>
        </w:rPr>
        <w:t xml:space="preserve">Petroleum Royalty Act 2023 </w:t>
      </w:r>
      <w:r>
        <w:t>(PRA)</w:t>
      </w:r>
      <w:r>
        <w:rPr>
          <w:rStyle w:val="FootnoteReference"/>
        </w:rPr>
        <w:footnoteReference w:id="4"/>
      </w:r>
      <w:r>
        <w:t>, the TAA also applies to a royalty as if:</w:t>
      </w:r>
    </w:p>
    <w:p w14:paraId="22AE5951" w14:textId="77777777" w:rsidR="00BF2A85" w:rsidRDefault="00BF2A85" w:rsidP="00BF2A85">
      <w:pPr>
        <w:pStyle w:val="BlockText"/>
        <w:keepLines/>
        <w:numPr>
          <w:ilvl w:val="1"/>
          <w:numId w:val="43"/>
        </w:numPr>
        <w:spacing w:after="120"/>
        <w:jc w:val="both"/>
      </w:pPr>
      <w:r>
        <w:t>a reference in the TAA and this guideline to tax were a reference to royalty; and</w:t>
      </w:r>
    </w:p>
    <w:p w14:paraId="15A547ED" w14:textId="77777777" w:rsidR="00BF2A85" w:rsidRDefault="00BF2A85" w:rsidP="00BF2A85">
      <w:pPr>
        <w:pStyle w:val="BlockText"/>
        <w:keepLines/>
        <w:numPr>
          <w:ilvl w:val="1"/>
          <w:numId w:val="43"/>
        </w:numPr>
        <w:spacing w:after="120"/>
        <w:jc w:val="both"/>
      </w:pPr>
      <w:r>
        <w:t>a reference in the TAA and this guideline to taxpayer/s were a reference to holder of a mining tenement (MRA24) or, licensee or permittee (PRA).</w:t>
      </w:r>
    </w:p>
    <w:p w14:paraId="00C51E3A" w14:textId="0E6BF205" w:rsidR="00BF2A85" w:rsidRDefault="00657522" w:rsidP="00BF2A85">
      <w:pPr>
        <w:pStyle w:val="ListParagraph"/>
        <w:numPr>
          <w:ilvl w:val="0"/>
          <w:numId w:val="43"/>
        </w:numPr>
      </w:pPr>
      <w:r>
        <w:t>To enable g</w:t>
      </w:r>
      <w:r w:rsidR="00BF2A85">
        <w:t>overnment to deliver services and provide infrastructure for the benefit of the community</w:t>
      </w:r>
      <w:r>
        <w:t xml:space="preserve">, it is </w:t>
      </w:r>
      <w:r w:rsidR="00BF2A85">
        <w:t>expect</w:t>
      </w:r>
      <w:r>
        <w:t xml:space="preserve">ed that </w:t>
      </w:r>
      <w:r w:rsidR="00BF2A85">
        <w:t>taxpayers meet their responsibilities and pay tax by the due date.</w:t>
      </w:r>
    </w:p>
    <w:p w14:paraId="2525435B" w14:textId="5E3057F9" w:rsidR="00BF2A85" w:rsidRDefault="00BF2A85" w:rsidP="00BF2A85">
      <w:pPr>
        <w:pStyle w:val="ListParagraph"/>
        <w:numPr>
          <w:ilvl w:val="0"/>
          <w:numId w:val="43"/>
        </w:numPr>
      </w:pPr>
      <w:r>
        <w:t xml:space="preserve">However, it is recognised that </w:t>
      </w:r>
      <w:r w:rsidR="00657522">
        <w:t>due to unforeseen or exceptional circumstances</w:t>
      </w:r>
      <w:r>
        <w:t xml:space="preserve"> a person may be unable to pay all of a tax liability and TRO is generally prepared to work collaboratively with taxpayers to develop an appropriate plan that supports taxpayers in meeting their obligations. </w:t>
      </w:r>
    </w:p>
    <w:p w14:paraId="2195BAF3" w14:textId="77777777" w:rsidR="00BF2A85" w:rsidRDefault="00BF2A85" w:rsidP="00BF2A85">
      <w:pPr>
        <w:pStyle w:val="ListParagraph"/>
        <w:numPr>
          <w:ilvl w:val="0"/>
          <w:numId w:val="43"/>
        </w:numPr>
      </w:pPr>
      <w:r>
        <w:t>Where a taxpayer is unable to pay the whole of a tax liability when due, the taxpayer may contact TRO to request the outstanding amount be paid by instalments. The following provides guidance as to the circumstances and conditions under which TRO may approve an instalment arrangement and related matters.</w:t>
      </w:r>
    </w:p>
    <w:p w14:paraId="0831C6CC" w14:textId="77777777" w:rsidR="00BF2A85" w:rsidRPr="0010695D" w:rsidRDefault="00BF2A85" w:rsidP="00BF2A85">
      <w:pPr>
        <w:pStyle w:val="ListParagraph"/>
        <w:numPr>
          <w:ilvl w:val="0"/>
          <w:numId w:val="43"/>
        </w:numPr>
      </w:pPr>
      <w:r>
        <w:t>Of note, an application for instalment arrangement will not be approved where TRO considers that the taxpayer has not made a full and true disclosure as to their current financial circumstances, or the taxpayer does not provide information requested by TRO to assist in determining the application.</w:t>
      </w:r>
    </w:p>
    <w:p w14:paraId="78A43904" w14:textId="77777777" w:rsidR="00BF2A85" w:rsidRDefault="00BF2A85" w:rsidP="00BF2A85">
      <w:pPr>
        <w:pStyle w:val="Heading2"/>
        <w:numPr>
          <w:ilvl w:val="0"/>
          <w:numId w:val="0"/>
        </w:numPr>
        <w:ind w:left="576" w:hanging="576"/>
      </w:pPr>
      <w:bookmarkStart w:id="1" w:name="_Toc172098215"/>
      <w:r>
        <w:t>Demonstrated financial incapacity</w:t>
      </w:r>
      <w:bookmarkEnd w:id="1"/>
    </w:p>
    <w:p w14:paraId="4F2C39CA" w14:textId="77777777" w:rsidR="00BF2A85" w:rsidRDefault="00BF2A85" w:rsidP="00BF2A85">
      <w:pPr>
        <w:pStyle w:val="ListParagraph"/>
        <w:numPr>
          <w:ilvl w:val="0"/>
          <w:numId w:val="43"/>
        </w:numPr>
      </w:pPr>
      <w:r>
        <w:t>Where a taxpayer proposes an instalment arrangement that will repay the debt within 12 months or less, the taxpayer must demonstrate financial incapacity by providing evidence that they do not have sufficient funds, including savings or unused credit or loan facilities, available to repay all or part of the debt.</w:t>
      </w:r>
    </w:p>
    <w:p w14:paraId="6EB1C8D5" w14:textId="77777777" w:rsidR="00BF2A85" w:rsidRDefault="00BF2A85" w:rsidP="00BF2A85">
      <w:pPr>
        <w:pStyle w:val="ListParagraph"/>
        <w:numPr>
          <w:ilvl w:val="0"/>
          <w:numId w:val="43"/>
        </w:numPr>
      </w:pPr>
      <w:r>
        <w:t>Where a taxpayer proposes an instalment arrangement that will take longer than 12 months to repay the debt, in addition to the above, they must also demonstrate that they have applied for and been refused loans, advances or other credit for all or part of the amount of the debt through normal lending facilities. For instance, the taxpayer must also demonstrate that they have applied for and been refused a personal loan, an overdraft facility or an increased or second mortgage over any property owned by the taxpayer.</w:t>
      </w:r>
    </w:p>
    <w:p w14:paraId="3572740A" w14:textId="77777777" w:rsidR="00BF2A85" w:rsidRPr="0010695D" w:rsidRDefault="00BF2A85" w:rsidP="00BF2A85">
      <w:pPr>
        <w:pStyle w:val="ListParagraph"/>
        <w:numPr>
          <w:ilvl w:val="0"/>
          <w:numId w:val="43"/>
        </w:numPr>
      </w:pPr>
      <w:r>
        <w:t xml:space="preserve">Special arrangements apply where TRO is of the opinion that the taxpayer intentionally disregarded a tax liability, obtained the benefit of a concession or exemption that they knew or should have known they were ineligible for or disregarded a condition or an obligation attached to a concession or exemption. In these circumstances, regardless of the repayment period under </w:t>
      </w:r>
      <w:r>
        <w:lastRenderedPageBreak/>
        <w:t>the proposed instalment plan, the taxpayer must provide evidence that they have applied for and been refused finance or credit to repay the debt.</w:t>
      </w:r>
    </w:p>
    <w:p w14:paraId="02DA6367" w14:textId="77777777" w:rsidR="00BF2A85" w:rsidRDefault="00BF2A85" w:rsidP="00BF2A85">
      <w:pPr>
        <w:pStyle w:val="Heading2"/>
        <w:numPr>
          <w:ilvl w:val="0"/>
          <w:numId w:val="0"/>
        </w:numPr>
        <w:ind w:left="576" w:hanging="576"/>
      </w:pPr>
      <w:bookmarkStart w:id="2" w:name="_Toc172098216"/>
      <w:r>
        <w:t>Partners, group members, spouses and interest holders in a mining tenement to be included in instalment proposal</w:t>
      </w:r>
      <w:bookmarkEnd w:id="2"/>
    </w:p>
    <w:p w14:paraId="0F2409A3" w14:textId="77777777" w:rsidR="00BF2A85" w:rsidRPr="002A7900" w:rsidRDefault="00BF2A85" w:rsidP="00BF2A85">
      <w:pPr>
        <w:pStyle w:val="ListParagraph"/>
        <w:numPr>
          <w:ilvl w:val="0"/>
          <w:numId w:val="43"/>
        </w:numPr>
      </w:pPr>
      <w:r w:rsidRPr="002A7900">
        <w:t>The TAA provides that:</w:t>
      </w:r>
    </w:p>
    <w:p w14:paraId="749273ED" w14:textId="77777777" w:rsidR="00BF2A85" w:rsidRDefault="00BF2A85" w:rsidP="00BF2A85">
      <w:pPr>
        <w:pStyle w:val="ListParagraph"/>
        <w:numPr>
          <w:ilvl w:val="1"/>
          <w:numId w:val="43"/>
        </w:numPr>
      </w:pPr>
      <w:r>
        <w:t>partners in a partnership are jointly and severally liable for tax liabilities incurred by or on behalf of a partnership</w:t>
      </w:r>
      <w:r>
        <w:rPr>
          <w:rStyle w:val="FootnoteReference"/>
        </w:rPr>
        <w:footnoteReference w:id="5"/>
      </w:r>
    </w:p>
    <w:p w14:paraId="31764768" w14:textId="77777777" w:rsidR="00BF2A85" w:rsidRDefault="00BF2A85" w:rsidP="00BF2A85">
      <w:pPr>
        <w:pStyle w:val="ListParagraph"/>
        <w:numPr>
          <w:ilvl w:val="1"/>
          <w:numId w:val="43"/>
        </w:numPr>
      </w:pPr>
      <w:r>
        <w:t>members of a group formed under a taxation law (such as a payroll tax group) are jointly and severally liable for the tax liabilities of each other member of the group incurred under that taxation law during the period that they are a member of the same group.</w:t>
      </w:r>
      <w:r w:rsidRPr="00E71BA7">
        <w:rPr>
          <w:rStyle w:val="FootnoteReference"/>
        </w:rPr>
        <w:t xml:space="preserve"> </w:t>
      </w:r>
      <w:r>
        <w:rPr>
          <w:rStyle w:val="FootnoteReference"/>
        </w:rPr>
        <w:footnoteReference w:id="6"/>
      </w:r>
      <w:r>
        <w:t xml:space="preserve">  </w:t>
      </w:r>
    </w:p>
    <w:p w14:paraId="219E2172" w14:textId="77777777" w:rsidR="00BF2A85" w:rsidRDefault="00BF2A85" w:rsidP="00BF2A85">
      <w:pPr>
        <w:pStyle w:val="ListParagraph"/>
        <w:numPr>
          <w:ilvl w:val="0"/>
          <w:numId w:val="43"/>
        </w:numPr>
      </w:pPr>
      <w:bookmarkStart w:id="3" w:name="jhkhkhhk"/>
      <w:bookmarkEnd w:id="3"/>
      <w:r>
        <w:t>Any instalment proposal:</w:t>
      </w:r>
    </w:p>
    <w:p w14:paraId="4A75E2E3" w14:textId="77777777" w:rsidR="00BF2A85" w:rsidRDefault="00BF2A85" w:rsidP="00BF2A85">
      <w:pPr>
        <w:pStyle w:val="ListParagraph"/>
        <w:numPr>
          <w:ilvl w:val="1"/>
          <w:numId w:val="43"/>
        </w:numPr>
      </w:pPr>
      <w:r>
        <w:t>by or on behalf of a partnership must be based on the financial circumstances and capacity of all members of the partnership to repay the debt</w:t>
      </w:r>
    </w:p>
    <w:p w14:paraId="278DFB74" w14:textId="77777777" w:rsidR="00BF2A85" w:rsidRDefault="00BF2A85" w:rsidP="00BF2A85">
      <w:pPr>
        <w:pStyle w:val="ListParagraph"/>
        <w:numPr>
          <w:ilvl w:val="1"/>
          <w:numId w:val="43"/>
        </w:numPr>
      </w:pPr>
      <w:r>
        <w:t>by a member of a group must be based on the financial circumstances and capacity of the group as a whole to repay the debt</w:t>
      </w:r>
    </w:p>
    <w:p w14:paraId="0CF45494" w14:textId="77777777" w:rsidR="00BF2A85" w:rsidRDefault="00BF2A85" w:rsidP="00BF2A85">
      <w:pPr>
        <w:pStyle w:val="ListParagraph"/>
        <w:numPr>
          <w:ilvl w:val="1"/>
          <w:numId w:val="43"/>
        </w:numPr>
      </w:pPr>
      <w:r>
        <w:t>by a natural person must also include the capacity of the spouse (including a de facto partner) of the taxpayer to repay the debt.</w:t>
      </w:r>
    </w:p>
    <w:p w14:paraId="145D7787" w14:textId="77777777" w:rsidR="00BF2A85" w:rsidRDefault="00BF2A85" w:rsidP="00BF2A85">
      <w:pPr>
        <w:pStyle w:val="Heading2"/>
        <w:numPr>
          <w:ilvl w:val="0"/>
          <w:numId w:val="0"/>
        </w:numPr>
        <w:ind w:left="576" w:hanging="576"/>
      </w:pPr>
      <w:bookmarkStart w:id="4" w:name="_Toc172098217"/>
      <w:r>
        <w:t>Length of instalment arrangements</w:t>
      </w:r>
      <w:bookmarkEnd w:id="4"/>
    </w:p>
    <w:p w14:paraId="60BF2DA3" w14:textId="77777777" w:rsidR="00BF2A85" w:rsidRDefault="00BF2A85" w:rsidP="00BF2A85">
      <w:pPr>
        <w:pStyle w:val="ListParagraph"/>
        <w:numPr>
          <w:ilvl w:val="0"/>
          <w:numId w:val="43"/>
        </w:numPr>
      </w:pPr>
      <w:r w:rsidRPr="0010695D">
        <w:t>Instalment arrangements will generally only be approved for the shortest period of time that is within the taxpayer’s financial capacity to pay the debt (and, where relevant, the financial capacity of their partners, group members or spouses).</w:t>
      </w:r>
    </w:p>
    <w:p w14:paraId="2146BDE1" w14:textId="77777777" w:rsidR="00BF2A85" w:rsidRDefault="00BF2A85" w:rsidP="00BF2A85">
      <w:pPr>
        <w:pStyle w:val="Heading2"/>
        <w:numPr>
          <w:ilvl w:val="0"/>
          <w:numId w:val="0"/>
        </w:numPr>
        <w:ind w:left="576" w:hanging="576"/>
      </w:pPr>
      <w:bookmarkStart w:id="5" w:name="_Toc172098218"/>
      <w:r>
        <w:t>Periodic review</w:t>
      </w:r>
      <w:bookmarkEnd w:id="5"/>
    </w:p>
    <w:p w14:paraId="31EF174A" w14:textId="77777777" w:rsidR="00BF2A85" w:rsidRDefault="00BF2A85" w:rsidP="00BF2A85">
      <w:pPr>
        <w:pStyle w:val="ListParagraph"/>
        <w:numPr>
          <w:ilvl w:val="0"/>
          <w:numId w:val="43"/>
        </w:numPr>
      </w:pPr>
      <w:r w:rsidRPr="0010695D">
        <w:t>TRO will periodically review the taxpayer’s circumstances and will adjust the amount and/or timing of instalment payments where the taxpayer's financial situation changes.</w:t>
      </w:r>
    </w:p>
    <w:p w14:paraId="3C5D2E5A" w14:textId="77777777" w:rsidR="00BF2A85" w:rsidRDefault="00BF2A85" w:rsidP="00BF2A85">
      <w:pPr>
        <w:pStyle w:val="Heading2"/>
        <w:numPr>
          <w:ilvl w:val="0"/>
          <w:numId w:val="0"/>
        </w:numPr>
        <w:ind w:left="576" w:hanging="576"/>
      </w:pPr>
      <w:bookmarkStart w:id="6" w:name="_Toc172098219"/>
      <w:r>
        <w:t>Commitment of additional funds</w:t>
      </w:r>
      <w:bookmarkEnd w:id="6"/>
    </w:p>
    <w:p w14:paraId="5DC7FC93" w14:textId="77777777" w:rsidR="00BF2A85" w:rsidRDefault="00BF2A85" w:rsidP="00BF2A85">
      <w:pPr>
        <w:pStyle w:val="ListParagraph"/>
        <w:numPr>
          <w:ilvl w:val="0"/>
          <w:numId w:val="43"/>
        </w:numPr>
      </w:pPr>
      <w:r w:rsidRPr="0010695D">
        <w:t>A condition of all instalment arrangements is that any unexpected funds, windfalls or additional disposable income that becomes available to the taxpayer will be used to reduce the amount of the debt.  Where such amounts are available, the taxpayer must advise TRO and apply it to reduce the amount of the debt.</w:t>
      </w:r>
    </w:p>
    <w:p w14:paraId="5C3170FD" w14:textId="77777777" w:rsidR="00BF2A85" w:rsidRDefault="00BF2A85" w:rsidP="00BF2A85">
      <w:pPr>
        <w:pStyle w:val="Heading2"/>
        <w:numPr>
          <w:ilvl w:val="0"/>
          <w:numId w:val="0"/>
        </w:numPr>
        <w:ind w:left="576" w:hanging="576"/>
      </w:pPr>
      <w:bookmarkStart w:id="7" w:name="_Toc172098220"/>
      <w:r>
        <w:t>Security for payment of debt</w:t>
      </w:r>
      <w:bookmarkEnd w:id="7"/>
    </w:p>
    <w:p w14:paraId="6FC86EBA" w14:textId="77777777" w:rsidR="00BF2A85" w:rsidRDefault="00BF2A85" w:rsidP="00BF2A85">
      <w:pPr>
        <w:pStyle w:val="ListParagraph"/>
        <w:numPr>
          <w:ilvl w:val="0"/>
          <w:numId w:val="43"/>
        </w:numPr>
      </w:pPr>
      <w:r>
        <w:t xml:space="preserve">Depending on the term of the instalment arrangement and the financial circumstances of the taxpayer, TRO may require an acceptable form of security for the debt. </w:t>
      </w:r>
    </w:p>
    <w:p w14:paraId="774CC715" w14:textId="77777777" w:rsidR="00BF2A85" w:rsidRDefault="00BF2A85" w:rsidP="00BF2A85">
      <w:pPr>
        <w:pStyle w:val="ListParagraph"/>
        <w:numPr>
          <w:ilvl w:val="0"/>
          <w:numId w:val="43"/>
        </w:numPr>
      </w:pPr>
      <w:r>
        <w:lastRenderedPageBreak/>
        <w:t>Where the debt relates to a stamp duty liability arising from a transaction whereby land is acquired, or where a relevant acquisition in a land holding corporation or unit trust scheme occurs,</w:t>
      </w:r>
      <w:r>
        <w:rPr>
          <w:rStyle w:val="FootnoteReference"/>
        </w:rPr>
        <w:footnoteReference w:id="7"/>
      </w:r>
      <w:r>
        <w:t xml:space="preserve"> the debt becomes an overriding statutory charge on that land (or the land that the corporation or unit trust scheme is entitled to).</w:t>
      </w:r>
      <w:r>
        <w:rPr>
          <w:rStyle w:val="FootnoteReference"/>
        </w:rPr>
        <w:footnoteReference w:id="8"/>
      </w:r>
      <w:r>
        <w:t xml:space="preserve">  </w:t>
      </w:r>
    </w:p>
    <w:p w14:paraId="577E7806" w14:textId="77777777" w:rsidR="00BF2A85" w:rsidRDefault="00BF2A85" w:rsidP="00BF2A85">
      <w:pPr>
        <w:pStyle w:val="ListParagraph"/>
        <w:numPr>
          <w:ilvl w:val="0"/>
          <w:numId w:val="43"/>
        </w:numPr>
      </w:pPr>
      <w:r>
        <w:t>TRO will register the overriding statutory charge against the land where an instalment arrangement is entered into in relation to that stamp duty liability. The charge will not be removed until the debt is paid.</w:t>
      </w:r>
    </w:p>
    <w:p w14:paraId="29CF60B6" w14:textId="77777777" w:rsidR="00BF2A85" w:rsidRPr="0010695D" w:rsidRDefault="00BF2A85" w:rsidP="00BF2A85">
      <w:pPr>
        <w:pStyle w:val="ListParagraph"/>
        <w:numPr>
          <w:ilvl w:val="0"/>
          <w:numId w:val="43"/>
        </w:numPr>
      </w:pPr>
      <w:r>
        <w:t>Where the taxpayer has sold the land before the charge is registered, TRO may require security over another property owned by the taxpayer, particularly where the instalment arrangement exceeds six months.</w:t>
      </w:r>
    </w:p>
    <w:p w14:paraId="13BDFA7D" w14:textId="77777777" w:rsidR="00BF2A85" w:rsidRDefault="00BF2A85" w:rsidP="00BF2A85">
      <w:pPr>
        <w:pStyle w:val="Heading2"/>
        <w:numPr>
          <w:ilvl w:val="0"/>
          <w:numId w:val="0"/>
        </w:numPr>
        <w:ind w:left="576" w:hanging="576"/>
      </w:pPr>
      <w:bookmarkStart w:id="8" w:name="_Toc172098221"/>
      <w:r>
        <w:t>Penalty tax and interest</w:t>
      </w:r>
      <w:bookmarkEnd w:id="8"/>
    </w:p>
    <w:p w14:paraId="7A3F551D" w14:textId="2FC1CE0C" w:rsidR="00BF2A85" w:rsidRPr="002A7900" w:rsidRDefault="00BF2A85" w:rsidP="002A7900">
      <w:pPr>
        <w:pStyle w:val="ListParagraph"/>
        <w:numPr>
          <w:ilvl w:val="0"/>
          <w:numId w:val="43"/>
        </w:numPr>
        <w:rPr>
          <w:rFonts w:eastAsia="Calibri"/>
          <w:b/>
          <w:bCs/>
        </w:rPr>
      </w:pPr>
      <w:r w:rsidRPr="0010695D">
        <w:rPr>
          <w:rFonts w:eastAsia="Calibri"/>
        </w:rPr>
        <w:t xml:space="preserve">Penalty tax and interest will apply where a taxpayer fails to pay a tax liability by the due date. Commissioner’s Guideline: CG-GEN-002: </w:t>
      </w:r>
      <w:r w:rsidRPr="002A7900">
        <w:rPr>
          <w:rFonts w:eastAsia="Calibri"/>
          <w:i/>
        </w:rPr>
        <w:t>Interest and penalty tax</w:t>
      </w:r>
      <w:r w:rsidRPr="0010695D">
        <w:rPr>
          <w:rFonts w:eastAsia="Calibri"/>
        </w:rPr>
        <w:t xml:space="preserve"> explains how TRO applies the penalty tax and interest provisions of the TAA, including the role of interest and penalty tax in taxation administration. </w:t>
      </w:r>
    </w:p>
    <w:p w14:paraId="6AB13337" w14:textId="70DC6E9E" w:rsidR="00BF2A85" w:rsidRPr="002A7900" w:rsidRDefault="00BF2A85" w:rsidP="002A7900">
      <w:pPr>
        <w:pStyle w:val="ListParagraph"/>
        <w:numPr>
          <w:ilvl w:val="0"/>
          <w:numId w:val="43"/>
        </w:numPr>
        <w:rPr>
          <w:rFonts w:eastAsia="Calibri"/>
          <w:b/>
          <w:bCs/>
        </w:rPr>
      </w:pPr>
      <w:r w:rsidRPr="0010695D">
        <w:rPr>
          <w:rFonts w:eastAsia="Calibri"/>
        </w:rPr>
        <w:t>As a general rule where TRO approves a tax liability to be paid by way of an instalment arrangement, interest at the statutory rate (the current market interest rate plus a premium interest rate of 8 per cent per annum) will apply on the outstanding amount from the due date for payment until the debt is paid.</w:t>
      </w:r>
      <w:r>
        <w:rPr>
          <w:rStyle w:val="FootnoteReference"/>
          <w:rFonts w:eastAsia="Calibri"/>
          <w:iCs w:val="0"/>
        </w:rPr>
        <w:footnoteReference w:id="9"/>
      </w:r>
      <w:r w:rsidRPr="0010695D">
        <w:rPr>
          <w:rFonts w:eastAsia="Calibri"/>
        </w:rPr>
        <w:t xml:space="preserve"> </w:t>
      </w:r>
    </w:p>
    <w:p w14:paraId="2B06C496" w14:textId="7FABC119" w:rsidR="00BF2A85" w:rsidRPr="0010695D" w:rsidRDefault="00BF2A85" w:rsidP="002A7900">
      <w:pPr>
        <w:pStyle w:val="ListParagraph"/>
        <w:numPr>
          <w:ilvl w:val="0"/>
          <w:numId w:val="43"/>
        </w:numPr>
      </w:pPr>
      <w:r>
        <w:t xml:space="preserve">From 1 January 2020 to 31 December 2020, a concessional interest rate </w:t>
      </w:r>
      <w:r w:rsidR="00657522">
        <w:t>applied</w:t>
      </w:r>
      <w:r>
        <w:t xml:space="preserve"> in limited circumstances to certain eligible tax defaults the subject of instalment arrangements. Refer to Commissioner’s Guideline CG-GEN-006: </w:t>
      </w:r>
      <w:r w:rsidRPr="002A7900">
        <w:rPr>
          <w:i/>
        </w:rPr>
        <w:t>Concessional interest rate</w:t>
      </w:r>
      <w:r>
        <w:t xml:space="preserve"> for more information. </w:t>
      </w:r>
    </w:p>
    <w:p w14:paraId="3DB06EC8" w14:textId="6B92B5EB" w:rsidR="00BF2A85" w:rsidRPr="002A7900" w:rsidRDefault="00BF2A85" w:rsidP="002A7900">
      <w:pPr>
        <w:pStyle w:val="ListParagraph"/>
        <w:numPr>
          <w:ilvl w:val="0"/>
          <w:numId w:val="43"/>
        </w:numPr>
        <w:rPr>
          <w:rFonts w:eastAsia="Calibri"/>
          <w:b/>
          <w:bCs/>
        </w:rPr>
      </w:pPr>
      <w:r w:rsidRPr="0010695D">
        <w:rPr>
          <w:rFonts w:eastAsia="Calibri"/>
        </w:rPr>
        <w:t xml:space="preserve">This interest is calculated on that part of the debt that comprises the primary tax and penalty tax payable, but not to any interest accrued to that date. Where satisfied that it is appropriate, the Commissioner may remit (in whole or in part) the interest payable under an instalment arrangement. </w:t>
      </w:r>
    </w:p>
    <w:p w14:paraId="3496C2A7" w14:textId="410F5E45" w:rsidR="00BF2A85" w:rsidRPr="002A7900" w:rsidRDefault="00BF2A85" w:rsidP="002A7900">
      <w:pPr>
        <w:pStyle w:val="ListParagraph"/>
        <w:numPr>
          <w:ilvl w:val="0"/>
          <w:numId w:val="43"/>
        </w:numPr>
        <w:rPr>
          <w:rFonts w:eastAsia="Calibri"/>
          <w:b/>
          <w:bCs/>
        </w:rPr>
      </w:pPr>
      <w:r w:rsidRPr="0010695D">
        <w:rPr>
          <w:rFonts w:eastAsia="Calibri"/>
        </w:rPr>
        <w:t xml:space="preserve">For current interest rates, please refer to TRO’s website: </w:t>
      </w:r>
      <w:hyperlink r:id="rId17" w:history="1">
        <w:r w:rsidR="002A7900" w:rsidRPr="00276FD3">
          <w:rPr>
            <w:rStyle w:val="Hyperlink"/>
            <w:rFonts w:eastAsia="Calibri"/>
          </w:rPr>
          <w:t>www.revenue.nt.gov.au</w:t>
        </w:r>
      </w:hyperlink>
      <w:r w:rsidR="002A7900">
        <w:rPr>
          <w:rFonts w:eastAsia="Calibri"/>
        </w:rPr>
        <w:t xml:space="preserve">. </w:t>
      </w:r>
    </w:p>
    <w:p w14:paraId="16B64BE6" w14:textId="77777777" w:rsidR="00BF2A85" w:rsidRPr="00D541CB" w:rsidRDefault="00BF2A85" w:rsidP="00BF2A85">
      <w:pPr>
        <w:pStyle w:val="Heading2"/>
        <w:numPr>
          <w:ilvl w:val="0"/>
          <w:numId w:val="0"/>
        </w:numPr>
        <w:ind w:left="576" w:hanging="576"/>
      </w:pPr>
      <w:bookmarkStart w:id="9" w:name="_Toc172098222"/>
      <w:r>
        <w:t>Continuing liabilities</w:t>
      </w:r>
      <w:bookmarkEnd w:id="9"/>
    </w:p>
    <w:p w14:paraId="6A8A781D" w14:textId="77777777" w:rsidR="00BF2A85" w:rsidRPr="0010695D" w:rsidRDefault="00BF2A85" w:rsidP="00BF2A85">
      <w:pPr>
        <w:pStyle w:val="ListParagraph"/>
        <w:numPr>
          <w:ilvl w:val="0"/>
          <w:numId w:val="43"/>
        </w:numPr>
      </w:pPr>
      <w:r w:rsidRPr="0010695D">
        <w:t>Where a taxpayer has a continuing liability to pay tax, such as ongoing monthly payroll tax obligations</w:t>
      </w:r>
      <w:r>
        <w:t xml:space="preserve"> or quarterly royalty payments</w:t>
      </w:r>
      <w:r w:rsidRPr="0010695D">
        <w:t>, the instalment arrangement shall also be conditional on the taxpayer meeting its continuing tax requirements.</w:t>
      </w:r>
    </w:p>
    <w:p w14:paraId="5D2EEE43" w14:textId="77777777" w:rsidR="00BF2A85" w:rsidRDefault="00BF2A85" w:rsidP="00BF2A85">
      <w:pPr>
        <w:pStyle w:val="Heading2"/>
        <w:numPr>
          <w:ilvl w:val="0"/>
          <w:numId w:val="0"/>
        </w:numPr>
        <w:ind w:left="576" w:hanging="576"/>
      </w:pPr>
      <w:bookmarkStart w:id="10" w:name="_Toc172098223"/>
      <w:r>
        <w:t>Other conditions</w:t>
      </w:r>
      <w:bookmarkEnd w:id="10"/>
    </w:p>
    <w:p w14:paraId="6C777899" w14:textId="77777777" w:rsidR="00BF2A85" w:rsidRDefault="00BF2A85" w:rsidP="00BF2A85">
      <w:pPr>
        <w:pStyle w:val="ListParagraph"/>
        <w:numPr>
          <w:ilvl w:val="0"/>
          <w:numId w:val="43"/>
        </w:numPr>
      </w:pPr>
      <w:r w:rsidRPr="0010695D">
        <w:t>TRO will impose any other conditions that are considered appropriate in the circumstances of a particular case.</w:t>
      </w:r>
      <w:r>
        <w:rPr>
          <w:rStyle w:val="FootnoteReference"/>
        </w:rPr>
        <w:footnoteReference w:id="10"/>
      </w:r>
    </w:p>
    <w:p w14:paraId="3E5A73E0" w14:textId="77777777" w:rsidR="00BF2A85" w:rsidRDefault="00BF2A85" w:rsidP="00BF2A85">
      <w:pPr>
        <w:pStyle w:val="Heading1"/>
        <w:numPr>
          <w:ilvl w:val="0"/>
          <w:numId w:val="0"/>
        </w:numPr>
        <w:ind w:left="432" w:hanging="432"/>
      </w:pPr>
      <w:bookmarkStart w:id="11" w:name="_Toc172098224"/>
      <w:r>
        <w:lastRenderedPageBreak/>
        <w:t>Applications and supporting information</w:t>
      </w:r>
      <w:bookmarkEnd w:id="11"/>
    </w:p>
    <w:p w14:paraId="2F1C409A" w14:textId="2EFA1ED7" w:rsidR="00BF2A85" w:rsidRPr="00BF2A85" w:rsidRDefault="00BF2A85" w:rsidP="00BF2A85">
      <w:pPr>
        <w:pStyle w:val="ListParagraph"/>
        <w:numPr>
          <w:ilvl w:val="0"/>
          <w:numId w:val="43"/>
        </w:numPr>
        <w:rPr>
          <w:rFonts w:eastAsia="Calibri"/>
          <w:b/>
          <w:bCs/>
        </w:rPr>
      </w:pPr>
      <w:r w:rsidRPr="0010695D">
        <w:rPr>
          <w:rFonts w:eastAsia="Calibri"/>
        </w:rPr>
        <w:t>All applications for an instalment arrangement must be in writing, setting out fully and in detail the taxpayer’s circumstances and reasons why the taxpayer requires additional time to pay the debt. The application must include:</w:t>
      </w:r>
    </w:p>
    <w:p w14:paraId="69E720D2" w14:textId="77777777" w:rsidR="00BF2A85" w:rsidRPr="00BF2A85" w:rsidRDefault="00BF2A85" w:rsidP="00BF2A85">
      <w:pPr>
        <w:pStyle w:val="ListParagraph"/>
        <w:numPr>
          <w:ilvl w:val="0"/>
          <w:numId w:val="44"/>
        </w:numPr>
        <w:rPr>
          <w:rFonts w:eastAsia="Calibri"/>
          <w:b/>
          <w:bCs/>
        </w:rPr>
      </w:pPr>
      <w:r w:rsidRPr="0010695D">
        <w:rPr>
          <w:rFonts w:eastAsia="Calibri"/>
        </w:rPr>
        <w:t xml:space="preserve">a proposed instalment arrangement, setting out the amount and frequency of payments (e.g. </w:t>
      </w:r>
      <w:r>
        <w:rPr>
          <w:rFonts w:eastAsia="Calibri"/>
        </w:rPr>
        <w:t>weekly, fortnightly or monthly)</w:t>
      </w:r>
    </w:p>
    <w:p w14:paraId="62E30010" w14:textId="77777777" w:rsidR="00BF2A85" w:rsidRPr="00BF2A85" w:rsidRDefault="00BF2A85" w:rsidP="00BF2A85">
      <w:pPr>
        <w:pStyle w:val="ListParagraph"/>
        <w:numPr>
          <w:ilvl w:val="0"/>
          <w:numId w:val="44"/>
        </w:numPr>
        <w:rPr>
          <w:rFonts w:eastAsia="Calibri"/>
          <w:b/>
          <w:bCs/>
        </w:rPr>
      </w:pPr>
      <w:r w:rsidRPr="0010695D">
        <w:rPr>
          <w:rFonts w:eastAsia="Calibri"/>
        </w:rPr>
        <w:t>details of savings and unused credit or loan facilities available to the taxpayer (and where relevant, partners, group members or the spouse of the taxpayer) to pa</w:t>
      </w:r>
      <w:r>
        <w:rPr>
          <w:rFonts w:eastAsia="Calibri"/>
        </w:rPr>
        <w:t>y the whole or part of the debt</w:t>
      </w:r>
    </w:p>
    <w:p w14:paraId="3986559B" w14:textId="77777777" w:rsidR="00BF2A85" w:rsidRPr="00BF2A85" w:rsidRDefault="00BF2A85" w:rsidP="00BF2A85">
      <w:pPr>
        <w:pStyle w:val="ListParagraph"/>
        <w:numPr>
          <w:ilvl w:val="0"/>
          <w:numId w:val="44"/>
        </w:numPr>
        <w:rPr>
          <w:rFonts w:eastAsia="Calibri"/>
          <w:b/>
          <w:bCs/>
        </w:rPr>
      </w:pPr>
      <w:r w:rsidRPr="0010695D">
        <w:rPr>
          <w:rFonts w:eastAsia="Calibri"/>
        </w:rPr>
        <w:t>details of the monthly income and expenditure of the</w:t>
      </w:r>
      <w:r>
        <w:rPr>
          <w:rFonts w:eastAsia="Calibri"/>
        </w:rPr>
        <w:t>,</w:t>
      </w:r>
      <w:r w:rsidRPr="0010695D">
        <w:rPr>
          <w:rFonts w:eastAsia="Calibri"/>
        </w:rPr>
        <w:t xml:space="preserve"> taxpayer and their partners, group members or spouse. Where these persons operate a business or businesses, the most recent financial statements of the businesses together with projected cash flows over the period of the instalmen</w:t>
      </w:r>
      <w:r>
        <w:rPr>
          <w:rFonts w:eastAsia="Calibri"/>
        </w:rPr>
        <w:t>t arrangement must be provided</w:t>
      </w:r>
    </w:p>
    <w:p w14:paraId="718EF572" w14:textId="77777777" w:rsidR="00BF2A85" w:rsidRPr="00BF2A85" w:rsidRDefault="00BF2A85" w:rsidP="00BF2A85">
      <w:pPr>
        <w:pStyle w:val="ListParagraph"/>
        <w:numPr>
          <w:ilvl w:val="0"/>
          <w:numId w:val="44"/>
        </w:numPr>
        <w:rPr>
          <w:rFonts w:eastAsia="Calibri"/>
          <w:b/>
          <w:bCs/>
        </w:rPr>
      </w:pPr>
      <w:r w:rsidRPr="0010695D">
        <w:rPr>
          <w:rFonts w:eastAsia="Calibri"/>
        </w:rPr>
        <w:t>for proposed instalment arrangements greater than 12 months, where the taxpayer obtained the benefit of a concession or exemption that they knew or should have known they were ineligible for or disregarded a condition or an obligation attached to a concession or exemption, evidence of the taxpayer applying and being rejected for finance for all or par</w:t>
      </w:r>
      <w:r>
        <w:rPr>
          <w:rFonts w:eastAsia="Calibri"/>
        </w:rPr>
        <w:t>t of the amount of the debt</w:t>
      </w:r>
    </w:p>
    <w:p w14:paraId="146B03F6" w14:textId="77777777" w:rsidR="00BF2A85" w:rsidRPr="00BF2A85" w:rsidRDefault="00BF2A85" w:rsidP="00BF2A85">
      <w:pPr>
        <w:pStyle w:val="ListParagraph"/>
        <w:numPr>
          <w:ilvl w:val="0"/>
          <w:numId w:val="44"/>
        </w:numPr>
        <w:rPr>
          <w:rFonts w:eastAsia="Calibri"/>
          <w:b/>
          <w:bCs/>
        </w:rPr>
      </w:pPr>
      <w:r w:rsidRPr="0010695D">
        <w:rPr>
          <w:rFonts w:eastAsia="Calibri"/>
        </w:rPr>
        <w:t>any other information the taxpayer believes may assist TRO when determining the application, e.g. copies of payslips, Australian Taxation Office tax returns and bank statements.</w:t>
      </w:r>
    </w:p>
    <w:p w14:paraId="6883BD6C" w14:textId="6D2BE53D" w:rsidR="00BF2A85" w:rsidRPr="002A7900" w:rsidRDefault="00BF2A85" w:rsidP="002A7900">
      <w:pPr>
        <w:pStyle w:val="ListParagraph"/>
        <w:numPr>
          <w:ilvl w:val="0"/>
          <w:numId w:val="43"/>
        </w:numPr>
        <w:rPr>
          <w:rFonts w:eastAsia="Calibri"/>
          <w:b/>
          <w:bCs/>
        </w:rPr>
      </w:pPr>
      <w:r w:rsidRPr="002A7900">
        <w:rPr>
          <w:rFonts w:eastAsia="Calibri"/>
        </w:rPr>
        <w:t>Where a taxpayer is unable to pay the whole of a tax liability, the taxpayer should consider applying to pay the outstanding amount by an instalment arrangement as soon as possible. Any delay in lodging an application after the due date for payment of a debt may influence TRO’s assessment of the taxpayer’s commitment to the arrangement.</w:t>
      </w:r>
    </w:p>
    <w:p w14:paraId="197CEDFB" w14:textId="4ECB1A47" w:rsidR="00BF2A85" w:rsidRPr="002A7900" w:rsidRDefault="00BF2A85" w:rsidP="002A7900">
      <w:pPr>
        <w:pStyle w:val="ListParagraph"/>
        <w:numPr>
          <w:ilvl w:val="0"/>
          <w:numId w:val="43"/>
        </w:numPr>
        <w:rPr>
          <w:rFonts w:eastAsia="Calibri"/>
          <w:b/>
          <w:bCs/>
        </w:rPr>
      </w:pPr>
      <w:r w:rsidRPr="0010695D">
        <w:rPr>
          <w:rFonts w:eastAsia="Calibri"/>
        </w:rPr>
        <w:t>The application will be refused where the taxpayer does not provide sufficient information to enable TRO to make an informed decision on whether to approve the application or fails to provide additional information within a reasonable period when requested to by TRO.</w:t>
      </w:r>
    </w:p>
    <w:p w14:paraId="68C27D37" w14:textId="77777777" w:rsidR="00BF2A85" w:rsidRDefault="00BF2A85" w:rsidP="002A7900">
      <w:pPr>
        <w:pStyle w:val="Heading1"/>
        <w:numPr>
          <w:ilvl w:val="0"/>
          <w:numId w:val="0"/>
        </w:numPr>
        <w:ind w:left="432" w:hanging="432"/>
      </w:pPr>
      <w:bookmarkStart w:id="12" w:name="_Toc172098225"/>
      <w:r>
        <w:t>Approval of an instalment plan</w:t>
      </w:r>
      <w:bookmarkEnd w:id="12"/>
    </w:p>
    <w:p w14:paraId="084A8851" w14:textId="5AFE208D" w:rsidR="00BF2A85" w:rsidRPr="002A7900" w:rsidRDefault="00BF2A85" w:rsidP="002A7900">
      <w:pPr>
        <w:pStyle w:val="ListParagraph"/>
        <w:numPr>
          <w:ilvl w:val="0"/>
          <w:numId w:val="43"/>
        </w:numPr>
        <w:rPr>
          <w:rFonts w:eastAsia="Calibri"/>
          <w:b/>
          <w:bCs/>
        </w:rPr>
      </w:pPr>
      <w:r w:rsidRPr="0010695D">
        <w:rPr>
          <w:rFonts w:eastAsia="Calibri"/>
        </w:rPr>
        <w:t>In considering whether to approve an instalment arrangement, TRO will take into account all relevant matters including the following:</w:t>
      </w:r>
    </w:p>
    <w:p w14:paraId="2E5C3D08" w14:textId="77777777" w:rsidR="00BF2A85" w:rsidRPr="002A7900" w:rsidRDefault="00BF2A85" w:rsidP="002A7900">
      <w:pPr>
        <w:pStyle w:val="ListParagraph"/>
        <w:numPr>
          <w:ilvl w:val="0"/>
          <w:numId w:val="45"/>
        </w:numPr>
        <w:rPr>
          <w:rFonts w:eastAsia="Calibri"/>
          <w:b/>
          <w:bCs/>
        </w:rPr>
      </w:pPr>
      <w:r>
        <w:rPr>
          <w:rFonts w:eastAsia="Calibri"/>
        </w:rPr>
        <w:t>t</w:t>
      </w:r>
      <w:r w:rsidRPr="0010695D">
        <w:rPr>
          <w:rFonts w:eastAsia="Calibri"/>
        </w:rPr>
        <w:t>he degree of the taxpayer’s culpability, especially where a taxpayer has intentionally disregarded a taxatio</w:t>
      </w:r>
      <w:r>
        <w:rPr>
          <w:rFonts w:eastAsia="Calibri"/>
        </w:rPr>
        <w:t>n law</w:t>
      </w:r>
    </w:p>
    <w:p w14:paraId="239E18D3" w14:textId="77777777" w:rsidR="00BF2A85" w:rsidRPr="002A7900" w:rsidRDefault="00BF2A85" w:rsidP="002A7900">
      <w:pPr>
        <w:pStyle w:val="ListParagraph"/>
        <w:numPr>
          <w:ilvl w:val="0"/>
          <w:numId w:val="45"/>
        </w:numPr>
        <w:rPr>
          <w:rFonts w:eastAsia="Calibri"/>
          <w:b/>
          <w:bCs/>
        </w:rPr>
      </w:pPr>
      <w:r>
        <w:rPr>
          <w:rFonts w:eastAsia="Calibri"/>
        </w:rPr>
        <w:t>a</w:t>
      </w:r>
      <w:r w:rsidRPr="00237F32">
        <w:rPr>
          <w:rFonts w:eastAsia="Calibri"/>
        </w:rPr>
        <w:t>ny past payment history of the taxpayer u</w:t>
      </w:r>
      <w:r>
        <w:rPr>
          <w:rFonts w:eastAsia="Calibri"/>
        </w:rPr>
        <w:t>nder an Act administered by TRO</w:t>
      </w:r>
    </w:p>
    <w:p w14:paraId="032B23FB" w14:textId="77777777" w:rsidR="00BF2A85" w:rsidRPr="002A7900" w:rsidRDefault="00BF2A85" w:rsidP="002A7900">
      <w:pPr>
        <w:pStyle w:val="ListParagraph"/>
        <w:numPr>
          <w:ilvl w:val="0"/>
          <w:numId w:val="45"/>
        </w:numPr>
        <w:rPr>
          <w:rFonts w:eastAsia="Calibri"/>
          <w:b/>
          <w:bCs/>
        </w:rPr>
      </w:pPr>
      <w:r>
        <w:rPr>
          <w:rFonts w:eastAsia="Calibri"/>
        </w:rPr>
        <w:t>w</w:t>
      </w:r>
      <w:r w:rsidRPr="00237F32">
        <w:rPr>
          <w:rFonts w:eastAsia="Calibri"/>
        </w:rPr>
        <w:t>hether or not the prospects of recovery of the full amount of the debt in the</w:t>
      </w:r>
      <w:r>
        <w:rPr>
          <w:rFonts w:eastAsia="Calibri"/>
        </w:rPr>
        <w:t xml:space="preserve"> longer term will be diminished</w:t>
      </w:r>
    </w:p>
    <w:p w14:paraId="2910190B" w14:textId="77777777" w:rsidR="00BF2A85" w:rsidRPr="002A7900" w:rsidRDefault="00BF2A85" w:rsidP="002A7900">
      <w:pPr>
        <w:pStyle w:val="ListParagraph"/>
        <w:numPr>
          <w:ilvl w:val="0"/>
          <w:numId w:val="45"/>
        </w:numPr>
        <w:rPr>
          <w:rFonts w:eastAsia="Calibri"/>
          <w:b/>
          <w:bCs/>
        </w:rPr>
      </w:pPr>
      <w:r>
        <w:rPr>
          <w:rFonts w:eastAsia="Calibri"/>
        </w:rPr>
        <w:t>w</w:t>
      </w:r>
      <w:r w:rsidRPr="00237F32">
        <w:rPr>
          <w:rFonts w:eastAsia="Calibri"/>
        </w:rPr>
        <w:t>hether or not the amount of the taxpayer's total tax debt is l</w:t>
      </w:r>
      <w:r>
        <w:rPr>
          <w:rFonts w:eastAsia="Calibri"/>
        </w:rPr>
        <w:t>ikely to increase in the future</w:t>
      </w:r>
    </w:p>
    <w:p w14:paraId="699D9210" w14:textId="77777777" w:rsidR="00BF2A85" w:rsidRPr="002A7900" w:rsidRDefault="00BF2A85" w:rsidP="002A7900">
      <w:pPr>
        <w:pStyle w:val="ListParagraph"/>
        <w:numPr>
          <w:ilvl w:val="0"/>
          <w:numId w:val="45"/>
        </w:numPr>
        <w:rPr>
          <w:rFonts w:eastAsia="Calibri"/>
          <w:b/>
          <w:bCs/>
        </w:rPr>
      </w:pPr>
      <w:r>
        <w:rPr>
          <w:rFonts w:eastAsia="Calibri"/>
        </w:rPr>
        <w:t>w</w:t>
      </w:r>
      <w:r w:rsidRPr="00237F32">
        <w:rPr>
          <w:rFonts w:eastAsia="Calibri"/>
        </w:rPr>
        <w:t>hether it be would reasonable in the circumstances for the taxpayer to access funds through a commercial lending provider.</w:t>
      </w:r>
    </w:p>
    <w:p w14:paraId="2E5580F5" w14:textId="77777777" w:rsidR="00AA6775" w:rsidRDefault="00AA6775">
      <w:pPr>
        <w:rPr>
          <w:rFonts w:asciiTheme="majorHAnsi" w:eastAsiaTheme="majorEastAsia" w:hAnsiTheme="majorHAnsi" w:cstheme="majorBidi"/>
          <w:bCs/>
          <w:color w:val="1F1F5F" w:themeColor="text1"/>
          <w:kern w:val="32"/>
          <w:sz w:val="36"/>
          <w:szCs w:val="32"/>
        </w:rPr>
      </w:pPr>
      <w:r>
        <w:br w:type="page"/>
      </w:r>
    </w:p>
    <w:p w14:paraId="5CF96333" w14:textId="07B7B989" w:rsidR="00BF2A85" w:rsidRDefault="00BF2A85" w:rsidP="002A7900">
      <w:pPr>
        <w:pStyle w:val="Heading1"/>
        <w:numPr>
          <w:ilvl w:val="0"/>
          <w:numId w:val="0"/>
        </w:numPr>
      </w:pPr>
      <w:bookmarkStart w:id="13" w:name="_Toc172098226"/>
      <w:r>
        <w:lastRenderedPageBreak/>
        <w:t>Order of repayments</w:t>
      </w:r>
      <w:bookmarkEnd w:id="13"/>
    </w:p>
    <w:p w14:paraId="665F913D" w14:textId="3D88F465" w:rsidR="00BF2A85" w:rsidRPr="002A7900" w:rsidRDefault="00BF2A85" w:rsidP="002A7900">
      <w:pPr>
        <w:pStyle w:val="ListParagraph"/>
        <w:numPr>
          <w:ilvl w:val="0"/>
          <w:numId w:val="43"/>
        </w:numPr>
        <w:rPr>
          <w:rFonts w:eastAsia="Calibri"/>
          <w:b/>
          <w:bCs/>
        </w:rPr>
      </w:pPr>
      <w:r w:rsidRPr="00237F32">
        <w:rPr>
          <w:rFonts w:eastAsia="Calibri"/>
        </w:rPr>
        <w:t>Instalments will generally be applied to reduce the debt in the following order.</w:t>
      </w:r>
    </w:p>
    <w:p w14:paraId="7B53B8B5" w14:textId="56D8ADB6" w:rsidR="00BF2A85" w:rsidRPr="002A7900" w:rsidRDefault="00BF2A85" w:rsidP="002A7900">
      <w:pPr>
        <w:pStyle w:val="ListParagraph"/>
        <w:numPr>
          <w:ilvl w:val="1"/>
          <w:numId w:val="43"/>
        </w:numPr>
        <w:rPr>
          <w:rFonts w:eastAsia="Calibri"/>
          <w:b/>
          <w:bCs/>
        </w:rPr>
      </w:pPr>
      <w:r>
        <w:rPr>
          <w:rFonts w:eastAsia="Calibri"/>
        </w:rPr>
        <w:t>interest</w:t>
      </w:r>
    </w:p>
    <w:p w14:paraId="55E1F901" w14:textId="0E9EE979" w:rsidR="00BF2A85" w:rsidRPr="002A7900" w:rsidRDefault="00BF2A85" w:rsidP="002A7900">
      <w:pPr>
        <w:pStyle w:val="ListParagraph"/>
        <w:numPr>
          <w:ilvl w:val="1"/>
          <w:numId w:val="43"/>
        </w:numPr>
        <w:rPr>
          <w:rFonts w:eastAsia="Calibri"/>
          <w:b/>
          <w:bCs/>
        </w:rPr>
      </w:pPr>
      <w:r>
        <w:rPr>
          <w:rFonts w:eastAsia="Calibri"/>
        </w:rPr>
        <w:t>penalty tax</w:t>
      </w:r>
    </w:p>
    <w:p w14:paraId="591A81F0" w14:textId="0DF980A9" w:rsidR="00BF2A85" w:rsidRPr="002A7900" w:rsidRDefault="00BF2A85" w:rsidP="002A7900">
      <w:pPr>
        <w:pStyle w:val="ListParagraph"/>
        <w:numPr>
          <w:ilvl w:val="1"/>
          <w:numId w:val="43"/>
        </w:numPr>
        <w:rPr>
          <w:rFonts w:eastAsia="Calibri"/>
          <w:b/>
          <w:bCs/>
        </w:rPr>
      </w:pPr>
      <w:r>
        <w:rPr>
          <w:rFonts w:eastAsia="Calibri"/>
        </w:rPr>
        <w:t>t</w:t>
      </w:r>
      <w:r w:rsidRPr="00237F32">
        <w:rPr>
          <w:rFonts w:eastAsia="Calibri"/>
        </w:rPr>
        <w:t>he amount</w:t>
      </w:r>
      <w:r>
        <w:rPr>
          <w:rFonts w:eastAsia="Calibri"/>
        </w:rPr>
        <w:t xml:space="preserve"> of the outstanding primary tax</w:t>
      </w:r>
    </w:p>
    <w:p w14:paraId="68F7C793" w14:textId="77777777" w:rsidR="00BF2A85" w:rsidRDefault="00BF2A85" w:rsidP="002A7900">
      <w:pPr>
        <w:pStyle w:val="Heading1"/>
        <w:numPr>
          <w:ilvl w:val="0"/>
          <w:numId w:val="0"/>
        </w:numPr>
        <w:ind w:left="432" w:hanging="432"/>
      </w:pPr>
      <w:bookmarkStart w:id="14" w:name="_Toc172098227"/>
      <w:r>
        <w:t>Review of instalment arrangements</w:t>
      </w:r>
      <w:bookmarkEnd w:id="14"/>
    </w:p>
    <w:p w14:paraId="04B0481E" w14:textId="10405A97" w:rsidR="00BF2A85" w:rsidRPr="002A7900" w:rsidRDefault="00BF2A85" w:rsidP="002A7900">
      <w:pPr>
        <w:pStyle w:val="ListParagraph"/>
        <w:numPr>
          <w:ilvl w:val="0"/>
          <w:numId w:val="43"/>
        </w:numPr>
        <w:rPr>
          <w:rFonts w:eastAsia="Calibri"/>
          <w:b/>
          <w:bCs/>
        </w:rPr>
      </w:pPr>
      <w:r w:rsidRPr="00237F32">
        <w:rPr>
          <w:rFonts w:eastAsia="Calibri"/>
        </w:rPr>
        <w:t>If the financial circumstances of a taxpayer deteriorate such that they cannot comply with an approved instalment arrangement, the taxpayer must notify TRO immediately. Failure to contact TRO suggests that the taxpayer is no longer willing or able to pay its remaining tax liabilities.</w:t>
      </w:r>
    </w:p>
    <w:p w14:paraId="79CB6815" w14:textId="4AB5FE12" w:rsidR="00BF2A85" w:rsidRPr="002A7900" w:rsidRDefault="00BF2A85" w:rsidP="002A7900">
      <w:pPr>
        <w:pStyle w:val="ListParagraph"/>
        <w:numPr>
          <w:ilvl w:val="0"/>
          <w:numId w:val="43"/>
        </w:numPr>
        <w:rPr>
          <w:rFonts w:eastAsia="Calibri"/>
          <w:b/>
          <w:bCs/>
        </w:rPr>
      </w:pPr>
      <w:r w:rsidRPr="00237F32">
        <w:rPr>
          <w:rFonts w:eastAsia="Calibri"/>
        </w:rPr>
        <w:t>The taxpayer must provide sufficient information about their current financial circumstances to allow TRO to determine whether it is appropriate to renegotiate a more suitable instalment arrangement or pursue other methods to recover the debt.</w:t>
      </w:r>
    </w:p>
    <w:p w14:paraId="0B64EEE2" w14:textId="77777777" w:rsidR="00BF2A85" w:rsidRDefault="00BF2A85" w:rsidP="002A7900">
      <w:pPr>
        <w:pStyle w:val="Heading1"/>
        <w:numPr>
          <w:ilvl w:val="0"/>
          <w:numId w:val="0"/>
        </w:numPr>
        <w:ind w:left="432" w:hanging="432"/>
      </w:pPr>
      <w:bookmarkStart w:id="15" w:name="_Toc172098228"/>
      <w:r>
        <w:t>Breach of instalment arrangements</w:t>
      </w:r>
      <w:bookmarkEnd w:id="15"/>
    </w:p>
    <w:p w14:paraId="3A2D1451" w14:textId="77777777" w:rsidR="00BF2A85" w:rsidRDefault="00BF2A85" w:rsidP="00BF2A85">
      <w:pPr>
        <w:pStyle w:val="ListParagraph"/>
        <w:numPr>
          <w:ilvl w:val="0"/>
          <w:numId w:val="43"/>
        </w:numPr>
      </w:pPr>
      <w:r>
        <w:t>If a taxpayer defaults on an instalment or does not otherwise comply with a condition of an instalment arrangement, TRO will notify the taxpayer in writing that if the breach is not remedied within a period specified in the notice, the instalment arrangement will be terminated and immediate legal action will be taken to recover the debt.</w:t>
      </w:r>
    </w:p>
    <w:p w14:paraId="6E713473" w14:textId="77777777" w:rsidR="00BF2A85" w:rsidRPr="00237F32" w:rsidRDefault="00BF2A85" w:rsidP="00BF2A85">
      <w:pPr>
        <w:pStyle w:val="ListParagraph"/>
        <w:numPr>
          <w:ilvl w:val="0"/>
          <w:numId w:val="43"/>
        </w:numPr>
      </w:pPr>
      <w:r>
        <w:t>Continued breaches, regardless of whether they are of the same or a similar nature, will result in TRO revoking the instalment arrangement and pursuing other methods of recovering the debt. In addition to legal action this includes, but is not limited to, using the garnishee provisions in the TAA to recover tax through money that is due or accruing to a taxpayer from a third party, bank accounts and/or rental income,</w:t>
      </w:r>
    </w:p>
    <w:p w14:paraId="07F6157E" w14:textId="77777777" w:rsidR="00BF2A85" w:rsidRDefault="00BF2A85" w:rsidP="002A7900">
      <w:pPr>
        <w:pStyle w:val="Heading1"/>
        <w:numPr>
          <w:ilvl w:val="0"/>
          <w:numId w:val="0"/>
        </w:numPr>
        <w:ind w:left="432" w:hanging="432"/>
      </w:pPr>
      <w:bookmarkStart w:id="16" w:name="_Toc172098229"/>
      <w:r>
        <w:t>First Home Owner Grant</w:t>
      </w:r>
      <w:bookmarkEnd w:id="16"/>
    </w:p>
    <w:p w14:paraId="06A3440A" w14:textId="77777777" w:rsidR="00BF2A85" w:rsidRDefault="00BF2A85" w:rsidP="00BF2A85">
      <w:pPr>
        <w:pStyle w:val="ListParagraph"/>
        <w:numPr>
          <w:ilvl w:val="0"/>
          <w:numId w:val="43"/>
        </w:numPr>
      </w:pPr>
      <w:r w:rsidRPr="00237F32">
        <w:t xml:space="preserve">Where a person has an obligation to repay the first home owner grant but is unable to do, reference should be made to Commissioner’s Guideline CG-HI-007: </w:t>
      </w:r>
      <w:r w:rsidRPr="00E71BA7">
        <w:rPr>
          <w:i/>
        </w:rPr>
        <w:t>First home owner grant</w:t>
      </w:r>
      <w:r w:rsidRPr="00237F32">
        <w:t xml:space="preserve"> </w:t>
      </w:r>
      <w:r w:rsidRPr="00334EF5">
        <w:rPr>
          <w:i/>
        </w:rPr>
        <w:t>instalment arrangement policy</w:t>
      </w:r>
      <w:r w:rsidRPr="00237F32">
        <w:t>.</w:t>
      </w:r>
    </w:p>
    <w:p w14:paraId="4075EF20" w14:textId="77777777" w:rsidR="00BF2A85" w:rsidRDefault="00BF2A85" w:rsidP="002A7900">
      <w:pPr>
        <w:pStyle w:val="Heading1"/>
        <w:numPr>
          <w:ilvl w:val="0"/>
          <w:numId w:val="0"/>
        </w:numPr>
        <w:ind w:left="432" w:hanging="432"/>
      </w:pPr>
      <w:bookmarkStart w:id="17" w:name="_Toc172098230"/>
      <w:r>
        <w:t>Commissioner’s Guidelines</w:t>
      </w:r>
      <w:bookmarkEnd w:id="17"/>
    </w:p>
    <w:p w14:paraId="07638102" w14:textId="77777777" w:rsidR="00BF2A85" w:rsidRPr="00237F32" w:rsidRDefault="00BF2A85" w:rsidP="00BF2A85">
      <w:pPr>
        <w:pStyle w:val="ListParagraph"/>
        <w:numPr>
          <w:ilvl w:val="0"/>
          <w:numId w:val="43"/>
        </w:numPr>
      </w:pPr>
      <w:r w:rsidRPr="00237F32">
        <w:t>Commissioner’s Guideline CG-GEN-001 which sets out information on the revenue publication system, is incorporated into and is to be read as one with this Guideline. All Circulars and Guidelines are available from the TRO website.</w:t>
      </w:r>
    </w:p>
    <w:p w14:paraId="69D334A8" w14:textId="77777777" w:rsidR="002A7900" w:rsidRDefault="002A7900">
      <w:pPr>
        <w:rPr>
          <w:rFonts w:asciiTheme="majorHAnsi" w:eastAsiaTheme="majorEastAsia" w:hAnsiTheme="majorHAnsi" w:cstheme="majorBidi"/>
          <w:bCs/>
          <w:color w:val="1F1F5F" w:themeColor="text1"/>
          <w:kern w:val="32"/>
          <w:sz w:val="36"/>
          <w:szCs w:val="32"/>
        </w:rPr>
      </w:pPr>
      <w:r>
        <w:br w:type="page"/>
      </w:r>
    </w:p>
    <w:p w14:paraId="0F58F02A" w14:textId="70F1082A" w:rsidR="00BF2A85" w:rsidRDefault="00BF2A85" w:rsidP="002A7900">
      <w:pPr>
        <w:pStyle w:val="Heading1"/>
        <w:numPr>
          <w:ilvl w:val="0"/>
          <w:numId w:val="0"/>
        </w:numPr>
        <w:ind w:left="432" w:hanging="432"/>
      </w:pPr>
      <w:bookmarkStart w:id="18" w:name="_Toc172098231"/>
      <w:r>
        <w:lastRenderedPageBreak/>
        <w:t>Date of effect</w:t>
      </w:r>
      <w:bookmarkEnd w:id="18"/>
    </w:p>
    <w:p w14:paraId="620224D7" w14:textId="7AF15463" w:rsidR="00BF2A85" w:rsidRDefault="00665B99" w:rsidP="00BF2A85">
      <w:r>
        <w:rPr>
          <w:noProof/>
          <w:lang w:eastAsia="en-AU"/>
        </w:rPr>
        <w:drawing>
          <wp:anchor distT="0" distB="0" distL="114300" distR="114300" simplePos="0" relativeHeight="251658240" behindDoc="0" locked="0" layoutInCell="1" allowOverlap="1" wp14:anchorId="726F3D8B" wp14:editId="4E70355C">
            <wp:simplePos x="0" y="0"/>
            <wp:positionH relativeFrom="column">
              <wp:posOffset>-35256</wp:posOffset>
            </wp:positionH>
            <wp:positionV relativeFrom="paragraph">
              <wp:posOffset>235585</wp:posOffset>
            </wp:positionV>
            <wp:extent cx="1565910" cy="1200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rah Rummery Signature2.tif"/>
                    <pic:cNvPicPr/>
                  </pic:nvPicPr>
                  <pic:blipFill>
                    <a:blip r:embed="rId18">
                      <a:extLst>
                        <a:ext uri="{28A0092B-C50C-407E-A947-70E740481C1C}">
                          <a14:useLocalDpi xmlns:a14="http://schemas.microsoft.com/office/drawing/2010/main" val="0"/>
                        </a:ext>
                      </a:extLst>
                    </a:blip>
                    <a:stretch>
                      <a:fillRect/>
                    </a:stretch>
                  </pic:blipFill>
                  <pic:spPr>
                    <a:xfrm>
                      <a:off x="0" y="0"/>
                      <a:ext cx="1565910" cy="1200785"/>
                    </a:xfrm>
                    <a:prstGeom prst="rect">
                      <a:avLst/>
                    </a:prstGeom>
                  </pic:spPr>
                </pic:pic>
              </a:graphicData>
            </a:graphic>
          </wp:anchor>
        </w:drawing>
      </w:r>
      <w:r w:rsidR="00BF2A85">
        <w:t xml:space="preserve">This version of the Guideline takes effect </w:t>
      </w:r>
      <w:r w:rsidR="00BF2A85" w:rsidRPr="005563F7">
        <w:t xml:space="preserve">from </w:t>
      </w:r>
      <w:r w:rsidR="002A7900" w:rsidRPr="005563F7">
        <w:t>1 July 2024</w:t>
      </w:r>
      <w:r w:rsidR="00BF2A85" w:rsidRPr="005563F7">
        <w:t>.</w:t>
      </w:r>
      <w:r w:rsidR="00BF2A85" w:rsidRPr="00940969">
        <w:rPr>
          <w:rFonts w:ascii="Calibri" w:hAnsi="Calibri" w:cs="Calibri"/>
          <w:noProof/>
        </w:rPr>
        <w:t xml:space="preserve"> </w:t>
      </w:r>
    </w:p>
    <w:p w14:paraId="074C450B" w14:textId="328D89EF" w:rsidR="00BF2A85" w:rsidRDefault="00BF2A85" w:rsidP="00BF2A85">
      <w:pPr>
        <w:rPr>
          <w:noProof/>
          <w:lang w:eastAsia="en-AU"/>
        </w:rPr>
      </w:pPr>
      <w:bookmarkStart w:id="19" w:name="_GoBack"/>
    </w:p>
    <w:bookmarkEnd w:id="19"/>
    <w:p w14:paraId="0A8BEC48" w14:textId="77777777" w:rsidR="005563F7" w:rsidRDefault="005563F7" w:rsidP="00BF2A85">
      <w:pPr>
        <w:rPr>
          <w:noProof/>
          <w:lang w:eastAsia="en-AU"/>
        </w:rPr>
      </w:pPr>
    </w:p>
    <w:p w14:paraId="7CCEDA09" w14:textId="77777777" w:rsidR="002A7900" w:rsidRDefault="002A7900" w:rsidP="00BF2A85"/>
    <w:p w14:paraId="140170EB" w14:textId="49A4E48A" w:rsidR="00BF2A85" w:rsidRDefault="002A7900" w:rsidP="00BF2A85">
      <w:r>
        <w:t>Sarah Rummery</w:t>
      </w:r>
    </w:p>
    <w:p w14:paraId="1655AA82" w14:textId="77777777" w:rsidR="00BF2A85" w:rsidRPr="00624DEA" w:rsidRDefault="00BF2A85" w:rsidP="00BF2A85">
      <w:pPr>
        <w:rPr>
          <w:rStyle w:val="StyleBold"/>
        </w:rPr>
      </w:pPr>
      <w:r w:rsidRPr="00624DEA">
        <w:rPr>
          <w:rStyle w:val="StyleBold"/>
        </w:rPr>
        <w:t>COMMISSIONER OF TERRITORY REVENUE</w:t>
      </w:r>
    </w:p>
    <w:p w14:paraId="6F7B0D79" w14:textId="35F69DC7" w:rsidR="00BF2A85" w:rsidRDefault="00BF2A85" w:rsidP="00BF2A85">
      <w:r>
        <w:t xml:space="preserve">Date of Issue </w:t>
      </w:r>
      <w:r w:rsidR="005563F7">
        <w:t>1 July 2024</w:t>
      </w:r>
    </w:p>
    <w:p w14:paraId="5EC0C966" w14:textId="77777777" w:rsidR="00BF2A85" w:rsidRDefault="00BF2A85" w:rsidP="00BF2A85">
      <w:r>
        <w:t>For further information please contact the Territory Revenue Office:</w:t>
      </w:r>
    </w:p>
    <w:p w14:paraId="24FB445E" w14:textId="77777777" w:rsidR="00BF2A85" w:rsidRDefault="00BF2A85" w:rsidP="00BF2A85">
      <w:r>
        <w:t>GPO Box 1974</w:t>
      </w:r>
    </w:p>
    <w:p w14:paraId="567A9CB8" w14:textId="77777777" w:rsidR="00BF2A85" w:rsidRDefault="00BF2A85" w:rsidP="00BF2A85">
      <w:r>
        <w:t>Darwin  NT  0801</w:t>
      </w:r>
    </w:p>
    <w:p w14:paraId="38DB1F21" w14:textId="77777777" w:rsidR="00BF2A85" w:rsidRDefault="00BF2A85" w:rsidP="00BF2A85">
      <w:r>
        <w:t xml:space="preserve">Email: </w:t>
      </w:r>
      <w:hyperlink r:id="rId19" w:history="1">
        <w:r w:rsidRPr="00233B15">
          <w:rPr>
            <w:rStyle w:val="Hyperlink"/>
          </w:rPr>
          <w:t>ntrevenue@nt.gov.au</w:t>
        </w:r>
      </w:hyperlink>
      <w:r>
        <w:t xml:space="preserve"> </w:t>
      </w:r>
    </w:p>
    <w:p w14:paraId="4945F820" w14:textId="77777777" w:rsidR="00BF2A85" w:rsidRDefault="00BF2A85" w:rsidP="00BF2A85">
      <w:r>
        <w:t>Phone: 1300 305 353</w:t>
      </w:r>
    </w:p>
    <w:p w14:paraId="76C758FE" w14:textId="55E05C7F" w:rsidR="000B280D" w:rsidRPr="00C5584B" w:rsidRDefault="00BF2A85" w:rsidP="002A7900">
      <w:r>
        <w:t xml:space="preserve">Website: </w:t>
      </w:r>
      <w:hyperlink r:id="rId20" w:history="1">
        <w:r w:rsidRPr="00233B15">
          <w:rPr>
            <w:rStyle w:val="Hyperlink"/>
          </w:rPr>
          <w:t>www.revenue.nt.gov.au</w:t>
        </w:r>
      </w:hyperlink>
      <w:r>
        <w:t xml:space="preserve"> </w:t>
      </w:r>
    </w:p>
    <w:sectPr w:rsidR="000B280D" w:rsidRPr="00C5584B" w:rsidSect="00AA6775">
      <w:headerReference w:type="default" r:id="rId21"/>
      <w:footerReference w:type="default" r:id="rId22"/>
      <w:headerReference w:type="first" r:id="rId23"/>
      <w:footerReference w:type="first" r:id="rId24"/>
      <w:pgSz w:w="11906" w:h="16838" w:code="9"/>
      <w:pgMar w:top="1134" w:right="1134" w:bottom="1134" w:left="113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5FEA" w14:textId="77777777" w:rsidR="00AE1285" w:rsidRDefault="00AE1285">
      <w:r>
        <w:separator/>
      </w:r>
    </w:p>
  </w:endnote>
  <w:endnote w:type="continuationSeparator" w:id="0">
    <w:p w14:paraId="2F093A00" w14:textId="77777777" w:rsidR="00AE1285" w:rsidRDefault="00AE1285">
      <w:r>
        <w:continuationSeparator/>
      </w:r>
    </w:p>
  </w:endnote>
  <w:endnote w:type="continuationNotice" w:id="1">
    <w:p w14:paraId="564D4042" w14:textId="77777777" w:rsidR="00AE1285" w:rsidRDefault="00AE12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altName w:val="Calibri"/>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716FE55B"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AB6B" w14:textId="77777777" w:rsidR="00964B22" w:rsidRPr="00F538BD" w:rsidRDefault="004E7885" w:rsidP="004E7885">
    <w:pPr>
      <w:spacing w:after="0"/>
      <w:jc w:val="right"/>
      <w:rPr>
        <w:sz w:val="6"/>
        <w:szCs w:val="6"/>
      </w:rPr>
    </w:pPr>
    <w:r w:rsidRPr="001852AF">
      <w:rPr>
        <w:noProof/>
        <w:lang w:eastAsia="en-AU"/>
      </w:rPr>
      <w:drawing>
        <wp:inline distT="0" distB="0" distL="0" distR="0" wp14:anchorId="2504B0CE" wp14:editId="3FFFA1EF">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B279"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D0F4"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4FFDC" w14:textId="77777777" w:rsidR="00AA6775" w:rsidRPr="00A50829" w:rsidRDefault="00AA6775" w:rsidP="00AA677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A6775" w:rsidRPr="00132658" w14:paraId="785E3131" w14:textId="77777777" w:rsidTr="00853E6F">
      <w:trPr>
        <w:cantSplit/>
        <w:trHeight w:hRule="exact" w:val="850"/>
        <w:tblHeader/>
      </w:trPr>
      <w:tc>
        <w:tcPr>
          <w:tcW w:w="10318" w:type="dxa"/>
          <w:vAlign w:val="bottom"/>
        </w:tcPr>
        <w:p w14:paraId="5F785956" w14:textId="77C7BE72" w:rsidR="00AA6775" w:rsidRDefault="00AA6775" w:rsidP="00AA6775">
          <w:pPr>
            <w:spacing w:after="0"/>
            <w:rPr>
              <w:rStyle w:val="PageNumber"/>
              <w:b/>
            </w:rPr>
          </w:pPr>
          <w:r>
            <w:rPr>
              <w:rStyle w:val="PageNumber"/>
            </w:rPr>
            <w:t xml:space="preserve">Department of </w:t>
          </w:r>
          <w:sdt>
            <w:sdtPr>
              <w:rPr>
                <w:rStyle w:val="PageNumber"/>
                <w:b/>
              </w:rPr>
              <w:alias w:val="Company"/>
              <w:tag w:val=""/>
              <w:id w:val="-1019385933"/>
              <w:placeholder>
                <w:docPart w:val="910D137839DC4135AA8495EFAAFC764C"/>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27081DD9" w14:textId="17F92F49" w:rsidR="00AA6775" w:rsidRPr="00CE6614" w:rsidRDefault="00AE1285" w:rsidP="00AA6775">
          <w:pPr>
            <w:spacing w:after="0"/>
            <w:rPr>
              <w:rStyle w:val="PageNumber"/>
            </w:rPr>
          </w:pPr>
          <w:sdt>
            <w:sdtPr>
              <w:rPr>
                <w:rStyle w:val="PageNumber"/>
              </w:rPr>
              <w:alias w:val="Date"/>
              <w:tag w:val=""/>
              <w:id w:val="-1927181199"/>
              <w:placeholder>
                <w:docPart w:val="68B9E2F708184D60BDBEEA8E6768A70C"/>
              </w:placeholder>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AA6775">
                <w:rPr>
                  <w:rStyle w:val="PageNumber"/>
                </w:rPr>
                <w:t>1 July 2024</w:t>
              </w:r>
            </w:sdtContent>
          </w:sdt>
          <w:r w:rsidR="00AA6775" w:rsidRPr="00CE6614">
            <w:rPr>
              <w:rStyle w:val="PageNumber"/>
            </w:rPr>
            <w:t xml:space="preserve"> | Version </w:t>
          </w:r>
          <w:r w:rsidR="00AA6775">
            <w:rPr>
              <w:rStyle w:val="PageNumber"/>
            </w:rPr>
            <w:t>5</w:t>
          </w:r>
        </w:p>
        <w:p w14:paraId="7D6DCCFE" w14:textId="5BF91A2C" w:rsidR="00AA6775" w:rsidRPr="00AC4488" w:rsidRDefault="00AA6775" w:rsidP="00AA677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65B99">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65B99">
            <w:rPr>
              <w:rStyle w:val="PageNumber"/>
              <w:noProof/>
            </w:rPr>
            <w:t>9</w:t>
          </w:r>
          <w:r w:rsidRPr="00AC4488">
            <w:rPr>
              <w:rStyle w:val="PageNumber"/>
            </w:rPr>
            <w:fldChar w:fldCharType="end"/>
          </w:r>
        </w:p>
      </w:tc>
    </w:tr>
  </w:tbl>
  <w:p w14:paraId="50922DFE" w14:textId="77777777" w:rsidR="00AA6775" w:rsidRDefault="00AA6775" w:rsidP="00AA6775">
    <w:pPr>
      <w:pStyle w:val="Hidden"/>
      <w:ind w:firstLine="0"/>
    </w:pPr>
  </w:p>
  <w:p w14:paraId="2CA67959" w14:textId="77777777" w:rsidR="00AA6775" w:rsidRDefault="00AA6775" w:rsidP="004E7885">
    <w:pPr>
      <w:pStyle w:val="Hidden"/>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A79BD" w:rsidRPr="00132658" w14:paraId="3C1EA3E0" w14:textId="77777777" w:rsidTr="00662052">
      <w:trPr>
        <w:cantSplit/>
        <w:trHeight w:hRule="exact" w:val="850"/>
        <w:tblHeader/>
      </w:trPr>
      <w:tc>
        <w:tcPr>
          <w:tcW w:w="10318" w:type="dxa"/>
          <w:vAlign w:val="bottom"/>
        </w:tcPr>
        <w:p w14:paraId="104CADEF" w14:textId="13A1A461" w:rsidR="000A79BD" w:rsidRDefault="000A79BD" w:rsidP="000A79BD">
          <w:pPr>
            <w:spacing w:after="0"/>
            <w:rPr>
              <w:rStyle w:val="PageNumber"/>
              <w:b/>
            </w:rPr>
          </w:pPr>
          <w:r>
            <w:rPr>
              <w:rStyle w:val="PageNumber"/>
            </w:rPr>
            <w:t xml:space="preserve">Department of </w:t>
          </w:r>
          <w:sdt>
            <w:sdtPr>
              <w:rPr>
                <w:rStyle w:val="PageNumber"/>
                <w:b/>
              </w:rPr>
              <w:alias w:val="Company"/>
              <w:tag w:val=""/>
              <w:id w:val="-1550452142"/>
              <w:placeholder>
                <w:docPart w:val="20C19DEFF750433196F5C68234961341"/>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8B95355" w14:textId="267509F1" w:rsidR="000A79BD" w:rsidRPr="00CE6614" w:rsidRDefault="00AE1285" w:rsidP="000A79BD">
          <w:pPr>
            <w:spacing w:after="0"/>
            <w:rPr>
              <w:rStyle w:val="PageNumber"/>
            </w:rPr>
          </w:pPr>
          <w:sdt>
            <w:sdtPr>
              <w:rPr>
                <w:rStyle w:val="PageNumber"/>
              </w:rPr>
              <w:alias w:val="Date"/>
              <w:tag w:val=""/>
              <w:id w:val="1578473972"/>
              <w:placeholder>
                <w:docPart w:val="17997552967D4A7EA146A11BFC26DA21"/>
              </w:placeholder>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AA6775">
                <w:rPr>
                  <w:rStyle w:val="PageNumber"/>
                </w:rPr>
                <w:t>1 July 2024</w:t>
              </w:r>
            </w:sdtContent>
          </w:sdt>
          <w:r w:rsidR="000A79BD" w:rsidRPr="00CE6614">
            <w:rPr>
              <w:rStyle w:val="PageNumber"/>
            </w:rPr>
            <w:t xml:space="preserve"> | Version </w:t>
          </w:r>
          <w:r w:rsidR="000A79BD">
            <w:rPr>
              <w:rStyle w:val="PageNumber"/>
            </w:rPr>
            <w:t>5</w:t>
          </w:r>
        </w:p>
        <w:p w14:paraId="28BED5D9" w14:textId="77777777" w:rsidR="000A79BD" w:rsidRPr="00AC4488" w:rsidRDefault="000A79BD" w:rsidP="000A79B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4</w:t>
          </w:r>
          <w:r w:rsidRPr="00AC4488">
            <w:rPr>
              <w:rStyle w:val="PageNumber"/>
            </w:rPr>
            <w:fldChar w:fldCharType="end"/>
          </w:r>
        </w:p>
      </w:tc>
    </w:tr>
  </w:tbl>
  <w:p w14:paraId="250FD84F" w14:textId="5D3ABB45" w:rsidR="00C2210F" w:rsidRDefault="00C2210F" w:rsidP="000A79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B607C" w14:textId="77777777" w:rsidR="00AE1285" w:rsidRDefault="00AE1285">
      <w:r>
        <w:separator/>
      </w:r>
    </w:p>
  </w:footnote>
  <w:footnote w:type="continuationSeparator" w:id="0">
    <w:p w14:paraId="4F6F1C8F" w14:textId="77777777" w:rsidR="00AE1285" w:rsidRDefault="00AE1285">
      <w:r>
        <w:continuationSeparator/>
      </w:r>
    </w:p>
  </w:footnote>
  <w:footnote w:type="continuationNotice" w:id="1">
    <w:p w14:paraId="5AB25448" w14:textId="77777777" w:rsidR="00AE1285" w:rsidRDefault="00AE1285">
      <w:pPr>
        <w:spacing w:after="0"/>
      </w:pPr>
    </w:p>
  </w:footnote>
  <w:footnote w:id="2">
    <w:p w14:paraId="364B4C39" w14:textId="77777777" w:rsidR="00BF2A85" w:rsidRDefault="00BF2A85" w:rsidP="000A79BD">
      <w:pPr>
        <w:pStyle w:val="FootnoteText"/>
      </w:pPr>
      <w:r>
        <w:rPr>
          <w:rStyle w:val="FootnoteReference"/>
        </w:rPr>
        <w:footnoteRef/>
      </w:r>
      <w:r>
        <w:t xml:space="preserve"> </w:t>
      </w:r>
      <w:r w:rsidRPr="00BF3154">
        <w:rPr>
          <w:szCs w:val="18"/>
        </w:rPr>
        <w:t>Section 56 of the TAA.</w:t>
      </w:r>
    </w:p>
  </w:footnote>
  <w:footnote w:id="3">
    <w:p w14:paraId="01B804F9" w14:textId="77777777" w:rsidR="00BF2A85" w:rsidRDefault="00BF2A85" w:rsidP="00BF2A85">
      <w:pPr>
        <w:pStyle w:val="FootnoteText"/>
      </w:pPr>
      <w:r>
        <w:rPr>
          <w:rStyle w:val="FootnoteReference"/>
        </w:rPr>
        <w:footnoteRef/>
      </w:r>
      <w:r>
        <w:t xml:space="preserve"> Section 11 of the MRA24.</w:t>
      </w:r>
    </w:p>
  </w:footnote>
  <w:footnote w:id="4">
    <w:p w14:paraId="0BA364E8" w14:textId="77777777" w:rsidR="00BF2A85" w:rsidRDefault="00BF2A85" w:rsidP="00BF2A85">
      <w:pPr>
        <w:pStyle w:val="FootnoteText"/>
      </w:pPr>
      <w:r>
        <w:rPr>
          <w:rStyle w:val="FootnoteReference"/>
        </w:rPr>
        <w:footnoteRef/>
      </w:r>
      <w:r>
        <w:t xml:space="preserve"> Section 22 of the PRA.</w:t>
      </w:r>
    </w:p>
  </w:footnote>
  <w:footnote w:id="5">
    <w:p w14:paraId="1662BE5A" w14:textId="77777777" w:rsidR="00BF2A85" w:rsidRDefault="00BF2A85" w:rsidP="00BF2A85">
      <w:pPr>
        <w:pStyle w:val="FootnoteText"/>
      </w:pPr>
      <w:r>
        <w:rPr>
          <w:rStyle w:val="FootnoteReference"/>
        </w:rPr>
        <w:footnoteRef/>
      </w:r>
      <w:r>
        <w:t xml:space="preserve"> </w:t>
      </w:r>
      <w:r w:rsidRPr="00BF3154">
        <w:rPr>
          <w:rFonts w:cs="Arial"/>
          <w:szCs w:val="18"/>
        </w:rPr>
        <w:t>Section 59(1) of the TAA.</w:t>
      </w:r>
    </w:p>
  </w:footnote>
  <w:footnote w:id="6">
    <w:p w14:paraId="652D314A" w14:textId="77777777" w:rsidR="00BF2A85" w:rsidRDefault="00BF2A85" w:rsidP="00BF2A85">
      <w:pPr>
        <w:pStyle w:val="FootnoteText"/>
      </w:pPr>
      <w:r>
        <w:rPr>
          <w:rStyle w:val="FootnoteReference"/>
        </w:rPr>
        <w:footnoteRef/>
      </w:r>
      <w:r>
        <w:t xml:space="preserve"> </w:t>
      </w:r>
      <w:r w:rsidRPr="00BF3154">
        <w:rPr>
          <w:szCs w:val="18"/>
        </w:rPr>
        <w:t>Section 59(2) of the TAA.</w:t>
      </w:r>
    </w:p>
  </w:footnote>
  <w:footnote w:id="7">
    <w:p w14:paraId="11C8D417" w14:textId="77777777" w:rsidR="00BF2A85" w:rsidRDefault="00BF2A85" w:rsidP="00BF2A85">
      <w:pPr>
        <w:pStyle w:val="FootnoteText"/>
      </w:pPr>
      <w:r>
        <w:rPr>
          <w:rStyle w:val="FootnoteReference"/>
        </w:rPr>
        <w:footnoteRef/>
      </w:r>
      <w:r>
        <w:t xml:space="preserve"> </w:t>
      </w:r>
      <w:r w:rsidRPr="00BF3154">
        <w:rPr>
          <w:szCs w:val="18"/>
        </w:rPr>
        <w:t xml:space="preserve">Part 3, Division 8A of the </w:t>
      </w:r>
      <w:r w:rsidRPr="00BF3154">
        <w:rPr>
          <w:i/>
          <w:szCs w:val="18"/>
        </w:rPr>
        <w:t>Stamp Duty Act</w:t>
      </w:r>
      <w:r w:rsidRPr="00BF3154">
        <w:rPr>
          <w:szCs w:val="18"/>
        </w:rPr>
        <w:t>.</w:t>
      </w:r>
    </w:p>
  </w:footnote>
  <w:footnote w:id="8">
    <w:p w14:paraId="607D3D3C" w14:textId="77777777" w:rsidR="00BF2A85" w:rsidRDefault="00BF2A85" w:rsidP="00BF2A85">
      <w:pPr>
        <w:pStyle w:val="FootnoteText"/>
      </w:pPr>
      <w:r>
        <w:rPr>
          <w:rStyle w:val="FootnoteReference"/>
        </w:rPr>
        <w:footnoteRef/>
      </w:r>
      <w:r>
        <w:t xml:space="preserve"> </w:t>
      </w:r>
      <w:r w:rsidRPr="00BF3154">
        <w:rPr>
          <w:szCs w:val="18"/>
        </w:rPr>
        <w:t>Section 63 of the TAA.</w:t>
      </w:r>
    </w:p>
  </w:footnote>
  <w:footnote w:id="9">
    <w:p w14:paraId="3FA3208E" w14:textId="77777777" w:rsidR="00BF2A85" w:rsidRDefault="00BF2A85" w:rsidP="00BF2A85">
      <w:pPr>
        <w:pStyle w:val="FootnoteText"/>
      </w:pPr>
      <w:r>
        <w:rPr>
          <w:rStyle w:val="FootnoteReference"/>
        </w:rPr>
        <w:footnoteRef/>
      </w:r>
      <w:r>
        <w:t xml:space="preserve"> </w:t>
      </w:r>
      <w:r w:rsidRPr="00E53F20">
        <w:rPr>
          <w:rFonts w:cs="Arial"/>
          <w:szCs w:val="18"/>
        </w:rPr>
        <w:t xml:space="preserve">Section 56(4) of </w:t>
      </w:r>
      <w:r>
        <w:rPr>
          <w:rFonts w:cs="Arial"/>
          <w:szCs w:val="18"/>
        </w:rPr>
        <w:t>the TAA</w:t>
      </w:r>
      <w:r w:rsidRPr="00E53F20">
        <w:rPr>
          <w:rFonts w:cs="Arial"/>
          <w:szCs w:val="18"/>
        </w:rPr>
        <w:t>.</w:t>
      </w:r>
    </w:p>
  </w:footnote>
  <w:footnote w:id="10">
    <w:p w14:paraId="7024C7CB" w14:textId="77777777" w:rsidR="00BF2A85" w:rsidRDefault="00BF2A85" w:rsidP="00BF2A85">
      <w:pPr>
        <w:pStyle w:val="FootnoteText"/>
      </w:pPr>
      <w:r>
        <w:rPr>
          <w:rStyle w:val="FootnoteReference"/>
        </w:rPr>
        <w:footnoteRef/>
      </w:r>
      <w:r>
        <w:t xml:space="preserve"> </w:t>
      </w:r>
      <w:r w:rsidRPr="00E53F20">
        <w:rPr>
          <w:rFonts w:cs="Arial"/>
          <w:szCs w:val="18"/>
        </w:rPr>
        <w:t xml:space="preserve">Section 56(2) of </w:t>
      </w:r>
      <w:r>
        <w:rPr>
          <w:rFonts w:cs="Arial"/>
          <w:szCs w:val="18"/>
        </w:rPr>
        <w:t>the TAA</w:t>
      </w:r>
      <w:r w:rsidRPr="00E53F20">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5A42" w14:textId="3142034B" w:rsidR="00964B22" w:rsidRPr="008E0345" w:rsidRDefault="00AE1285" w:rsidP="005A5A44">
    <w:pPr>
      <w:pStyle w:val="Header"/>
    </w:pPr>
    <w:sdt>
      <w:sdtPr>
        <w:alias w:val="Title"/>
        <w:tag w:val=""/>
        <w:id w:val="-477918894"/>
        <w:placeholder>
          <w:docPart w:val="38601CC07BDF4F3CB90FE2DE177A51B3"/>
        </w:placeholder>
        <w:dataBinding w:prefixMappings="xmlns:ns0='http://purl.org/dc/elements/1.1/' xmlns:ns1='http://schemas.openxmlformats.org/package/2006/metadata/core-properties' " w:xpath="/ns1:coreProperties[1]/ns0:title[1]" w:storeItemID="{6C3C8BC8-F283-45AE-878A-BAB7291924A1}"/>
        <w:text/>
      </w:sdtPr>
      <w:sdtEndPr/>
      <w:sdtContent>
        <w:r w:rsidR="00BF2A85">
          <w:t>Commissioner’s Guideline: Instalment arrangements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E732" w14:textId="77777777" w:rsidR="004B7373" w:rsidRPr="00BD0F38" w:rsidRDefault="00DD64C2" w:rsidP="00A32EFF">
    <w:pPr>
      <w:tabs>
        <w:tab w:val="right" w:pos="10318"/>
      </w:tabs>
    </w:pPr>
    <w:r w:rsidRPr="00BD0F38">
      <w:rPr>
        <w:noProof/>
        <w:lang w:eastAsia="en-AU"/>
      </w:rPr>
      <w:drawing>
        <wp:anchor distT="0" distB="0" distL="0" distR="0" simplePos="0" relativeHeight="251657216" behindDoc="0" locked="0" layoutInCell="1" allowOverlap="1" wp14:anchorId="0FEFC10E" wp14:editId="7BCDE630">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347A" w14:textId="27CAE744" w:rsidR="00717C37" w:rsidRPr="004E7885" w:rsidRDefault="00AE1285" w:rsidP="004E7885">
    <w:pPr>
      <w:pStyle w:val="Header"/>
    </w:pPr>
    <w:sdt>
      <w:sdtPr>
        <w:alias w:val="Title"/>
        <w:tag w:val="Title"/>
        <w:id w:val="94911156"/>
        <w:lock w:val="sdtLocked"/>
        <w:placeholder>
          <w:docPart w:val="38601CC07BDF4F3CB90FE2DE177A51B3"/>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BF2A85">
          <w:t>Commissioner’s Guideline: Instalment arrangements</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2A92"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14320D3D" w14:textId="2DDD3082" w:rsidR="00983000" w:rsidRDefault="00BF2A85" w:rsidP="002926BC">
        <w:pPr>
          <w:pStyle w:val="Header"/>
          <w:ind w:right="-568"/>
        </w:pPr>
        <w:r>
          <w:t>Commissioner’s Guideline: Instalment arrangements</w:t>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61B8D" w14:textId="0603E29A" w:rsidR="00C2210F" w:rsidRDefault="00AE1285" w:rsidP="00063B36">
    <w:pPr>
      <w:pStyle w:val="Title"/>
    </w:pPr>
    <w:sdt>
      <w:sdt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r w:rsidR="00BF2A85">
          <w:t>Commissioner’s Guideline: Instalment arrangements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1E466CC"/>
    <w:multiLevelType w:val="hybridMultilevel"/>
    <w:tmpl w:val="7102BADE"/>
    <w:lvl w:ilvl="0" w:tplc="977CFA4E">
      <w:start w:val="1"/>
      <w:numFmt w:val="decimal"/>
      <w:lvlText w:val="%1."/>
      <w:lvlJc w:val="left"/>
      <w:pPr>
        <w:ind w:left="360" w:hanging="360"/>
      </w:pPr>
      <w:rPr>
        <w:b w:val="0"/>
        <w:bCs/>
      </w:rPr>
    </w:lvl>
    <w:lvl w:ilvl="1" w:tplc="912E0AFC">
      <w:start w:val="1"/>
      <w:numFmt w:val="lowerLetter"/>
      <w:lvlText w:val="%2."/>
      <w:lvlJc w:val="left"/>
      <w:pPr>
        <w:ind w:left="785"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00676E3"/>
    <w:multiLevelType w:val="multilevel"/>
    <w:tmpl w:val="FD1CD746"/>
    <w:numStyleLink w:val="Numbered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2CB786D"/>
    <w:multiLevelType w:val="multilevel"/>
    <w:tmpl w:val="FD1CD746"/>
    <w:numStyleLink w:val="Numberedlist"/>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E21323"/>
    <w:multiLevelType w:val="multilevel"/>
    <w:tmpl w:val="4E6AC8F6"/>
    <w:numStyleLink w:val="Numberlist"/>
  </w:abstractNum>
  <w:abstractNum w:abstractNumId="5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2" w15:restartNumberingAfterBreak="0">
    <w:nsid w:val="67480D2B"/>
    <w:multiLevelType w:val="multilevel"/>
    <w:tmpl w:val="923A31A4"/>
    <w:lvl w:ilvl="0">
      <w:start w:val="1"/>
      <w:numFmt w:val="lowerLetter"/>
      <w:lvlText w:val="%1."/>
      <w:lvlJc w:val="left"/>
      <w:pPr>
        <w:tabs>
          <w:tab w:val="num" w:pos="785"/>
        </w:tabs>
        <w:ind w:left="785" w:hanging="360"/>
      </w:pPr>
      <w:rPr>
        <w:rFonts w:hint="default"/>
        <w:b w:val="0"/>
        <w:bCs w:val="0"/>
      </w:rPr>
    </w:lvl>
    <w:lvl w:ilvl="1">
      <w:start w:val="1"/>
      <w:numFmt w:val="lowerLetter"/>
      <w:lvlText w:val="%2)"/>
      <w:lvlJc w:val="left"/>
      <w:pPr>
        <w:tabs>
          <w:tab w:val="num" w:pos="1505"/>
        </w:tabs>
        <w:ind w:left="1505" w:hanging="360"/>
      </w:pPr>
      <w:rPr>
        <w:rFonts w:hint="default"/>
      </w:rPr>
    </w:lvl>
    <w:lvl w:ilvl="2">
      <w:start w:val="1"/>
      <w:numFmt w:val="lowerRoman"/>
      <w:lvlText w:val="%3."/>
      <w:lvlJc w:val="right"/>
      <w:pPr>
        <w:tabs>
          <w:tab w:val="num" w:pos="2225"/>
        </w:tabs>
        <w:ind w:left="2225" w:hanging="180"/>
      </w:pPr>
      <w:rPr>
        <w:rFonts w:hint="default"/>
      </w:rPr>
    </w:lvl>
    <w:lvl w:ilvl="3">
      <w:start w:val="1"/>
      <w:numFmt w:val="lowerLetter"/>
      <w:lvlText w:val="%4."/>
      <w:lvlJc w:val="left"/>
      <w:pPr>
        <w:tabs>
          <w:tab w:val="num" w:pos="2945"/>
        </w:tabs>
        <w:ind w:left="2945" w:hanging="360"/>
      </w:pPr>
      <w:rPr>
        <w:rFonts w:hint="default"/>
      </w:rPr>
    </w:lvl>
    <w:lvl w:ilvl="4">
      <w:start w:val="1"/>
      <w:numFmt w:val="lowerLetter"/>
      <w:lvlText w:val="%5."/>
      <w:lvlJc w:val="left"/>
      <w:pPr>
        <w:tabs>
          <w:tab w:val="num" w:pos="3665"/>
        </w:tabs>
        <w:ind w:left="3665" w:hanging="360"/>
      </w:pPr>
      <w:rPr>
        <w:rFonts w:hint="default"/>
      </w:rPr>
    </w:lvl>
    <w:lvl w:ilvl="5">
      <w:start w:val="1"/>
      <w:numFmt w:val="lowerRoman"/>
      <w:lvlText w:val="%6."/>
      <w:lvlJc w:val="right"/>
      <w:pPr>
        <w:tabs>
          <w:tab w:val="num" w:pos="4385"/>
        </w:tabs>
        <w:ind w:left="4385" w:hanging="180"/>
      </w:pPr>
      <w:rPr>
        <w:rFonts w:hint="default"/>
      </w:rPr>
    </w:lvl>
    <w:lvl w:ilvl="6">
      <w:start w:val="1"/>
      <w:numFmt w:val="decimal"/>
      <w:lvlText w:val="%7."/>
      <w:lvlJc w:val="left"/>
      <w:pPr>
        <w:tabs>
          <w:tab w:val="num" w:pos="5105"/>
        </w:tabs>
        <w:ind w:left="5105" w:hanging="360"/>
      </w:pPr>
      <w:rPr>
        <w:rFonts w:hint="default"/>
      </w:rPr>
    </w:lvl>
    <w:lvl w:ilvl="7">
      <w:start w:val="1"/>
      <w:numFmt w:val="lowerLetter"/>
      <w:lvlText w:val="%8."/>
      <w:lvlJc w:val="left"/>
      <w:pPr>
        <w:tabs>
          <w:tab w:val="num" w:pos="5825"/>
        </w:tabs>
        <w:ind w:left="5825" w:hanging="360"/>
      </w:pPr>
      <w:rPr>
        <w:rFonts w:hint="default"/>
      </w:rPr>
    </w:lvl>
    <w:lvl w:ilvl="8">
      <w:start w:val="1"/>
      <w:numFmt w:val="lowerRoman"/>
      <w:lvlText w:val="%9."/>
      <w:lvlJc w:val="right"/>
      <w:pPr>
        <w:tabs>
          <w:tab w:val="num" w:pos="6545"/>
        </w:tabs>
        <w:ind w:left="6545" w:hanging="180"/>
      </w:pPr>
      <w:rPr>
        <w:rFonts w:hint="default"/>
      </w:rPr>
    </w:lvl>
  </w:abstractNum>
  <w:abstractNum w:abstractNumId="63" w15:restartNumberingAfterBreak="0">
    <w:nsid w:val="69262556"/>
    <w:multiLevelType w:val="multilevel"/>
    <w:tmpl w:val="3E5E177A"/>
    <w:name w:val="NTG Table Bullet List3322222222222222"/>
    <w:numStyleLink w:val="Tablenumberlist"/>
  </w:abstractNum>
  <w:abstractNum w:abstractNumId="64" w15:restartNumberingAfterBreak="0">
    <w:nsid w:val="6C2A614B"/>
    <w:multiLevelType w:val="hybridMultilevel"/>
    <w:tmpl w:val="0E4494AE"/>
    <w:lvl w:ilvl="0" w:tplc="70A26F12">
      <w:start w:val="1"/>
      <w:numFmt w:val="lowerLetter"/>
      <w:lvlText w:val="%1."/>
      <w:lvlJc w:val="left"/>
      <w:pPr>
        <w:ind w:left="785" w:hanging="360"/>
      </w:pPr>
      <w:rPr>
        <w:b w:val="0"/>
        <w:bCs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6141D1E"/>
    <w:multiLevelType w:val="multilevel"/>
    <w:tmpl w:val="0C78A7AC"/>
    <w:name w:val="NTG Table Bullet List332222222222"/>
    <w:numStyleLink w:val="Tablebulletlist"/>
  </w:abstractNum>
  <w:abstractNum w:abstractNumId="67" w15:restartNumberingAfterBreak="0">
    <w:nsid w:val="765A32D4"/>
    <w:multiLevelType w:val="multilevel"/>
    <w:tmpl w:val="4E6AC8F6"/>
    <w:numStyleLink w:val="Numberlist"/>
  </w:abstractNum>
  <w:abstractNum w:abstractNumId="68"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2"/>
  </w:num>
  <w:num w:numId="2">
    <w:abstractNumId w:val="21"/>
  </w:num>
  <w:num w:numId="3">
    <w:abstractNumId w:val="70"/>
  </w:num>
  <w:num w:numId="4">
    <w:abstractNumId w:val="42"/>
  </w:num>
  <w:num w:numId="5">
    <w:abstractNumId w:val="26"/>
  </w:num>
  <w:num w:numId="6">
    <w:abstractNumId w:val="13"/>
  </w:num>
  <w:num w:numId="7">
    <w:abstractNumId w:val="47"/>
  </w:num>
  <w:num w:numId="8">
    <w:abstractNumId w:val="24"/>
  </w:num>
  <w:num w:numId="9">
    <w:abstractNumId w:val="54"/>
  </w:num>
  <w:num w:numId="10">
    <w:abstractNumId w:val="19"/>
  </w:num>
  <w:num w:numId="11">
    <w:abstractNumId w:val="60"/>
  </w:num>
  <w:num w:numId="12">
    <w:abstractNumId w:val="15"/>
  </w:num>
  <w:num w:numId="13">
    <w:abstractNumId w:val="1"/>
  </w:num>
  <w:num w:numId="14">
    <w:abstractNumId w:val="58"/>
  </w:num>
  <w:num w:numId="15">
    <w:abstractNumId w:val="25"/>
  </w:num>
  <w:num w:numId="16">
    <w:abstractNumId w:val="59"/>
  </w:num>
  <w:num w:numId="17">
    <w:abstractNumId w:val="67"/>
  </w:num>
  <w:num w:numId="18">
    <w:abstractNumId w:val="53"/>
  </w:num>
  <w:num w:numId="19">
    <w:abstractNumId w:val="45"/>
  </w:num>
  <w:num w:numId="20">
    <w:abstractNumId w:val="49"/>
  </w:num>
  <w:num w:numId="21">
    <w:abstractNumId w:val="38"/>
  </w:num>
  <w:num w:numId="22">
    <w:abstractNumId w:val="52"/>
  </w:num>
  <w:num w:numId="23">
    <w:abstractNumId w:val="44"/>
  </w:num>
  <w:num w:numId="24">
    <w:abstractNumId w:val="40"/>
  </w:num>
  <w:num w:numId="25">
    <w:abstractNumId w:val="35"/>
  </w:num>
  <w:num w:numId="26">
    <w:abstractNumId w:val="10"/>
  </w:num>
  <w:num w:numId="27">
    <w:abstractNumId w:val="68"/>
  </w:num>
  <w:num w:numId="28">
    <w:abstractNumId w:val="34"/>
  </w:num>
  <w:num w:numId="29">
    <w:abstractNumId w:val="27"/>
  </w:num>
  <w:num w:numId="30">
    <w:abstractNumId w:val="0"/>
  </w:num>
  <w:num w:numId="31">
    <w:abstractNumId w:val="39"/>
  </w:num>
  <w:num w:numId="32">
    <w:abstractNumId w:val="9"/>
  </w:num>
  <w:num w:numId="33">
    <w:abstractNumId w:val="61"/>
  </w:num>
  <w:num w:numId="34">
    <w:abstractNumId w:val="30"/>
  </w:num>
  <w:num w:numId="35">
    <w:abstractNumId w:val="69"/>
  </w:num>
  <w:num w:numId="36">
    <w:abstractNumId w:val="55"/>
  </w:num>
  <w:num w:numId="37">
    <w:abstractNumId w:val="4"/>
  </w:num>
  <w:num w:numId="38">
    <w:abstractNumId w:val="33"/>
  </w:num>
  <w:num w:numId="39">
    <w:abstractNumId w:val="46"/>
  </w:num>
  <w:num w:numId="40">
    <w:abstractNumId w:val="37"/>
  </w:num>
  <w:num w:numId="41">
    <w:abstractNumId w:val="2"/>
  </w:num>
  <w:num w:numId="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62"/>
  </w:num>
  <w:num w:numId="45">
    <w:abstractNumId w:val="64"/>
  </w:num>
  <w:num w:numId="46">
    <w:abstractNumId w:val="18"/>
    <w:lvlOverride w:ilvl="0">
      <w:lvl w:ilvl="0">
        <w:start w:val="1"/>
        <w:numFmt w:val="decimal"/>
        <w:lvlText w:val="%1."/>
        <w:lvlJc w:val="left"/>
        <w:pPr>
          <w:ind w:left="360" w:hanging="360"/>
        </w:pPr>
      </w:lvl>
    </w:lvlOverride>
    <w:lvlOverride w:ilvl="1">
      <w:lvl w:ilvl="1">
        <w:start w:val="1"/>
        <w:numFmt w:val="lowerLetter"/>
        <w:lvlText w:val="%2."/>
        <w:lvlJc w:val="left"/>
        <w:pPr>
          <w:ind w:left="785"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ED"/>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A79BD"/>
    <w:rsid w:val="000B280D"/>
    <w:rsid w:val="000B2CA1"/>
    <w:rsid w:val="000B6E48"/>
    <w:rsid w:val="000D1F29"/>
    <w:rsid w:val="000D633D"/>
    <w:rsid w:val="000E0962"/>
    <w:rsid w:val="000E342B"/>
    <w:rsid w:val="000E38F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3D70"/>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26BC"/>
    <w:rsid w:val="00293A72"/>
    <w:rsid w:val="002A0160"/>
    <w:rsid w:val="002A30C3"/>
    <w:rsid w:val="002A6F6A"/>
    <w:rsid w:val="002A7712"/>
    <w:rsid w:val="002A7900"/>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43BD1"/>
    <w:rsid w:val="00543F6A"/>
    <w:rsid w:val="00546D7E"/>
    <w:rsid w:val="00556113"/>
    <w:rsid w:val="005563F7"/>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20675"/>
    <w:rsid w:val="00622910"/>
    <w:rsid w:val="00622E24"/>
    <w:rsid w:val="006433C3"/>
    <w:rsid w:val="00647A30"/>
    <w:rsid w:val="00650F5B"/>
    <w:rsid w:val="00652DC0"/>
    <w:rsid w:val="00657522"/>
    <w:rsid w:val="00660584"/>
    <w:rsid w:val="00665B99"/>
    <w:rsid w:val="006670D7"/>
    <w:rsid w:val="00667797"/>
    <w:rsid w:val="006719EA"/>
    <w:rsid w:val="00671F13"/>
    <w:rsid w:val="0067400A"/>
    <w:rsid w:val="006747E0"/>
    <w:rsid w:val="006847AD"/>
    <w:rsid w:val="0069114B"/>
    <w:rsid w:val="006A756A"/>
    <w:rsid w:val="006C396A"/>
    <w:rsid w:val="006D1ADA"/>
    <w:rsid w:val="006D66F7"/>
    <w:rsid w:val="006E2EF5"/>
    <w:rsid w:val="006E3B5D"/>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30A4"/>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B64E8"/>
    <w:rsid w:val="008C17FB"/>
    <w:rsid w:val="008D1B00"/>
    <w:rsid w:val="008D57B8"/>
    <w:rsid w:val="008E0345"/>
    <w:rsid w:val="008E03FC"/>
    <w:rsid w:val="008E510B"/>
    <w:rsid w:val="00902B13"/>
    <w:rsid w:val="00911941"/>
    <w:rsid w:val="009138A0"/>
    <w:rsid w:val="00925F0F"/>
    <w:rsid w:val="00930C91"/>
    <w:rsid w:val="00932F6B"/>
    <w:rsid w:val="009436FF"/>
    <w:rsid w:val="009468BC"/>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5193"/>
    <w:rsid w:val="00A26E80"/>
    <w:rsid w:val="00A31AE8"/>
    <w:rsid w:val="00A32EFF"/>
    <w:rsid w:val="00A3739D"/>
    <w:rsid w:val="00A37DDA"/>
    <w:rsid w:val="00A37ED8"/>
    <w:rsid w:val="00A50829"/>
    <w:rsid w:val="00A925EC"/>
    <w:rsid w:val="00A929AA"/>
    <w:rsid w:val="00A92B6B"/>
    <w:rsid w:val="00A955A9"/>
    <w:rsid w:val="00AA4C49"/>
    <w:rsid w:val="00AA541E"/>
    <w:rsid w:val="00AA6775"/>
    <w:rsid w:val="00AD0DA4"/>
    <w:rsid w:val="00AD134E"/>
    <w:rsid w:val="00AD1B26"/>
    <w:rsid w:val="00AD23F7"/>
    <w:rsid w:val="00AD4169"/>
    <w:rsid w:val="00AD7557"/>
    <w:rsid w:val="00AE1285"/>
    <w:rsid w:val="00AE25C6"/>
    <w:rsid w:val="00AE306C"/>
    <w:rsid w:val="00AF28C1"/>
    <w:rsid w:val="00AF5F5C"/>
    <w:rsid w:val="00B02EF1"/>
    <w:rsid w:val="00B070B3"/>
    <w:rsid w:val="00B07C97"/>
    <w:rsid w:val="00B07EA1"/>
    <w:rsid w:val="00B11C67"/>
    <w:rsid w:val="00B15754"/>
    <w:rsid w:val="00B15A27"/>
    <w:rsid w:val="00B2046E"/>
    <w:rsid w:val="00B20E8B"/>
    <w:rsid w:val="00B257E1"/>
    <w:rsid w:val="00B2599A"/>
    <w:rsid w:val="00B27AC4"/>
    <w:rsid w:val="00B343CC"/>
    <w:rsid w:val="00B34EC7"/>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85"/>
    <w:rsid w:val="00BF2ABB"/>
    <w:rsid w:val="00BF5099"/>
    <w:rsid w:val="00C10F10"/>
    <w:rsid w:val="00C15D4D"/>
    <w:rsid w:val="00C175DC"/>
    <w:rsid w:val="00C2210F"/>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7ED"/>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04B79"/>
    <w:rsid w:val="00F13212"/>
    <w:rsid w:val="00F14273"/>
    <w:rsid w:val="00F15D8F"/>
    <w:rsid w:val="00F479D5"/>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C833D"/>
  <w15:docId w15:val="{BC780173-550B-45C6-9229-DC38DE3A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1"/>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uiPriority w:val="10"/>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link w:val="BlockTextChar"/>
    <w:rsid w:val="00414CB3"/>
    <w:rPr>
      <w:rFonts w:eastAsiaTheme="minorEastAsia"/>
      <w:iCs/>
    </w:rPr>
  </w:style>
  <w:style w:type="paragraph" w:styleId="Header">
    <w:name w:val="header"/>
    <w:aliases w:val="Page header,NTG Page Header"/>
    <w:basedOn w:val="Normal"/>
    <w:next w:val="Normal"/>
    <w:link w:val="HeaderChar"/>
    <w:uiPriority w:val="11"/>
    <w:rsid w:val="00FC16A5"/>
    <w:pPr>
      <w:tabs>
        <w:tab w:val="right" w:pos="10318"/>
      </w:tabs>
      <w:spacing w:after="240"/>
      <w:jc w:val="right"/>
    </w:pPr>
  </w:style>
  <w:style w:type="character" w:customStyle="1" w:styleId="HeaderChar">
    <w:name w:val="Header Char"/>
    <w:aliases w:val="Page header Char,NTG Page Header Char"/>
    <w:basedOn w:val="DefaultParagraphFont"/>
    <w:link w:val="Header"/>
    <w:uiPriority w:val="11"/>
    <w:rsid w:val="00FC16A5"/>
    <w:rPr>
      <w:rFonts w:ascii="Lato" w:hAnsi="Lato"/>
    </w:rPr>
  </w:style>
  <w:style w:type="paragraph" w:styleId="Footer">
    <w:name w:val="footer"/>
    <w:basedOn w:val="Normal"/>
    <w:link w:val="FooterChar"/>
    <w:unhideWhenUsed/>
    <w:rsid w:val="004E7885"/>
    <w:pPr>
      <w:tabs>
        <w:tab w:val="center" w:pos="4513"/>
        <w:tab w:val="right" w:pos="9026"/>
      </w:tabs>
      <w:spacing w:after="0"/>
    </w:pPr>
  </w:style>
  <w:style w:type="character" w:customStyle="1" w:styleId="FooterChar">
    <w:name w:val="Footer Char"/>
    <w:basedOn w:val="DefaultParagraphFont"/>
    <w:link w:val="Footer"/>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rsid w:val="00176123"/>
    <w:pPr>
      <w:numPr>
        <w:numId w:val="8"/>
      </w:numPr>
      <w:spacing w:after="120"/>
      <w:ind w:left="0" w:firstLine="0"/>
    </w:pPr>
  </w:style>
  <w:style w:type="paragraph" w:styleId="ListBullet2">
    <w:name w:val="List Bullet 2"/>
    <w:aliases w:val="Bullet list level 2"/>
    <w:basedOn w:val="Normal"/>
    <w:uiPriority w:val="4"/>
    <w:rsid w:val="006847AD"/>
    <w:pPr>
      <w:numPr>
        <w:ilvl w:val="1"/>
        <w:numId w:val="8"/>
      </w:numPr>
      <w:spacing w:after="120"/>
    </w:pPr>
  </w:style>
  <w:style w:type="paragraph" w:styleId="ListBullet3">
    <w:name w:val="List Bullet 3"/>
    <w:aliases w:val="Bullet list level 3"/>
    <w:basedOn w:val="Normal"/>
    <w:uiPriority w:val="4"/>
    <w:rsid w:val="006847AD"/>
    <w:pPr>
      <w:numPr>
        <w:ilvl w:val="2"/>
        <w:numId w:val="8"/>
      </w:numPr>
      <w:spacing w:after="120"/>
    </w:pPr>
  </w:style>
  <w:style w:type="paragraph" w:styleId="ListBullet4">
    <w:name w:val="List Bullet 4"/>
    <w:aliases w:val="Bullet list level 4"/>
    <w:basedOn w:val="Normal"/>
    <w:uiPriority w:val="4"/>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nhideWhenUsed/>
    <w:rsid w:val="000B6E48"/>
    <w:pPr>
      <w:spacing w:after="0"/>
    </w:pPr>
    <w:rPr>
      <w:sz w:val="20"/>
      <w:szCs w:val="20"/>
    </w:rPr>
  </w:style>
  <w:style w:type="character" w:customStyle="1" w:styleId="FootnoteTextChar">
    <w:name w:val="Footnote Text Char"/>
    <w:basedOn w:val="DefaultParagraphFont"/>
    <w:link w:val="FootnoteText"/>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customStyle="1" w:styleId="NTGFooter1items">
    <w:name w:val="NTG Footer 1 items"/>
    <w:basedOn w:val="Normal"/>
    <w:link w:val="NTGFooter1itemsChar"/>
    <w:uiPriority w:val="9"/>
    <w:rsid w:val="00BF2A85"/>
    <w:pPr>
      <w:widowControl w:val="0"/>
      <w:tabs>
        <w:tab w:val="left" w:pos="1778"/>
        <w:tab w:val="right" w:pos="9026"/>
      </w:tabs>
      <w:spacing w:after="0"/>
    </w:pPr>
    <w:rPr>
      <w:rFonts w:ascii="Arial" w:hAnsi="Arial" w:cs="Arial"/>
      <w:sz w:val="20"/>
      <w:szCs w:val="16"/>
    </w:rPr>
  </w:style>
  <w:style w:type="paragraph" w:customStyle="1" w:styleId="NTGFooterDepartmentof">
    <w:name w:val="NTG Footer Department of"/>
    <w:link w:val="NTGFooterDepartmentofChar"/>
    <w:uiPriority w:val="9"/>
    <w:rsid w:val="00BF2A85"/>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rsid w:val="00BF2A85"/>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rsid w:val="00BF2A85"/>
    <w:rPr>
      <w:rFonts w:cs="Arial"/>
      <w:sz w:val="20"/>
      <w:szCs w:val="16"/>
    </w:rPr>
  </w:style>
  <w:style w:type="character" w:customStyle="1" w:styleId="NTGFooterDepartmentofChar">
    <w:name w:val="NTG Footer Department of Char"/>
    <w:basedOn w:val="DefaultParagraphFont"/>
    <w:link w:val="NTGFooterDepartmentof"/>
    <w:uiPriority w:val="9"/>
    <w:rsid w:val="00BF2A85"/>
    <w:rPr>
      <w:rFonts w:cs="Arial"/>
      <w:caps/>
      <w:szCs w:val="16"/>
    </w:rPr>
  </w:style>
  <w:style w:type="character" w:customStyle="1" w:styleId="NTGFooterDepartmentNameChar">
    <w:name w:val="NTG Footer Department Name Char"/>
    <w:basedOn w:val="NTGFooterDepartmentofChar"/>
    <w:link w:val="NTGFooterDepartmentName"/>
    <w:uiPriority w:val="9"/>
    <w:rsid w:val="00BF2A85"/>
    <w:rPr>
      <w:rFonts w:ascii="Arial Black" w:hAnsi="Arial Black" w:cs="Arial"/>
      <w:caps/>
      <w:szCs w:val="16"/>
    </w:rPr>
  </w:style>
  <w:style w:type="paragraph" w:customStyle="1" w:styleId="NTGFooter2deptpagenum">
    <w:name w:val="NTG Footer 2 dept &amp; page num"/>
    <w:basedOn w:val="Normal"/>
    <w:link w:val="NTGFooter2deptpagenumChar"/>
    <w:uiPriority w:val="9"/>
    <w:rsid w:val="00BF2A85"/>
    <w:pPr>
      <w:tabs>
        <w:tab w:val="right" w:pos="9639"/>
      </w:tabs>
      <w:spacing w:after="0"/>
      <w:jc w:val="right"/>
    </w:pPr>
    <w:rPr>
      <w:rFonts w:ascii="Arial" w:hAnsi="Arial"/>
      <w:sz w:val="20"/>
    </w:rPr>
  </w:style>
  <w:style w:type="character" w:customStyle="1" w:styleId="NTGFooter2deptpagenumChar">
    <w:name w:val="NTG Footer 2 dept &amp; page num Char"/>
    <w:basedOn w:val="DefaultParagraphFont"/>
    <w:link w:val="NTGFooter2deptpagenum"/>
    <w:uiPriority w:val="9"/>
    <w:rsid w:val="00BF2A85"/>
    <w:rPr>
      <w:sz w:val="20"/>
    </w:rPr>
  </w:style>
  <w:style w:type="character" w:customStyle="1" w:styleId="StyleBold">
    <w:name w:val="Style Bold"/>
    <w:rsid w:val="00BF2A85"/>
    <w:rPr>
      <w:b/>
      <w:bCs/>
    </w:rPr>
  </w:style>
  <w:style w:type="character" w:styleId="CommentReference">
    <w:name w:val="annotation reference"/>
    <w:basedOn w:val="DefaultParagraphFont"/>
    <w:uiPriority w:val="99"/>
    <w:semiHidden/>
    <w:unhideWhenUsed/>
    <w:rsid w:val="00BF2A85"/>
    <w:rPr>
      <w:sz w:val="16"/>
      <w:szCs w:val="16"/>
    </w:rPr>
  </w:style>
  <w:style w:type="paragraph" w:styleId="CommentText">
    <w:name w:val="annotation text"/>
    <w:basedOn w:val="Normal"/>
    <w:link w:val="CommentTextChar"/>
    <w:uiPriority w:val="99"/>
    <w:unhideWhenUsed/>
    <w:rsid w:val="00BF2A85"/>
    <w:rPr>
      <w:rFonts w:ascii="Arial" w:hAnsi="Arial"/>
      <w:sz w:val="20"/>
      <w:szCs w:val="20"/>
    </w:rPr>
  </w:style>
  <w:style w:type="character" w:customStyle="1" w:styleId="CommentTextChar">
    <w:name w:val="Comment Text Char"/>
    <w:basedOn w:val="DefaultParagraphFont"/>
    <w:link w:val="CommentText"/>
    <w:uiPriority w:val="99"/>
    <w:rsid w:val="00BF2A85"/>
    <w:rPr>
      <w:sz w:val="20"/>
      <w:szCs w:val="20"/>
    </w:rPr>
  </w:style>
  <w:style w:type="character" w:customStyle="1" w:styleId="BlockTextChar">
    <w:name w:val="Block Text Char"/>
    <w:basedOn w:val="DefaultParagraphFont"/>
    <w:link w:val="BlockText"/>
    <w:rsid w:val="00BF2A85"/>
    <w:rPr>
      <w:rFonts w:ascii="Lato" w:eastAsiaTheme="minorEastAsia" w:hAnsi="Lato"/>
      <w:iCs/>
    </w:rPr>
  </w:style>
  <w:style w:type="character" w:customStyle="1" w:styleId="UnresolvedMention">
    <w:name w:val="Unresolved Mention"/>
    <w:basedOn w:val="DefaultParagraphFont"/>
    <w:uiPriority w:val="99"/>
    <w:semiHidden/>
    <w:unhideWhenUsed/>
    <w:rsid w:val="002A79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A7900"/>
    <w:rPr>
      <w:rFonts w:ascii="Lato" w:hAnsi="Lato"/>
      <w:b/>
      <w:bCs/>
    </w:rPr>
  </w:style>
  <w:style w:type="character" w:customStyle="1" w:styleId="CommentSubjectChar">
    <w:name w:val="Comment Subject Char"/>
    <w:basedOn w:val="CommentTextChar"/>
    <w:link w:val="CommentSubject"/>
    <w:uiPriority w:val="99"/>
    <w:semiHidden/>
    <w:rsid w:val="002A7900"/>
    <w:rPr>
      <w:rFonts w:ascii="Lato" w:hAnsi="Lato"/>
      <w:b/>
      <w:bCs/>
      <w:sz w:val="20"/>
      <w:szCs w:val="20"/>
    </w:rPr>
  </w:style>
  <w:style w:type="numbering" w:customStyle="1" w:styleId="Text">
    <w:name w:val="Text"/>
    <w:rsid w:val="000A79BD"/>
    <w:pPr>
      <w:numPr>
        <w:numId w:val="47"/>
      </w:numPr>
    </w:pPr>
  </w:style>
  <w:style w:type="paragraph" w:styleId="Revision">
    <w:name w:val="Revision"/>
    <w:hidden/>
    <w:uiPriority w:val="99"/>
    <w:semiHidden/>
    <w:rsid w:val="00657522"/>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ti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revenue.nt.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revenue.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ntrevenue@n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2712B4233143228679CA727F4C16DC"/>
        <w:category>
          <w:name w:val="General"/>
          <w:gallery w:val="placeholder"/>
        </w:category>
        <w:types>
          <w:type w:val="bbPlcHdr"/>
        </w:types>
        <w:behaviors>
          <w:behavior w:val="content"/>
        </w:behaviors>
        <w:guid w:val="{D3D6A55C-7F32-4525-9C19-03890CFB151C}"/>
      </w:docPartPr>
      <w:docPartBody>
        <w:p w:rsidR="005D28AD" w:rsidRDefault="00CD5270">
          <w:pPr>
            <w:pStyle w:val="5D2712B4233143228679CA727F4C16DC"/>
          </w:pPr>
          <w:r>
            <w:t>&lt;Document title&gt;</w:t>
          </w:r>
        </w:p>
      </w:docPartBody>
    </w:docPart>
    <w:docPart>
      <w:docPartPr>
        <w:name w:val="8174D0E9EABD41EFBCA6830B8ADA2875"/>
        <w:category>
          <w:name w:val="General"/>
          <w:gallery w:val="placeholder"/>
        </w:category>
        <w:types>
          <w:type w:val="bbPlcHdr"/>
        </w:types>
        <w:behaviors>
          <w:behavior w:val="content"/>
        </w:behaviors>
        <w:guid w:val="{019240D8-1A2B-4493-9530-C3EF35A0DD1B}"/>
      </w:docPartPr>
      <w:docPartBody>
        <w:p w:rsidR="005D28AD" w:rsidRDefault="00CD5270">
          <w:pPr>
            <w:pStyle w:val="8174D0E9EABD41EFBCA6830B8ADA2875"/>
          </w:pPr>
          <w:r w:rsidRPr="004E7885">
            <w:rPr>
              <w:rStyle w:val="PlaceholderText"/>
            </w:rPr>
            <w:t>&lt;Document title&gt;</w:t>
          </w:r>
        </w:p>
      </w:docPartBody>
    </w:docPart>
    <w:docPart>
      <w:docPartPr>
        <w:name w:val="38601CC07BDF4F3CB90FE2DE177A51B3"/>
        <w:category>
          <w:name w:val="General"/>
          <w:gallery w:val="placeholder"/>
        </w:category>
        <w:types>
          <w:type w:val="bbPlcHdr"/>
        </w:types>
        <w:behaviors>
          <w:behavior w:val="content"/>
        </w:behaviors>
        <w:guid w:val="{DABED15A-8A3E-4A27-94CE-03527AE0CB84}"/>
      </w:docPartPr>
      <w:docPartBody>
        <w:p w:rsidR="005D28AD" w:rsidRDefault="00CD5270">
          <w:pPr>
            <w:pStyle w:val="38601CC07BDF4F3CB90FE2DE177A51B3"/>
          </w:pPr>
          <w:r w:rsidRPr="004E7885">
            <w:rPr>
              <w:rStyle w:val="PlaceholderText"/>
            </w:rPr>
            <w:t>&lt;Document title&gt;</w:t>
          </w:r>
        </w:p>
      </w:docPartBody>
    </w:docPart>
    <w:docPart>
      <w:docPartPr>
        <w:name w:val="20C19DEFF750433196F5C68234961341"/>
        <w:category>
          <w:name w:val="General"/>
          <w:gallery w:val="placeholder"/>
        </w:category>
        <w:types>
          <w:type w:val="bbPlcHdr"/>
        </w:types>
        <w:behaviors>
          <w:behavior w:val="content"/>
        </w:behaviors>
        <w:guid w:val="{46659ED5-A572-4F12-AB2D-C040DE09E8F2}"/>
      </w:docPartPr>
      <w:docPartBody>
        <w:p w:rsidR="003F6F41" w:rsidRDefault="005D28AD" w:rsidP="005D28AD">
          <w:pPr>
            <w:pStyle w:val="20C19DEFF750433196F5C68234961341"/>
          </w:pPr>
          <w:r w:rsidRPr="007B29CC">
            <w:rPr>
              <w:rStyle w:val="PlaceholderText"/>
            </w:rPr>
            <w:t>[Company]</w:t>
          </w:r>
        </w:p>
      </w:docPartBody>
    </w:docPart>
    <w:docPart>
      <w:docPartPr>
        <w:name w:val="17997552967D4A7EA146A11BFC26DA21"/>
        <w:category>
          <w:name w:val="General"/>
          <w:gallery w:val="placeholder"/>
        </w:category>
        <w:types>
          <w:type w:val="bbPlcHdr"/>
        </w:types>
        <w:behaviors>
          <w:behavior w:val="content"/>
        </w:behaviors>
        <w:guid w:val="{DF7FCA3C-5EBB-4ACE-8FBA-F08F5CC77985}"/>
      </w:docPartPr>
      <w:docPartBody>
        <w:p w:rsidR="003F6F41" w:rsidRDefault="005D28AD" w:rsidP="005D28AD">
          <w:pPr>
            <w:pStyle w:val="17997552967D4A7EA146A11BFC26DA21"/>
          </w:pPr>
          <w:r w:rsidRPr="005076E2">
            <w:t>&lt;Date Month Year&gt;</w:t>
          </w:r>
        </w:p>
      </w:docPartBody>
    </w:docPart>
    <w:docPart>
      <w:docPartPr>
        <w:name w:val="910D137839DC4135AA8495EFAAFC764C"/>
        <w:category>
          <w:name w:val="General"/>
          <w:gallery w:val="placeholder"/>
        </w:category>
        <w:types>
          <w:type w:val="bbPlcHdr"/>
        </w:types>
        <w:behaviors>
          <w:behavior w:val="content"/>
        </w:behaviors>
        <w:guid w:val="{CEA92465-274D-47A5-8C45-1FED4386D8C8}"/>
      </w:docPartPr>
      <w:docPartBody>
        <w:p w:rsidR="00A41C49" w:rsidRDefault="00CE2D9C" w:rsidP="00CE2D9C">
          <w:pPr>
            <w:pStyle w:val="910D137839DC4135AA8495EFAAFC764C"/>
          </w:pPr>
          <w:r w:rsidRPr="007B29CC">
            <w:rPr>
              <w:rStyle w:val="PlaceholderText"/>
            </w:rPr>
            <w:t>[Company]</w:t>
          </w:r>
        </w:p>
      </w:docPartBody>
    </w:docPart>
    <w:docPart>
      <w:docPartPr>
        <w:name w:val="68B9E2F708184D60BDBEEA8E6768A70C"/>
        <w:category>
          <w:name w:val="General"/>
          <w:gallery w:val="placeholder"/>
        </w:category>
        <w:types>
          <w:type w:val="bbPlcHdr"/>
        </w:types>
        <w:behaviors>
          <w:behavior w:val="content"/>
        </w:behaviors>
        <w:guid w:val="{BDFD6C4F-C977-47A4-A070-406D5B3DECD2}"/>
      </w:docPartPr>
      <w:docPartBody>
        <w:p w:rsidR="00A41C49" w:rsidRDefault="00CE2D9C" w:rsidP="00CE2D9C">
          <w:pPr>
            <w:pStyle w:val="68B9E2F708184D60BDBEEA8E6768A70C"/>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altName w:val="Calibri"/>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B8"/>
    <w:rsid w:val="00032918"/>
    <w:rsid w:val="000D49B8"/>
    <w:rsid w:val="002E13F2"/>
    <w:rsid w:val="003F6F41"/>
    <w:rsid w:val="005D28AD"/>
    <w:rsid w:val="006C4844"/>
    <w:rsid w:val="009F79E5"/>
    <w:rsid w:val="00A41C49"/>
    <w:rsid w:val="00CD5270"/>
    <w:rsid w:val="00CE2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2712B4233143228679CA727F4C16DC">
    <w:name w:val="5D2712B4233143228679CA727F4C16DC"/>
  </w:style>
  <w:style w:type="character" w:styleId="PlaceholderText">
    <w:name w:val="Placeholder Text"/>
    <w:basedOn w:val="DefaultParagraphFont"/>
    <w:uiPriority w:val="99"/>
    <w:semiHidden/>
    <w:rsid w:val="00CE2D9C"/>
    <w:rPr>
      <w:color w:val="808080"/>
    </w:rPr>
  </w:style>
  <w:style w:type="paragraph" w:customStyle="1" w:styleId="8174D0E9EABD41EFBCA6830B8ADA2875">
    <w:name w:val="8174D0E9EABD41EFBCA6830B8ADA2875"/>
  </w:style>
  <w:style w:type="paragraph" w:customStyle="1" w:styleId="38601CC07BDF4F3CB90FE2DE177A51B3">
    <w:name w:val="38601CC07BDF4F3CB90FE2DE177A51B3"/>
  </w:style>
  <w:style w:type="paragraph" w:customStyle="1" w:styleId="20C19DEFF750433196F5C68234961341">
    <w:name w:val="20C19DEFF750433196F5C68234961341"/>
    <w:rsid w:val="005D28AD"/>
  </w:style>
  <w:style w:type="paragraph" w:customStyle="1" w:styleId="17997552967D4A7EA146A11BFC26DA21">
    <w:name w:val="17997552967D4A7EA146A11BFC26DA21"/>
    <w:rsid w:val="005D28AD"/>
  </w:style>
  <w:style w:type="paragraph" w:customStyle="1" w:styleId="ED44A2C867F64166B329DA81668863B2">
    <w:name w:val="ED44A2C867F64166B329DA81668863B2"/>
    <w:rsid w:val="005D28AD"/>
  </w:style>
  <w:style w:type="paragraph" w:customStyle="1" w:styleId="51C6DA63BCB343C09C98308EDF556E23">
    <w:name w:val="51C6DA63BCB343C09C98308EDF556E23"/>
    <w:rsid w:val="005D28AD"/>
  </w:style>
  <w:style w:type="paragraph" w:customStyle="1" w:styleId="711C314E248E46009F3CE823875252E1">
    <w:name w:val="711C314E248E46009F3CE823875252E1"/>
    <w:rsid w:val="00CE2D9C"/>
  </w:style>
  <w:style w:type="paragraph" w:customStyle="1" w:styleId="34BD4C53DB19489AB3211DC4BBA80BBE">
    <w:name w:val="34BD4C53DB19489AB3211DC4BBA80BBE"/>
    <w:rsid w:val="00CE2D9C"/>
  </w:style>
  <w:style w:type="paragraph" w:customStyle="1" w:styleId="9C7B59D1F44F4172AF28E44A06113D0E">
    <w:name w:val="9C7B59D1F44F4172AF28E44A06113D0E"/>
    <w:rsid w:val="00CE2D9C"/>
  </w:style>
  <w:style w:type="paragraph" w:customStyle="1" w:styleId="63C18773C2F746E3B96285D934BD3B55">
    <w:name w:val="63C18773C2F746E3B96285D934BD3B55"/>
    <w:rsid w:val="00CE2D9C"/>
  </w:style>
  <w:style w:type="paragraph" w:customStyle="1" w:styleId="5A6197CCE1F6458D9AC4E38BAC02FDAB">
    <w:name w:val="5A6197CCE1F6458D9AC4E38BAC02FDAB"/>
    <w:rsid w:val="00CE2D9C"/>
  </w:style>
  <w:style w:type="paragraph" w:customStyle="1" w:styleId="9D73EFDEE8EF47C6AEE9EF79E420BBC8">
    <w:name w:val="9D73EFDEE8EF47C6AEE9EF79E420BBC8"/>
    <w:rsid w:val="00CE2D9C"/>
  </w:style>
  <w:style w:type="paragraph" w:customStyle="1" w:styleId="1AC299EEFC17421C97EA6E206B797ADB">
    <w:name w:val="1AC299EEFC17421C97EA6E206B797ADB"/>
    <w:rsid w:val="00CE2D9C"/>
  </w:style>
  <w:style w:type="paragraph" w:customStyle="1" w:styleId="4ADDF812B5644E97ABBE6BCCBBABF193">
    <w:name w:val="4ADDF812B5644E97ABBE6BCCBBABF193"/>
    <w:rsid w:val="00CE2D9C"/>
  </w:style>
  <w:style w:type="paragraph" w:customStyle="1" w:styleId="B745AE202B394E858F97910F8AAC8DD9">
    <w:name w:val="B745AE202B394E858F97910F8AAC8DD9"/>
    <w:rsid w:val="00CE2D9C"/>
  </w:style>
  <w:style w:type="paragraph" w:customStyle="1" w:styleId="CAC34ACB1A754940B70AC42043BB9A03">
    <w:name w:val="CAC34ACB1A754940B70AC42043BB9A03"/>
    <w:rsid w:val="00CE2D9C"/>
  </w:style>
  <w:style w:type="paragraph" w:customStyle="1" w:styleId="297EF61DC1C343D48462AB68D90F6A23">
    <w:name w:val="297EF61DC1C343D48462AB68D90F6A23"/>
    <w:rsid w:val="00CE2D9C"/>
  </w:style>
  <w:style w:type="paragraph" w:customStyle="1" w:styleId="C042778F77D44EB9A4B2E637C58905F9">
    <w:name w:val="C042778F77D44EB9A4B2E637C58905F9"/>
    <w:rsid w:val="00CE2D9C"/>
  </w:style>
  <w:style w:type="paragraph" w:customStyle="1" w:styleId="910D137839DC4135AA8495EFAAFC764C">
    <w:name w:val="910D137839DC4135AA8495EFAAFC764C"/>
    <w:rsid w:val="00CE2D9C"/>
  </w:style>
  <w:style w:type="paragraph" w:customStyle="1" w:styleId="68B9E2F708184D60BDBEEA8E6768A70C">
    <w:name w:val="68B9E2F708184D60BDBEEA8E6768A70C"/>
    <w:rsid w:val="00CE2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76C1D6-9BF0-43D5-8CF3-93BE2809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5</TotalTime>
  <Pages>9</Pages>
  <Words>2451</Words>
  <Characters>12747</Characters>
  <Application>Microsoft Office Word</Application>
  <DocSecurity>0</DocSecurity>
  <Lines>289</Lines>
  <Paragraphs>189</Paragraphs>
  <ScaleCrop>false</ScaleCrop>
  <HeadingPairs>
    <vt:vector size="2" baseType="variant">
      <vt:variant>
        <vt:lpstr>Title</vt:lpstr>
      </vt:variant>
      <vt:variant>
        <vt:i4>1</vt:i4>
      </vt:variant>
    </vt:vector>
  </HeadingPairs>
  <TitlesOfParts>
    <vt:vector size="1" baseType="lpstr">
      <vt:lpstr>Commissioner’s Guideline: Instalment arrangements</vt:lpstr>
    </vt:vector>
  </TitlesOfParts>
  <Company>TREASURY AND FINANCE</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Guideline: Instalment arrangements</dc:title>
  <dc:creator>Jacob Port</dc:creator>
  <cp:lastModifiedBy>Lynda Hale</cp:lastModifiedBy>
  <cp:revision>3</cp:revision>
  <cp:lastPrinted>2016-02-04T04:37:00Z</cp:lastPrinted>
  <dcterms:created xsi:type="dcterms:W3CDTF">2024-07-16T23:14:00Z</dcterms:created>
  <dcterms:modified xsi:type="dcterms:W3CDTF">2024-07-16T23:59:00Z</dcterms:modified>
</cp:coreProperties>
</file>