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36A0336EB0E740B9A712665B35A0C128"/>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CA17580" w14:textId="19DEE743" w:rsidR="00886C9D" w:rsidRPr="00886C9D" w:rsidRDefault="004D5550" w:rsidP="00886C9D">
          <w:pPr>
            <w:pStyle w:val="Title"/>
          </w:pPr>
          <w:r>
            <w:t>Commissioner’s Guideline: Interest and penalty tax</w:t>
          </w:r>
        </w:p>
      </w:sdtContent>
    </w:sdt>
    <w:p w14:paraId="5925B3AC" w14:textId="296DB27F" w:rsidR="00BD0F38" w:rsidRPr="00E77ACA" w:rsidRDefault="004D5550" w:rsidP="00E77ACA">
      <w:pPr>
        <w:pStyle w:val="Subtitle0"/>
        <w:sectPr w:rsidR="00BD0F38"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t>CG</w:t>
      </w:r>
      <w:r>
        <w:noBreakHyphen/>
        <w:t>GEN</w:t>
      </w:r>
      <w:r>
        <w:noBreakHyphen/>
        <w:t>002</w:t>
      </w:r>
    </w:p>
    <w:tbl>
      <w:tblPr>
        <w:tblStyle w:val="NTGtable1"/>
        <w:tblW w:w="10348" w:type="dxa"/>
        <w:tblLook w:val="0480" w:firstRow="0" w:lastRow="0" w:firstColumn="1" w:lastColumn="0" w:noHBand="0" w:noVBand="1"/>
      </w:tblPr>
      <w:tblGrid>
        <w:gridCol w:w="2410"/>
        <w:gridCol w:w="7938"/>
      </w:tblGrid>
      <w:tr w:rsidR="00832B35" w14:paraId="7556E4DC"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166AB736"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17035169" w14:textId="0CE5A1C6" w:rsidR="00832B35" w:rsidRPr="00050358" w:rsidRDefault="007B1E55"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AED5A077CC2D4C63ADF1EB663C8C48E4"/>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4D5550">
                  <w:t>Commissioner’s Guideline: Interest and penalty tax</w:t>
                </w:r>
              </w:sdtContent>
            </w:sdt>
          </w:p>
        </w:tc>
      </w:tr>
      <w:tr w:rsidR="00832B35" w14:paraId="33133903"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2196C336"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2FCBA8B0" w14:textId="0469BA9F" w:rsidR="00832B35" w:rsidRPr="00050358" w:rsidRDefault="004D5550" w:rsidP="00050358">
            <w:pPr>
              <w:cnfStyle w:val="000000010000" w:firstRow="0" w:lastRow="0" w:firstColumn="0" w:lastColumn="0" w:oddVBand="0" w:evenVBand="0" w:oddHBand="0" w:evenHBand="1" w:firstRowFirstColumn="0" w:firstRowLastColumn="0" w:lastRowFirstColumn="0" w:lastRowLastColumn="0"/>
            </w:pPr>
            <w:r>
              <w:t>Territory Revenue Office</w:t>
            </w:r>
          </w:p>
        </w:tc>
      </w:tr>
      <w:tr w:rsidR="00832B35" w14:paraId="6A1554C3"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037EF01A"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37CDB7EA" w14:textId="1142495B" w:rsidR="00832B35" w:rsidRPr="00050358" w:rsidRDefault="004D5550" w:rsidP="00050358">
            <w:pPr>
              <w:cnfStyle w:val="000000100000" w:firstRow="0" w:lastRow="0" w:firstColumn="0" w:lastColumn="0" w:oddVBand="0" w:evenVBand="0" w:oddHBand="1" w:evenHBand="0" w:firstRowFirstColumn="0" w:firstRowLastColumn="0" w:lastRowFirstColumn="0" w:lastRowLastColumn="0"/>
            </w:pPr>
            <w:r>
              <w:t>Sarah Rummery, Commissioner of Territory Revenue</w:t>
            </w:r>
          </w:p>
        </w:tc>
      </w:tr>
      <w:tr w:rsidR="00832B35" w14:paraId="4E0D529B"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4F61A4FD"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70036A2E" w14:textId="0CDC3C20" w:rsidR="00832B35" w:rsidRPr="00050358" w:rsidRDefault="004D5550" w:rsidP="00050358">
            <w:pPr>
              <w:cnfStyle w:val="000000010000" w:firstRow="0" w:lastRow="0" w:firstColumn="0" w:lastColumn="0" w:oddVBand="0" w:evenVBand="0" w:oddHBand="0" w:evenHBand="1" w:firstRowFirstColumn="0" w:firstRowLastColumn="0" w:lastRowFirstColumn="0" w:lastRowLastColumn="0"/>
            </w:pPr>
            <w:r>
              <w:t>1 July 2024</w:t>
            </w:r>
          </w:p>
        </w:tc>
      </w:tr>
    </w:tbl>
    <w:p w14:paraId="6A78550C"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3472"/>
        <w:gridCol w:w="3473"/>
      </w:tblGrid>
      <w:tr w:rsidR="004D5550" w:rsidRPr="00050358" w14:paraId="00321532" w14:textId="77777777" w:rsidTr="0074041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Merge w:val="restart"/>
          </w:tcPr>
          <w:p w14:paraId="25639A15" w14:textId="77777777" w:rsidR="004D5550" w:rsidRPr="00050358" w:rsidRDefault="004D5550"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vMerge w:val="restart"/>
          </w:tcPr>
          <w:p w14:paraId="791AE09B" w14:textId="7203D646" w:rsidR="004D5550" w:rsidRPr="00050358" w:rsidRDefault="004D5550" w:rsidP="00050358">
            <w:r>
              <w:t>Issue Date</w:t>
            </w:r>
          </w:p>
        </w:tc>
        <w:tc>
          <w:tcPr>
            <w:cnfStyle w:val="000100001000" w:firstRow="0" w:lastRow="0" w:firstColumn="0" w:lastColumn="1" w:oddVBand="0" w:evenVBand="0" w:oddHBand="0" w:evenHBand="0" w:firstRowFirstColumn="0" w:firstRowLastColumn="1" w:lastRowFirstColumn="0" w:lastRowLastColumn="0"/>
            <w:tcW w:w="6945" w:type="dxa"/>
            <w:gridSpan w:val="2"/>
          </w:tcPr>
          <w:p w14:paraId="64E6AAC4" w14:textId="43432D8D" w:rsidR="004D5550" w:rsidRPr="00050358" w:rsidRDefault="004D5550" w:rsidP="00050358">
            <w:r>
              <w:t>Dates of Effect</w:t>
            </w:r>
          </w:p>
        </w:tc>
      </w:tr>
      <w:tr w:rsidR="004D5550" w:rsidRPr="00050358" w14:paraId="71C0B234" w14:textId="77777777" w:rsidTr="004D555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Merge/>
          </w:tcPr>
          <w:p w14:paraId="3B37B1FD" w14:textId="77777777" w:rsidR="004D5550" w:rsidRPr="00050358" w:rsidRDefault="004D5550" w:rsidP="00050358"/>
        </w:tc>
        <w:tc>
          <w:tcPr>
            <w:cnfStyle w:val="000001000000" w:firstRow="0" w:lastRow="0" w:firstColumn="0" w:lastColumn="0" w:oddVBand="0" w:evenVBand="1" w:oddHBand="0" w:evenHBand="0" w:firstRowFirstColumn="0" w:firstRowLastColumn="0" w:lastRowFirstColumn="0" w:lastRowLastColumn="0"/>
            <w:tcW w:w="2268" w:type="dxa"/>
            <w:vMerge/>
          </w:tcPr>
          <w:p w14:paraId="62B417B7" w14:textId="77777777" w:rsidR="004D5550" w:rsidRPr="00050358" w:rsidRDefault="004D5550" w:rsidP="00050358"/>
        </w:tc>
        <w:tc>
          <w:tcPr>
            <w:cnfStyle w:val="000010000000" w:firstRow="0" w:lastRow="0" w:firstColumn="0" w:lastColumn="0" w:oddVBand="1" w:evenVBand="0" w:oddHBand="0" w:evenHBand="0" w:firstRowFirstColumn="0" w:firstRowLastColumn="0" w:lastRowFirstColumn="0" w:lastRowLastColumn="0"/>
            <w:tcW w:w="3472" w:type="dxa"/>
            <w:shd w:val="clear" w:color="auto" w:fill="002060"/>
          </w:tcPr>
          <w:p w14:paraId="31FEBB65" w14:textId="2F1BE05E" w:rsidR="004D5550" w:rsidRPr="004D5550" w:rsidRDefault="004D5550" w:rsidP="00050358">
            <w:pPr>
              <w:rPr>
                <w:b/>
                <w:bCs/>
              </w:rPr>
            </w:pPr>
            <w:r w:rsidRPr="004D5550">
              <w:rPr>
                <w:b/>
                <w:bCs/>
              </w:rPr>
              <w:t>From:</w:t>
            </w:r>
          </w:p>
        </w:tc>
        <w:tc>
          <w:tcPr>
            <w:cnfStyle w:val="000100000000" w:firstRow="0" w:lastRow="0" w:firstColumn="0" w:lastColumn="1" w:oddVBand="0" w:evenVBand="0" w:oddHBand="0" w:evenHBand="0" w:firstRowFirstColumn="0" w:firstRowLastColumn="0" w:lastRowFirstColumn="0" w:lastRowLastColumn="0"/>
            <w:tcW w:w="3473" w:type="dxa"/>
            <w:shd w:val="clear" w:color="auto" w:fill="002060"/>
          </w:tcPr>
          <w:p w14:paraId="1467EB75" w14:textId="644FD6BC" w:rsidR="004D5550" w:rsidRPr="004D5550" w:rsidRDefault="004D5550" w:rsidP="00050358">
            <w:pPr>
              <w:rPr>
                <w:b/>
                <w:bCs/>
              </w:rPr>
            </w:pPr>
            <w:r w:rsidRPr="004D5550">
              <w:rPr>
                <w:b/>
                <w:bCs/>
              </w:rPr>
              <w:t>To:</w:t>
            </w:r>
          </w:p>
        </w:tc>
      </w:tr>
      <w:tr w:rsidR="004D5550" w:rsidRPr="00050358" w14:paraId="14B0138C" w14:textId="77777777" w:rsidTr="007404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1C63D989" w14:textId="63D4F1A2" w:rsidR="004D5550" w:rsidRPr="00050358" w:rsidRDefault="004D5550" w:rsidP="004D5550">
            <w:r w:rsidRPr="00DC3077">
              <w:t>1</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3D9D235B" w14:textId="6616FC35" w:rsidR="004D5550" w:rsidRPr="00050358" w:rsidRDefault="004D5550" w:rsidP="004D5550">
            <w:r>
              <w:t>9</w:t>
            </w:r>
            <w:r w:rsidRPr="00DC3077">
              <w:t xml:space="preserve"> May 2005</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50621FF7" w14:textId="0B192BD0" w:rsidR="004D5550" w:rsidRPr="00050358" w:rsidRDefault="004D5550" w:rsidP="004D5550">
            <w:r>
              <w:t>9</w:t>
            </w:r>
            <w:r w:rsidRPr="00DC3077">
              <w:t xml:space="preserve"> May 2005</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5F7132A0" w14:textId="5BC58C62" w:rsidR="004D5550" w:rsidRPr="00050358" w:rsidRDefault="004D5550" w:rsidP="004D5550">
            <w:r w:rsidRPr="00DC3077">
              <w:t xml:space="preserve">30 </w:t>
            </w:r>
            <w:r>
              <w:t>September</w:t>
            </w:r>
            <w:r w:rsidRPr="00DC3077">
              <w:t xml:space="preserve"> 200</w:t>
            </w:r>
            <w:r>
              <w:t>5</w:t>
            </w:r>
          </w:p>
        </w:tc>
      </w:tr>
      <w:tr w:rsidR="004D5550" w:rsidRPr="00050358" w14:paraId="0AB8BBBB" w14:textId="77777777" w:rsidTr="007404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vAlign w:val="top"/>
          </w:tcPr>
          <w:p w14:paraId="41EA9928" w14:textId="1AD65D64" w:rsidR="004D5550" w:rsidRPr="00050358" w:rsidRDefault="004D5550" w:rsidP="004D5550">
            <w:r w:rsidRPr="00DC3077">
              <w:t>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vAlign w:val="top"/>
          </w:tcPr>
          <w:p w14:paraId="60026F51" w14:textId="2CC97A87" w:rsidR="004D5550" w:rsidRPr="00050358" w:rsidRDefault="004D5550" w:rsidP="004D5550">
            <w:r w:rsidRPr="003B62E8">
              <w:t>1 October 2005</w:t>
            </w:r>
          </w:p>
        </w:tc>
        <w:tc>
          <w:tcPr>
            <w:cnfStyle w:val="000010000000" w:firstRow="0" w:lastRow="0" w:firstColumn="0" w:lastColumn="0" w:oddVBand="1" w:evenVBand="0" w:oddHBand="0" w:evenHBand="0" w:firstRowFirstColumn="0" w:firstRowLastColumn="0" w:lastRowFirstColumn="0" w:lastRowLastColumn="0"/>
            <w:tcW w:w="3472" w:type="dxa"/>
            <w:tcBorders>
              <w:bottom w:val="nil"/>
            </w:tcBorders>
            <w:vAlign w:val="top"/>
          </w:tcPr>
          <w:p w14:paraId="587563D2" w14:textId="44A7788C" w:rsidR="004D5550" w:rsidRPr="00050358" w:rsidRDefault="004D5550" w:rsidP="004D5550">
            <w:r w:rsidRPr="003B62E8">
              <w:t>1 October 2005</w:t>
            </w:r>
          </w:p>
        </w:tc>
        <w:tc>
          <w:tcPr>
            <w:cnfStyle w:val="000100000000" w:firstRow="0" w:lastRow="0" w:firstColumn="0" w:lastColumn="1" w:oddVBand="0" w:evenVBand="0" w:oddHBand="0" w:evenHBand="0" w:firstRowFirstColumn="0" w:firstRowLastColumn="0" w:lastRowFirstColumn="0" w:lastRowLastColumn="0"/>
            <w:tcW w:w="3473" w:type="dxa"/>
            <w:tcBorders>
              <w:bottom w:val="nil"/>
            </w:tcBorders>
            <w:vAlign w:val="top"/>
          </w:tcPr>
          <w:p w14:paraId="2A83509F" w14:textId="67C870BE" w:rsidR="004D5550" w:rsidRPr="00050358" w:rsidRDefault="004D5550" w:rsidP="004D5550">
            <w:r w:rsidRPr="003B62E8">
              <w:t>19 January 2007</w:t>
            </w:r>
          </w:p>
        </w:tc>
      </w:tr>
      <w:tr w:rsidR="004D5550" w:rsidRPr="00050358" w14:paraId="5C500BEA" w14:textId="77777777" w:rsidTr="007404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6C06B1D9" w14:textId="486E6588" w:rsidR="004D5550" w:rsidRPr="00050358" w:rsidRDefault="004D5550" w:rsidP="004D5550">
            <w:r w:rsidRPr="00DC3077">
              <w:t>3</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57E1C585" w14:textId="4E3A001A" w:rsidR="004D5550" w:rsidRPr="00050358" w:rsidRDefault="004D5550" w:rsidP="004D5550">
            <w:r w:rsidRPr="003B62E8">
              <w:t>22 January 2007</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0B636A8B" w14:textId="0F9A19B8" w:rsidR="004D5550" w:rsidRPr="00050358" w:rsidRDefault="004D5550" w:rsidP="004D5550">
            <w:r w:rsidRPr="003B62E8">
              <w:t>22 January 2007</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7FFB0732" w14:textId="25D96284" w:rsidR="004D5550" w:rsidRPr="00050358" w:rsidRDefault="004D5550" w:rsidP="004D5550">
            <w:r w:rsidRPr="003B62E8">
              <w:t>31 December 2007</w:t>
            </w:r>
          </w:p>
        </w:tc>
      </w:tr>
      <w:tr w:rsidR="004D5550" w:rsidRPr="00050358" w14:paraId="0FA293B3" w14:textId="77777777" w:rsidTr="007404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441F141E" w14:textId="2222BC4A" w:rsidR="004D5550" w:rsidRPr="00050358" w:rsidRDefault="004D5550" w:rsidP="004D5550">
            <w:r w:rsidRPr="00DC3077">
              <w:t>4</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77539CE2" w14:textId="299E2A5E" w:rsidR="004D5550" w:rsidRPr="00050358" w:rsidRDefault="004D5550" w:rsidP="004D5550">
            <w:r w:rsidRPr="003B62E8">
              <w:t>20 February 2008</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5DB69012" w14:textId="1FA51E0C" w:rsidR="004D5550" w:rsidRPr="00050358" w:rsidRDefault="004D5550" w:rsidP="004D5550">
            <w:r w:rsidRPr="003B62E8">
              <w:t>1 January 2008</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3FC1FA0D" w14:textId="1C7E7FC3" w:rsidR="004D5550" w:rsidRPr="00050358" w:rsidRDefault="004D5550" w:rsidP="004D5550">
            <w:r w:rsidRPr="003B62E8">
              <w:t>3 May 2010</w:t>
            </w:r>
          </w:p>
        </w:tc>
      </w:tr>
      <w:tr w:rsidR="004D5550" w:rsidRPr="00050358" w14:paraId="5B5C700D" w14:textId="77777777" w:rsidTr="007404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174E9AE3" w14:textId="33CC1691" w:rsidR="004D5550" w:rsidRPr="00050358" w:rsidRDefault="004D5550" w:rsidP="004D5550">
            <w:r w:rsidRPr="00DC3077">
              <w:t>5</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3D98ADEA" w14:textId="378A77EB" w:rsidR="004D5550" w:rsidRPr="00050358" w:rsidRDefault="004D5550" w:rsidP="004D5550">
            <w:r w:rsidRPr="003B62E8">
              <w:t>5 May 2010</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2554AD5F" w14:textId="3BF827AB" w:rsidR="004D5550" w:rsidRPr="00050358" w:rsidRDefault="004D5550" w:rsidP="004D5550">
            <w:r w:rsidRPr="003B62E8">
              <w:t>4 May 2010</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3C8BD44D" w14:textId="3A169E11" w:rsidR="004D5550" w:rsidRPr="00050358" w:rsidRDefault="004D5550" w:rsidP="004D5550">
            <w:r w:rsidRPr="003B62E8">
              <w:t>30 June 2011</w:t>
            </w:r>
          </w:p>
        </w:tc>
      </w:tr>
      <w:tr w:rsidR="004D5550" w:rsidRPr="00050358" w14:paraId="32426189" w14:textId="77777777" w:rsidTr="007404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49759046" w14:textId="56273189" w:rsidR="004D5550" w:rsidRPr="00050358" w:rsidRDefault="004D5550" w:rsidP="004D5550">
            <w:r w:rsidRPr="00DC3077">
              <w:t>6</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3E2CBC8C" w14:textId="38A43354" w:rsidR="004D5550" w:rsidRPr="00050358" w:rsidRDefault="004D5550" w:rsidP="004D5550">
            <w:r w:rsidRPr="003B62E8">
              <w:t>1 July 2011</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554A2F02" w14:textId="10BACEF1" w:rsidR="004D5550" w:rsidRPr="00050358" w:rsidRDefault="004D5550" w:rsidP="004D5550">
            <w:r w:rsidRPr="003B62E8">
              <w:t>1 July 2011</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19FA4C00" w14:textId="69A1A214" w:rsidR="004D5550" w:rsidRPr="00050358" w:rsidRDefault="004D5550" w:rsidP="004D5550">
            <w:r w:rsidRPr="003B62E8">
              <w:t>3 December 2012</w:t>
            </w:r>
          </w:p>
        </w:tc>
      </w:tr>
      <w:tr w:rsidR="004D5550" w:rsidRPr="00050358" w14:paraId="095911D3" w14:textId="77777777" w:rsidTr="007404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3E4E1D67" w14:textId="0E520033" w:rsidR="004D5550" w:rsidRPr="00050358" w:rsidRDefault="004D5550" w:rsidP="004D5550">
            <w:r w:rsidRPr="00DC3077">
              <w:t>7</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55CAD062" w14:textId="7ADE6077" w:rsidR="004D5550" w:rsidRPr="00050358" w:rsidRDefault="004D5550" w:rsidP="004D5550">
            <w:r w:rsidRPr="003B62E8">
              <w:t>7 December 2012</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60A922E1" w14:textId="78D3D1BF" w:rsidR="004D5550" w:rsidRPr="00050358" w:rsidRDefault="004D5550" w:rsidP="004D5550">
            <w:r w:rsidRPr="003B62E8">
              <w:t>4 December 2012</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53AC056D" w14:textId="71228F95" w:rsidR="004D5550" w:rsidRPr="00050358" w:rsidRDefault="004D5550" w:rsidP="004D5550">
            <w:r w:rsidRPr="003B62E8">
              <w:t>23 May 2016</w:t>
            </w:r>
          </w:p>
        </w:tc>
      </w:tr>
      <w:tr w:rsidR="004D5550" w:rsidRPr="00050358" w14:paraId="5ED759A8" w14:textId="77777777" w:rsidTr="007404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39E03EFD" w14:textId="4027C16C" w:rsidR="004D5550" w:rsidRPr="00050358" w:rsidRDefault="004D5550" w:rsidP="004D5550">
            <w:r w:rsidRPr="00DC3077">
              <w:t>8</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6ADD3704" w14:textId="50342061" w:rsidR="004D5550" w:rsidRPr="00050358" w:rsidRDefault="004D5550" w:rsidP="004D5550">
            <w:r w:rsidRPr="003B62E8">
              <w:t>24 May 2016</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43947CC1" w14:textId="55EB496E" w:rsidR="004D5550" w:rsidRPr="00050358" w:rsidRDefault="004D5550" w:rsidP="004D5550">
            <w:r w:rsidRPr="003B62E8">
              <w:t>24 May 2016</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3282CBF6" w14:textId="3E6CD601" w:rsidR="004D5550" w:rsidRPr="00050358" w:rsidRDefault="004D5550" w:rsidP="004D5550">
            <w:r>
              <w:t>30 June 2024</w:t>
            </w:r>
          </w:p>
        </w:tc>
      </w:tr>
      <w:tr w:rsidR="004D5550" w:rsidRPr="00050358" w14:paraId="4D16E038" w14:textId="77777777" w:rsidTr="007404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727A9C96" w14:textId="39209CB4" w:rsidR="004D5550" w:rsidRPr="00050358" w:rsidRDefault="004D5550" w:rsidP="004D5550">
            <w:r>
              <w:t>9</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64D61276" w14:textId="1709708B" w:rsidR="004D5550" w:rsidRPr="00050358" w:rsidRDefault="00BB5F78" w:rsidP="004D5550">
            <w:r w:rsidRPr="001C551C">
              <w:t>1 July 2024</w:t>
            </w:r>
          </w:p>
        </w:tc>
        <w:tc>
          <w:tcPr>
            <w:cnfStyle w:val="000010000000" w:firstRow="0" w:lastRow="0" w:firstColumn="0" w:lastColumn="0" w:oddVBand="1" w:evenVBand="0" w:oddHBand="0" w:evenHBand="0" w:firstRowFirstColumn="0" w:firstRowLastColumn="0" w:lastRowFirstColumn="0" w:lastRowLastColumn="0"/>
            <w:tcW w:w="3472" w:type="dxa"/>
            <w:vAlign w:val="top"/>
          </w:tcPr>
          <w:p w14:paraId="038F2F55" w14:textId="705AC46B" w:rsidR="004D5550" w:rsidRPr="00050358" w:rsidRDefault="004D5550" w:rsidP="004D5550">
            <w:r>
              <w:t>1 July 2024</w:t>
            </w:r>
          </w:p>
        </w:tc>
        <w:tc>
          <w:tcPr>
            <w:cnfStyle w:val="000100000000" w:firstRow="0" w:lastRow="0" w:firstColumn="0" w:lastColumn="1" w:oddVBand="0" w:evenVBand="0" w:oddHBand="0" w:evenHBand="0" w:firstRowFirstColumn="0" w:firstRowLastColumn="0" w:lastRowFirstColumn="0" w:lastRowLastColumn="0"/>
            <w:tcW w:w="3473" w:type="dxa"/>
            <w:vAlign w:val="top"/>
          </w:tcPr>
          <w:p w14:paraId="27178A06" w14:textId="652E37D4" w:rsidR="004D5550" w:rsidRPr="00050358" w:rsidRDefault="004D5550" w:rsidP="004D5550">
            <w:r>
              <w:t>Current</w:t>
            </w:r>
          </w:p>
        </w:tc>
      </w:tr>
    </w:tbl>
    <w:p w14:paraId="05E5E881" w14:textId="77777777" w:rsidR="003223FE" w:rsidRDefault="003223FE" w:rsidP="00702D61"/>
    <w:tbl>
      <w:tblPr>
        <w:tblStyle w:val="NTGtable1"/>
        <w:tblW w:w="10341" w:type="dxa"/>
        <w:tblLayout w:type="fixed"/>
        <w:tblLook w:val="0120" w:firstRow="1" w:lastRow="0" w:firstColumn="0" w:lastColumn="1" w:noHBand="0" w:noVBand="0"/>
      </w:tblPr>
      <w:tblGrid>
        <w:gridCol w:w="2122"/>
        <w:gridCol w:w="8219"/>
      </w:tblGrid>
      <w:tr w:rsidR="003223FE" w:rsidRPr="00E87DE1" w14:paraId="40D9B130" w14:textId="77777777" w:rsidTr="001C551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60153DD5"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219" w:type="dxa"/>
          </w:tcPr>
          <w:p w14:paraId="29F1EB39"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1F2DE9" w:rsidRPr="00E87DE1" w14:paraId="067A485B" w14:textId="77777777" w:rsidTr="001C55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5EE33C60" w14:textId="77777777" w:rsidR="001F2DE9" w:rsidRPr="00050358" w:rsidRDefault="001F2DE9" w:rsidP="00050358">
            <w:r>
              <w:t>MRA24</w:t>
            </w:r>
          </w:p>
        </w:tc>
        <w:tc>
          <w:tcPr>
            <w:cnfStyle w:val="000100000000" w:firstRow="0" w:lastRow="0" w:firstColumn="0" w:lastColumn="1" w:oddVBand="0" w:evenVBand="0" w:oddHBand="0" w:evenHBand="0" w:firstRowFirstColumn="0" w:firstRowLastColumn="0" w:lastRowFirstColumn="0" w:lastRowLastColumn="0"/>
            <w:tcW w:w="8219" w:type="dxa"/>
          </w:tcPr>
          <w:p w14:paraId="4E900771" w14:textId="11635D43" w:rsidR="001F2DE9" w:rsidRPr="001F2DE9" w:rsidRDefault="001F2DE9" w:rsidP="00050358">
            <w:pPr>
              <w:rPr>
                <w:i/>
                <w:iCs/>
              </w:rPr>
            </w:pPr>
            <w:r>
              <w:rPr>
                <w:i/>
                <w:iCs/>
              </w:rPr>
              <w:t xml:space="preserve">Mineral </w:t>
            </w:r>
            <w:r w:rsidR="00C13AB8">
              <w:rPr>
                <w:i/>
                <w:iCs/>
              </w:rPr>
              <w:t>R</w:t>
            </w:r>
            <w:r>
              <w:rPr>
                <w:i/>
                <w:iCs/>
              </w:rPr>
              <w:t>oyalties Act 2024</w:t>
            </w:r>
          </w:p>
        </w:tc>
      </w:tr>
      <w:tr w:rsidR="001F2DE9" w:rsidRPr="00E87DE1" w14:paraId="611EBFD3" w14:textId="77777777" w:rsidTr="001C55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1C36776B" w14:textId="77777777" w:rsidR="001F2DE9" w:rsidRPr="00050358" w:rsidRDefault="001F2DE9" w:rsidP="00050358">
            <w:r>
              <w:t>PRA</w:t>
            </w:r>
          </w:p>
        </w:tc>
        <w:tc>
          <w:tcPr>
            <w:cnfStyle w:val="000100000000" w:firstRow="0" w:lastRow="0" w:firstColumn="0" w:lastColumn="1" w:oddVBand="0" w:evenVBand="0" w:oddHBand="0" w:evenHBand="0" w:firstRowFirstColumn="0" w:firstRowLastColumn="0" w:lastRowFirstColumn="0" w:lastRowLastColumn="0"/>
            <w:tcW w:w="8219" w:type="dxa"/>
          </w:tcPr>
          <w:p w14:paraId="70900BBA" w14:textId="77777777" w:rsidR="001F2DE9" w:rsidRPr="001F2DE9" w:rsidRDefault="001F2DE9" w:rsidP="00050358">
            <w:pPr>
              <w:rPr>
                <w:i/>
                <w:iCs/>
              </w:rPr>
            </w:pPr>
            <w:r>
              <w:rPr>
                <w:i/>
                <w:iCs/>
              </w:rPr>
              <w:t>Petroleum Royalty Act 2023</w:t>
            </w:r>
          </w:p>
        </w:tc>
      </w:tr>
      <w:tr w:rsidR="001F2DE9" w:rsidRPr="00E87DE1" w14:paraId="4973B5A8" w14:textId="77777777" w:rsidTr="001C55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73B1F929" w14:textId="77777777" w:rsidR="001F2DE9" w:rsidRDefault="001F2DE9" w:rsidP="001F2DE9">
            <w:r>
              <w:t>PTA</w:t>
            </w:r>
          </w:p>
        </w:tc>
        <w:tc>
          <w:tcPr>
            <w:cnfStyle w:val="000100000000" w:firstRow="0" w:lastRow="0" w:firstColumn="0" w:lastColumn="1" w:oddVBand="0" w:evenVBand="0" w:oddHBand="0" w:evenHBand="0" w:firstRowFirstColumn="0" w:firstRowLastColumn="0" w:lastRowFirstColumn="0" w:lastRowLastColumn="0"/>
            <w:tcW w:w="8219" w:type="dxa"/>
          </w:tcPr>
          <w:p w14:paraId="0DB08F3C" w14:textId="77777777" w:rsidR="001F2DE9" w:rsidRPr="00050358" w:rsidRDefault="001F2DE9" w:rsidP="001F2DE9">
            <w:r>
              <w:rPr>
                <w:i/>
                <w:iCs/>
              </w:rPr>
              <w:t>Payroll Tax Act 2009</w:t>
            </w:r>
          </w:p>
        </w:tc>
      </w:tr>
      <w:tr w:rsidR="001F2DE9" w:rsidRPr="00E87DE1" w14:paraId="48A0D015" w14:textId="77777777" w:rsidTr="001C55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770CC518" w14:textId="77777777" w:rsidR="001F2DE9" w:rsidRDefault="001F2DE9" w:rsidP="00050358">
            <w:r>
              <w:t>SDA</w:t>
            </w:r>
          </w:p>
        </w:tc>
        <w:tc>
          <w:tcPr>
            <w:cnfStyle w:val="000100000000" w:firstRow="0" w:lastRow="0" w:firstColumn="0" w:lastColumn="1" w:oddVBand="0" w:evenVBand="0" w:oddHBand="0" w:evenHBand="0" w:firstRowFirstColumn="0" w:firstRowLastColumn="0" w:lastRowFirstColumn="0" w:lastRowLastColumn="0"/>
            <w:tcW w:w="8219" w:type="dxa"/>
          </w:tcPr>
          <w:p w14:paraId="3FF22C78" w14:textId="77777777" w:rsidR="001F2DE9" w:rsidRPr="001F2DE9" w:rsidRDefault="001F2DE9" w:rsidP="00050358">
            <w:pPr>
              <w:rPr>
                <w:i/>
                <w:iCs/>
              </w:rPr>
            </w:pPr>
            <w:r>
              <w:rPr>
                <w:i/>
                <w:iCs/>
              </w:rPr>
              <w:t>Stamp Duty Act 1978</w:t>
            </w:r>
          </w:p>
        </w:tc>
      </w:tr>
      <w:tr w:rsidR="001F2DE9" w:rsidRPr="00E87DE1" w14:paraId="7C0F671D" w14:textId="77777777" w:rsidTr="001C55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5C5BA353" w14:textId="77777777" w:rsidR="001F2DE9" w:rsidRPr="00050358" w:rsidRDefault="001F2DE9" w:rsidP="00050358">
            <w:r>
              <w:t>TAA</w:t>
            </w:r>
          </w:p>
        </w:tc>
        <w:tc>
          <w:tcPr>
            <w:cnfStyle w:val="000100000000" w:firstRow="0" w:lastRow="0" w:firstColumn="0" w:lastColumn="1" w:oddVBand="0" w:evenVBand="0" w:oddHBand="0" w:evenHBand="0" w:firstRowFirstColumn="0" w:firstRowLastColumn="0" w:lastRowFirstColumn="0" w:lastRowLastColumn="0"/>
            <w:tcW w:w="8219" w:type="dxa"/>
          </w:tcPr>
          <w:p w14:paraId="42957DFF" w14:textId="77777777" w:rsidR="001F2DE9" w:rsidRPr="001F2DE9" w:rsidRDefault="001F2DE9" w:rsidP="00050358">
            <w:pPr>
              <w:rPr>
                <w:i/>
                <w:iCs/>
              </w:rPr>
            </w:pPr>
            <w:r>
              <w:rPr>
                <w:i/>
                <w:iCs/>
              </w:rPr>
              <w:t>Taxation Administration Act 2007</w:t>
            </w:r>
          </w:p>
        </w:tc>
      </w:tr>
      <w:tr w:rsidR="001F2DE9" w:rsidRPr="00E87DE1" w14:paraId="08EA0941" w14:textId="77777777" w:rsidTr="001C55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75F3CEAD" w14:textId="77777777" w:rsidR="001F2DE9" w:rsidRDefault="001F2DE9" w:rsidP="001F2DE9">
            <w:r>
              <w:t xml:space="preserve">The Commissioner </w:t>
            </w:r>
          </w:p>
        </w:tc>
        <w:tc>
          <w:tcPr>
            <w:cnfStyle w:val="000100000000" w:firstRow="0" w:lastRow="0" w:firstColumn="0" w:lastColumn="1" w:oddVBand="0" w:evenVBand="0" w:oddHBand="0" w:evenHBand="0" w:firstRowFirstColumn="0" w:firstRowLastColumn="0" w:lastRowFirstColumn="0" w:lastRowLastColumn="0"/>
            <w:tcW w:w="8219" w:type="dxa"/>
          </w:tcPr>
          <w:p w14:paraId="254CA887" w14:textId="77777777" w:rsidR="001F2DE9" w:rsidRPr="00050358" w:rsidRDefault="001F2DE9" w:rsidP="001F2DE9">
            <w:r>
              <w:t>Commissioner of Territory Revenue</w:t>
            </w:r>
          </w:p>
        </w:tc>
      </w:tr>
      <w:tr w:rsidR="001F2DE9" w:rsidRPr="00E87DE1" w14:paraId="6F7C46E3" w14:textId="77777777" w:rsidTr="001C55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1571BDA9" w14:textId="77777777" w:rsidR="001F2DE9" w:rsidRPr="00050358" w:rsidRDefault="001F2DE9" w:rsidP="00050358">
            <w:r>
              <w:t>TRO</w:t>
            </w:r>
          </w:p>
        </w:tc>
        <w:tc>
          <w:tcPr>
            <w:cnfStyle w:val="000100000000" w:firstRow="0" w:lastRow="0" w:firstColumn="0" w:lastColumn="1" w:oddVBand="0" w:evenVBand="0" w:oddHBand="0" w:evenHBand="0" w:firstRowFirstColumn="0" w:firstRowLastColumn="0" w:lastRowFirstColumn="0" w:lastRowLastColumn="0"/>
            <w:tcW w:w="8219" w:type="dxa"/>
          </w:tcPr>
          <w:p w14:paraId="4785B4F7" w14:textId="77777777" w:rsidR="001F2DE9" w:rsidRPr="00050358" w:rsidRDefault="001F2DE9" w:rsidP="00050358">
            <w:r>
              <w:t>Territory Revenue Office</w:t>
            </w:r>
          </w:p>
        </w:tc>
      </w:tr>
    </w:tbl>
    <w:p w14:paraId="06858C84"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C6C67B0" w14:textId="77777777" w:rsidR="00964B22" w:rsidRPr="00422874" w:rsidRDefault="00964B22" w:rsidP="00F479D5">
          <w:pPr>
            <w:pStyle w:val="TOCHeading"/>
            <w:tabs>
              <w:tab w:val="left" w:pos="8601"/>
            </w:tabs>
            <w:rPr>
              <w:lang w:eastAsia="ja-JP"/>
            </w:rPr>
          </w:pPr>
          <w:r w:rsidRPr="00422874">
            <w:t>Contents</w:t>
          </w:r>
        </w:p>
        <w:p w14:paraId="3E3312B7" w14:textId="48D26462" w:rsidR="004D5550"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69514552" w:history="1">
            <w:r w:rsidR="004D5550" w:rsidRPr="00216C67">
              <w:rPr>
                <w:rStyle w:val="Hyperlink"/>
                <w:noProof/>
              </w:rPr>
              <w:t>Purpose</w:t>
            </w:r>
            <w:r w:rsidR="004D5550">
              <w:rPr>
                <w:noProof/>
                <w:webHidden/>
              </w:rPr>
              <w:tab/>
            </w:r>
            <w:r w:rsidR="004D5550">
              <w:rPr>
                <w:noProof/>
                <w:webHidden/>
              </w:rPr>
              <w:fldChar w:fldCharType="begin"/>
            </w:r>
            <w:r w:rsidR="004D5550">
              <w:rPr>
                <w:noProof/>
                <w:webHidden/>
              </w:rPr>
              <w:instrText xml:space="preserve"> PAGEREF _Toc169514552 \h </w:instrText>
            </w:r>
            <w:r w:rsidR="004D5550">
              <w:rPr>
                <w:noProof/>
                <w:webHidden/>
              </w:rPr>
            </w:r>
            <w:r w:rsidR="004D5550">
              <w:rPr>
                <w:noProof/>
                <w:webHidden/>
              </w:rPr>
              <w:fldChar w:fldCharType="separate"/>
            </w:r>
            <w:r w:rsidR="004D5550">
              <w:rPr>
                <w:noProof/>
                <w:webHidden/>
              </w:rPr>
              <w:t>4</w:t>
            </w:r>
            <w:r w:rsidR="004D5550">
              <w:rPr>
                <w:noProof/>
                <w:webHidden/>
              </w:rPr>
              <w:fldChar w:fldCharType="end"/>
            </w:r>
          </w:hyperlink>
        </w:p>
        <w:p w14:paraId="4861C993" w14:textId="35F2BF1F" w:rsidR="004D5550" w:rsidRDefault="007B1E55">
          <w:pPr>
            <w:pStyle w:val="TOC1"/>
            <w:rPr>
              <w:rFonts w:asciiTheme="minorHAnsi" w:eastAsiaTheme="minorEastAsia" w:hAnsiTheme="minorHAnsi" w:cstheme="minorBidi"/>
              <w:b w:val="0"/>
              <w:noProof/>
              <w:kern w:val="2"/>
              <w:lang w:eastAsia="en-AU"/>
              <w14:ligatures w14:val="standardContextual"/>
            </w:rPr>
          </w:pPr>
          <w:hyperlink w:anchor="_Toc169514553" w:history="1">
            <w:r w:rsidR="004D5550" w:rsidRPr="00216C67">
              <w:rPr>
                <w:rStyle w:val="Hyperlink"/>
                <w:noProof/>
              </w:rPr>
              <w:t>Role of interest and penalty tax</w:t>
            </w:r>
            <w:r w:rsidR="004D5550">
              <w:rPr>
                <w:noProof/>
                <w:webHidden/>
              </w:rPr>
              <w:tab/>
            </w:r>
            <w:r w:rsidR="004D5550">
              <w:rPr>
                <w:noProof/>
                <w:webHidden/>
              </w:rPr>
              <w:fldChar w:fldCharType="begin"/>
            </w:r>
            <w:r w:rsidR="004D5550">
              <w:rPr>
                <w:noProof/>
                <w:webHidden/>
              </w:rPr>
              <w:instrText xml:space="preserve"> PAGEREF _Toc169514553 \h </w:instrText>
            </w:r>
            <w:r w:rsidR="004D5550">
              <w:rPr>
                <w:noProof/>
                <w:webHidden/>
              </w:rPr>
            </w:r>
            <w:r w:rsidR="004D5550">
              <w:rPr>
                <w:noProof/>
                <w:webHidden/>
              </w:rPr>
              <w:fldChar w:fldCharType="separate"/>
            </w:r>
            <w:r w:rsidR="004D5550">
              <w:rPr>
                <w:noProof/>
                <w:webHidden/>
              </w:rPr>
              <w:t>4</w:t>
            </w:r>
            <w:r w:rsidR="004D5550">
              <w:rPr>
                <w:noProof/>
                <w:webHidden/>
              </w:rPr>
              <w:fldChar w:fldCharType="end"/>
            </w:r>
          </w:hyperlink>
        </w:p>
        <w:p w14:paraId="6A7EF719" w14:textId="17E51DCF"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54" w:history="1">
            <w:r w:rsidR="004D5550" w:rsidRPr="00216C67">
              <w:rPr>
                <w:rStyle w:val="Hyperlink"/>
                <w:noProof/>
              </w:rPr>
              <w:t>Liability to interest and penalty tax arises from a tax default</w:t>
            </w:r>
            <w:r w:rsidR="004D5550">
              <w:rPr>
                <w:noProof/>
                <w:webHidden/>
              </w:rPr>
              <w:tab/>
            </w:r>
            <w:r w:rsidR="004D5550">
              <w:rPr>
                <w:noProof/>
                <w:webHidden/>
              </w:rPr>
              <w:fldChar w:fldCharType="begin"/>
            </w:r>
            <w:r w:rsidR="004D5550">
              <w:rPr>
                <w:noProof/>
                <w:webHidden/>
              </w:rPr>
              <w:instrText xml:space="preserve"> PAGEREF _Toc169514554 \h </w:instrText>
            </w:r>
            <w:r w:rsidR="004D5550">
              <w:rPr>
                <w:noProof/>
                <w:webHidden/>
              </w:rPr>
            </w:r>
            <w:r w:rsidR="004D5550">
              <w:rPr>
                <w:noProof/>
                <w:webHidden/>
              </w:rPr>
              <w:fldChar w:fldCharType="separate"/>
            </w:r>
            <w:r w:rsidR="004D5550">
              <w:rPr>
                <w:noProof/>
                <w:webHidden/>
              </w:rPr>
              <w:t>4</w:t>
            </w:r>
            <w:r w:rsidR="004D5550">
              <w:rPr>
                <w:noProof/>
                <w:webHidden/>
              </w:rPr>
              <w:fldChar w:fldCharType="end"/>
            </w:r>
          </w:hyperlink>
        </w:p>
        <w:p w14:paraId="23DA6D19" w14:textId="090B1454" w:rsidR="004D5550" w:rsidRDefault="007B1E55">
          <w:pPr>
            <w:pStyle w:val="TOC1"/>
            <w:rPr>
              <w:rFonts w:asciiTheme="minorHAnsi" w:eastAsiaTheme="minorEastAsia" w:hAnsiTheme="minorHAnsi" w:cstheme="minorBidi"/>
              <w:b w:val="0"/>
              <w:noProof/>
              <w:kern w:val="2"/>
              <w:lang w:eastAsia="en-AU"/>
              <w14:ligatures w14:val="standardContextual"/>
            </w:rPr>
          </w:pPr>
          <w:hyperlink w:anchor="_Toc169514555" w:history="1">
            <w:r w:rsidR="004D5550" w:rsidRPr="00216C67">
              <w:rPr>
                <w:rStyle w:val="Hyperlink"/>
                <w:noProof/>
              </w:rPr>
              <w:t>Interest</w:t>
            </w:r>
            <w:r w:rsidR="004D5550">
              <w:rPr>
                <w:noProof/>
                <w:webHidden/>
              </w:rPr>
              <w:tab/>
            </w:r>
            <w:r w:rsidR="004D5550">
              <w:rPr>
                <w:noProof/>
                <w:webHidden/>
              </w:rPr>
              <w:fldChar w:fldCharType="begin"/>
            </w:r>
            <w:r w:rsidR="004D5550">
              <w:rPr>
                <w:noProof/>
                <w:webHidden/>
              </w:rPr>
              <w:instrText xml:space="preserve"> PAGEREF _Toc169514555 \h </w:instrText>
            </w:r>
            <w:r w:rsidR="004D5550">
              <w:rPr>
                <w:noProof/>
                <w:webHidden/>
              </w:rPr>
            </w:r>
            <w:r w:rsidR="004D5550">
              <w:rPr>
                <w:noProof/>
                <w:webHidden/>
              </w:rPr>
              <w:fldChar w:fldCharType="separate"/>
            </w:r>
            <w:r w:rsidR="004D5550">
              <w:rPr>
                <w:noProof/>
                <w:webHidden/>
              </w:rPr>
              <w:t>5</w:t>
            </w:r>
            <w:r w:rsidR="004D5550">
              <w:rPr>
                <w:noProof/>
                <w:webHidden/>
              </w:rPr>
              <w:fldChar w:fldCharType="end"/>
            </w:r>
          </w:hyperlink>
        </w:p>
        <w:p w14:paraId="0D982AF5" w14:textId="320F164D"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56" w:history="1">
            <w:r w:rsidR="004D5550" w:rsidRPr="00216C67">
              <w:rPr>
                <w:rStyle w:val="Hyperlink"/>
                <w:noProof/>
              </w:rPr>
              <w:t>Calculating interest generally</w:t>
            </w:r>
            <w:r w:rsidR="004D5550">
              <w:rPr>
                <w:noProof/>
                <w:webHidden/>
              </w:rPr>
              <w:tab/>
            </w:r>
            <w:r w:rsidR="004D5550">
              <w:rPr>
                <w:noProof/>
                <w:webHidden/>
              </w:rPr>
              <w:fldChar w:fldCharType="begin"/>
            </w:r>
            <w:r w:rsidR="004D5550">
              <w:rPr>
                <w:noProof/>
                <w:webHidden/>
              </w:rPr>
              <w:instrText xml:space="preserve"> PAGEREF _Toc169514556 \h </w:instrText>
            </w:r>
            <w:r w:rsidR="004D5550">
              <w:rPr>
                <w:noProof/>
                <w:webHidden/>
              </w:rPr>
            </w:r>
            <w:r w:rsidR="004D5550">
              <w:rPr>
                <w:noProof/>
                <w:webHidden/>
              </w:rPr>
              <w:fldChar w:fldCharType="separate"/>
            </w:r>
            <w:r w:rsidR="004D5550">
              <w:rPr>
                <w:noProof/>
                <w:webHidden/>
              </w:rPr>
              <w:t>5</w:t>
            </w:r>
            <w:r w:rsidR="004D5550">
              <w:rPr>
                <w:noProof/>
                <w:webHidden/>
              </w:rPr>
              <w:fldChar w:fldCharType="end"/>
            </w:r>
          </w:hyperlink>
        </w:p>
        <w:p w14:paraId="21B4A870" w14:textId="7B843723"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57" w:history="1">
            <w:r w:rsidR="004D5550" w:rsidRPr="00216C67">
              <w:rPr>
                <w:rStyle w:val="Hyperlink"/>
                <w:noProof/>
              </w:rPr>
              <w:t>Calculating interest on tax paid on a periodic basis (returns-based taxes)</w:t>
            </w:r>
            <w:r w:rsidR="004D5550">
              <w:rPr>
                <w:noProof/>
                <w:webHidden/>
              </w:rPr>
              <w:tab/>
            </w:r>
            <w:r w:rsidR="004D5550">
              <w:rPr>
                <w:noProof/>
                <w:webHidden/>
              </w:rPr>
              <w:fldChar w:fldCharType="begin"/>
            </w:r>
            <w:r w:rsidR="004D5550">
              <w:rPr>
                <w:noProof/>
                <w:webHidden/>
              </w:rPr>
              <w:instrText xml:space="preserve"> PAGEREF _Toc169514557 \h </w:instrText>
            </w:r>
            <w:r w:rsidR="004D5550">
              <w:rPr>
                <w:noProof/>
                <w:webHidden/>
              </w:rPr>
            </w:r>
            <w:r w:rsidR="004D5550">
              <w:rPr>
                <w:noProof/>
                <w:webHidden/>
              </w:rPr>
              <w:fldChar w:fldCharType="separate"/>
            </w:r>
            <w:r w:rsidR="004D5550">
              <w:rPr>
                <w:noProof/>
                <w:webHidden/>
              </w:rPr>
              <w:t>5</w:t>
            </w:r>
            <w:r w:rsidR="004D5550">
              <w:rPr>
                <w:noProof/>
                <w:webHidden/>
              </w:rPr>
              <w:fldChar w:fldCharType="end"/>
            </w:r>
          </w:hyperlink>
        </w:p>
        <w:p w14:paraId="2AAE8357" w14:textId="6A4DA1C1"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58" w:history="1">
            <w:r w:rsidR="004D5550" w:rsidRPr="00216C67">
              <w:rPr>
                <w:rStyle w:val="Hyperlink"/>
                <w:noProof/>
              </w:rPr>
              <w:t>Interest calculated from mid-point of financial year</w:t>
            </w:r>
            <w:r w:rsidR="004D5550">
              <w:rPr>
                <w:noProof/>
                <w:webHidden/>
              </w:rPr>
              <w:tab/>
            </w:r>
            <w:r w:rsidR="004D5550">
              <w:rPr>
                <w:noProof/>
                <w:webHidden/>
              </w:rPr>
              <w:fldChar w:fldCharType="begin"/>
            </w:r>
            <w:r w:rsidR="004D5550">
              <w:rPr>
                <w:noProof/>
                <w:webHidden/>
              </w:rPr>
              <w:instrText xml:space="preserve"> PAGEREF _Toc169514558 \h </w:instrText>
            </w:r>
            <w:r w:rsidR="004D5550">
              <w:rPr>
                <w:noProof/>
                <w:webHidden/>
              </w:rPr>
            </w:r>
            <w:r w:rsidR="004D5550">
              <w:rPr>
                <w:noProof/>
                <w:webHidden/>
              </w:rPr>
              <w:fldChar w:fldCharType="separate"/>
            </w:r>
            <w:r w:rsidR="004D5550">
              <w:rPr>
                <w:noProof/>
                <w:webHidden/>
              </w:rPr>
              <w:t>5</w:t>
            </w:r>
            <w:r w:rsidR="004D5550">
              <w:rPr>
                <w:noProof/>
                <w:webHidden/>
              </w:rPr>
              <w:fldChar w:fldCharType="end"/>
            </w:r>
          </w:hyperlink>
        </w:p>
        <w:p w14:paraId="03F1725B" w14:textId="65315BF0"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59" w:history="1">
            <w:r w:rsidR="004D5550" w:rsidRPr="00216C67">
              <w:rPr>
                <w:rStyle w:val="Hyperlink"/>
                <w:noProof/>
              </w:rPr>
              <w:t>Crediting refunds before calculating interest</w:t>
            </w:r>
            <w:r w:rsidR="004D5550">
              <w:rPr>
                <w:noProof/>
                <w:webHidden/>
              </w:rPr>
              <w:tab/>
            </w:r>
            <w:r w:rsidR="004D5550">
              <w:rPr>
                <w:noProof/>
                <w:webHidden/>
              </w:rPr>
              <w:fldChar w:fldCharType="begin"/>
            </w:r>
            <w:r w:rsidR="004D5550">
              <w:rPr>
                <w:noProof/>
                <w:webHidden/>
              </w:rPr>
              <w:instrText xml:space="preserve"> PAGEREF _Toc169514559 \h </w:instrText>
            </w:r>
            <w:r w:rsidR="004D5550">
              <w:rPr>
                <w:noProof/>
                <w:webHidden/>
              </w:rPr>
            </w:r>
            <w:r w:rsidR="004D5550">
              <w:rPr>
                <w:noProof/>
                <w:webHidden/>
              </w:rPr>
              <w:fldChar w:fldCharType="separate"/>
            </w:r>
            <w:r w:rsidR="004D5550">
              <w:rPr>
                <w:noProof/>
                <w:webHidden/>
              </w:rPr>
              <w:t>6</w:t>
            </w:r>
            <w:r w:rsidR="004D5550">
              <w:rPr>
                <w:noProof/>
                <w:webHidden/>
              </w:rPr>
              <w:fldChar w:fldCharType="end"/>
            </w:r>
          </w:hyperlink>
        </w:p>
        <w:p w14:paraId="60BCC70D" w14:textId="7230DFAB"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60" w:history="1">
            <w:r w:rsidR="004D5550" w:rsidRPr="00216C67">
              <w:rPr>
                <w:rStyle w:val="Hyperlink"/>
                <w:noProof/>
              </w:rPr>
              <w:t>Remission of interest</w:t>
            </w:r>
            <w:r w:rsidR="004D5550">
              <w:rPr>
                <w:noProof/>
                <w:webHidden/>
              </w:rPr>
              <w:tab/>
            </w:r>
            <w:r w:rsidR="004D5550">
              <w:rPr>
                <w:noProof/>
                <w:webHidden/>
              </w:rPr>
              <w:fldChar w:fldCharType="begin"/>
            </w:r>
            <w:r w:rsidR="004D5550">
              <w:rPr>
                <w:noProof/>
                <w:webHidden/>
              </w:rPr>
              <w:instrText xml:space="preserve"> PAGEREF _Toc169514560 \h </w:instrText>
            </w:r>
            <w:r w:rsidR="004D5550">
              <w:rPr>
                <w:noProof/>
                <w:webHidden/>
              </w:rPr>
            </w:r>
            <w:r w:rsidR="004D5550">
              <w:rPr>
                <w:noProof/>
                <w:webHidden/>
              </w:rPr>
              <w:fldChar w:fldCharType="separate"/>
            </w:r>
            <w:r w:rsidR="004D5550">
              <w:rPr>
                <w:noProof/>
                <w:webHidden/>
              </w:rPr>
              <w:t>6</w:t>
            </w:r>
            <w:r w:rsidR="004D5550">
              <w:rPr>
                <w:noProof/>
                <w:webHidden/>
              </w:rPr>
              <w:fldChar w:fldCharType="end"/>
            </w:r>
          </w:hyperlink>
        </w:p>
        <w:p w14:paraId="452D2E31" w14:textId="42535658"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61" w:history="1">
            <w:r w:rsidR="004D5550" w:rsidRPr="00216C67">
              <w:rPr>
                <w:rStyle w:val="Hyperlink"/>
                <w:noProof/>
              </w:rPr>
              <w:t>Statutory interest rate is payable on judgment debts</w:t>
            </w:r>
            <w:r w:rsidR="004D5550">
              <w:rPr>
                <w:noProof/>
                <w:webHidden/>
              </w:rPr>
              <w:tab/>
            </w:r>
            <w:r w:rsidR="004D5550">
              <w:rPr>
                <w:noProof/>
                <w:webHidden/>
              </w:rPr>
              <w:fldChar w:fldCharType="begin"/>
            </w:r>
            <w:r w:rsidR="004D5550">
              <w:rPr>
                <w:noProof/>
                <w:webHidden/>
              </w:rPr>
              <w:instrText xml:space="preserve"> PAGEREF _Toc169514561 \h </w:instrText>
            </w:r>
            <w:r w:rsidR="004D5550">
              <w:rPr>
                <w:noProof/>
                <w:webHidden/>
              </w:rPr>
            </w:r>
            <w:r w:rsidR="004D5550">
              <w:rPr>
                <w:noProof/>
                <w:webHidden/>
              </w:rPr>
              <w:fldChar w:fldCharType="separate"/>
            </w:r>
            <w:r w:rsidR="004D5550">
              <w:rPr>
                <w:noProof/>
                <w:webHidden/>
              </w:rPr>
              <w:t>7</w:t>
            </w:r>
            <w:r w:rsidR="004D5550">
              <w:rPr>
                <w:noProof/>
                <w:webHidden/>
              </w:rPr>
              <w:fldChar w:fldCharType="end"/>
            </w:r>
          </w:hyperlink>
        </w:p>
        <w:p w14:paraId="7151D9ED" w14:textId="52217490" w:rsidR="004D5550" w:rsidRDefault="007B1E55">
          <w:pPr>
            <w:pStyle w:val="TOC1"/>
            <w:rPr>
              <w:rFonts w:asciiTheme="minorHAnsi" w:eastAsiaTheme="minorEastAsia" w:hAnsiTheme="minorHAnsi" w:cstheme="minorBidi"/>
              <w:b w:val="0"/>
              <w:noProof/>
              <w:kern w:val="2"/>
              <w:lang w:eastAsia="en-AU"/>
              <w14:ligatures w14:val="standardContextual"/>
            </w:rPr>
          </w:pPr>
          <w:hyperlink w:anchor="_Toc169514562" w:history="1">
            <w:r w:rsidR="004D5550" w:rsidRPr="00216C67">
              <w:rPr>
                <w:rStyle w:val="Hyperlink"/>
                <w:noProof/>
              </w:rPr>
              <w:t>Penalty tax</w:t>
            </w:r>
            <w:r w:rsidR="004D5550">
              <w:rPr>
                <w:noProof/>
                <w:webHidden/>
              </w:rPr>
              <w:tab/>
            </w:r>
            <w:r w:rsidR="004D5550">
              <w:rPr>
                <w:noProof/>
                <w:webHidden/>
              </w:rPr>
              <w:fldChar w:fldCharType="begin"/>
            </w:r>
            <w:r w:rsidR="004D5550">
              <w:rPr>
                <w:noProof/>
                <w:webHidden/>
              </w:rPr>
              <w:instrText xml:space="preserve"> PAGEREF _Toc169514562 \h </w:instrText>
            </w:r>
            <w:r w:rsidR="004D5550">
              <w:rPr>
                <w:noProof/>
                <w:webHidden/>
              </w:rPr>
            </w:r>
            <w:r w:rsidR="004D5550">
              <w:rPr>
                <w:noProof/>
                <w:webHidden/>
              </w:rPr>
              <w:fldChar w:fldCharType="separate"/>
            </w:r>
            <w:r w:rsidR="004D5550">
              <w:rPr>
                <w:noProof/>
                <w:webHidden/>
              </w:rPr>
              <w:t>7</w:t>
            </w:r>
            <w:r w:rsidR="004D5550">
              <w:rPr>
                <w:noProof/>
                <w:webHidden/>
              </w:rPr>
              <w:fldChar w:fldCharType="end"/>
            </w:r>
          </w:hyperlink>
        </w:p>
        <w:p w14:paraId="6C2247EA" w14:textId="38E4B33C" w:rsidR="004D5550" w:rsidRDefault="007B1E55">
          <w:pPr>
            <w:pStyle w:val="TOC2"/>
            <w:rPr>
              <w:rFonts w:asciiTheme="minorHAnsi" w:eastAsiaTheme="minorEastAsia" w:hAnsiTheme="minorHAnsi" w:cstheme="minorBidi"/>
              <w:noProof/>
              <w:kern w:val="2"/>
              <w:lang w:eastAsia="en-AU"/>
              <w14:ligatures w14:val="standardContextual"/>
            </w:rPr>
          </w:pPr>
          <w:hyperlink w:anchor="_Toc169514563" w:history="1">
            <w:r w:rsidR="004D5550" w:rsidRPr="00216C67">
              <w:rPr>
                <w:rStyle w:val="Hyperlink"/>
                <w:noProof/>
              </w:rPr>
              <w:t>Determining the level of penalty tax</w:t>
            </w:r>
            <w:r w:rsidR="004D5550">
              <w:rPr>
                <w:noProof/>
                <w:webHidden/>
              </w:rPr>
              <w:tab/>
            </w:r>
            <w:r w:rsidR="004D5550">
              <w:rPr>
                <w:noProof/>
                <w:webHidden/>
              </w:rPr>
              <w:fldChar w:fldCharType="begin"/>
            </w:r>
            <w:r w:rsidR="004D5550">
              <w:rPr>
                <w:noProof/>
                <w:webHidden/>
              </w:rPr>
              <w:instrText xml:space="preserve"> PAGEREF _Toc169514563 \h </w:instrText>
            </w:r>
            <w:r w:rsidR="004D5550">
              <w:rPr>
                <w:noProof/>
                <w:webHidden/>
              </w:rPr>
            </w:r>
            <w:r w:rsidR="004D5550">
              <w:rPr>
                <w:noProof/>
                <w:webHidden/>
              </w:rPr>
              <w:fldChar w:fldCharType="separate"/>
            </w:r>
            <w:r w:rsidR="004D5550">
              <w:rPr>
                <w:noProof/>
                <w:webHidden/>
              </w:rPr>
              <w:t>8</w:t>
            </w:r>
            <w:r w:rsidR="004D5550">
              <w:rPr>
                <w:noProof/>
                <w:webHidden/>
              </w:rPr>
              <w:fldChar w:fldCharType="end"/>
            </w:r>
          </w:hyperlink>
        </w:p>
        <w:p w14:paraId="7A2DCEB8" w14:textId="234BD27A"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64" w:history="1">
            <w:r w:rsidR="004D5550" w:rsidRPr="00216C67">
              <w:rPr>
                <w:rStyle w:val="Hyperlink"/>
                <w:noProof/>
              </w:rPr>
              <w:t>Circumstances beyond the control of a taxpayer</w:t>
            </w:r>
            <w:r w:rsidR="004D5550">
              <w:rPr>
                <w:noProof/>
                <w:webHidden/>
              </w:rPr>
              <w:tab/>
            </w:r>
            <w:r w:rsidR="004D5550">
              <w:rPr>
                <w:noProof/>
                <w:webHidden/>
              </w:rPr>
              <w:fldChar w:fldCharType="begin"/>
            </w:r>
            <w:r w:rsidR="004D5550">
              <w:rPr>
                <w:noProof/>
                <w:webHidden/>
              </w:rPr>
              <w:instrText xml:space="preserve"> PAGEREF _Toc169514564 \h </w:instrText>
            </w:r>
            <w:r w:rsidR="004D5550">
              <w:rPr>
                <w:noProof/>
                <w:webHidden/>
              </w:rPr>
            </w:r>
            <w:r w:rsidR="004D5550">
              <w:rPr>
                <w:noProof/>
                <w:webHidden/>
              </w:rPr>
              <w:fldChar w:fldCharType="separate"/>
            </w:r>
            <w:r w:rsidR="004D5550">
              <w:rPr>
                <w:noProof/>
                <w:webHidden/>
              </w:rPr>
              <w:t>8</w:t>
            </w:r>
            <w:r w:rsidR="004D5550">
              <w:rPr>
                <w:noProof/>
                <w:webHidden/>
              </w:rPr>
              <w:fldChar w:fldCharType="end"/>
            </w:r>
          </w:hyperlink>
        </w:p>
        <w:p w14:paraId="4A606CA4" w14:textId="50C80C21"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65" w:history="1">
            <w:r w:rsidR="004D5550" w:rsidRPr="00216C67">
              <w:rPr>
                <w:rStyle w:val="Hyperlink"/>
                <w:noProof/>
              </w:rPr>
              <w:t>Reasonable care to comply with the taxation laws</w:t>
            </w:r>
            <w:r w:rsidR="004D5550">
              <w:rPr>
                <w:noProof/>
                <w:webHidden/>
              </w:rPr>
              <w:tab/>
            </w:r>
            <w:r w:rsidR="004D5550">
              <w:rPr>
                <w:noProof/>
                <w:webHidden/>
              </w:rPr>
              <w:fldChar w:fldCharType="begin"/>
            </w:r>
            <w:r w:rsidR="004D5550">
              <w:rPr>
                <w:noProof/>
                <w:webHidden/>
              </w:rPr>
              <w:instrText xml:space="preserve"> PAGEREF _Toc169514565 \h </w:instrText>
            </w:r>
            <w:r w:rsidR="004D5550">
              <w:rPr>
                <w:noProof/>
                <w:webHidden/>
              </w:rPr>
            </w:r>
            <w:r w:rsidR="004D5550">
              <w:rPr>
                <w:noProof/>
                <w:webHidden/>
              </w:rPr>
              <w:fldChar w:fldCharType="separate"/>
            </w:r>
            <w:r w:rsidR="004D5550">
              <w:rPr>
                <w:noProof/>
                <w:webHidden/>
              </w:rPr>
              <w:t>8</w:t>
            </w:r>
            <w:r w:rsidR="004D5550">
              <w:rPr>
                <w:noProof/>
                <w:webHidden/>
              </w:rPr>
              <w:fldChar w:fldCharType="end"/>
            </w:r>
          </w:hyperlink>
        </w:p>
        <w:p w14:paraId="7034BCE5" w14:textId="01BBB374"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66" w:history="1">
            <w:r w:rsidR="004D5550" w:rsidRPr="00216C67">
              <w:rPr>
                <w:rStyle w:val="Hyperlink"/>
                <w:noProof/>
              </w:rPr>
              <w:t>Intentional disregard of a taxation law</w:t>
            </w:r>
            <w:r w:rsidR="004D5550">
              <w:rPr>
                <w:noProof/>
                <w:webHidden/>
              </w:rPr>
              <w:tab/>
            </w:r>
            <w:r w:rsidR="004D5550">
              <w:rPr>
                <w:noProof/>
                <w:webHidden/>
              </w:rPr>
              <w:fldChar w:fldCharType="begin"/>
            </w:r>
            <w:r w:rsidR="004D5550">
              <w:rPr>
                <w:noProof/>
                <w:webHidden/>
              </w:rPr>
              <w:instrText xml:space="preserve"> PAGEREF _Toc169514566 \h </w:instrText>
            </w:r>
            <w:r w:rsidR="004D5550">
              <w:rPr>
                <w:noProof/>
                <w:webHidden/>
              </w:rPr>
            </w:r>
            <w:r w:rsidR="004D5550">
              <w:rPr>
                <w:noProof/>
                <w:webHidden/>
              </w:rPr>
              <w:fldChar w:fldCharType="separate"/>
            </w:r>
            <w:r w:rsidR="004D5550">
              <w:rPr>
                <w:noProof/>
                <w:webHidden/>
              </w:rPr>
              <w:t>10</w:t>
            </w:r>
            <w:r w:rsidR="004D5550">
              <w:rPr>
                <w:noProof/>
                <w:webHidden/>
              </w:rPr>
              <w:fldChar w:fldCharType="end"/>
            </w:r>
          </w:hyperlink>
        </w:p>
        <w:p w14:paraId="323F9DEB" w14:textId="15F73E81"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67" w:history="1">
            <w:r w:rsidR="004D5550" w:rsidRPr="00216C67">
              <w:rPr>
                <w:rStyle w:val="Hyperlink"/>
                <w:noProof/>
              </w:rPr>
              <w:t>Deliberately concealing or suppressing relevant information or hindering the assessment of tax</w:t>
            </w:r>
            <w:r w:rsidR="004D5550">
              <w:rPr>
                <w:noProof/>
                <w:webHidden/>
              </w:rPr>
              <w:tab/>
            </w:r>
            <w:r w:rsidR="004D5550">
              <w:rPr>
                <w:noProof/>
                <w:webHidden/>
              </w:rPr>
              <w:fldChar w:fldCharType="begin"/>
            </w:r>
            <w:r w:rsidR="004D5550">
              <w:rPr>
                <w:noProof/>
                <w:webHidden/>
              </w:rPr>
              <w:instrText xml:space="preserve"> PAGEREF _Toc169514567 \h </w:instrText>
            </w:r>
            <w:r w:rsidR="004D5550">
              <w:rPr>
                <w:noProof/>
                <w:webHidden/>
              </w:rPr>
            </w:r>
            <w:r w:rsidR="004D5550">
              <w:rPr>
                <w:noProof/>
                <w:webHidden/>
              </w:rPr>
              <w:fldChar w:fldCharType="separate"/>
            </w:r>
            <w:r w:rsidR="004D5550">
              <w:rPr>
                <w:noProof/>
                <w:webHidden/>
              </w:rPr>
              <w:t>10</w:t>
            </w:r>
            <w:r w:rsidR="004D5550">
              <w:rPr>
                <w:noProof/>
                <w:webHidden/>
              </w:rPr>
              <w:fldChar w:fldCharType="end"/>
            </w:r>
          </w:hyperlink>
        </w:p>
        <w:p w14:paraId="4D9A1C9B" w14:textId="46B12743"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68" w:history="1">
            <w:r w:rsidR="004D5550" w:rsidRPr="00216C67">
              <w:rPr>
                <w:rStyle w:val="Hyperlink"/>
                <w:noProof/>
              </w:rPr>
              <w:t>Deliberately hindering investigation of a tax default</w:t>
            </w:r>
            <w:r w:rsidR="004D5550">
              <w:rPr>
                <w:noProof/>
                <w:webHidden/>
              </w:rPr>
              <w:tab/>
            </w:r>
            <w:r w:rsidR="004D5550">
              <w:rPr>
                <w:noProof/>
                <w:webHidden/>
              </w:rPr>
              <w:fldChar w:fldCharType="begin"/>
            </w:r>
            <w:r w:rsidR="004D5550">
              <w:rPr>
                <w:noProof/>
                <w:webHidden/>
              </w:rPr>
              <w:instrText xml:space="preserve"> PAGEREF _Toc169514568 \h </w:instrText>
            </w:r>
            <w:r w:rsidR="004D5550">
              <w:rPr>
                <w:noProof/>
                <w:webHidden/>
              </w:rPr>
            </w:r>
            <w:r w:rsidR="004D5550">
              <w:rPr>
                <w:noProof/>
                <w:webHidden/>
              </w:rPr>
              <w:fldChar w:fldCharType="separate"/>
            </w:r>
            <w:r w:rsidR="004D5550">
              <w:rPr>
                <w:noProof/>
                <w:webHidden/>
              </w:rPr>
              <w:t>11</w:t>
            </w:r>
            <w:r w:rsidR="004D5550">
              <w:rPr>
                <w:noProof/>
                <w:webHidden/>
              </w:rPr>
              <w:fldChar w:fldCharType="end"/>
            </w:r>
          </w:hyperlink>
        </w:p>
        <w:p w14:paraId="2C485727" w14:textId="39C46257" w:rsidR="004D5550" w:rsidRDefault="007B1E55">
          <w:pPr>
            <w:pStyle w:val="TOC1"/>
            <w:rPr>
              <w:rFonts w:asciiTheme="minorHAnsi" w:eastAsiaTheme="minorEastAsia" w:hAnsiTheme="minorHAnsi" w:cstheme="minorBidi"/>
              <w:b w:val="0"/>
              <w:noProof/>
              <w:kern w:val="2"/>
              <w:lang w:eastAsia="en-AU"/>
              <w14:ligatures w14:val="standardContextual"/>
            </w:rPr>
          </w:pPr>
          <w:hyperlink w:anchor="_Toc169514569" w:history="1">
            <w:r w:rsidR="004D5550" w:rsidRPr="00216C67">
              <w:rPr>
                <w:rStyle w:val="Hyperlink"/>
                <w:noProof/>
              </w:rPr>
              <w:t>Discretion to reduce penalty tax where taxpayer makes a full disclosure or cooperates with TRO</w:t>
            </w:r>
            <w:r w:rsidR="004D5550">
              <w:rPr>
                <w:noProof/>
                <w:webHidden/>
              </w:rPr>
              <w:tab/>
            </w:r>
            <w:r w:rsidR="004D5550">
              <w:rPr>
                <w:noProof/>
                <w:webHidden/>
              </w:rPr>
              <w:fldChar w:fldCharType="begin"/>
            </w:r>
            <w:r w:rsidR="004D5550">
              <w:rPr>
                <w:noProof/>
                <w:webHidden/>
              </w:rPr>
              <w:instrText xml:space="preserve"> PAGEREF _Toc169514569 \h </w:instrText>
            </w:r>
            <w:r w:rsidR="004D5550">
              <w:rPr>
                <w:noProof/>
                <w:webHidden/>
              </w:rPr>
            </w:r>
            <w:r w:rsidR="004D5550">
              <w:rPr>
                <w:noProof/>
                <w:webHidden/>
              </w:rPr>
              <w:fldChar w:fldCharType="separate"/>
            </w:r>
            <w:r w:rsidR="004D5550">
              <w:rPr>
                <w:noProof/>
                <w:webHidden/>
              </w:rPr>
              <w:t>12</w:t>
            </w:r>
            <w:r w:rsidR="004D5550">
              <w:rPr>
                <w:noProof/>
                <w:webHidden/>
              </w:rPr>
              <w:fldChar w:fldCharType="end"/>
            </w:r>
          </w:hyperlink>
        </w:p>
        <w:p w14:paraId="6E443BC5" w14:textId="6C56160A"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70" w:history="1">
            <w:r w:rsidR="004D5550" w:rsidRPr="00216C67">
              <w:rPr>
                <w:rStyle w:val="Hyperlink"/>
                <w:noProof/>
                <w:lang w:eastAsia="en-AU"/>
              </w:rPr>
              <w:t>Full and immediate disclosure</w:t>
            </w:r>
            <w:r w:rsidR="004D5550">
              <w:rPr>
                <w:noProof/>
                <w:webHidden/>
              </w:rPr>
              <w:tab/>
            </w:r>
            <w:r w:rsidR="004D5550">
              <w:rPr>
                <w:noProof/>
                <w:webHidden/>
              </w:rPr>
              <w:fldChar w:fldCharType="begin"/>
            </w:r>
            <w:r w:rsidR="004D5550">
              <w:rPr>
                <w:noProof/>
                <w:webHidden/>
              </w:rPr>
              <w:instrText xml:space="preserve"> PAGEREF _Toc169514570 \h </w:instrText>
            </w:r>
            <w:r w:rsidR="004D5550">
              <w:rPr>
                <w:noProof/>
                <w:webHidden/>
              </w:rPr>
            </w:r>
            <w:r w:rsidR="004D5550">
              <w:rPr>
                <w:noProof/>
                <w:webHidden/>
              </w:rPr>
              <w:fldChar w:fldCharType="separate"/>
            </w:r>
            <w:r w:rsidR="004D5550">
              <w:rPr>
                <w:noProof/>
                <w:webHidden/>
              </w:rPr>
              <w:t>12</w:t>
            </w:r>
            <w:r w:rsidR="004D5550">
              <w:rPr>
                <w:noProof/>
                <w:webHidden/>
              </w:rPr>
              <w:fldChar w:fldCharType="end"/>
            </w:r>
          </w:hyperlink>
        </w:p>
        <w:p w14:paraId="4AB5F525" w14:textId="7806D612"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71" w:history="1">
            <w:r w:rsidR="004D5550" w:rsidRPr="00216C67">
              <w:rPr>
                <w:rStyle w:val="Hyperlink"/>
                <w:noProof/>
              </w:rPr>
              <w:t>Full cooperation with an investigation</w:t>
            </w:r>
            <w:r w:rsidR="004D5550">
              <w:rPr>
                <w:noProof/>
                <w:webHidden/>
              </w:rPr>
              <w:tab/>
            </w:r>
            <w:r w:rsidR="004D5550">
              <w:rPr>
                <w:noProof/>
                <w:webHidden/>
              </w:rPr>
              <w:fldChar w:fldCharType="begin"/>
            </w:r>
            <w:r w:rsidR="004D5550">
              <w:rPr>
                <w:noProof/>
                <w:webHidden/>
              </w:rPr>
              <w:instrText xml:space="preserve"> PAGEREF _Toc169514571 \h </w:instrText>
            </w:r>
            <w:r w:rsidR="004D5550">
              <w:rPr>
                <w:noProof/>
                <w:webHidden/>
              </w:rPr>
            </w:r>
            <w:r w:rsidR="004D5550">
              <w:rPr>
                <w:noProof/>
                <w:webHidden/>
              </w:rPr>
              <w:fldChar w:fldCharType="separate"/>
            </w:r>
            <w:r w:rsidR="004D5550">
              <w:rPr>
                <w:noProof/>
                <w:webHidden/>
              </w:rPr>
              <w:t>12</w:t>
            </w:r>
            <w:r w:rsidR="004D5550">
              <w:rPr>
                <w:noProof/>
                <w:webHidden/>
              </w:rPr>
              <w:fldChar w:fldCharType="end"/>
            </w:r>
          </w:hyperlink>
        </w:p>
        <w:p w14:paraId="418A5A98" w14:textId="128C0273"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72" w:history="1">
            <w:r w:rsidR="004D5550" w:rsidRPr="00216C67">
              <w:rPr>
                <w:rStyle w:val="Hyperlink"/>
                <w:noProof/>
              </w:rPr>
              <w:t>Penalty tax on tax defaults that are ‘mere’ late payment of tax paid on a periodic basis (returns-based taxes)</w:t>
            </w:r>
            <w:r w:rsidR="004D5550">
              <w:rPr>
                <w:noProof/>
                <w:webHidden/>
              </w:rPr>
              <w:tab/>
            </w:r>
            <w:r w:rsidR="004D5550">
              <w:rPr>
                <w:noProof/>
                <w:webHidden/>
              </w:rPr>
              <w:fldChar w:fldCharType="begin"/>
            </w:r>
            <w:r w:rsidR="004D5550">
              <w:rPr>
                <w:noProof/>
                <w:webHidden/>
              </w:rPr>
              <w:instrText xml:space="preserve"> PAGEREF _Toc169514572 \h </w:instrText>
            </w:r>
            <w:r w:rsidR="004D5550">
              <w:rPr>
                <w:noProof/>
                <w:webHidden/>
              </w:rPr>
            </w:r>
            <w:r w:rsidR="004D5550">
              <w:rPr>
                <w:noProof/>
                <w:webHidden/>
              </w:rPr>
              <w:fldChar w:fldCharType="separate"/>
            </w:r>
            <w:r w:rsidR="004D5550">
              <w:rPr>
                <w:noProof/>
                <w:webHidden/>
              </w:rPr>
              <w:t>13</w:t>
            </w:r>
            <w:r w:rsidR="004D5550">
              <w:rPr>
                <w:noProof/>
                <w:webHidden/>
              </w:rPr>
              <w:fldChar w:fldCharType="end"/>
            </w:r>
          </w:hyperlink>
        </w:p>
        <w:p w14:paraId="73C23E00" w14:textId="662DDD8B"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73" w:history="1">
            <w:r w:rsidR="004D5550" w:rsidRPr="00216C67">
              <w:rPr>
                <w:rStyle w:val="Hyperlink"/>
                <w:noProof/>
              </w:rPr>
              <w:t>Interest and penalty tax on tax defaults for stamp duty lodgements where the taxpayer makes a payment of estimated tax</w:t>
            </w:r>
            <w:r w:rsidR="004D5550">
              <w:rPr>
                <w:noProof/>
                <w:webHidden/>
              </w:rPr>
              <w:tab/>
            </w:r>
            <w:r w:rsidR="004D5550">
              <w:rPr>
                <w:noProof/>
                <w:webHidden/>
              </w:rPr>
              <w:fldChar w:fldCharType="begin"/>
            </w:r>
            <w:r w:rsidR="004D5550">
              <w:rPr>
                <w:noProof/>
                <w:webHidden/>
              </w:rPr>
              <w:instrText xml:space="preserve"> PAGEREF _Toc169514573 \h </w:instrText>
            </w:r>
            <w:r w:rsidR="004D5550">
              <w:rPr>
                <w:noProof/>
                <w:webHidden/>
              </w:rPr>
            </w:r>
            <w:r w:rsidR="004D5550">
              <w:rPr>
                <w:noProof/>
                <w:webHidden/>
              </w:rPr>
              <w:fldChar w:fldCharType="separate"/>
            </w:r>
            <w:r w:rsidR="004D5550">
              <w:rPr>
                <w:noProof/>
                <w:webHidden/>
              </w:rPr>
              <w:t>14</w:t>
            </w:r>
            <w:r w:rsidR="004D5550">
              <w:rPr>
                <w:noProof/>
                <w:webHidden/>
              </w:rPr>
              <w:fldChar w:fldCharType="end"/>
            </w:r>
          </w:hyperlink>
        </w:p>
        <w:p w14:paraId="7DD17C75" w14:textId="647DBE7C"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74" w:history="1">
            <w:r w:rsidR="004D5550" w:rsidRPr="00216C67">
              <w:rPr>
                <w:rStyle w:val="Hyperlink"/>
                <w:noProof/>
              </w:rPr>
              <w:t>Matrix of penalty tax based on culpability of taxpayer</w:t>
            </w:r>
            <w:r w:rsidR="004D5550">
              <w:rPr>
                <w:noProof/>
                <w:webHidden/>
              </w:rPr>
              <w:tab/>
            </w:r>
            <w:r w:rsidR="004D5550">
              <w:rPr>
                <w:noProof/>
                <w:webHidden/>
              </w:rPr>
              <w:fldChar w:fldCharType="begin"/>
            </w:r>
            <w:r w:rsidR="004D5550">
              <w:rPr>
                <w:noProof/>
                <w:webHidden/>
              </w:rPr>
              <w:instrText xml:space="preserve"> PAGEREF _Toc169514574 \h </w:instrText>
            </w:r>
            <w:r w:rsidR="004D5550">
              <w:rPr>
                <w:noProof/>
                <w:webHidden/>
              </w:rPr>
            </w:r>
            <w:r w:rsidR="004D5550">
              <w:rPr>
                <w:noProof/>
                <w:webHidden/>
              </w:rPr>
              <w:fldChar w:fldCharType="separate"/>
            </w:r>
            <w:r w:rsidR="004D5550">
              <w:rPr>
                <w:noProof/>
                <w:webHidden/>
              </w:rPr>
              <w:t>14</w:t>
            </w:r>
            <w:r w:rsidR="004D5550">
              <w:rPr>
                <w:noProof/>
                <w:webHidden/>
              </w:rPr>
              <w:fldChar w:fldCharType="end"/>
            </w:r>
          </w:hyperlink>
        </w:p>
        <w:p w14:paraId="68A09B73" w14:textId="17D9963F"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75" w:history="1">
            <w:r w:rsidR="004D5550" w:rsidRPr="00216C67">
              <w:rPr>
                <w:rStyle w:val="Hyperlink"/>
                <w:noProof/>
              </w:rPr>
              <w:t>Commissioner’s Guidelines</w:t>
            </w:r>
            <w:r w:rsidR="004D5550">
              <w:rPr>
                <w:noProof/>
                <w:webHidden/>
              </w:rPr>
              <w:tab/>
            </w:r>
            <w:r w:rsidR="004D5550">
              <w:rPr>
                <w:noProof/>
                <w:webHidden/>
              </w:rPr>
              <w:fldChar w:fldCharType="begin"/>
            </w:r>
            <w:r w:rsidR="004D5550">
              <w:rPr>
                <w:noProof/>
                <w:webHidden/>
              </w:rPr>
              <w:instrText xml:space="preserve"> PAGEREF _Toc169514575 \h </w:instrText>
            </w:r>
            <w:r w:rsidR="004D5550">
              <w:rPr>
                <w:noProof/>
                <w:webHidden/>
              </w:rPr>
            </w:r>
            <w:r w:rsidR="004D5550">
              <w:rPr>
                <w:noProof/>
                <w:webHidden/>
              </w:rPr>
              <w:fldChar w:fldCharType="separate"/>
            </w:r>
            <w:r w:rsidR="004D5550">
              <w:rPr>
                <w:noProof/>
                <w:webHidden/>
              </w:rPr>
              <w:t>14</w:t>
            </w:r>
            <w:r w:rsidR="004D5550">
              <w:rPr>
                <w:noProof/>
                <w:webHidden/>
              </w:rPr>
              <w:fldChar w:fldCharType="end"/>
            </w:r>
          </w:hyperlink>
        </w:p>
        <w:p w14:paraId="747869DC" w14:textId="03DB9879" w:rsidR="004D5550" w:rsidRDefault="007B1E55">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69514576" w:history="1">
            <w:r w:rsidR="004D5550" w:rsidRPr="00216C67">
              <w:rPr>
                <w:rStyle w:val="Hyperlink"/>
                <w:noProof/>
              </w:rPr>
              <w:t>Date of effect</w:t>
            </w:r>
            <w:r w:rsidR="004D5550">
              <w:rPr>
                <w:noProof/>
                <w:webHidden/>
              </w:rPr>
              <w:tab/>
            </w:r>
            <w:r w:rsidR="004D5550">
              <w:rPr>
                <w:noProof/>
                <w:webHidden/>
              </w:rPr>
              <w:fldChar w:fldCharType="begin"/>
            </w:r>
            <w:r w:rsidR="004D5550">
              <w:rPr>
                <w:noProof/>
                <w:webHidden/>
              </w:rPr>
              <w:instrText xml:space="preserve"> PAGEREF _Toc169514576 \h </w:instrText>
            </w:r>
            <w:r w:rsidR="004D5550">
              <w:rPr>
                <w:noProof/>
                <w:webHidden/>
              </w:rPr>
            </w:r>
            <w:r w:rsidR="004D5550">
              <w:rPr>
                <w:noProof/>
                <w:webHidden/>
              </w:rPr>
              <w:fldChar w:fldCharType="separate"/>
            </w:r>
            <w:r w:rsidR="004D5550">
              <w:rPr>
                <w:noProof/>
                <w:webHidden/>
              </w:rPr>
              <w:t>14</w:t>
            </w:r>
            <w:r w:rsidR="004D5550">
              <w:rPr>
                <w:noProof/>
                <w:webHidden/>
              </w:rPr>
              <w:fldChar w:fldCharType="end"/>
            </w:r>
          </w:hyperlink>
        </w:p>
        <w:p w14:paraId="2F114051" w14:textId="4A820A04"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43DD3878" w14:textId="77777777" w:rsidR="00964B22" w:rsidRPr="004E7885" w:rsidRDefault="00964B22" w:rsidP="004E7885">
      <w:pPr>
        <w:sectPr w:rsidR="00964B22"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0F535161" w14:textId="77777777" w:rsidR="004D5550" w:rsidRDefault="004D5550" w:rsidP="004D5550">
      <w:pPr>
        <w:pStyle w:val="Heading1"/>
        <w:numPr>
          <w:ilvl w:val="0"/>
          <w:numId w:val="0"/>
        </w:numPr>
        <w:ind w:left="432" w:hanging="432"/>
      </w:pPr>
      <w:bookmarkStart w:id="0" w:name="_Toc169514552"/>
      <w:r>
        <w:lastRenderedPageBreak/>
        <w:t>Purpose</w:t>
      </w:r>
      <w:bookmarkEnd w:id="0"/>
    </w:p>
    <w:p w14:paraId="0A65A872" w14:textId="526DB42E" w:rsidR="004D5550" w:rsidRDefault="004D5550" w:rsidP="004D5550">
      <w:pPr>
        <w:pStyle w:val="BlockText"/>
        <w:keepLines/>
        <w:numPr>
          <w:ilvl w:val="0"/>
          <w:numId w:val="44"/>
        </w:numPr>
        <w:spacing w:after="120"/>
        <w:jc w:val="both"/>
      </w:pPr>
      <w:r>
        <w:t xml:space="preserve">This Guideline </w:t>
      </w:r>
      <w:r w:rsidRPr="004207CF">
        <w:t xml:space="preserve">explains </w:t>
      </w:r>
      <w:r>
        <w:t xml:space="preserve">the operation of </w:t>
      </w:r>
      <w:r w:rsidRPr="004207CF">
        <w:t xml:space="preserve">the interest and penalty tax provisions of the </w:t>
      </w:r>
      <w:r w:rsidRPr="00BD644F">
        <w:rPr>
          <w:i/>
        </w:rPr>
        <w:t>Taxation Administration Act</w:t>
      </w:r>
      <w:r w:rsidR="007C34F9">
        <w:rPr>
          <w:i/>
        </w:rPr>
        <w:t xml:space="preserve"> 2007</w:t>
      </w:r>
      <w:r>
        <w:t xml:space="preserve"> </w:t>
      </w:r>
      <w:r w:rsidRPr="004207CF">
        <w:t>(TAA)</w:t>
      </w:r>
      <w:r>
        <w:t xml:space="preserve"> and how the </w:t>
      </w:r>
      <w:r w:rsidRPr="004207CF">
        <w:t xml:space="preserve">Territory Revenue Office (TRO) will </w:t>
      </w:r>
      <w:r>
        <w:t xml:space="preserve">administer those provisions.  </w:t>
      </w:r>
    </w:p>
    <w:p w14:paraId="78FBC559" w14:textId="77777777" w:rsidR="004D5550" w:rsidRDefault="004D5550" w:rsidP="004D5550">
      <w:pPr>
        <w:pStyle w:val="BlockText"/>
        <w:keepLines/>
        <w:numPr>
          <w:ilvl w:val="0"/>
          <w:numId w:val="44"/>
        </w:numPr>
        <w:spacing w:after="120"/>
        <w:jc w:val="both"/>
      </w:pPr>
      <w:r>
        <w:t xml:space="preserve">Under the </w:t>
      </w:r>
      <w:r>
        <w:rPr>
          <w:i/>
          <w:iCs w:val="0"/>
        </w:rPr>
        <w:t xml:space="preserve">Mineral Royalties Act 2024 </w:t>
      </w:r>
      <w:r>
        <w:t>(MRA24)</w:t>
      </w:r>
      <w:r>
        <w:rPr>
          <w:rStyle w:val="FootnoteReference"/>
        </w:rPr>
        <w:footnoteReference w:id="2"/>
      </w:r>
      <w:r>
        <w:t xml:space="preserve"> and </w:t>
      </w:r>
      <w:r>
        <w:rPr>
          <w:i/>
          <w:iCs w:val="0"/>
        </w:rPr>
        <w:t xml:space="preserve">Petroleum Royalty Act 2023 </w:t>
      </w:r>
      <w:r>
        <w:t>(PRA)</w:t>
      </w:r>
      <w:r>
        <w:rPr>
          <w:rStyle w:val="FootnoteReference"/>
        </w:rPr>
        <w:footnoteReference w:id="3"/>
      </w:r>
      <w:r>
        <w:t>, the TAA also applies to a royalty as if:</w:t>
      </w:r>
    </w:p>
    <w:p w14:paraId="6DCEE06A" w14:textId="1E56664A" w:rsidR="004D5550" w:rsidRDefault="004D5550" w:rsidP="004D5550">
      <w:pPr>
        <w:pStyle w:val="BlockText"/>
        <w:keepLines/>
        <w:numPr>
          <w:ilvl w:val="1"/>
          <w:numId w:val="44"/>
        </w:numPr>
        <w:spacing w:after="120"/>
        <w:jc w:val="both"/>
      </w:pPr>
      <w:r>
        <w:t>a reference in the TAA and this guideline to tax were a reference to royalty</w:t>
      </w:r>
    </w:p>
    <w:p w14:paraId="348430BA" w14:textId="739EE997" w:rsidR="004D5550" w:rsidRDefault="004D5550" w:rsidP="004D5550">
      <w:pPr>
        <w:pStyle w:val="BlockText"/>
        <w:keepLines/>
        <w:numPr>
          <w:ilvl w:val="1"/>
          <w:numId w:val="44"/>
        </w:numPr>
        <w:spacing w:after="120"/>
        <w:jc w:val="both"/>
      </w:pPr>
      <w:r>
        <w:t>a reference in the TAA and this guideline to taxpayer/s were a reference to holder of a mining tenement (MRA24) or, licensee or permittee (PRA)</w:t>
      </w:r>
    </w:p>
    <w:p w14:paraId="250FC02B" w14:textId="3274355A" w:rsidR="007C34F9" w:rsidRDefault="007C34F9" w:rsidP="004D5550">
      <w:pPr>
        <w:pStyle w:val="BlockText"/>
        <w:keepLines/>
        <w:numPr>
          <w:ilvl w:val="1"/>
          <w:numId w:val="44"/>
        </w:numPr>
        <w:spacing w:after="120"/>
        <w:jc w:val="both"/>
      </w:pPr>
      <w:bookmarkStart w:id="1" w:name="_Hlk170388093"/>
      <w:r>
        <w:t>a reference in the TAA and this guideline to a taxation</w:t>
      </w:r>
      <w:r w:rsidR="0074041C">
        <w:t xml:space="preserve"> law include</w:t>
      </w:r>
      <w:r w:rsidR="00336328">
        <w:t>s</w:t>
      </w:r>
      <w:r w:rsidR="0074041C">
        <w:t xml:space="preserve"> the MRA24 and PRA.</w:t>
      </w:r>
    </w:p>
    <w:bookmarkEnd w:id="1"/>
    <w:p w14:paraId="4E4E30E7" w14:textId="77777777" w:rsidR="004D5550" w:rsidRDefault="004D5550" w:rsidP="004D5550">
      <w:pPr>
        <w:pStyle w:val="BlockText"/>
        <w:keepLines/>
        <w:numPr>
          <w:ilvl w:val="0"/>
          <w:numId w:val="44"/>
        </w:numPr>
        <w:spacing w:after="120"/>
        <w:jc w:val="both"/>
      </w:pPr>
      <w:r>
        <w:t>This Guideline should be read in conjunction with the following Guidelines:</w:t>
      </w:r>
    </w:p>
    <w:p w14:paraId="28B6E5E3" w14:textId="77777777" w:rsidR="004D5550" w:rsidRDefault="004D5550" w:rsidP="001C551C">
      <w:pPr>
        <w:pStyle w:val="BlockText"/>
        <w:keepLines/>
        <w:numPr>
          <w:ilvl w:val="1"/>
          <w:numId w:val="44"/>
        </w:numPr>
        <w:spacing w:after="120"/>
        <w:jc w:val="both"/>
      </w:pPr>
      <w:r>
        <w:t xml:space="preserve">for general stamp duty assessments – Commissioner’s Guideline </w:t>
      </w:r>
      <w:r w:rsidRPr="003D0945">
        <w:rPr>
          <w:rFonts w:asciiTheme="minorHAnsi" w:hAnsiTheme="minorHAnsi" w:cstheme="minorHAnsi"/>
        </w:rPr>
        <w:t>CG-SD-001</w:t>
      </w:r>
      <w:r w:rsidRPr="007C131C">
        <w:rPr>
          <w:rStyle w:val="Hyperlink"/>
          <w:rFonts w:asciiTheme="minorHAnsi" w:hAnsiTheme="minorHAnsi" w:cstheme="minorHAnsi"/>
        </w:rPr>
        <w:t>:</w:t>
      </w:r>
      <w:r w:rsidRPr="007C131C">
        <w:t xml:space="preserve"> </w:t>
      </w:r>
      <w:r>
        <w:rPr>
          <w:i/>
        </w:rPr>
        <w:t>Document lodgement and payment periods</w:t>
      </w:r>
    </w:p>
    <w:p w14:paraId="0B9DF263" w14:textId="38592247" w:rsidR="004D5550" w:rsidRDefault="004D5550" w:rsidP="001C551C">
      <w:pPr>
        <w:pStyle w:val="BlockText"/>
        <w:keepLines/>
        <w:numPr>
          <w:ilvl w:val="1"/>
          <w:numId w:val="44"/>
        </w:numPr>
        <w:spacing w:after="120"/>
        <w:jc w:val="both"/>
      </w:pPr>
      <w:r>
        <w:t xml:space="preserve">for the stamp duty senior, pensioner and carer concession; Territory Home Owner Discount or the principal place of residence rebate – Commissioner’s Guideline </w:t>
      </w:r>
      <w:r w:rsidRPr="001C551C">
        <w:t>CG</w:t>
      </w:r>
      <w:r w:rsidRPr="001C551C">
        <w:noBreakHyphen/>
        <w:t>HI-002:</w:t>
      </w:r>
      <w:r w:rsidRPr="001C551C">
        <w:rPr>
          <w:sz w:val="20"/>
          <w:szCs w:val="20"/>
        </w:rPr>
        <w:t xml:space="preserve"> </w:t>
      </w:r>
      <w:r w:rsidRPr="003B62E8">
        <w:rPr>
          <w:i/>
        </w:rPr>
        <w:t xml:space="preserve">Home </w:t>
      </w:r>
      <w:r>
        <w:rPr>
          <w:i/>
        </w:rPr>
        <w:t xml:space="preserve">owner assistance </w:t>
      </w:r>
      <w:r w:rsidRPr="003B62E8">
        <w:rPr>
          <w:i/>
        </w:rPr>
        <w:t>schemes</w:t>
      </w:r>
      <w:r>
        <w:rPr>
          <w:i/>
        </w:rPr>
        <w:t xml:space="preserve"> –</w:t>
      </w:r>
      <w:r w:rsidRPr="003B62E8">
        <w:rPr>
          <w:i/>
        </w:rPr>
        <w:t xml:space="preserve"> interest and penalt</w:t>
      </w:r>
      <w:r>
        <w:rPr>
          <w:i/>
        </w:rPr>
        <w:t>ies</w:t>
      </w:r>
    </w:p>
    <w:p w14:paraId="456866ED" w14:textId="41E8EC76" w:rsidR="004D5550" w:rsidRDefault="004D5550" w:rsidP="001C551C">
      <w:pPr>
        <w:pStyle w:val="BlockText"/>
        <w:keepLines/>
        <w:numPr>
          <w:ilvl w:val="1"/>
          <w:numId w:val="44"/>
        </w:numPr>
        <w:spacing w:after="120"/>
        <w:jc w:val="both"/>
      </w:pPr>
      <w:r>
        <w:t xml:space="preserve">for the management of mineral royalty payments; </w:t>
      </w:r>
      <w:r w:rsidRPr="00D72A2E">
        <w:t>Mineral Royalties Act 2024</w:t>
      </w:r>
      <w:r>
        <w:t xml:space="preserve"> - Mineral royalty overview</w:t>
      </w:r>
      <w:r w:rsidR="0074041C">
        <w:t>.</w:t>
      </w:r>
    </w:p>
    <w:p w14:paraId="51417D52" w14:textId="77777777" w:rsidR="004D5550" w:rsidRPr="007841EF" w:rsidRDefault="004D5550" w:rsidP="004D5550">
      <w:pPr>
        <w:pStyle w:val="Heading1"/>
        <w:numPr>
          <w:ilvl w:val="0"/>
          <w:numId w:val="0"/>
        </w:numPr>
        <w:ind w:left="432" w:hanging="432"/>
      </w:pPr>
      <w:bookmarkStart w:id="2" w:name="_Toc169514553"/>
      <w:r>
        <w:t>Role of interest and penalty tax</w:t>
      </w:r>
      <w:bookmarkEnd w:id="2"/>
    </w:p>
    <w:p w14:paraId="587189DB" w14:textId="77777777" w:rsidR="004D5550" w:rsidRDefault="004D5550" w:rsidP="004D5550">
      <w:pPr>
        <w:pStyle w:val="ListNumber"/>
        <w:numPr>
          <w:ilvl w:val="0"/>
          <w:numId w:val="44"/>
        </w:numPr>
      </w:pPr>
      <w:r>
        <w:t>Interest and penalty tax play an integral role in tax administration by:</w:t>
      </w:r>
    </w:p>
    <w:p w14:paraId="16C272F3" w14:textId="77777777" w:rsidR="004D5550" w:rsidRDefault="004D5550" w:rsidP="004D5550">
      <w:pPr>
        <w:pStyle w:val="ListNumber2"/>
        <w:numPr>
          <w:ilvl w:val="1"/>
          <w:numId w:val="45"/>
        </w:numPr>
      </w:pPr>
      <w:r>
        <w:t xml:space="preserve">deterring </w:t>
      </w:r>
      <w:r w:rsidRPr="004207CF">
        <w:t>non-compliance by maki</w:t>
      </w:r>
      <w:r>
        <w:t>ng it unprofitable to taxpayers</w:t>
      </w:r>
    </w:p>
    <w:p w14:paraId="3CC08654" w14:textId="77777777" w:rsidR="004D5550" w:rsidRDefault="004D5550" w:rsidP="004D5550">
      <w:pPr>
        <w:pStyle w:val="ListNumber2"/>
        <w:numPr>
          <w:ilvl w:val="1"/>
          <w:numId w:val="45"/>
        </w:numPr>
      </w:pPr>
      <w:r>
        <w:t>p</w:t>
      </w:r>
      <w:r w:rsidRPr="004207CF">
        <w:t>romoting equity among taxpayers by ensuring that those who meet their obligations are not disadvantaged in comparison with those who do not</w:t>
      </w:r>
    </w:p>
    <w:p w14:paraId="40EE2B3E" w14:textId="77777777" w:rsidR="004D5550" w:rsidRDefault="004D5550" w:rsidP="004D5550">
      <w:pPr>
        <w:pStyle w:val="ListNumber2"/>
        <w:numPr>
          <w:ilvl w:val="1"/>
          <w:numId w:val="45"/>
        </w:numPr>
      </w:pPr>
      <w:r>
        <w:t>e</w:t>
      </w:r>
      <w:r w:rsidRPr="004207CF">
        <w:t xml:space="preserve">ncouraging taxpayers to make a </w:t>
      </w:r>
      <w:r>
        <w:t>full and immediate</w:t>
      </w:r>
      <w:r w:rsidRPr="004207CF">
        <w:t xml:space="preserve"> disclosure of</w:t>
      </w:r>
      <w:r w:rsidRPr="00BD644F">
        <w:t xml:space="preserve"> </w:t>
      </w:r>
      <w:r>
        <w:t xml:space="preserve">any </w:t>
      </w:r>
      <w:r w:rsidRPr="00BD644F">
        <w:t>tax default</w:t>
      </w:r>
      <w:r>
        <w:t xml:space="preserve"> </w:t>
      </w:r>
      <w:r w:rsidRPr="004207CF">
        <w:t xml:space="preserve">identified </w:t>
      </w:r>
      <w:r>
        <w:t xml:space="preserve">by the taxpayer </w:t>
      </w:r>
      <w:r w:rsidRPr="004207CF">
        <w:t>and to cooperate with investigation</w:t>
      </w:r>
      <w:r>
        <w:t>s</w:t>
      </w:r>
      <w:r w:rsidRPr="004207CF">
        <w:t xml:space="preserve"> by TRO into tax default</w:t>
      </w:r>
      <w:r>
        <w:t>s</w:t>
      </w:r>
    </w:p>
    <w:p w14:paraId="0BFDC47D" w14:textId="77777777" w:rsidR="004D5550" w:rsidRDefault="004D5550" w:rsidP="004D5550">
      <w:pPr>
        <w:pStyle w:val="ListNumber2"/>
        <w:numPr>
          <w:ilvl w:val="1"/>
          <w:numId w:val="45"/>
        </w:numPr>
      </w:pPr>
      <w:r>
        <w:t>encouraging taxpayers to pay their tax liabilities by the due date</w:t>
      </w:r>
    </w:p>
    <w:p w14:paraId="2167B685" w14:textId="77777777" w:rsidR="004D5550" w:rsidRDefault="004D5550" w:rsidP="004D5550">
      <w:pPr>
        <w:pStyle w:val="ListNumber2"/>
        <w:numPr>
          <w:ilvl w:val="1"/>
          <w:numId w:val="45"/>
        </w:numPr>
      </w:pPr>
      <w:r>
        <w:t>c</w:t>
      </w:r>
      <w:r w:rsidRPr="004207CF">
        <w:t xml:space="preserve">ompensating the </w:t>
      </w:r>
      <w:r>
        <w:t xml:space="preserve">Northern Territory </w:t>
      </w:r>
      <w:r w:rsidRPr="004207CF">
        <w:t xml:space="preserve">Government for </w:t>
      </w:r>
      <w:r>
        <w:t>receiving</w:t>
      </w:r>
      <w:r w:rsidRPr="004207CF">
        <w:t xml:space="preserve"> revenue that it is entitled to</w:t>
      </w:r>
      <w:r>
        <w:t xml:space="preserve"> after it was due.</w:t>
      </w:r>
    </w:p>
    <w:p w14:paraId="22D1CE41" w14:textId="77777777" w:rsidR="004D5550" w:rsidRDefault="004D5550" w:rsidP="004D5550">
      <w:pPr>
        <w:pStyle w:val="ListNumber2"/>
        <w:numPr>
          <w:ilvl w:val="0"/>
          <w:numId w:val="44"/>
        </w:numPr>
      </w:pPr>
      <w:r>
        <w:t xml:space="preserve">Having to pay interest and/or penalty tax does not depend upon or necessarily imply that there has been dishonesty on the part of a taxpayer. However, indifferent, reckless or dishonest conduct will result in higher levels of penalty tax being imposed. </w:t>
      </w:r>
    </w:p>
    <w:p w14:paraId="65E26775" w14:textId="77777777" w:rsidR="004D5550" w:rsidRDefault="004D5550" w:rsidP="004D5550">
      <w:pPr>
        <w:pStyle w:val="Heading2"/>
        <w:numPr>
          <w:ilvl w:val="0"/>
          <w:numId w:val="0"/>
        </w:numPr>
        <w:ind w:left="576" w:hanging="576"/>
      </w:pPr>
      <w:bookmarkStart w:id="3" w:name="_Toc169514554"/>
      <w:r w:rsidRPr="009E05CB">
        <w:t>Liability to interest and penalty tax arises from a tax default</w:t>
      </w:r>
      <w:bookmarkEnd w:id="3"/>
    </w:p>
    <w:p w14:paraId="39A7D729" w14:textId="53230E4C" w:rsidR="004D5550" w:rsidRPr="00F05152" w:rsidRDefault="004D5550" w:rsidP="004D5550">
      <w:pPr>
        <w:pStyle w:val="ListParagraph"/>
        <w:numPr>
          <w:ilvl w:val="0"/>
          <w:numId w:val="44"/>
        </w:numPr>
      </w:pPr>
      <w:r w:rsidRPr="00F05152">
        <w:lastRenderedPageBreak/>
        <w:t xml:space="preserve">When a </w:t>
      </w:r>
      <w:r w:rsidRPr="009E05CB">
        <w:rPr>
          <w:b/>
        </w:rPr>
        <w:t>tax default</w:t>
      </w:r>
      <w:r w:rsidRPr="00F05152">
        <w:t xml:space="preserve"> occurs, the taxpayer who has failed to pay the tax is liable to pay interest and penalty tax.</w:t>
      </w:r>
      <w:r w:rsidRPr="009E05CB">
        <w:rPr>
          <w:vertAlign w:val="superscript"/>
        </w:rPr>
        <w:footnoteReference w:id="4"/>
      </w:r>
      <w:r w:rsidRPr="00F05152">
        <w:t xml:space="preserve"> A tax default is a failure by a taxpayer to pay the whole or part of the </w:t>
      </w:r>
      <w:r w:rsidRPr="009E05CB">
        <w:rPr>
          <w:b/>
        </w:rPr>
        <w:t>tax</w:t>
      </w:r>
      <w:r w:rsidRPr="00F05152">
        <w:t xml:space="preserve"> that the taxpayer is liable to pay under a </w:t>
      </w:r>
      <w:r w:rsidRPr="009E05CB">
        <w:rPr>
          <w:b/>
        </w:rPr>
        <w:t>taxation law</w:t>
      </w:r>
      <w:r w:rsidRPr="00F05152">
        <w:t xml:space="preserve"> (for example, the TAA, </w:t>
      </w:r>
      <w:r w:rsidRPr="009E05CB">
        <w:rPr>
          <w:i/>
        </w:rPr>
        <w:t>Stamp Duty Act</w:t>
      </w:r>
      <w:r w:rsidR="0074041C">
        <w:rPr>
          <w:i/>
        </w:rPr>
        <w:t xml:space="preserve"> 1978</w:t>
      </w:r>
      <w:r w:rsidRPr="00F05152">
        <w:t xml:space="preserve"> (SDA), </w:t>
      </w:r>
      <w:r w:rsidRPr="009E05CB">
        <w:rPr>
          <w:i/>
        </w:rPr>
        <w:t>Payroll Tax Act</w:t>
      </w:r>
      <w:r w:rsidR="0074041C">
        <w:rPr>
          <w:i/>
        </w:rPr>
        <w:t xml:space="preserve"> 2009</w:t>
      </w:r>
      <w:r w:rsidRPr="00F05152">
        <w:t xml:space="preserve"> (PTA) and regulations under those Acts).</w:t>
      </w:r>
      <w:r w:rsidRPr="009E05CB">
        <w:rPr>
          <w:vertAlign w:val="superscript"/>
        </w:rPr>
        <w:footnoteReference w:id="5"/>
      </w:r>
      <w:r w:rsidRPr="00F05152">
        <w:t xml:space="preserve"> That is, a tax default may be the late payment of tax or an underpayment of tax (or both).</w:t>
      </w:r>
    </w:p>
    <w:p w14:paraId="76F609B2" w14:textId="77777777" w:rsidR="004D5550" w:rsidRPr="00F05152" w:rsidRDefault="004D5550" w:rsidP="004D5550">
      <w:pPr>
        <w:pStyle w:val="ListParagraph"/>
        <w:numPr>
          <w:ilvl w:val="0"/>
          <w:numId w:val="44"/>
        </w:numPr>
      </w:pPr>
      <w:r w:rsidRPr="007744C3">
        <w:t>‘Tax’ means any tax, duty or levy payable under a taxation law, and</w:t>
      </w:r>
      <w:r w:rsidRPr="00F05152">
        <w:t xml:space="preserve"> also includes any other amount payable by a taxpayer to the Commissioner or the Territory under a taxation law.</w:t>
      </w:r>
      <w:r w:rsidRPr="009E05CB">
        <w:rPr>
          <w:vertAlign w:val="superscript"/>
        </w:rPr>
        <w:footnoteReference w:id="6"/>
      </w:r>
      <w:r w:rsidRPr="00F05152">
        <w:t xml:space="preserve"> Examples of other amounts payable under a taxation law include the costs of valuations recoverable from a taxpayer under section 25 of the TAA,</w:t>
      </w:r>
      <w:r w:rsidRPr="009E05CB">
        <w:rPr>
          <w:vertAlign w:val="superscript"/>
        </w:rPr>
        <w:footnoteReference w:id="7"/>
      </w:r>
      <w:r w:rsidRPr="00F05152">
        <w:t xml:space="preserve"> the TRO’s costs of recovering tax and fines and/or costs awarded against a taxpayer in a prosecution under a taxation law.</w:t>
      </w:r>
    </w:p>
    <w:p w14:paraId="57DEEEA5" w14:textId="77777777" w:rsidR="004D5550" w:rsidRDefault="004D5550" w:rsidP="004D5550">
      <w:pPr>
        <w:pStyle w:val="Heading1"/>
        <w:numPr>
          <w:ilvl w:val="0"/>
          <w:numId w:val="0"/>
        </w:numPr>
        <w:ind w:left="432" w:hanging="432"/>
      </w:pPr>
      <w:bookmarkStart w:id="4" w:name="_Toc169514555"/>
      <w:r>
        <w:t>Interest</w:t>
      </w:r>
      <w:bookmarkEnd w:id="4"/>
      <w:r>
        <w:t xml:space="preserve"> </w:t>
      </w:r>
    </w:p>
    <w:p w14:paraId="1E7608E2" w14:textId="77777777" w:rsidR="004D5550" w:rsidRDefault="004D5550" w:rsidP="004D5550">
      <w:pPr>
        <w:pStyle w:val="ListParagraph"/>
        <w:numPr>
          <w:ilvl w:val="0"/>
          <w:numId w:val="44"/>
        </w:numPr>
      </w:pPr>
      <w:r w:rsidRPr="00AB78EC">
        <w:t xml:space="preserve">Where a tax default occurs, the taxpayer is liable to pay interest on the unpaid primary and penalty tax at the </w:t>
      </w:r>
      <w:r w:rsidRPr="009E05CB">
        <w:rPr>
          <w:b/>
        </w:rPr>
        <w:t>statutory interest rate</w:t>
      </w:r>
      <w:r w:rsidRPr="00AB78EC">
        <w:t xml:space="preserve"> in force during the relevant financial year.</w:t>
      </w:r>
      <w:r w:rsidRPr="009E05CB">
        <w:rPr>
          <w:vertAlign w:val="superscript"/>
        </w:rPr>
        <w:footnoteReference w:id="8"/>
      </w:r>
      <w:r w:rsidRPr="00AB78EC">
        <w:t xml:space="preserve"> The statutory interest rate is the sum of:</w:t>
      </w:r>
    </w:p>
    <w:p w14:paraId="313F90E2" w14:textId="77777777" w:rsidR="004D5550" w:rsidRDefault="004D5550" w:rsidP="004D5550">
      <w:pPr>
        <w:pStyle w:val="ListParagraph"/>
        <w:numPr>
          <w:ilvl w:val="1"/>
          <w:numId w:val="47"/>
        </w:numPr>
      </w:pPr>
      <w:r>
        <w:t xml:space="preserve">The </w:t>
      </w:r>
      <w:r w:rsidRPr="0085019A">
        <w:rPr>
          <w:b/>
        </w:rPr>
        <w:t>market interest rate</w:t>
      </w:r>
      <w:r w:rsidRPr="0085019A">
        <w:t xml:space="preserve">, which is the rate prescribed by regulation for the relevant financial year or if no rate is prescribed by regulation, the average yield (expressed as an annual rate) of the 90-day bank accepted bill published by the Reserve Bank of Australia for the month of May in the financial year </w:t>
      </w:r>
      <w:r>
        <w:t>preceding the relevant year</w:t>
      </w:r>
    </w:p>
    <w:p w14:paraId="6EA5EC37" w14:textId="77777777" w:rsidR="004D5550" w:rsidRPr="00AB78EC" w:rsidRDefault="004D5550" w:rsidP="004D5550">
      <w:pPr>
        <w:pStyle w:val="ListParagraph"/>
        <w:numPr>
          <w:ilvl w:val="1"/>
          <w:numId w:val="47"/>
        </w:numPr>
      </w:pPr>
      <w:r>
        <w:t xml:space="preserve">the </w:t>
      </w:r>
      <w:r w:rsidRPr="0085019A">
        <w:rPr>
          <w:b/>
        </w:rPr>
        <w:t>premium interest rate</w:t>
      </w:r>
      <w:r w:rsidRPr="0085019A">
        <w:t>, which is 8 per cent per annum.</w:t>
      </w:r>
      <w:r w:rsidRPr="000A02BD">
        <w:rPr>
          <w:rStyle w:val="FootnoteReference"/>
          <w:sz w:val="24"/>
          <w:szCs w:val="24"/>
        </w:rPr>
        <w:footnoteReference w:id="9"/>
      </w:r>
    </w:p>
    <w:p w14:paraId="6E63EA12" w14:textId="24ED5EED" w:rsidR="004D5550" w:rsidRDefault="004D5550" w:rsidP="004D5550">
      <w:pPr>
        <w:pStyle w:val="ListNumber"/>
        <w:numPr>
          <w:ilvl w:val="0"/>
          <w:numId w:val="44"/>
        </w:numPr>
      </w:pPr>
      <w:r w:rsidRPr="009A509C">
        <w:t xml:space="preserve">The interest rate for current and past years is available from </w:t>
      </w:r>
      <w:hyperlink r:id="rId17" w:history="1">
        <w:r w:rsidR="0074041C">
          <w:rPr>
            <w:rStyle w:val="Hyperlink"/>
          </w:rPr>
          <w:t>treasury.nt.gov.au/dtf/territory-revenue-office</w:t>
        </w:r>
      </w:hyperlink>
      <w:r w:rsidRPr="009A509C">
        <w:t>.</w:t>
      </w:r>
    </w:p>
    <w:p w14:paraId="0A17AA8E" w14:textId="77777777" w:rsidR="004D5550" w:rsidRPr="001B0534" w:rsidRDefault="004D5550" w:rsidP="004D5550">
      <w:pPr>
        <w:pStyle w:val="Heading2"/>
        <w:numPr>
          <w:ilvl w:val="0"/>
          <w:numId w:val="0"/>
        </w:numPr>
        <w:ind w:left="576" w:hanging="576"/>
      </w:pPr>
      <w:bookmarkStart w:id="5" w:name="_Toc169514556"/>
      <w:r>
        <w:t>Calculating interest generally</w:t>
      </w:r>
      <w:bookmarkEnd w:id="5"/>
    </w:p>
    <w:p w14:paraId="48F6C05C" w14:textId="77777777" w:rsidR="004D5550" w:rsidRDefault="004D5550" w:rsidP="004D5550">
      <w:pPr>
        <w:pStyle w:val="ListNumber"/>
        <w:numPr>
          <w:ilvl w:val="0"/>
          <w:numId w:val="44"/>
        </w:numPr>
      </w:pPr>
      <w:r>
        <w:t>I</w:t>
      </w:r>
      <w:r w:rsidRPr="004207CF">
        <w:t>nterest is calculated on a daily basis from the date the person was required to pay the tax until the date of payment</w:t>
      </w:r>
      <w:r>
        <w:t>,</w:t>
      </w:r>
      <w:r>
        <w:rPr>
          <w:rStyle w:val="FootnoteReference"/>
          <w:sz w:val="24"/>
          <w:szCs w:val="24"/>
        </w:rPr>
        <w:footnoteReference w:id="10"/>
      </w:r>
      <w:r w:rsidRPr="004207CF">
        <w:t xml:space="preserve"> </w:t>
      </w:r>
      <w:r>
        <w:t>although i</w:t>
      </w:r>
      <w:r w:rsidRPr="004207CF">
        <w:t xml:space="preserve">nterest </w:t>
      </w:r>
      <w:r>
        <w:t>is</w:t>
      </w:r>
      <w:r w:rsidRPr="004207CF">
        <w:t xml:space="preserve"> not imposed if it </w:t>
      </w:r>
      <w:r>
        <w:t>totals</w:t>
      </w:r>
      <w:r w:rsidRPr="004207CF">
        <w:t xml:space="preserve"> less than $20.</w:t>
      </w:r>
      <w:r>
        <w:rPr>
          <w:rStyle w:val="FootnoteReference"/>
          <w:sz w:val="24"/>
          <w:szCs w:val="24"/>
        </w:rPr>
        <w:footnoteReference w:id="11"/>
      </w:r>
    </w:p>
    <w:p w14:paraId="3D3E5ACB" w14:textId="77777777" w:rsidR="004D5550" w:rsidRDefault="004D5550" w:rsidP="004D5550">
      <w:pPr>
        <w:pStyle w:val="Heading2"/>
        <w:numPr>
          <w:ilvl w:val="0"/>
          <w:numId w:val="0"/>
        </w:numPr>
        <w:ind w:left="576" w:hanging="576"/>
      </w:pPr>
      <w:bookmarkStart w:id="6" w:name="_Toc169514557"/>
      <w:r>
        <w:t>Calculating interest on tax paid on a periodic basis (returns-based taxes)</w:t>
      </w:r>
      <w:bookmarkEnd w:id="6"/>
    </w:p>
    <w:p w14:paraId="1C2E01A1" w14:textId="415F7807" w:rsidR="004D5550" w:rsidRDefault="004D5550" w:rsidP="004D5550">
      <w:pPr>
        <w:pStyle w:val="ListParagraph"/>
        <w:numPr>
          <w:ilvl w:val="0"/>
          <w:numId w:val="44"/>
        </w:numPr>
      </w:pPr>
      <w:r w:rsidRPr="001B0534">
        <w:t>Interest is normally calculated from the date of a tax default until the date of payment of the outstanding tax. For returns-based taxes such as payroll tax</w:t>
      </w:r>
      <w:r>
        <w:t xml:space="preserve"> and royalty</w:t>
      </w:r>
      <w:r w:rsidRPr="001B0534">
        <w:t>, this means that interest is payable on a late periodic payment, such as monthly</w:t>
      </w:r>
      <w:r w:rsidR="003B6E52">
        <w:t xml:space="preserve"> or quarterly</w:t>
      </w:r>
      <w:r w:rsidRPr="001B0534">
        <w:t xml:space="preserve"> return</w:t>
      </w:r>
      <w:r w:rsidR="003B6E52">
        <w:t>s</w:t>
      </w:r>
      <w:r w:rsidRPr="001B0534">
        <w:t>. However, where TRO conducts an audit of a taxpayer who pays tax on a periodic basis, these audits are generally conducted on the basis of financial years (rather than return periods). Accordingly, the following special processes for calculating interest apply when assessments are issued following such audits.</w:t>
      </w:r>
    </w:p>
    <w:p w14:paraId="5FBF0B6E" w14:textId="77777777" w:rsidR="00C13AB8" w:rsidRDefault="00C13AB8">
      <w:pPr>
        <w:rPr>
          <w:rFonts w:asciiTheme="majorHAnsi" w:eastAsiaTheme="majorEastAsia" w:hAnsiTheme="majorHAnsi" w:cstheme="majorBidi"/>
          <w:bCs/>
          <w:iCs/>
          <w:color w:val="454347"/>
          <w:sz w:val="32"/>
          <w:szCs w:val="32"/>
        </w:rPr>
      </w:pPr>
      <w:bookmarkStart w:id="7" w:name="_Toc169514558"/>
      <w:r>
        <w:lastRenderedPageBreak/>
        <w:br w:type="page"/>
      </w:r>
    </w:p>
    <w:p w14:paraId="2C0135D6" w14:textId="3405DB69" w:rsidR="004D5550" w:rsidRPr="001B0534" w:rsidRDefault="004D5550" w:rsidP="004D5550">
      <w:pPr>
        <w:pStyle w:val="Heading2"/>
        <w:numPr>
          <w:ilvl w:val="0"/>
          <w:numId w:val="0"/>
        </w:numPr>
        <w:ind w:left="576" w:hanging="576"/>
        <w:rPr>
          <w:rStyle w:val="BlockTextChar"/>
          <w:i/>
        </w:rPr>
      </w:pPr>
      <w:r w:rsidRPr="001B0534">
        <w:lastRenderedPageBreak/>
        <w:t>Interest calculated from mid-point of financial year</w:t>
      </w:r>
      <w:bookmarkEnd w:id="7"/>
    </w:p>
    <w:p w14:paraId="457B1CFF" w14:textId="6CF97B7B" w:rsidR="004D5550" w:rsidRDefault="004D5550" w:rsidP="004D5550">
      <w:pPr>
        <w:pStyle w:val="ListNumber"/>
        <w:numPr>
          <w:ilvl w:val="0"/>
          <w:numId w:val="44"/>
        </w:numPr>
      </w:pPr>
      <w:r>
        <w:t>Wh</w:t>
      </w:r>
      <w:r w:rsidRPr="004207CF">
        <w:t xml:space="preserve">ere a taxpayer </w:t>
      </w:r>
      <w:r>
        <w:t xml:space="preserve">has a tax default where tax is payable on a periodic basis </w:t>
      </w:r>
      <w:r w:rsidRPr="004207CF">
        <w:t>(such as payroll tax</w:t>
      </w:r>
      <w:r>
        <w:t xml:space="preserve"> </w:t>
      </w:r>
      <w:r w:rsidRPr="004207CF">
        <w:t xml:space="preserve">or stamp duty on insurance policies) and </w:t>
      </w:r>
      <w:r>
        <w:t>TRO assesses</w:t>
      </w:r>
      <w:r w:rsidRPr="004207CF">
        <w:t xml:space="preserve"> the tax </w:t>
      </w:r>
      <w:r>
        <w:t>payable on one or more prior financial years</w:t>
      </w:r>
      <w:r w:rsidRPr="004207CF">
        <w:t xml:space="preserve">, interest is calculated for each separate </w:t>
      </w:r>
      <w:r>
        <w:t xml:space="preserve">financial </w:t>
      </w:r>
      <w:r w:rsidRPr="004207CF">
        <w:t>year’s liability</w:t>
      </w:r>
      <w:r>
        <w:t>.</w:t>
      </w:r>
    </w:p>
    <w:p w14:paraId="1F143CB4" w14:textId="77777777" w:rsidR="004D5550" w:rsidRPr="004207CF" w:rsidRDefault="004D5550" w:rsidP="004D5550">
      <w:pPr>
        <w:pStyle w:val="ListNumber"/>
        <w:keepLines/>
        <w:numPr>
          <w:ilvl w:val="0"/>
          <w:numId w:val="44"/>
        </w:numPr>
        <w:jc w:val="both"/>
      </w:pPr>
      <w:r>
        <w:t>I</w:t>
      </w:r>
      <w:r w:rsidRPr="004207CF">
        <w:t xml:space="preserve">nterest is </w:t>
      </w:r>
      <w:r>
        <w:t xml:space="preserve">based on </w:t>
      </w:r>
      <w:r w:rsidRPr="004207CF">
        <w:t xml:space="preserve">the number of days in the period commencing from the mid-point </w:t>
      </w:r>
      <w:r>
        <w:t>of that financial year or part of that financial year in which the tax default occurs</w:t>
      </w:r>
      <w:r w:rsidRPr="004207CF">
        <w:t xml:space="preserve">. The interest </w:t>
      </w:r>
      <w:r>
        <w:t xml:space="preserve">on that tax default </w:t>
      </w:r>
      <w:r w:rsidRPr="004207CF">
        <w:t>in subsequent financial years</w:t>
      </w:r>
      <w:r>
        <w:t xml:space="preserve"> </w:t>
      </w:r>
      <w:r w:rsidRPr="004207CF">
        <w:t>is based on a full year until the financial year in which the assessment is raised; in which case it is calculated on the numb</w:t>
      </w:r>
      <w:r>
        <w:t>er of days from the start of that</w:t>
      </w:r>
      <w:r w:rsidRPr="004207CF">
        <w:t xml:space="preserve"> financial year to the date the assessment is issued.</w:t>
      </w:r>
      <w:r>
        <w:t xml:space="preserve">  </w:t>
      </w:r>
    </w:p>
    <w:p w14:paraId="6669859A" w14:textId="77777777" w:rsidR="004D5550" w:rsidRDefault="004D5550" w:rsidP="004D5550">
      <w:pPr>
        <w:pStyle w:val="ExampleBox"/>
        <w:spacing w:before="240"/>
      </w:pPr>
      <w:r>
        <w:t xml:space="preserve">For example, where an audit determines a tax default in the first financial year of a three year audit period and the assessment is issued on 1 April of the third year, interest will be calculated using the number of days in: </w:t>
      </w:r>
    </w:p>
    <w:p w14:paraId="79375855" w14:textId="77777777" w:rsidR="004D5550" w:rsidRDefault="004D5550" w:rsidP="004D5550">
      <w:pPr>
        <w:pStyle w:val="ExampleBox"/>
      </w:pPr>
      <w:r>
        <w:t>- the period commencing 1 January (being the mid-point) to 30 June in the first year</w:t>
      </w:r>
    </w:p>
    <w:p w14:paraId="5B44AA97" w14:textId="77777777" w:rsidR="004D5550" w:rsidRDefault="004D5550" w:rsidP="004D5550">
      <w:pPr>
        <w:pStyle w:val="ExampleBox"/>
      </w:pPr>
      <w:r>
        <w:t>- the full year of the second year (1 July to 30 June)</w:t>
      </w:r>
    </w:p>
    <w:p w14:paraId="74514A7A" w14:textId="77777777" w:rsidR="004D5550" w:rsidRDefault="004D5550" w:rsidP="004D5550">
      <w:pPr>
        <w:pStyle w:val="ExampleBox"/>
      </w:pPr>
      <w:r>
        <w:t xml:space="preserve">- the period 1 July to 1 April in the third year. </w:t>
      </w:r>
    </w:p>
    <w:p w14:paraId="6DA3328A" w14:textId="77777777" w:rsidR="004D5550" w:rsidRDefault="004D5550" w:rsidP="004D5550">
      <w:pPr>
        <w:pStyle w:val="BlockText"/>
        <w:keepLines/>
        <w:numPr>
          <w:ilvl w:val="0"/>
          <w:numId w:val="44"/>
        </w:numPr>
        <w:spacing w:before="240" w:after="120"/>
        <w:jc w:val="both"/>
      </w:pPr>
      <w:r>
        <w:t>If in the second year a further tax default is determined, the mid-point rule will apply to that default amount in that year.</w:t>
      </w:r>
    </w:p>
    <w:p w14:paraId="28D6BAAA" w14:textId="77777777" w:rsidR="004D5550" w:rsidRDefault="004D5550" w:rsidP="004D5550">
      <w:pPr>
        <w:pStyle w:val="BlockText"/>
        <w:keepLines/>
        <w:numPr>
          <w:ilvl w:val="0"/>
          <w:numId w:val="44"/>
        </w:numPr>
        <w:spacing w:after="120"/>
        <w:jc w:val="both"/>
      </w:pPr>
      <w:r>
        <w:t>If the taxpayer becomes liable for periodic tax within a financial year and has a tax default in that year, the mid-point for the purposes of the interest calculation will be calculated as the date halfway between the date the taxpayer became liable and the end of that financial year (i.e. 30 June).</w:t>
      </w:r>
    </w:p>
    <w:p w14:paraId="50C3E034" w14:textId="77777777" w:rsidR="004D5550" w:rsidRPr="00182B7C" w:rsidRDefault="004D5550" w:rsidP="004D5550">
      <w:pPr>
        <w:pStyle w:val="Heading2"/>
        <w:numPr>
          <w:ilvl w:val="0"/>
          <w:numId w:val="0"/>
        </w:numPr>
        <w:ind w:left="576" w:hanging="576"/>
      </w:pPr>
      <w:bookmarkStart w:id="8" w:name="_Toc169514559"/>
      <w:r w:rsidRPr="00182B7C">
        <w:t>Crediting refunds before calculating interest</w:t>
      </w:r>
      <w:bookmarkEnd w:id="8"/>
    </w:p>
    <w:p w14:paraId="057CF992" w14:textId="77777777" w:rsidR="004D5550" w:rsidRDefault="004D5550" w:rsidP="004D5550">
      <w:pPr>
        <w:pStyle w:val="BlockText"/>
        <w:keepLines/>
        <w:numPr>
          <w:ilvl w:val="0"/>
          <w:numId w:val="44"/>
        </w:numPr>
        <w:spacing w:after="120"/>
        <w:jc w:val="both"/>
      </w:pPr>
      <w:r w:rsidRPr="004207CF">
        <w:t>In some circumstances,</w:t>
      </w:r>
      <w:r>
        <w:t xml:space="preserve"> an</w:t>
      </w:r>
      <w:r w:rsidRPr="004207CF">
        <w:t xml:space="preserve"> investigation into a taxpayer’s liability for payroll tax or </w:t>
      </w:r>
      <w:r>
        <w:t xml:space="preserve">other tax paid on a periodic basis </w:t>
      </w:r>
      <w:r w:rsidRPr="004207CF">
        <w:t xml:space="preserve">may reveal that </w:t>
      </w:r>
      <w:r>
        <w:t xml:space="preserve">there is a tax default </w:t>
      </w:r>
      <w:r w:rsidRPr="004207CF">
        <w:t>in some financial years and a</w:t>
      </w:r>
      <w:r>
        <w:t xml:space="preserve">n overpayment </w:t>
      </w:r>
      <w:r w:rsidRPr="004207CF">
        <w:t>i</w:t>
      </w:r>
      <w:r>
        <w:t xml:space="preserve">n </w:t>
      </w:r>
      <w:r w:rsidRPr="004207CF">
        <w:t>other financial year</w:t>
      </w:r>
      <w:r>
        <w:t>(s).</w:t>
      </w:r>
      <w:r w:rsidRPr="004207CF">
        <w:t xml:space="preserve">  </w:t>
      </w:r>
    </w:p>
    <w:p w14:paraId="267EFEE0" w14:textId="77777777" w:rsidR="004D5550" w:rsidRDefault="004D5550" w:rsidP="004D5550">
      <w:pPr>
        <w:pStyle w:val="BlockText"/>
        <w:keepLines/>
        <w:numPr>
          <w:ilvl w:val="0"/>
          <w:numId w:val="44"/>
        </w:numPr>
        <w:spacing w:after="120"/>
        <w:jc w:val="both"/>
      </w:pPr>
      <w:r w:rsidRPr="00F736AB">
        <w:t xml:space="preserve">Where </w:t>
      </w:r>
      <w:r>
        <w:t xml:space="preserve">an overpayment arises </w:t>
      </w:r>
      <w:r w:rsidRPr="00F736AB">
        <w:t xml:space="preserve">in respect of financial years subsequent to a </w:t>
      </w:r>
      <w:r>
        <w:t xml:space="preserve">financial year in which a </w:t>
      </w:r>
      <w:r w:rsidRPr="00F736AB">
        <w:t xml:space="preserve">tax </w:t>
      </w:r>
      <w:r>
        <w:t>default occurs</w:t>
      </w:r>
      <w:r w:rsidRPr="00F736AB">
        <w:t>, the interest payable in the</w:t>
      </w:r>
      <w:r>
        <w:t>se</w:t>
      </w:r>
      <w:r w:rsidRPr="00F736AB">
        <w:t xml:space="preserve"> </w:t>
      </w:r>
      <w:r>
        <w:t xml:space="preserve">subsequent </w:t>
      </w:r>
      <w:r w:rsidRPr="00F736AB">
        <w:t xml:space="preserve">financial year(s) is reduced. This reduction is determined by calculating the interest based on the ‘net’ underpaid tax for each </w:t>
      </w:r>
      <w:r>
        <w:t xml:space="preserve">subsequent </w:t>
      </w:r>
      <w:r w:rsidRPr="00F736AB">
        <w:t xml:space="preserve">financial year. </w:t>
      </w:r>
    </w:p>
    <w:p w14:paraId="7104B0FD" w14:textId="77777777" w:rsidR="004D5550" w:rsidRDefault="004D5550" w:rsidP="004D5550">
      <w:pPr>
        <w:pStyle w:val="ExampleBox"/>
        <w:spacing w:before="240"/>
      </w:pPr>
      <w:r>
        <w:t xml:space="preserve">For </w:t>
      </w:r>
      <w:r w:rsidRPr="00F736AB">
        <w:t xml:space="preserve">example, where a taxpayer has been audited and the audit determines that </w:t>
      </w:r>
      <w:r>
        <w:t>tax has been underpaid by $3</w:t>
      </w:r>
      <w:r w:rsidRPr="00F736AB">
        <w:t>000 in the first financial year</w:t>
      </w:r>
      <w:r>
        <w:t xml:space="preserve"> of an audit period</w:t>
      </w:r>
      <w:r w:rsidRPr="00F736AB">
        <w:t>, interest will be charged on the underpaid amount in that year. If in a subsequent year the taxpayer is found to have overpaid tax</w:t>
      </w:r>
      <w:r>
        <w:t xml:space="preserve"> by $1000</w:t>
      </w:r>
      <w:r w:rsidRPr="00F736AB">
        <w:t xml:space="preserve">, the interest for the subsequent financial year is calculated on the </w:t>
      </w:r>
      <w:r>
        <w:t xml:space="preserve">net </w:t>
      </w:r>
      <w:r w:rsidRPr="00F736AB">
        <w:t>underpayment</w:t>
      </w:r>
      <w:r>
        <w:t>,</w:t>
      </w:r>
      <w:r w:rsidRPr="00F736AB">
        <w:t xml:space="preserve"> </w:t>
      </w:r>
      <w:r>
        <w:t xml:space="preserve">that being $2000 </w:t>
      </w:r>
      <w:r w:rsidRPr="00F736AB">
        <w:t xml:space="preserve">after </w:t>
      </w:r>
      <w:r>
        <w:t>offsetting</w:t>
      </w:r>
      <w:r w:rsidRPr="00F736AB">
        <w:t xml:space="preserve"> the overp</w:t>
      </w:r>
      <w:r>
        <w:t>aid amount.</w:t>
      </w:r>
      <w:r w:rsidRPr="004207CF">
        <w:t xml:space="preserve">  </w:t>
      </w:r>
    </w:p>
    <w:p w14:paraId="5C06BD0A" w14:textId="77777777" w:rsidR="004D5550" w:rsidRDefault="004D5550" w:rsidP="004D5550">
      <w:pPr>
        <w:pStyle w:val="BlockText"/>
        <w:keepLines/>
        <w:numPr>
          <w:ilvl w:val="0"/>
          <w:numId w:val="44"/>
        </w:numPr>
        <w:spacing w:before="240" w:after="120"/>
        <w:jc w:val="both"/>
      </w:pPr>
      <w:r w:rsidRPr="004207CF">
        <w:t xml:space="preserve">Where the overpayment of tax in a financial year is </w:t>
      </w:r>
      <w:r>
        <w:t>greater</w:t>
      </w:r>
      <w:r w:rsidRPr="004207CF">
        <w:t xml:space="preserve"> than </w:t>
      </w:r>
      <w:r>
        <w:t>the total underpayment of tax in prior year</w:t>
      </w:r>
      <w:r w:rsidRPr="004207CF">
        <w:t>s, no interest is calculated</w:t>
      </w:r>
      <w:r>
        <w:t xml:space="preserve"> on the amount of the underpayment</w:t>
      </w:r>
      <w:r w:rsidRPr="004207CF">
        <w:t xml:space="preserve"> in respect of the year in which the </w:t>
      </w:r>
      <w:r>
        <w:t xml:space="preserve">net </w:t>
      </w:r>
      <w:r w:rsidRPr="004207CF">
        <w:t>overpayment occurred</w:t>
      </w:r>
      <w:r>
        <w:t xml:space="preserve">. Where an overpayment is greater than prior year underpayments, the net overpayment will be offset against any underpayments </w:t>
      </w:r>
      <w:r w:rsidRPr="004207CF">
        <w:t xml:space="preserve">identified in subsequent </w:t>
      </w:r>
      <w:r>
        <w:t xml:space="preserve">financial </w:t>
      </w:r>
      <w:r w:rsidRPr="004207CF">
        <w:t>years</w:t>
      </w:r>
      <w:r>
        <w:t xml:space="preserve"> when calculating the interest payable on those underpayments.</w:t>
      </w:r>
    </w:p>
    <w:p w14:paraId="416F9604" w14:textId="77777777" w:rsidR="00C13AB8" w:rsidRDefault="00C13AB8">
      <w:pPr>
        <w:rPr>
          <w:rFonts w:asciiTheme="majorHAnsi" w:eastAsiaTheme="majorEastAsia" w:hAnsiTheme="majorHAnsi" w:cstheme="majorBidi"/>
          <w:bCs/>
          <w:iCs/>
          <w:color w:val="454347"/>
          <w:sz w:val="32"/>
          <w:szCs w:val="32"/>
        </w:rPr>
      </w:pPr>
      <w:bookmarkStart w:id="9" w:name="_Toc169514560"/>
      <w:r>
        <w:br w:type="page"/>
      </w:r>
    </w:p>
    <w:p w14:paraId="098F0E77" w14:textId="3F267552" w:rsidR="004D5550" w:rsidRPr="004207CF" w:rsidRDefault="004D5550" w:rsidP="004D5550">
      <w:pPr>
        <w:pStyle w:val="Heading2"/>
        <w:numPr>
          <w:ilvl w:val="0"/>
          <w:numId w:val="0"/>
        </w:numPr>
        <w:ind w:left="576" w:hanging="576"/>
      </w:pPr>
      <w:r w:rsidRPr="004207CF">
        <w:lastRenderedPageBreak/>
        <w:t>Remission of interest</w:t>
      </w:r>
      <w:bookmarkEnd w:id="9"/>
      <w:r w:rsidRPr="004207CF">
        <w:t xml:space="preserve"> </w:t>
      </w:r>
    </w:p>
    <w:p w14:paraId="502A98F0" w14:textId="77777777" w:rsidR="004D5550" w:rsidRDefault="004D5550" w:rsidP="004D5550">
      <w:pPr>
        <w:pStyle w:val="BlockText"/>
        <w:keepLines/>
        <w:numPr>
          <w:ilvl w:val="0"/>
          <w:numId w:val="44"/>
        </w:numPr>
        <w:spacing w:after="120"/>
        <w:jc w:val="both"/>
      </w:pPr>
      <w:r>
        <w:t>TRO may</w:t>
      </w:r>
      <w:r w:rsidRPr="004207CF">
        <w:t xml:space="preserve"> remit all or part of the interest payable where </w:t>
      </w:r>
      <w:r w:rsidRPr="004A1B47">
        <w:t>satisfied that it is appropriate to do so</w:t>
      </w:r>
      <w:r>
        <w:t>.</w:t>
      </w:r>
      <w:r>
        <w:rPr>
          <w:rStyle w:val="FootnoteReference"/>
          <w:sz w:val="24"/>
          <w:szCs w:val="24"/>
        </w:rPr>
        <w:footnoteReference w:id="12"/>
      </w:r>
      <w:r>
        <w:t xml:space="preserve">  However, interest may </w:t>
      </w:r>
      <w:r w:rsidRPr="004207CF">
        <w:t xml:space="preserve">only be reduced </w:t>
      </w:r>
      <w:r>
        <w:t>below the market interest rate</w:t>
      </w:r>
      <w:r w:rsidRPr="004207CF">
        <w:t xml:space="preserve"> in </w:t>
      </w:r>
      <w:r w:rsidRPr="00F575EF">
        <w:t>exceptional circumstances</w:t>
      </w:r>
      <w:r w:rsidRPr="004207CF">
        <w:t>, having regard to the role that interest plays in deterrence, equity and compensation (as set out above).</w:t>
      </w:r>
      <w:r>
        <w:rPr>
          <w:rStyle w:val="FootnoteReference"/>
          <w:sz w:val="24"/>
          <w:szCs w:val="24"/>
        </w:rPr>
        <w:footnoteReference w:id="13"/>
      </w:r>
      <w:r w:rsidRPr="004207CF">
        <w:t xml:space="preserve">  </w:t>
      </w:r>
    </w:p>
    <w:p w14:paraId="0D3A0163" w14:textId="24DBDB35" w:rsidR="004D5550" w:rsidRDefault="004D5550" w:rsidP="004D5550">
      <w:pPr>
        <w:pStyle w:val="ListParagraph"/>
        <w:numPr>
          <w:ilvl w:val="0"/>
          <w:numId w:val="44"/>
        </w:numPr>
        <w:spacing w:after="200"/>
        <w:contextualSpacing/>
      </w:pPr>
      <w:r>
        <w:t xml:space="preserve">From 1 January 2020 to 31 December 2020, a concessional interest rate </w:t>
      </w:r>
      <w:r w:rsidR="000C3664">
        <w:t>applied</w:t>
      </w:r>
      <w:r>
        <w:t xml:space="preserve"> in limited circumstances to certain eligible tax defaults. Commissioner’s Guideline CG-GEN-006: </w:t>
      </w:r>
      <w:r>
        <w:rPr>
          <w:i/>
          <w:iCs w:val="0"/>
        </w:rPr>
        <w:t>Concessional interest rate</w:t>
      </w:r>
      <w:r>
        <w:t xml:space="preserve"> explains how TRO applies this rate and the conditions of eligibility.</w:t>
      </w:r>
    </w:p>
    <w:p w14:paraId="0553F069" w14:textId="77777777" w:rsidR="004D5550" w:rsidRDefault="004D5550" w:rsidP="004D5550">
      <w:pPr>
        <w:pStyle w:val="BlockText"/>
        <w:keepLines/>
        <w:numPr>
          <w:ilvl w:val="0"/>
          <w:numId w:val="44"/>
        </w:numPr>
        <w:spacing w:after="120"/>
        <w:jc w:val="both"/>
      </w:pPr>
      <w:r w:rsidRPr="004207CF">
        <w:t xml:space="preserve">The </w:t>
      </w:r>
      <w:r>
        <w:t>interest</w:t>
      </w:r>
      <w:r w:rsidRPr="004207CF">
        <w:t xml:space="preserve"> rate will </w:t>
      </w:r>
      <w:r>
        <w:t xml:space="preserve">generally </w:t>
      </w:r>
      <w:r w:rsidRPr="004207CF">
        <w:t xml:space="preserve">be reduced to the market </w:t>
      </w:r>
      <w:r>
        <w:t xml:space="preserve">interest </w:t>
      </w:r>
      <w:r w:rsidRPr="004207CF">
        <w:t xml:space="preserve">rate where TRO is satisfied that </w:t>
      </w:r>
      <w:r>
        <w:t>t</w:t>
      </w:r>
      <w:r w:rsidRPr="004207CF">
        <w:t>he tax default is due to circumstances beyond the control of the taxpayer (other than the taxpayer</w:t>
      </w:r>
      <w:r>
        <w:t>’</w:t>
      </w:r>
      <w:r w:rsidRPr="004207CF">
        <w:t>s financial incapacity to meet the tax liability) and the taxpayer</w:t>
      </w:r>
      <w:r>
        <w:t>,</w:t>
      </w:r>
      <w:r w:rsidRPr="004207CF">
        <w:t xml:space="preserve"> having discovered the tax default</w:t>
      </w:r>
      <w:r>
        <w:t>,</w:t>
      </w:r>
      <w:r w:rsidRPr="004207CF">
        <w:t xml:space="preserve"> took all</w:t>
      </w:r>
      <w:r>
        <w:t xml:space="preserve"> reasonable steps to rectify it. </w:t>
      </w:r>
    </w:p>
    <w:p w14:paraId="003A9D87" w14:textId="77777777" w:rsidR="004D5550" w:rsidRDefault="004D5550" w:rsidP="004D5550">
      <w:pPr>
        <w:pStyle w:val="BlockText"/>
        <w:keepLines/>
        <w:numPr>
          <w:ilvl w:val="0"/>
          <w:numId w:val="44"/>
        </w:numPr>
        <w:spacing w:after="120"/>
        <w:jc w:val="both"/>
      </w:pPr>
      <w:r>
        <w:t xml:space="preserve">The interest rate will be reduced to nil where the </w:t>
      </w:r>
      <w:r w:rsidRPr="004207CF">
        <w:t xml:space="preserve">taxpayer can demonstrate that </w:t>
      </w:r>
      <w:r>
        <w:t xml:space="preserve">the </w:t>
      </w:r>
      <w:r w:rsidRPr="004207CF">
        <w:t xml:space="preserve">tax </w:t>
      </w:r>
      <w:r>
        <w:t xml:space="preserve">due to the Territory </w:t>
      </w:r>
      <w:r w:rsidRPr="004207CF">
        <w:t xml:space="preserve">has been paid in error to the </w:t>
      </w:r>
      <w:r>
        <w:t>r</w:t>
      </w:r>
      <w:r w:rsidRPr="004207CF">
        <w:t xml:space="preserve">evenue </w:t>
      </w:r>
      <w:r>
        <w:t>authority of another state or territory</w:t>
      </w:r>
      <w:r w:rsidRPr="004207CF">
        <w:t xml:space="preserve"> </w:t>
      </w:r>
      <w:r>
        <w:t xml:space="preserve">and it was paid </w:t>
      </w:r>
      <w:r w:rsidRPr="004207CF">
        <w:t>on or before its due date</w:t>
      </w:r>
      <w:r>
        <w:t xml:space="preserve"> for payment in the Territory.</w:t>
      </w:r>
    </w:p>
    <w:p w14:paraId="63B9EC0E" w14:textId="77777777" w:rsidR="004D5550" w:rsidRDefault="004D5550" w:rsidP="004D5550">
      <w:pPr>
        <w:pStyle w:val="BlockText"/>
        <w:keepLines/>
        <w:numPr>
          <w:ilvl w:val="0"/>
          <w:numId w:val="44"/>
        </w:numPr>
        <w:spacing w:after="120"/>
        <w:jc w:val="both"/>
      </w:pPr>
      <w:r w:rsidRPr="004207CF">
        <w:t xml:space="preserve">Furthermore, where there is an unreasonably lengthy delay in TRO making an assessment after the taxpayer has provided all information required to issue the assessment in a timely manner, the </w:t>
      </w:r>
      <w:r>
        <w:t xml:space="preserve">period over which interest is charged </w:t>
      </w:r>
      <w:r w:rsidRPr="004207CF">
        <w:t>will be redu</w:t>
      </w:r>
      <w:r>
        <w:t>ced such that interest will not be imposed for the period of TRO’s delay.</w:t>
      </w:r>
    </w:p>
    <w:p w14:paraId="6EA1AEC6" w14:textId="77777777" w:rsidR="004D5550" w:rsidRDefault="004D5550" w:rsidP="004D5550">
      <w:pPr>
        <w:pStyle w:val="Heading2"/>
        <w:numPr>
          <w:ilvl w:val="0"/>
          <w:numId w:val="0"/>
        </w:numPr>
        <w:ind w:left="576" w:hanging="576"/>
      </w:pPr>
      <w:bookmarkStart w:id="10" w:name="_Toc169514561"/>
      <w:r>
        <w:t>Statutory interest rate is payable on judgment debts</w:t>
      </w:r>
      <w:bookmarkEnd w:id="10"/>
    </w:p>
    <w:p w14:paraId="4BBADA6A" w14:textId="77777777" w:rsidR="004D5550" w:rsidRDefault="004D5550" w:rsidP="004D5550">
      <w:pPr>
        <w:pStyle w:val="BlockText"/>
        <w:keepLines/>
        <w:numPr>
          <w:ilvl w:val="0"/>
          <w:numId w:val="44"/>
        </w:numPr>
        <w:spacing w:after="120"/>
        <w:jc w:val="both"/>
      </w:pPr>
      <w:r w:rsidRPr="004A1B47">
        <w:t xml:space="preserve">If judgment is given by or entered in a court </w:t>
      </w:r>
      <w:r>
        <w:t xml:space="preserve">in relation to </w:t>
      </w:r>
      <w:r w:rsidRPr="004A1B47">
        <w:t>unpaid tax, interest continues to accrue</w:t>
      </w:r>
      <w:r>
        <w:t xml:space="preserve"> </w:t>
      </w:r>
      <w:r w:rsidRPr="004A1B47">
        <w:t>at the statutory interest rate</w:t>
      </w:r>
      <w:r w:rsidRPr="004C09B7">
        <w:t xml:space="preserve"> </w:t>
      </w:r>
      <w:r w:rsidRPr="004A1B47">
        <w:t>until the</w:t>
      </w:r>
      <w:r>
        <w:t xml:space="preserve"> </w:t>
      </w:r>
      <w:r w:rsidRPr="004A1B47">
        <w:t xml:space="preserve">tax is paid, </w:t>
      </w:r>
      <w:r>
        <w:t xml:space="preserve">rather than any </w:t>
      </w:r>
      <w:r w:rsidRPr="004A1B47">
        <w:t>other interest rate</w:t>
      </w:r>
      <w:r>
        <w:t xml:space="preserve"> (such as that set out under the Supreme Court Rules)</w:t>
      </w:r>
      <w:r w:rsidRPr="004A1B47">
        <w:t>.</w:t>
      </w:r>
      <w:r>
        <w:rPr>
          <w:rStyle w:val="FootnoteReference"/>
          <w:sz w:val="24"/>
          <w:szCs w:val="24"/>
        </w:rPr>
        <w:footnoteReference w:id="14"/>
      </w:r>
    </w:p>
    <w:p w14:paraId="5A59F158" w14:textId="77777777" w:rsidR="004D5550" w:rsidRDefault="004D5550" w:rsidP="004D5550">
      <w:pPr>
        <w:pStyle w:val="Heading1"/>
        <w:numPr>
          <w:ilvl w:val="0"/>
          <w:numId w:val="0"/>
        </w:numPr>
        <w:ind w:left="432" w:hanging="432"/>
      </w:pPr>
      <w:bookmarkStart w:id="11" w:name="_Toc169514562"/>
      <w:r>
        <w:t>Penalty tax</w:t>
      </w:r>
      <w:bookmarkEnd w:id="11"/>
    </w:p>
    <w:p w14:paraId="478C98D5" w14:textId="77777777" w:rsidR="004D5550" w:rsidRDefault="004D5550" w:rsidP="004D5550">
      <w:pPr>
        <w:pStyle w:val="BlockText"/>
        <w:keepLines/>
        <w:numPr>
          <w:ilvl w:val="0"/>
          <w:numId w:val="44"/>
        </w:numPr>
        <w:spacing w:after="120"/>
        <w:jc w:val="both"/>
      </w:pPr>
      <w:r w:rsidRPr="004207CF">
        <w:t>When a tax default occurs, a taxpayer is liable to pay penalty tax.</w:t>
      </w:r>
      <w:r>
        <w:rPr>
          <w:rStyle w:val="FootnoteReference"/>
          <w:sz w:val="24"/>
          <w:szCs w:val="24"/>
        </w:rPr>
        <w:footnoteReference w:id="15"/>
      </w:r>
      <w:r w:rsidRPr="004207CF">
        <w:t xml:space="preserve"> Penalty tax is in addition to primary tax and interest. Penalty tax is not payable for a tax default that consists </w:t>
      </w:r>
      <w:r>
        <w:t>only of a</w:t>
      </w:r>
      <w:r w:rsidRPr="004207CF">
        <w:t xml:space="preserve"> failure to pay interest or penalty tax previously imposed.  </w:t>
      </w:r>
    </w:p>
    <w:p w14:paraId="77CFF160" w14:textId="77777777" w:rsidR="004D5550" w:rsidRDefault="004D5550" w:rsidP="004D5550">
      <w:pPr>
        <w:pStyle w:val="BlockText"/>
        <w:keepLines/>
        <w:numPr>
          <w:ilvl w:val="0"/>
          <w:numId w:val="44"/>
        </w:numPr>
        <w:spacing w:after="120"/>
        <w:jc w:val="both"/>
      </w:pPr>
      <w:r>
        <w:t>The TAA provides for a graduated scheme of penalty tax and imposes penalty tax at a higher rate where a taxpayer is more culpable. Where a person’s conduct goes beyond a simple lack of care or inadvertence, higher penalty tax may apply – severe sanctions of up to 95 per cent apply for the most serious matters.</w:t>
      </w:r>
    </w:p>
    <w:p w14:paraId="7F6BF372" w14:textId="77777777" w:rsidR="004D5550" w:rsidRDefault="004D5550" w:rsidP="004D5550">
      <w:pPr>
        <w:pStyle w:val="BlockText"/>
        <w:keepLines/>
        <w:numPr>
          <w:ilvl w:val="0"/>
          <w:numId w:val="44"/>
        </w:numPr>
        <w:spacing w:after="120"/>
        <w:jc w:val="both"/>
      </w:pPr>
      <w:r w:rsidRPr="004207CF">
        <w:t>As a general rule</w:t>
      </w:r>
      <w:r>
        <w:t>,</w:t>
      </w:r>
      <w:r w:rsidRPr="004207CF">
        <w:t xml:space="preserve"> the amount of</w:t>
      </w:r>
      <w:r>
        <w:t xml:space="preserve"> penalty tax imposed will be 25 per cent </w:t>
      </w:r>
      <w:r w:rsidRPr="004207CF">
        <w:t>of the amount of</w:t>
      </w:r>
      <w:r>
        <w:t xml:space="preserve"> the</w:t>
      </w:r>
      <w:r w:rsidRPr="004207CF">
        <w:t xml:space="preserve"> tax default</w:t>
      </w:r>
      <w:r>
        <w:t xml:space="preserve">, although it </w:t>
      </w:r>
      <w:r w:rsidRPr="00BD644F">
        <w:t>will not be imposed i</w:t>
      </w:r>
      <w:r>
        <w:t xml:space="preserve">f it amounts to less than $20. </w:t>
      </w:r>
    </w:p>
    <w:p w14:paraId="6B675B1E" w14:textId="77777777" w:rsidR="004D5550" w:rsidRDefault="004D5550" w:rsidP="004D5550">
      <w:pPr>
        <w:pStyle w:val="BlockText"/>
        <w:keepLines/>
        <w:numPr>
          <w:ilvl w:val="0"/>
          <w:numId w:val="44"/>
        </w:numPr>
        <w:spacing w:after="120"/>
        <w:jc w:val="both"/>
      </w:pPr>
      <w:r>
        <w:t>The penalty tax will be changed from 25 per cent of the amount of the tax default to:</w:t>
      </w:r>
    </w:p>
    <w:p w14:paraId="771F6DBB" w14:textId="77777777" w:rsidR="004D5550" w:rsidRDefault="004D5550" w:rsidP="004D5550">
      <w:pPr>
        <w:pStyle w:val="BlockText"/>
        <w:keepLines/>
        <w:numPr>
          <w:ilvl w:val="1"/>
          <w:numId w:val="48"/>
        </w:numPr>
        <w:spacing w:after="120"/>
        <w:jc w:val="both"/>
      </w:pPr>
      <w:r w:rsidRPr="004135B0">
        <w:rPr>
          <w:b/>
        </w:rPr>
        <w:lastRenderedPageBreak/>
        <w:t>nil</w:t>
      </w:r>
      <w:r w:rsidRPr="004135B0">
        <w:rPr>
          <w:rStyle w:val="BlockTextChar"/>
        </w:rPr>
        <w:t xml:space="preserve">, where TRO is satisfied that the tax default arose from </w:t>
      </w:r>
      <w:r w:rsidRPr="004135B0">
        <w:rPr>
          <w:b/>
        </w:rPr>
        <w:t>circumstances beyond the control of the taxpayer</w:t>
      </w:r>
      <w:r w:rsidRPr="004135B0">
        <w:t xml:space="preserve"> other than the taxpayer’s financial incapacity to meet the tax liability and the taxpayer, having discovered the tax default, took all reasonable steps to rectify it</w:t>
      </w:r>
      <w:r w:rsidRPr="004135B0">
        <w:rPr>
          <w:rStyle w:val="FootnoteReference"/>
        </w:rPr>
        <w:footnoteReference w:id="16"/>
      </w:r>
      <w:r w:rsidRPr="004135B0">
        <w:t xml:space="preserve">  </w:t>
      </w:r>
    </w:p>
    <w:p w14:paraId="0BC18510" w14:textId="77777777" w:rsidR="004D5550" w:rsidRDefault="004D5550" w:rsidP="004D5550">
      <w:pPr>
        <w:pStyle w:val="BlockText"/>
        <w:keepLines/>
        <w:numPr>
          <w:ilvl w:val="1"/>
          <w:numId w:val="48"/>
        </w:numPr>
        <w:spacing w:after="120"/>
        <w:jc w:val="both"/>
      </w:pPr>
      <w:r w:rsidRPr="009736E9">
        <w:rPr>
          <w:b/>
        </w:rPr>
        <w:t>10 per cent</w:t>
      </w:r>
      <w:r w:rsidRPr="004135B0">
        <w:t xml:space="preserve"> of the amount of the tax default, where TRO is satisfied that the taxpayer took </w:t>
      </w:r>
      <w:r w:rsidRPr="009736E9">
        <w:rPr>
          <w:b/>
        </w:rPr>
        <w:t>reasonable care to comply with the taxation laws</w:t>
      </w:r>
      <w:r w:rsidRPr="004135B0">
        <w:rPr>
          <w:rStyle w:val="FootnoteReference"/>
        </w:rPr>
        <w:footnoteReference w:id="17"/>
      </w:r>
      <w:r w:rsidRPr="004135B0">
        <w:t xml:space="preserve">  </w:t>
      </w:r>
    </w:p>
    <w:p w14:paraId="1A1A8078" w14:textId="77777777" w:rsidR="004D5550" w:rsidRDefault="004D5550" w:rsidP="004D5550">
      <w:pPr>
        <w:pStyle w:val="BlockText"/>
        <w:keepLines/>
        <w:numPr>
          <w:ilvl w:val="1"/>
          <w:numId w:val="48"/>
        </w:numPr>
        <w:spacing w:after="120"/>
        <w:jc w:val="both"/>
      </w:pPr>
      <w:r w:rsidRPr="009736E9">
        <w:rPr>
          <w:b/>
        </w:rPr>
        <w:t>75 per cent</w:t>
      </w:r>
      <w:r w:rsidRPr="004135B0">
        <w:t xml:space="preserve"> of the amount of the tax default, where TRO is satisfied that </w:t>
      </w:r>
      <w:r w:rsidRPr="009736E9">
        <w:rPr>
          <w:u w:val="single"/>
        </w:rPr>
        <w:t>either</w:t>
      </w:r>
      <w:r w:rsidRPr="004207CF">
        <w:t>:</w:t>
      </w:r>
    </w:p>
    <w:p w14:paraId="05BF4447" w14:textId="77777777" w:rsidR="004D5550" w:rsidRPr="004207CF" w:rsidRDefault="004D5550" w:rsidP="004D5550">
      <w:pPr>
        <w:pStyle w:val="BlockText"/>
        <w:keepLines/>
        <w:numPr>
          <w:ilvl w:val="2"/>
          <w:numId w:val="49"/>
        </w:numPr>
        <w:spacing w:after="120"/>
        <w:jc w:val="both"/>
      </w:pPr>
      <w:r w:rsidRPr="004207CF">
        <w:t xml:space="preserve">the tax default arose wholly or partly from the </w:t>
      </w:r>
      <w:r w:rsidRPr="002504FD">
        <w:rPr>
          <w:b/>
        </w:rPr>
        <w:t>intentional disregard of a taxation law</w:t>
      </w:r>
      <w:r w:rsidRPr="004207CF">
        <w:t xml:space="preserve"> </w:t>
      </w:r>
      <w:r>
        <w:t xml:space="preserve">by the taxpayer </w:t>
      </w:r>
      <w:r w:rsidRPr="004207CF">
        <w:t xml:space="preserve">or a person </w:t>
      </w:r>
      <w:r>
        <w:t>acting on behalf of a taxpayer</w:t>
      </w:r>
    </w:p>
    <w:p w14:paraId="15AB129D" w14:textId="77777777" w:rsidR="004D5550" w:rsidRPr="004135B0" w:rsidRDefault="004D5550" w:rsidP="004D5550">
      <w:pPr>
        <w:pStyle w:val="BlockText"/>
        <w:keepLines/>
        <w:numPr>
          <w:ilvl w:val="2"/>
          <w:numId w:val="49"/>
        </w:numPr>
        <w:spacing w:after="120"/>
        <w:jc w:val="both"/>
        <w:rPr>
          <w:rStyle w:val="BlockTextChar"/>
        </w:rPr>
      </w:pPr>
      <w:r>
        <w:t xml:space="preserve">the taxpayer </w:t>
      </w:r>
      <w:r w:rsidRPr="004207CF">
        <w:t>or a person</w:t>
      </w:r>
      <w:r>
        <w:t xml:space="preserve"> acting on behalf of a taxpayer</w:t>
      </w:r>
      <w:r w:rsidRPr="004207CF">
        <w:t xml:space="preserve"> deliberately </w:t>
      </w:r>
      <w:r w:rsidRPr="002504FD">
        <w:rPr>
          <w:b/>
        </w:rPr>
        <w:t>concealed or suppressed information</w:t>
      </w:r>
      <w:r w:rsidRPr="004135B0">
        <w:rPr>
          <w:rStyle w:val="BlockTextChar"/>
        </w:rPr>
        <w:t xml:space="preserve"> from the Commissioner relevant to the assessment of the tax liability or the investigation of the tax default or </w:t>
      </w:r>
      <w:r w:rsidRPr="002504FD">
        <w:rPr>
          <w:b/>
        </w:rPr>
        <w:t>hindered the assessment of the tax liability or the investigation of the tax default</w:t>
      </w:r>
      <w:r>
        <w:rPr>
          <w:rStyle w:val="BlockTextChar"/>
        </w:rPr>
        <w:t xml:space="preserve"> in any other way</w:t>
      </w:r>
      <w:r>
        <w:rPr>
          <w:rStyle w:val="FootnoteReference"/>
          <w:sz w:val="24"/>
          <w:szCs w:val="24"/>
        </w:rPr>
        <w:footnoteReference w:id="18"/>
      </w:r>
    </w:p>
    <w:p w14:paraId="5EF5DB10" w14:textId="77777777" w:rsidR="004D5550" w:rsidRPr="003D6356" w:rsidRDefault="004D5550" w:rsidP="004D5550">
      <w:pPr>
        <w:pStyle w:val="BlockText"/>
        <w:keepLines/>
        <w:numPr>
          <w:ilvl w:val="1"/>
          <w:numId w:val="48"/>
        </w:numPr>
        <w:spacing w:after="120"/>
        <w:jc w:val="both"/>
      </w:pPr>
      <w:r w:rsidRPr="003D6356">
        <w:rPr>
          <w:b/>
        </w:rPr>
        <w:t>95 per cent</w:t>
      </w:r>
      <w:r w:rsidRPr="003D6356">
        <w:t xml:space="preserve"> of the amount of the tax default where the Commissioner is satisfied that </w:t>
      </w:r>
      <w:r w:rsidRPr="003D6356">
        <w:rPr>
          <w:u w:val="single"/>
        </w:rPr>
        <w:t>both</w:t>
      </w:r>
      <w:r w:rsidRPr="003D6356">
        <w:t xml:space="preserve"> of the circumstances set out in </w:t>
      </w:r>
      <w:r>
        <w:t>(</w:t>
      </w:r>
      <w:r w:rsidRPr="003D6356">
        <w:t>3) above exists.</w:t>
      </w:r>
      <w:r w:rsidRPr="003D6356">
        <w:rPr>
          <w:rStyle w:val="FootnoteReference"/>
        </w:rPr>
        <w:footnoteReference w:id="19"/>
      </w:r>
    </w:p>
    <w:p w14:paraId="18E1E056" w14:textId="77777777" w:rsidR="004D5550" w:rsidRPr="004207CF" w:rsidRDefault="004D5550" w:rsidP="004D5550">
      <w:pPr>
        <w:pStyle w:val="BlockText"/>
        <w:keepLines/>
        <w:numPr>
          <w:ilvl w:val="0"/>
          <w:numId w:val="44"/>
        </w:numPr>
        <w:spacing w:after="120"/>
        <w:jc w:val="both"/>
      </w:pPr>
      <w:r>
        <w:t>In addition, where satisfied that it is appropriate to do so, the Commissioner has the ability to remit penalty tax (wholly or in part).</w:t>
      </w:r>
      <w:r>
        <w:rPr>
          <w:rStyle w:val="FootnoteReference"/>
          <w:sz w:val="24"/>
          <w:szCs w:val="24"/>
        </w:rPr>
        <w:footnoteReference w:id="20"/>
      </w:r>
      <w:r>
        <w:t xml:space="preserve"> In accordance with this discretion, penalty tax will be reduced to nil where the </w:t>
      </w:r>
      <w:r w:rsidRPr="004207CF">
        <w:t xml:space="preserve">taxpayer can demonstrate that </w:t>
      </w:r>
      <w:r>
        <w:t xml:space="preserve">the </w:t>
      </w:r>
      <w:r w:rsidRPr="004207CF">
        <w:t xml:space="preserve">tax </w:t>
      </w:r>
      <w:r>
        <w:t xml:space="preserve">due to the Territory </w:t>
      </w:r>
      <w:r w:rsidRPr="004207CF">
        <w:t xml:space="preserve">has been paid in error to the </w:t>
      </w:r>
      <w:r>
        <w:t>r</w:t>
      </w:r>
      <w:r w:rsidRPr="004207CF">
        <w:t xml:space="preserve">evenue </w:t>
      </w:r>
      <w:r>
        <w:t>authority of another state or territory</w:t>
      </w:r>
      <w:r w:rsidRPr="004207CF">
        <w:t xml:space="preserve"> </w:t>
      </w:r>
      <w:r>
        <w:t xml:space="preserve">and it was paid </w:t>
      </w:r>
      <w:r w:rsidRPr="004207CF">
        <w:t>on or before its due date</w:t>
      </w:r>
      <w:r>
        <w:t xml:space="preserve"> for payment in the Territory.</w:t>
      </w:r>
    </w:p>
    <w:p w14:paraId="2C680FD2" w14:textId="77777777" w:rsidR="004D5550" w:rsidRDefault="004D5550" w:rsidP="004D5550">
      <w:pPr>
        <w:pStyle w:val="ListNumber"/>
        <w:numPr>
          <w:ilvl w:val="0"/>
          <w:numId w:val="44"/>
        </w:numPr>
      </w:pPr>
      <w:r>
        <w:t>A matrix of the different levels of penalty tax payable based on the culpability of the taxpayer is provided at the end of this Guideline.</w:t>
      </w:r>
    </w:p>
    <w:p w14:paraId="2F33B731" w14:textId="77777777" w:rsidR="004D5550" w:rsidRPr="00A02252" w:rsidRDefault="004D5550" w:rsidP="004D5550">
      <w:pPr>
        <w:pStyle w:val="Heading2"/>
        <w:numPr>
          <w:ilvl w:val="0"/>
          <w:numId w:val="0"/>
        </w:numPr>
        <w:ind w:left="576" w:hanging="576"/>
      </w:pPr>
      <w:bookmarkStart w:id="12" w:name="_Toc169514563"/>
      <w:r w:rsidRPr="00A02252">
        <w:t>Determining the level of penalty tax</w:t>
      </w:r>
      <w:bookmarkEnd w:id="12"/>
    </w:p>
    <w:p w14:paraId="6E07ACB6" w14:textId="77777777" w:rsidR="004D5550" w:rsidRPr="002504FD" w:rsidRDefault="004D5550" w:rsidP="004D5550">
      <w:pPr>
        <w:pStyle w:val="Heading3"/>
        <w:numPr>
          <w:ilvl w:val="0"/>
          <w:numId w:val="0"/>
        </w:numPr>
        <w:ind w:left="720" w:hanging="720"/>
      </w:pPr>
      <w:bookmarkStart w:id="13" w:name="_Toc169514564"/>
      <w:r w:rsidRPr="002504FD">
        <w:t>Circumstances beyond the control of a taxpayer</w:t>
      </w:r>
      <w:bookmarkEnd w:id="13"/>
    </w:p>
    <w:p w14:paraId="3779C11F" w14:textId="77777777" w:rsidR="004D5550" w:rsidRDefault="004D5550" w:rsidP="004D5550">
      <w:pPr>
        <w:pStyle w:val="BlockText"/>
        <w:keepLines/>
        <w:numPr>
          <w:ilvl w:val="0"/>
          <w:numId w:val="44"/>
        </w:numPr>
        <w:spacing w:after="120"/>
        <w:jc w:val="both"/>
      </w:pPr>
      <w:r w:rsidRPr="004207CF">
        <w:t xml:space="preserve">Circumstances beyond the control of the taxpayer that may warrant </w:t>
      </w:r>
      <w:r>
        <w:t>no penalty tax being imposed include</w:t>
      </w:r>
      <w:r w:rsidRPr="004207CF">
        <w:t>:</w:t>
      </w:r>
    </w:p>
    <w:p w14:paraId="54F2979B" w14:textId="77777777" w:rsidR="004D5550" w:rsidRPr="004207CF" w:rsidRDefault="004D5550" w:rsidP="004D5550">
      <w:pPr>
        <w:pStyle w:val="BlockText"/>
        <w:keepLines/>
        <w:numPr>
          <w:ilvl w:val="1"/>
          <w:numId w:val="50"/>
        </w:numPr>
        <w:spacing w:after="120"/>
        <w:jc w:val="both"/>
      </w:pPr>
      <w:r w:rsidRPr="004207CF">
        <w:t>fires, floods</w:t>
      </w:r>
      <w:r>
        <w:t>, cyclones</w:t>
      </w:r>
      <w:r w:rsidRPr="004207CF">
        <w:t xml:space="preserve"> or other natural disasters</w:t>
      </w:r>
    </w:p>
    <w:p w14:paraId="79AEEAE0" w14:textId="77777777" w:rsidR="004D5550" w:rsidRPr="004207CF" w:rsidRDefault="004D5550" w:rsidP="004D5550">
      <w:pPr>
        <w:pStyle w:val="BlockText"/>
        <w:keepLines/>
        <w:numPr>
          <w:ilvl w:val="1"/>
          <w:numId w:val="50"/>
        </w:numPr>
        <w:spacing w:after="120"/>
        <w:jc w:val="both"/>
      </w:pPr>
      <w:r w:rsidRPr="004207CF">
        <w:t>key personnel not being available because of sudden re</w:t>
      </w:r>
      <w:r>
        <w:t>signation, ill health or death</w:t>
      </w:r>
    </w:p>
    <w:p w14:paraId="46757DD9" w14:textId="77777777" w:rsidR="004D5550" w:rsidRPr="004207CF" w:rsidRDefault="004D5550" w:rsidP="004D5550">
      <w:pPr>
        <w:pStyle w:val="BlockText"/>
        <w:keepLines/>
        <w:numPr>
          <w:ilvl w:val="1"/>
          <w:numId w:val="50"/>
        </w:numPr>
        <w:spacing w:after="120"/>
        <w:jc w:val="both"/>
      </w:pPr>
      <w:r w:rsidRPr="004207CF">
        <w:t>computer system breakdowns, including third party systems such as electronic funds transfer systems.</w:t>
      </w:r>
    </w:p>
    <w:p w14:paraId="2469CC05" w14:textId="77777777" w:rsidR="004D5550" w:rsidRDefault="004D5550" w:rsidP="004D5550">
      <w:pPr>
        <w:pStyle w:val="BlockText"/>
        <w:keepLines/>
        <w:numPr>
          <w:ilvl w:val="0"/>
          <w:numId w:val="44"/>
        </w:numPr>
        <w:spacing w:after="120"/>
        <w:jc w:val="both"/>
      </w:pPr>
      <w:r>
        <w:t xml:space="preserve">However, </w:t>
      </w:r>
      <w:r w:rsidRPr="004207CF">
        <w:t xml:space="preserve">the taxpayer </w:t>
      </w:r>
      <w:r>
        <w:t>must make</w:t>
      </w:r>
      <w:r w:rsidRPr="004207CF">
        <w:t xml:space="preserve"> a reasonable effort to </w:t>
      </w:r>
      <w:r>
        <w:t xml:space="preserve">rectify or mitigate the </w:t>
      </w:r>
      <w:r w:rsidRPr="004207CF">
        <w:t>tax default arising from those circumstances.</w:t>
      </w:r>
    </w:p>
    <w:p w14:paraId="09C49BA9" w14:textId="77777777" w:rsidR="004D5550" w:rsidRPr="001800B1" w:rsidRDefault="004D5550" w:rsidP="004D5550">
      <w:pPr>
        <w:pStyle w:val="Heading3"/>
        <w:numPr>
          <w:ilvl w:val="0"/>
          <w:numId w:val="0"/>
        </w:numPr>
        <w:ind w:left="720" w:hanging="720"/>
      </w:pPr>
      <w:bookmarkStart w:id="14" w:name="_Toc169514565"/>
      <w:r w:rsidRPr="001800B1">
        <w:t>Reasonable care to comply with the taxation laws</w:t>
      </w:r>
      <w:bookmarkEnd w:id="14"/>
    </w:p>
    <w:p w14:paraId="56944C94" w14:textId="77777777" w:rsidR="004D5550" w:rsidRDefault="004D5550" w:rsidP="004D5550">
      <w:pPr>
        <w:pStyle w:val="BlockText"/>
        <w:keepLines/>
        <w:numPr>
          <w:ilvl w:val="0"/>
          <w:numId w:val="44"/>
        </w:numPr>
        <w:spacing w:after="120"/>
        <w:jc w:val="both"/>
      </w:pPr>
      <w:r w:rsidRPr="004207CF">
        <w:t xml:space="preserve">The reasonable care standard is essentially the ordinary requirements of good commercial governance. A taxpayer is required to: </w:t>
      </w:r>
    </w:p>
    <w:p w14:paraId="124AADB9" w14:textId="77777777" w:rsidR="004D5550" w:rsidRDefault="004D5550" w:rsidP="004D5550">
      <w:pPr>
        <w:pStyle w:val="BlockText"/>
        <w:keepLines/>
        <w:numPr>
          <w:ilvl w:val="1"/>
          <w:numId w:val="51"/>
        </w:numPr>
        <w:spacing w:after="120"/>
        <w:jc w:val="both"/>
      </w:pPr>
      <w:r w:rsidRPr="004207CF">
        <w:lastRenderedPageBreak/>
        <w:t xml:space="preserve">be honest and cooperative in their dealings with TRO </w:t>
      </w:r>
    </w:p>
    <w:p w14:paraId="55F75185" w14:textId="77777777" w:rsidR="004D5550" w:rsidRPr="004207CF" w:rsidRDefault="004D5550" w:rsidP="004D5550">
      <w:pPr>
        <w:pStyle w:val="BlockText"/>
        <w:keepLines/>
        <w:numPr>
          <w:ilvl w:val="1"/>
          <w:numId w:val="51"/>
        </w:numPr>
        <w:spacing w:after="120"/>
        <w:jc w:val="both"/>
      </w:pPr>
      <w:r w:rsidRPr="004207CF">
        <w:t>kee</w:t>
      </w:r>
      <w:r>
        <w:t>p complete and accurate records</w:t>
      </w:r>
    </w:p>
    <w:p w14:paraId="0BFF47D1" w14:textId="77777777" w:rsidR="004D5550" w:rsidRPr="004207CF" w:rsidRDefault="004D5550" w:rsidP="004D5550">
      <w:pPr>
        <w:pStyle w:val="BlockText"/>
        <w:keepLines/>
        <w:numPr>
          <w:ilvl w:val="1"/>
          <w:numId w:val="51"/>
        </w:numPr>
        <w:spacing w:after="120"/>
        <w:jc w:val="both"/>
      </w:pPr>
      <w:r w:rsidRPr="004207CF">
        <w:t>make diligent efforts to understand and comply with the</w:t>
      </w:r>
      <w:r>
        <w:t xml:space="preserve"> taxation</w:t>
      </w:r>
      <w:r w:rsidRPr="004207CF">
        <w:t xml:space="preserve"> law</w:t>
      </w:r>
      <w:r>
        <w:t>s</w:t>
      </w:r>
    </w:p>
    <w:p w14:paraId="5B72D100" w14:textId="77777777" w:rsidR="004D5550" w:rsidRDefault="004D5550" w:rsidP="004D5550">
      <w:pPr>
        <w:pStyle w:val="BlockText"/>
        <w:keepLines/>
        <w:numPr>
          <w:ilvl w:val="1"/>
          <w:numId w:val="51"/>
        </w:numPr>
        <w:spacing w:after="120"/>
        <w:jc w:val="both"/>
      </w:pPr>
      <w:r w:rsidRPr="004207CF">
        <w:t>seek expert advice on uncertain or complex matters</w:t>
      </w:r>
      <w:r>
        <w:t>.</w:t>
      </w:r>
    </w:p>
    <w:p w14:paraId="5EC8D00E" w14:textId="77777777" w:rsidR="004D5550" w:rsidRDefault="004D5550" w:rsidP="004D5550">
      <w:pPr>
        <w:pStyle w:val="BlockText"/>
        <w:keepLines/>
        <w:numPr>
          <w:ilvl w:val="0"/>
          <w:numId w:val="44"/>
        </w:numPr>
        <w:spacing w:after="120"/>
        <w:jc w:val="both"/>
      </w:pPr>
      <w:r>
        <w:t>In relation to stamp duty lodgements, taking reasonable care to comply with the SDA means that a taxpayer should, as far as possible:</w:t>
      </w:r>
    </w:p>
    <w:p w14:paraId="58E287DE" w14:textId="77777777" w:rsidR="004D5550" w:rsidRPr="003D6356" w:rsidRDefault="004D5550" w:rsidP="004D5550">
      <w:pPr>
        <w:pStyle w:val="BlockText"/>
        <w:keepLines/>
        <w:numPr>
          <w:ilvl w:val="1"/>
          <w:numId w:val="52"/>
        </w:numPr>
        <w:spacing w:after="120"/>
        <w:jc w:val="both"/>
      </w:pPr>
      <w:r w:rsidRPr="003D6356">
        <w:t xml:space="preserve">lodge the instruments for assessment as early as possible within the requisite 60-day lodgement period (see Commissioner’s Guideline </w:t>
      </w:r>
      <w:r w:rsidRPr="003D0945">
        <w:t>CG</w:t>
      </w:r>
      <w:r w:rsidRPr="003D0945">
        <w:noBreakHyphen/>
        <w:t>SD</w:t>
      </w:r>
      <w:r w:rsidRPr="003D0945">
        <w:noBreakHyphen/>
        <w:t>001</w:t>
      </w:r>
      <w:r w:rsidRPr="008E5B45">
        <w:t>:</w:t>
      </w:r>
      <w:r w:rsidRPr="003D6356">
        <w:t xml:space="preserve"> </w:t>
      </w:r>
      <w:r w:rsidRPr="003D6356">
        <w:rPr>
          <w:i/>
        </w:rPr>
        <w:t>Document lodgement and payment periods</w:t>
      </w:r>
      <w:r w:rsidRPr="003D6356">
        <w:t xml:space="preserve"> for further information on the lodgement and payment period and practices that will assist taxpayers with</w:t>
      </w:r>
      <w:r>
        <w:t xml:space="preserve"> complying with that timeframe)</w:t>
      </w:r>
    </w:p>
    <w:p w14:paraId="0583473D" w14:textId="77777777" w:rsidR="004D5550" w:rsidRPr="003D6356" w:rsidRDefault="004D5550" w:rsidP="004D5550">
      <w:pPr>
        <w:pStyle w:val="BlockText"/>
        <w:keepLines/>
        <w:numPr>
          <w:ilvl w:val="1"/>
          <w:numId w:val="52"/>
        </w:numPr>
        <w:spacing w:after="120"/>
        <w:jc w:val="both"/>
      </w:pPr>
      <w:r w:rsidRPr="003D6356">
        <w:t xml:space="preserve">provide all information relevant to the assessment of stamp duty on the instrument up-front when lodging the document for assessment (in accordance with the requirement to make full and true disclosure – see Commissioner’s Guideline </w:t>
      </w:r>
      <w:r w:rsidRPr="003D0945">
        <w:t>CG-GEN-005</w:t>
      </w:r>
      <w:r w:rsidRPr="008E5B45">
        <w:t>:</w:t>
      </w:r>
      <w:r w:rsidRPr="003D6356">
        <w:t xml:space="preserve"> </w:t>
      </w:r>
      <w:r w:rsidRPr="003D6356">
        <w:rPr>
          <w:i/>
        </w:rPr>
        <w:t>Requirement for full and true disclosure</w:t>
      </w:r>
      <w:r>
        <w:t>)</w:t>
      </w:r>
    </w:p>
    <w:p w14:paraId="18509EBE" w14:textId="77777777" w:rsidR="004D5550" w:rsidRPr="003D6356" w:rsidRDefault="004D5550" w:rsidP="004D5550">
      <w:pPr>
        <w:pStyle w:val="BlockText"/>
        <w:keepLines/>
        <w:numPr>
          <w:ilvl w:val="1"/>
          <w:numId w:val="52"/>
        </w:numPr>
        <w:spacing w:after="120"/>
        <w:jc w:val="both"/>
        <w:rPr>
          <w:rStyle w:val="BlockTextChar"/>
        </w:rPr>
      </w:pPr>
      <w:r w:rsidRPr="003D6356">
        <w:t xml:space="preserve">cooperate fully and promptly with any requests by TRO for further information or documents relevant to the assessment, such as a request for a valuation (see Commissioner’s Guideline </w:t>
      </w:r>
      <w:r w:rsidRPr="003D0945">
        <w:t>CG-SD-010</w:t>
      </w:r>
      <w:r w:rsidRPr="008E5B45">
        <w:t>:</w:t>
      </w:r>
      <w:r w:rsidRPr="003D6356">
        <w:rPr>
          <w:rStyle w:val="BlockTextChar"/>
        </w:rPr>
        <w:t xml:space="preserve"> </w:t>
      </w:r>
      <w:r w:rsidRPr="003D6356">
        <w:rPr>
          <w:i/>
        </w:rPr>
        <w:t>Tax assessments requiring evidence of value</w:t>
      </w:r>
      <w:r w:rsidRPr="003D6356">
        <w:rPr>
          <w:rStyle w:val="BlockTextChar"/>
        </w:rPr>
        <w:t>).</w:t>
      </w:r>
    </w:p>
    <w:p w14:paraId="67E69F9C" w14:textId="3A030037" w:rsidR="004D5550" w:rsidRPr="001C551C" w:rsidRDefault="004D5550" w:rsidP="004D5550">
      <w:pPr>
        <w:pStyle w:val="BlockText"/>
        <w:keepLines/>
        <w:numPr>
          <w:ilvl w:val="0"/>
          <w:numId w:val="44"/>
        </w:numPr>
        <w:spacing w:after="120"/>
        <w:jc w:val="both"/>
      </w:pPr>
      <w:r w:rsidRPr="001C551C">
        <w:t xml:space="preserve">In determining whether or not a taxpayer has taken reasonable care to comply with the taxation laws, TRO </w:t>
      </w:r>
      <w:r w:rsidR="00473C4C">
        <w:t>may</w:t>
      </w:r>
      <w:r w:rsidR="00473C4C" w:rsidRPr="001C551C">
        <w:t xml:space="preserve"> </w:t>
      </w:r>
      <w:r w:rsidRPr="001C551C">
        <w:t xml:space="preserve">consider </w:t>
      </w:r>
      <w:r w:rsidR="00473C4C">
        <w:t xml:space="preserve">a range of factors including; </w:t>
      </w:r>
      <w:r w:rsidRPr="001C551C">
        <w:t>the taxpayer's knowledge of the relevant legislation, commercial experience, access to expert advice and familiarity with the English language.</w:t>
      </w:r>
    </w:p>
    <w:p w14:paraId="1586138B" w14:textId="77777777" w:rsidR="004D5550" w:rsidRDefault="004D5550" w:rsidP="004D5550">
      <w:pPr>
        <w:pStyle w:val="BlockText"/>
        <w:keepLines/>
        <w:numPr>
          <w:ilvl w:val="0"/>
          <w:numId w:val="44"/>
        </w:numPr>
        <w:spacing w:after="120"/>
        <w:jc w:val="both"/>
      </w:pPr>
      <w:r w:rsidRPr="004207CF">
        <w:t>TRO will also consider a range of factors including whether or not, in relation to the particular taxation law under which the tax default has occurred, the taxpayer has</w:t>
      </w:r>
      <w:r>
        <w:t>, where appropriate</w:t>
      </w:r>
      <w:r w:rsidRPr="004207CF">
        <w:t>:</w:t>
      </w:r>
    </w:p>
    <w:p w14:paraId="53A8763D" w14:textId="77777777" w:rsidR="004D5550" w:rsidRPr="004207CF" w:rsidRDefault="004D5550" w:rsidP="004D5550">
      <w:pPr>
        <w:pStyle w:val="BlockText"/>
        <w:keepLines/>
        <w:numPr>
          <w:ilvl w:val="1"/>
          <w:numId w:val="53"/>
        </w:numPr>
        <w:spacing w:after="120"/>
        <w:jc w:val="both"/>
      </w:pPr>
      <w:r w:rsidRPr="004207CF">
        <w:t xml:space="preserve">maintained appropriate and proper recording systems – that is, systems that minimise the risk of tax default, allow reconciliation of the tax paid or payable with returns required to be lodged and fulfil the taxpayer’s obligation under the taxation laws to maintain records for the purposes </w:t>
      </w:r>
      <w:r>
        <w:t>of TRO investigations or audits</w:t>
      </w:r>
    </w:p>
    <w:p w14:paraId="00CCEB97" w14:textId="77777777" w:rsidR="004D5550" w:rsidRPr="004207CF" w:rsidRDefault="004D5550" w:rsidP="004D5550">
      <w:pPr>
        <w:pStyle w:val="BlockText"/>
        <w:keepLines/>
        <w:numPr>
          <w:ilvl w:val="1"/>
          <w:numId w:val="53"/>
        </w:numPr>
        <w:spacing w:after="120"/>
        <w:jc w:val="both"/>
      </w:pPr>
      <w:r w:rsidRPr="004207CF">
        <w:t>taken reasonable steps to be aware of and comply with their taxation obligations and to be familiar with the re</w:t>
      </w:r>
      <w:r>
        <w:t>levant legislative requirements</w:t>
      </w:r>
    </w:p>
    <w:p w14:paraId="5076A2C5" w14:textId="77777777" w:rsidR="004D5550" w:rsidRPr="004207CF" w:rsidRDefault="004D5550" w:rsidP="004D5550">
      <w:pPr>
        <w:pStyle w:val="BlockText"/>
        <w:keepLines/>
        <w:numPr>
          <w:ilvl w:val="1"/>
          <w:numId w:val="53"/>
        </w:numPr>
        <w:spacing w:after="120"/>
        <w:jc w:val="both"/>
      </w:pPr>
      <w:r w:rsidRPr="004207CF">
        <w:t>applied in good faith any relevant Guidelines or other publicat</w:t>
      </w:r>
      <w:r>
        <w:t>ions issued by the Commissioner</w:t>
      </w:r>
    </w:p>
    <w:p w14:paraId="724F5221" w14:textId="77777777" w:rsidR="004D5550" w:rsidRPr="004207CF" w:rsidRDefault="004D5550" w:rsidP="004D5550">
      <w:pPr>
        <w:pStyle w:val="BlockText"/>
        <w:keepLines/>
        <w:numPr>
          <w:ilvl w:val="1"/>
          <w:numId w:val="53"/>
        </w:numPr>
        <w:spacing w:after="120"/>
        <w:jc w:val="both"/>
      </w:pPr>
      <w:r w:rsidRPr="004207CF">
        <w:t>sought professional advice in relation to the taxation laws for uncertain or complex matters where no Guideline applies or the taxpayer’s circumstances differ from</w:t>
      </w:r>
      <w:r>
        <w:t xml:space="preserve"> those described in a Guideline</w:t>
      </w:r>
    </w:p>
    <w:p w14:paraId="680EBD3D" w14:textId="77777777" w:rsidR="004D5550" w:rsidRPr="004207CF" w:rsidRDefault="004D5550" w:rsidP="004D5550">
      <w:pPr>
        <w:pStyle w:val="BlockText"/>
        <w:keepLines/>
        <w:numPr>
          <w:ilvl w:val="1"/>
          <w:numId w:val="53"/>
        </w:numPr>
        <w:spacing w:after="120"/>
        <w:jc w:val="both"/>
      </w:pPr>
      <w:r w:rsidRPr="004207CF">
        <w:t xml:space="preserve">acted in good faith in applying any </w:t>
      </w:r>
      <w:r>
        <w:t>independent tax advice received</w:t>
      </w:r>
    </w:p>
    <w:p w14:paraId="187EB3BD" w14:textId="77777777" w:rsidR="004D5550" w:rsidRPr="004207CF" w:rsidRDefault="004D5550" w:rsidP="004D5550">
      <w:pPr>
        <w:pStyle w:val="BlockText"/>
        <w:keepLines/>
        <w:numPr>
          <w:ilvl w:val="1"/>
          <w:numId w:val="53"/>
        </w:numPr>
        <w:spacing w:after="120"/>
        <w:jc w:val="both"/>
      </w:pPr>
      <w:r w:rsidRPr="004207CF">
        <w:t>observed any corporate reconstructi</w:t>
      </w:r>
      <w:r>
        <w:t>on ruling received and notified</w:t>
      </w:r>
      <w:r w:rsidRPr="004207CF">
        <w:t xml:space="preserve"> TRO if there have been any changes in the information</w:t>
      </w:r>
      <w:r>
        <w:t xml:space="preserve"> on which the ruling was formed</w:t>
      </w:r>
    </w:p>
    <w:p w14:paraId="4FC226B0" w14:textId="77777777" w:rsidR="004D5550" w:rsidRPr="004207CF" w:rsidRDefault="004D5550" w:rsidP="004D5550">
      <w:pPr>
        <w:pStyle w:val="BlockText"/>
        <w:keepLines/>
        <w:numPr>
          <w:ilvl w:val="1"/>
          <w:numId w:val="53"/>
        </w:numPr>
        <w:spacing w:after="120"/>
        <w:jc w:val="both"/>
      </w:pPr>
      <w:r w:rsidRPr="004207CF">
        <w:t>acted promptly to seek advice or provide information once made aware, from any source, that the taxpaye</w:t>
      </w:r>
      <w:r>
        <w:t>r might have a tax liability</w:t>
      </w:r>
    </w:p>
    <w:p w14:paraId="6652FD49" w14:textId="77777777" w:rsidR="004D5550" w:rsidRDefault="004D5550" w:rsidP="004D5550">
      <w:pPr>
        <w:pStyle w:val="BlockText"/>
        <w:keepLines/>
        <w:numPr>
          <w:ilvl w:val="1"/>
          <w:numId w:val="53"/>
        </w:numPr>
        <w:spacing w:after="120"/>
        <w:jc w:val="both"/>
      </w:pPr>
      <w:r w:rsidRPr="004207CF">
        <w:t>actively cooperated with TRO, such as responding to inquiries by TRO</w:t>
      </w:r>
      <w:r>
        <w:t>,</w:t>
      </w:r>
      <w:r w:rsidRPr="004207CF">
        <w:t xml:space="preserve"> providing all information requested in a timely manner and registering </w:t>
      </w:r>
      <w:r>
        <w:t xml:space="preserve">to pay the tax </w:t>
      </w:r>
      <w:r w:rsidRPr="004207CF">
        <w:t>as soon as a tax liability has been discovered.</w:t>
      </w:r>
    </w:p>
    <w:p w14:paraId="18CBC113" w14:textId="77777777" w:rsidR="004D5550" w:rsidRPr="004207CF" w:rsidRDefault="004D5550" w:rsidP="004D5550">
      <w:pPr>
        <w:pStyle w:val="BlockText"/>
        <w:keepLines/>
        <w:numPr>
          <w:ilvl w:val="0"/>
          <w:numId w:val="44"/>
        </w:numPr>
        <w:spacing w:after="120"/>
        <w:jc w:val="both"/>
      </w:pPr>
      <w:r>
        <w:lastRenderedPageBreak/>
        <w:t>S</w:t>
      </w:r>
      <w:r w:rsidRPr="004207CF">
        <w:t>imple mistakes such as transpositi</w:t>
      </w:r>
      <w:r>
        <w:t>on errors or calculation errors</w:t>
      </w:r>
      <w:r w:rsidRPr="004207CF">
        <w:t xml:space="preserve"> </w:t>
      </w:r>
      <w:r>
        <w:t>that</w:t>
      </w:r>
      <w:r w:rsidRPr="004207CF">
        <w:t xml:space="preserve"> result in a tax default</w:t>
      </w:r>
      <w:r>
        <w:t xml:space="preserve"> can arise where a </w:t>
      </w:r>
      <w:r w:rsidRPr="004207CF">
        <w:t>person is taking reasonable care t</w:t>
      </w:r>
      <w:r>
        <w:t xml:space="preserve">o comply with the taxation laws. In this circumstance, </w:t>
      </w:r>
      <w:r w:rsidRPr="004207CF">
        <w:t>the</w:t>
      </w:r>
      <w:r>
        <w:t>se</w:t>
      </w:r>
      <w:r w:rsidRPr="004207CF">
        <w:t xml:space="preserve"> mistake</w:t>
      </w:r>
      <w:r>
        <w:t>s</w:t>
      </w:r>
      <w:r w:rsidRPr="004207CF">
        <w:t xml:space="preserve"> alone </w:t>
      </w:r>
      <w:r>
        <w:t>will not be taken as indicating t</w:t>
      </w:r>
      <w:r w:rsidRPr="004207CF">
        <w:t xml:space="preserve">hat the taxpayer has not taken reasonable care, provided that the mistake does not arise from other factors that </w:t>
      </w:r>
      <w:r>
        <w:t>show</w:t>
      </w:r>
      <w:r w:rsidRPr="004207CF">
        <w:t xml:space="preserve"> that the taxpayer has not taken reasonable care.</w:t>
      </w:r>
    </w:p>
    <w:p w14:paraId="5BBAAA6D" w14:textId="77777777" w:rsidR="004D5550" w:rsidRPr="00E041E0" w:rsidRDefault="004D5550" w:rsidP="004D5550">
      <w:pPr>
        <w:pStyle w:val="BlockText"/>
        <w:keepLines/>
        <w:numPr>
          <w:ilvl w:val="0"/>
          <w:numId w:val="44"/>
        </w:numPr>
        <w:spacing w:after="120"/>
        <w:jc w:val="both"/>
      </w:pPr>
      <w:r>
        <w:t>F</w:t>
      </w:r>
      <w:r w:rsidRPr="004207CF">
        <w:t>or example, making a calculation error on a payroll tax annual reconciliation</w:t>
      </w:r>
      <w:r>
        <w:t xml:space="preserve"> or an annual royalty return</w:t>
      </w:r>
      <w:r w:rsidRPr="004207CF">
        <w:t xml:space="preserve"> does not of itself mean that the taxpayer was not taking reasonable care. However, other factors may mean that the error actually arises from circumstances of the taxpayer not taking reasonable care, </w:t>
      </w:r>
      <w:r w:rsidRPr="00E041E0">
        <w:t>such as:</w:t>
      </w:r>
    </w:p>
    <w:p w14:paraId="2328FE1A" w14:textId="77777777" w:rsidR="004D5550" w:rsidRPr="00E041E0" w:rsidRDefault="004D5550" w:rsidP="004D5550">
      <w:pPr>
        <w:pStyle w:val="BlockText"/>
        <w:keepLines/>
        <w:numPr>
          <w:ilvl w:val="1"/>
          <w:numId w:val="54"/>
        </w:numPr>
        <w:spacing w:after="120"/>
        <w:jc w:val="both"/>
      </w:pPr>
      <w:r w:rsidRPr="00E041E0">
        <w:t>the taxpayer not maintaining appropriate and proper recording systems (for example, the taxpayer’s wages information does not properly indicate whether total wage figures are inclusive of superannuation or fringe benefits so an error is made i</w:t>
      </w:r>
      <w:r>
        <w:t>n the annual reconciliation)</w:t>
      </w:r>
    </w:p>
    <w:p w14:paraId="76A8F180" w14:textId="77777777" w:rsidR="004D5550" w:rsidRPr="009D7CE3" w:rsidRDefault="004D5550" w:rsidP="004D5550">
      <w:pPr>
        <w:pStyle w:val="BlockText"/>
        <w:keepLines/>
        <w:numPr>
          <w:ilvl w:val="1"/>
          <w:numId w:val="54"/>
        </w:numPr>
        <w:spacing w:after="120"/>
        <w:jc w:val="both"/>
      </w:pPr>
      <w:r w:rsidRPr="009D7CE3">
        <w:t xml:space="preserve">a failure of the taxpayer to be aware of the proper application of the PTA (for example, by not getting an accountant’s advice or closely reading and applying the </w:t>
      </w:r>
      <w:r w:rsidRPr="003D6356">
        <w:rPr>
          <w:i/>
        </w:rPr>
        <w:t>Employers’ Guide to Payroll Tax in the Northern Territory</w:t>
      </w:r>
      <w:r w:rsidRPr="009D7CE3">
        <w:t xml:space="preserve"> (</w:t>
      </w:r>
      <w:r w:rsidRPr="003D0945">
        <w:t>I-PRT-001</w:t>
      </w:r>
      <w:r w:rsidRPr="009D7CE3">
        <w:t>) and so failing to ‘gross-up’ fringe benefits).</w:t>
      </w:r>
    </w:p>
    <w:p w14:paraId="4A45B555" w14:textId="77777777" w:rsidR="004D5550" w:rsidRDefault="004D5550" w:rsidP="004D5550">
      <w:pPr>
        <w:pStyle w:val="BlockText"/>
        <w:keepLines/>
        <w:numPr>
          <w:ilvl w:val="0"/>
          <w:numId w:val="44"/>
        </w:numPr>
        <w:spacing w:after="120"/>
        <w:jc w:val="both"/>
      </w:pPr>
      <w:r w:rsidRPr="004207CF">
        <w:t xml:space="preserve">Furthermore, a taxpayer will not be regarded to have taken reasonable care where: </w:t>
      </w:r>
    </w:p>
    <w:p w14:paraId="6F4A6534" w14:textId="77777777" w:rsidR="004D5550" w:rsidRPr="004207CF" w:rsidRDefault="004D5550" w:rsidP="004D5550">
      <w:pPr>
        <w:pStyle w:val="BlockText"/>
        <w:keepLines/>
        <w:numPr>
          <w:ilvl w:val="1"/>
          <w:numId w:val="55"/>
        </w:numPr>
        <w:spacing w:after="120"/>
        <w:jc w:val="both"/>
      </w:pPr>
      <w:r w:rsidRPr="004207CF">
        <w:t>a reasonable person, having regard to the particular circumstances of the taxpayer, would have or ought to have been able to foresee the</w:t>
      </w:r>
      <w:r>
        <w:t xml:space="preserve"> likelihood of a tax default</w:t>
      </w:r>
    </w:p>
    <w:p w14:paraId="1419683D" w14:textId="77777777" w:rsidR="004D5550" w:rsidRPr="004207CF" w:rsidRDefault="004D5550" w:rsidP="004D5550">
      <w:pPr>
        <w:pStyle w:val="BlockText"/>
        <w:keepLines/>
        <w:numPr>
          <w:ilvl w:val="1"/>
          <w:numId w:val="55"/>
        </w:numPr>
        <w:spacing w:after="120"/>
        <w:jc w:val="both"/>
      </w:pPr>
      <w:r w:rsidRPr="004207CF">
        <w:t>the taxpayer was indifferent to the possibility of the tax default occurring or recognised the risk of the tax default occurring and accepted the consequences of that risk.</w:t>
      </w:r>
    </w:p>
    <w:p w14:paraId="2DC0B8D0" w14:textId="77777777" w:rsidR="004D5550" w:rsidRPr="003045E2" w:rsidRDefault="004D5550" w:rsidP="004D5550">
      <w:pPr>
        <w:pStyle w:val="Heading3"/>
        <w:numPr>
          <w:ilvl w:val="0"/>
          <w:numId w:val="0"/>
        </w:numPr>
        <w:ind w:left="720" w:hanging="720"/>
      </w:pPr>
      <w:bookmarkStart w:id="15" w:name="_Toc169514566"/>
      <w:r w:rsidRPr="003045E2">
        <w:t xml:space="preserve">Intentional disregard </w:t>
      </w:r>
      <w:r>
        <w:t>of</w:t>
      </w:r>
      <w:r w:rsidRPr="003045E2">
        <w:t xml:space="preserve"> a taxation law</w:t>
      </w:r>
      <w:bookmarkEnd w:id="15"/>
    </w:p>
    <w:p w14:paraId="557ED66F" w14:textId="77777777" w:rsidR="004D5550" w:rsidRDefault="004D5550" w:rsidP="004D5550">
      <w:pPr>
        <w:pStyle w:val="ListNumber"/>
        <w:numPr>
          <w:ilvl w:val="0"/>
          <w:numId w:val="44"/>
        </w:numPr>
      </w:pPr>
      <w:r w:rsidRPr="004207CF">
        <w:t xml:space="preserve">Intentional disregard </w:t>
      </w:r>
      <w:r>
        <w:t>of</w:t>
      </w:r>
      <w:r w:rsidRPr="004207CF">
        <w:t xml:space="preserve"> a taxation law </w:t>
      </w:r>
      <w:r>
        <w:t xml:space="preserve">arises in situations where a taxpayer, or a person acting on their behalf, knows the requirements of a taxation law but chooses to act in a manner that flouts those requirements. The rate of penalty tax associated with intentional disregard reflects the heightened culpability of a taxpayer who understands how a taxation law operates in respect of its affairs yet knowingly and willingly disregards the requirements of the taxation law. </w:t>
      </w:r>
    </w:p>
    <w:p w14:paraId="7DF5361D" w14:textId="77777777" w:rsidR="004D5550" w:rsidRDefault="004D5550" w:rsidP="004D5550">
      <w:pPr>
        <w:pStyle w:val="ListNumber"/>
        <w:numPr>
          <w:ilvl w:val="0"/>
          <w:numId w:val="44"/>
        </w:numPr>
      </w:pPr>
      <w:r>
        <w:t xml:space="preserve">The intent of the taxpayer, or their agent, to disregard the law may be determined through direct evidence (e.g. statements that the taxpayer would know to be false).  Intent may also be inferred from the surrounding circumstances, including the conduct of the taxpayer or their agent. </w:t>
      </w:r>
    </w:p>
    <w:p w14:paraId="4329F5EA" w14:textId="77777777" w:rsidR="004D5550" w:rsidRDefault="004D5550" w:rsidP="004D5550">
      <w:pPr>
        <w:pStyle w:val="ListNumber"/>
        <w:numPr>
          <w:ilvl w:val="0"/>
          <w:numId w:val="44"/>
        </w:numPr>
      </w:pPr>
      <w:r>
        <w:t>The factors which indicate</w:t>
      </w:r>
      <w:r w:rsidRPr="004207CF">
        <w:t xml:space="preserve"> an intentional disregard </w:t>
      </w:r>
      <w:r>
        <w:t>of</w:t>
      </w:r>
      <w:r w:rsidRPr="004207CF">
        <w:t xml:space="preserve"> a taxation law </w:t>
      </w:r>
      <w:r>
        <w:t>are necessarily dependent on the circumstances of each matter, but may include one or more of the following</w:t>
      </w:r>
      <w:r w:rsidRPr="004207CF">
        <w:t>:</w:t>
      </w:r>
    </w:p>
    <w:p w14:paraId="3BCBE3C1" w14:textId="77777777" w:rsidR="004D5550" w:rsidRPr="004207CF" w:rsidRDefault="004D5550" w:rsidP="004D5550">
      <w:pPr>
        <w:pStyle w:val="BlockText"/>
        <w:keepLines/>
        <w:numPr>
          <w:ilvl w:val="1"/>
          <w:numId w:val="56"/>
        </w:numPr>
        <w:spacing w:after="120"/>
        <w:jc w:val="both"/>
      </w:pPr>
      <w:r w:rsidRPr="004207CF">
        <w:t>tax evasion</w:t>
      </w:r>
      <w:r>
        <w:t>,</w:t>
      </w:r>
      <w:r w:rsidRPr="004207CF">
        <w:t xml:space="preserve"> fraud</w:t>
      </w:r>
      <w:r>
        <w:t xml:space="preserve"> or </w:t>
      </w:r>
      <w:r w:rsidRPr="004207CF">
        <w:t xml:space="preserve">the use of contrived or artificial </w:t>
      </w:r>
      <w:r>
        <w:t xml:space="preserve">tax </w:t>
      </w:r>
      <w:r w:rsidRPr="004207CF">
        <w:t>avoidance schemes</w:t>
      </w:r>
    </w:p>
    <w:p w14:paraId="17ED4379" w14:textId="77777777" w:rsidR="004D5550" w:rsidRPr="004207CF" w:rsidRDefault="004D5550" w:rsidP="004D5550">
      <w:pPr>
        <w:pStyle w:val="BlockText"/>
        <w:keepLines/>
        <w:numPr>
          <w:ilvl w:val="1"/>
          <w:numId w:val="56"/>
        </w:numPr>
        <w:spacing w:after="120"/>
        <w:jc w:val="both"/>
      </w:pPr>
      <w:r w:rsidRPr="004207CF">
        <w:t>making false or misleading records or statements</w:t>
      </w:r>
      <w:r>
        <w:t xml:space="preserve">, </w:t>
      </w:r>
      <w:r w:rsidRPr="004207CF">
        <w:t xml:space="preserve">concealing relevant facts </w:t>
      </w:r>
      <w:r>
        <w:t>regarding</w:t>
      </w:r>
      <w:r w:rsidRPr="004207CF">
        <w:t xml:space="preserve"> a tax liability</w:t>
      </w:r>
      <w:r>
        <w:t xml:space="preserve"> or other dishonest behaviour</w:t>
      </w:r>
    </w:p>
    <w:p w14:paraId="04424311" w14:textId="77777777" w:rsidR="004D5550" w:rsidRDefault="004D5550" w:rsidP="004D5550">
      <w:pPr>
        <w:pStyle w:val="BlockText"/>
        <w:keepLines/>
        <w:numPr>
          <w:ilvl w:val="1"/>
          <w:numId w:val="56"/>
        </w:numPr>
        <w:spacing w:after="120"/>
        <w:jc w:val="both"/>
      </w:pPr>
      <w:r>
        <w:t xml:space="preserve">choosing to </w:t>
      </w:r>
      <w:r w:rsidRPr="004207CF">
        <w:t>ignor</w:t>
      </w:r>
      <w:r>
        <w:t>e</w:t>
      </w:r>
      <w:r w:rsidRPr="004207CF">
        <w:t xml:space="preserve"> a </w:t>
      </w:r>
      <w:r>
        <w:t>g</w:t>
      </w:r>
      <w:r w:rsidRPr="004207CF">
        <w:t>uideline or ruling</w:t>
      </w:r>
      <w:r>
        <w:t xml:space="preserve"> by the Commissioner </w:t>
      </w:r>
      <w:r w:rsidRPr="004207CF">
        <w:t>(such as a corporate reconstruction ruling)</w:t>
      </w:r>
      <w:r>
        <w:t xml:space="preserve"> because it is unfavourable to the taxpayer, particularly on matters where the law is clearly established</w:t>
      </w:r>
    </w:p>
    <w:p w14:paraId="7D1388F0" w14:textId="77777777" w:rsidR="004D5550" w:rsidRPr="004207CF" w:rsidRDefault="004D5550" w:rsidP="004D5550">
      <w:pPr>
        <w:pStyle w:val="BlockText"/>
        <w:keepLines/>
        <w:numPr>
          <w:ilvl w:val="1"/>
          <w:numId w:val="56"/>
        </w:numPr>
        <w:spacing w:after="120"/>
        <w:jc w:val="both"/>
      </w:pPr>
      <w:r>
        <w:t>ignoring advice from TRO or professional advice from another person despite knowing that the advice was sound</w:t>
      </w:r>
    </w:p>
    <w:p w14:paraId="71794E01" w14:textId="77777777" w:rsidR="004D5550" w:rsidRDefault="004D5550" w:rsidP="004D5550">
      <w:pPr>
        <w:pStyle w:val="BlockText"/>
        <w:keepLines/>
        <w:numPr>
          <w:ilvl w:val="1"/>
          <w:numId w:val="56"/>
        </w:numPr>
        <w:spacing w:after="120"/>
        <w:jc w:val="both"/>
      </w:pPr>
      <w:r>
        <w:t>refusing to meet a tax liability despite having the ability to do so.</w:t>
      </w:r>
    </w:p>
    <w:p w14:paraId="627B9F7E" w14:textId="77777777" w:rsidR="001C551C" w:rsidRDefault="001C551C">
      <w:pPr>
        <w:rPr>
          <w:rFonts w:asciiTheme="majorHAnsi" w:hAnsiTheme="majorHAnsi" w:cs="Arial"/>
          <w:bCs/>
          <w:color w:val="1F1F5F" w:themeColor="text1"/>
          <w:sz w:val="28"/>
          <w:szCs w:val="28"/>
        </w:rPr>
      </w:pPr>
      <w:bookmarkStart w:id="16" w:name="_Toc169514567"/>
      <w:r>
        <w:br w:type="page"/>
      </w:r>
    </w:p>
    <w:p w14:paraId="55B26F14" w14:textId="6C96710B" w:rsidR="004D5550" w:rsidRDefault="004D5550" w:rsidP="004D5550">
      <w:pPr>
        <w:pStyle w:val="Heading3"/>
        <w:numPr>
          <w:ilvl w:val="0"/>
          <w:numId w:val="0"/>
        </w:numPr>
        <w:ind w:left="720" w:hanging="720"/>
      </w:pPr>
      <w:r>
        <w:lastRenderedPageBreak/>
        <w:t>Deliberately concealing or suppressing relevant information or hindering the assessment of tax</w:t>
      </w:r>
      <w:bookmarkEnd w:id="16"/>
    </w:p>
    <w:p w14:paraId="395C2FB4" w14:textId="77777777" w:rsidR="004D5550" w:rsidRDefault="004D5550" w:rsidP="004D5550">
      <w:pPr>
        <w:pStyle w:val="BlockText"/>
        <w:keepLines/>
        <w:numPr>
          <w:ilvl w:val="0"/>
          <w:numId w:val="44"/>
        </w:numPr>
        <w:spacing w:after="120"/>
        <w:jc w:val="both"/>
      </w:pPr>
      <w:r>
        <w:t>This includes circumstances where the person conceals or suppresses information from TRO that the person knows is relevant to the assessment of the tax liability. Such concealment will also generally constitute an offence under the TAA for a failure to make a full and true disclosure on a relevant occasion.</w:t>
      </w:r>
      <w:r>
        <w:rPr>
          <w:rStyle w:val="FootnoteReference"/>
        </w:rPr>
        <w:footnoteReference w:id="21"/>
      </w:r>
      <w:r>
        <w:t xml:space="preserve"> For further information on this obligation, refer to Commissioner’s Guideline </w:t>
      </w:r>
      <w:r w:rsidRPr="003D0945">
        <w:t>CG-GEN-005</w:t>
      </w:r>
      <w:r>
        <w:t xml:space="preserve">: </w:t>
      </w:r>
      <w:r w:rsidRPr="003472D4">
        <w:rPr>
          <w:i/>
        </w:rPr>
        <w:t>Requirement for full and true disclosure.</w:t>
      </w:r>
    </w:p>
    <w:p w14:paraId="209ED346" w14:textId="77777777" w:rsidR="004D5550" w:rsidRDefault="004D5550" w:rsidP="004D5550">
      <w:pPr>
        <w:pStyle w:val="BlockText"/>
        <w:keepLines/>
        <w:numPr>
          <w:ilvl w:val="0"/>
          <w:numId w:val="44"/>
        </w:numPr>
        <w:spacing w:after="120"/>
        <w:jc w:val="both"/>
      </w:pPr>
      <w:r>
        <w:t>Hindering the assessment of a tax liability includes refusing to provide relevant information or material when requested or deliberately and unreasonably delaying the provision of such information or other material.</w:t>
      </w:r>
    </w:p>
    <w:p w14:paraId="081BF7D4" w14:textId="77777777" w:rsidR="004D5550" w:rsidRDefault="004D5550" w:rsidP="004D5550">
      <w:pPr>
        <w:pStyle w:val="Heading3"/>
        <w:numPr>
          <w:ilvl w:val="0"/>
          <w:numId w:val="0"/>
        </w:numPr>
        <w:ind w:left="720" w:hanging="720"/>
      </w:pPr>
      <w:bookmarkStart w:id="17" w:name="_Toc169514568"/>
      <w:r>
        <w:t>Deliberately hindering investigation of a tax default</w:t>
      </w:r>
      <w:bookmarkEnd w:id="17"/>
    </w:p>
    <w:p w14:paraId="33FF39DD" w14:textId="77777777" w:rsidR="004D5550" w:rsidRDefault="004D5550" w:rsidP="004D5550">
      <w:pPr>
        <w:pStyle w:val="BlockText"/>
        <w:keepLines/>
        <w:numPr>
          <w:ilvl w:val="0"/>
          <w:numId w:val="44"/>
        </w:numPr>
        <w:spacing w:after="120"/>
        <w:jc w:val="both"/>
      </w:pPr>
      <w:r>
        <w:t>The TAA provides that a person hinders the investigation of a tax default in the following circumstances.</w:t>
      </w:r>
      <w:r>
        <w:rPr>
          <w:rStyle w:val="FootnoteReference"/>
        </w:rPr>
        <w:footnoteReference w:id="22"/>
      </w:r>
      <w:r>
        <w:t xml:space="preserve"> </w:t>
      </w:r>
    </w:p>
    <w:p w14:paraId="615B8F73" w14:textId="77777777" w:rsidR="004D5550" w:rsidRDefault="004D5550" w:rsidP="004D5550">
      <w:pPr>
        <w:pStyle w:val="BlockText"/>
        <w:keepLines/>
        <w:numPr>
          <w:ilvl w:val="0"/>
          <w:numId w:val="57"/>
        </w:numPr>
        <w:spacing w:after="120"/>
        <w:jc w:val="both"/>
      </w:pPr>
      <w:r>
        <w:t>The person deliberately falsifies, damages, conceals or destroys tax records to which the investigation relates. These actions may also constitute offences under the TAA.</w:t>
      </w:r>
      <w:r>
        <w:rPr>
          <w:rStyle w:val="FootnoteReference"/>
        </w:rPr>
        <w:footnoteReference w:id="23"/>
      </w:r>
      <w:r>
        <w:t xml:space="preserve"> </w:t>
      </w:r>
    </w:p>
    <w:p w14:paraId="109B2983" w14:textId="77777777" w:rsidR="004D5550" w:rsidRDefault="004D5550" w:rsidP="004D5550">
      <w:pPr>
        <w:pStyle w:val="BlockText"/>
        <w:keepLines/>
        <w:numPr>
          <w:ilvl w:val="0"/>
          <w:numId w:val="57"/>
        </w:numPr>
        <w:spacing w:after="120"/>
        <w:jc w:val="both"/>
      </w:pPr>
      <w:r>
        <w:t>The person refuses or fails (without reasonable excuse) to comply with a requirement lawfully made in connection with an investigation. Examples include:</w:t>
      </w:r>
    </w:p>
    <w:p w14:paraId="2B944E4C" w14:textId="77777777" w:rsidR="004D5550" w:rsidRDefault="004D5550" w:rsidP="004D5550">
      <w:pPr>
        <w:pStyle w:val="BlockText"/>
        <w:keepLines/>
        <w:numPr>
          <w:ilvl w:val="0"/>
          <w:numId w:val="58"/>
        </w:numPr>
        <w:spacing w:after="120"/>
        <w:jc w:val="both"/>
      </w:pPr>
      <w:r>
        <w:t>refusing to comply with a request to answer specified questions or provide information in the person's possession or control</w:t>
      </w:r>
    </w:p>
    <w:p w14:paraId="738C8CED" w14:textId="77777777" w:rsidR="004D5550" w:rsidRDefault="004D5550" w:rsidP="004D5550">
      <w:pPr>
        <w:pStyle w:val="BlockText"/>
        <w:keepLines/>
        <w:numPr>
          <w:ilvl w:val="0"/>
          <w:numId w:val="58"/>
        </w:numPr>
        <w:spacing w:after="120"/>
        <w:jc w:val="both"/>
      </w:pPr>
      <w:r>
        <w:t>refusing to comply with a requirement that a person attend for interview before an authorised officer.</w:t>
      </w:r>
    </w:p>
    <w:p w14:paraId="72075FB3" w14:textId="77777777" w:rsidR="004D5550" w:rsidRDefault="004D5550" w:rsidP="004D5550">
      <w:pPr>
        <w:pStyle w:val="BlockText"/>
        <w:keepLines/>
        <w:numPr>
          <w:ilvl w:val="0"/>
          <w:numId w:val="57"/>
        </w:numPr>
        <w:spacing w:after="120"/>
        <w:jc w:val="both"/>
      </w:pPr>
      <w:r>
        <w:t xml:space="preserve">The person hinders or obstructs an authorised officer exercising functions in the course of, or in connection with the investigation. </w:t>
      </w:r>
    </w:p>
    <w:p w14:paraId="1FEF3CC2" w14:textId="77777777" w:rsidR="004D5550" w:rsidRDefault="004D5550" w:rsidP="004D5550">
      <w:pPr>
        <w:pStyle w:val="BlockText"/>
        <w:keepLines/>
        <w:spacing w:after="120"/>
        <w:ind w:left="1004"/>
        <w:jc w:val="both"/>
      </w:pPr>
      <w:r>
        <w:t>Examples include:</w:t>
      </w:r>
    </w:p>
    <w:p w14:paraId="37FA9327" w14:textId="77777777" w:rsidR="004D5550" w:rsidRDefault="004D5550" w:rsidP="004D5550">
      <w:pPr>
        <w:pStyle w:val="BlockText"/>
        <w:keepLines/>
        <w:numPr>
          <w:ilvl w:val="0"/>
          <w:numId w:val="59"/>
        </w:numPr>
        <w:spacing w:after="120"/>
        <w:jc w:val="both"/>
      </w:pPr>
      <w:r>
        <w:t>hindering the authorised officer from exercising the power to enter or remain on premises where lawfully permitted to do so by either obstructing such entry or attempting to force the officer to leave</w:t>
      </w:r>
    </w:p>
    <w:p w14:paraId="22EC0D3F" w14:textId="77777777" w:rsidR="004D5550" w:rsidRDefault="004D5550" w:rsidP="004D5550">
      <w:pPr>
        <w:pStyle w:val="BlockText"/>
        <w:keepLines/>
        <w:numPr>
          <w:ilvl w:val="0"/>
          <w:numId w:val="59"/>
        </w:numPr>
        <w:spacing w:after="120"/>
        <w:jc w:val="both"/>
      </w:pPr>
      <w:r>
        <w:t>obstructing the authorised officer from searching the premises or photographing or filming anything on the premises</w:t>
      </w:r>
    </w:p>
    <w:p w14:paraId="54C4E7B4" w14:textId="77777777" w:rsidR="004D5550" w:rsidRDefault="004D5550" w:rsidP="004D5550">
      <w:pPr>
        <w:pStyle w:val="BlockText"/>
        <w:keepLines/>
        <w:numPr>
          <w:ilvl w:val="0"/>
          <w:numId w:val="59"/>
        </w:numPr>
        <w:spacing w:after="120"/>
        <w:jc w:val="both"/>
      </w:pPr>
      <w:r>
        <w:t>refusing to comply with a request for the person to operate equipment or facilities on the premises or to give the officer any translation, code, password or other information necessary to gain access to or to interpret and understand any relevant material located or obtained by the officer in the course of the investigation.</w:t>
      </w:r>
    </w:p>
    <w:p w14:paraId="20F9B89D" w14:textId="77777777" w:rsidR="004D5550" w:rsidRDefault="004D5550" w:rsidP="004D5550">
      <w:pPr>
        <w:pStyle w:val="BlockText"/>
        <w:keepLines/>
        <w:numPr>
          <w:ilvl w:val="0"/>
          <w:numId w:val="44"/>
        </w:numPr>
        <w:spacing w:after="120"/>
        <w:jc w:val="both"/>
      </w:pPr>
      <w:r>
        <w:t>The person does anything else to hinder or obstruct an investigation.</w:t>
      </w:r>
    </w:p>
    <w:p w14:paraId="272C18CF" w14:textId="77777777" w:rsidR="004D5550" w:rsidRDefault="004D5550" w:rsidP="004D5550">
      <w:pPr>
        <w:rPr>
          <w:rFonts w:cs="Arial"/>
          <w:b/>
          <w:bCs/>
          <w:sz w:val="24"/>
          <w:szCs w:val="26"/>
        </w:rPr>
      </w:pPr>
      <w:r>
        <w:br w:type="page"/>
      </w:r>
    </w:p>
    <w:p w14:paraId="61C07266" w14:textId="77777777" w:rsidR="004D5550" w:rsidRDefault="004D5550" w:rsidP="004D5550">
      <w:pPr>
        <w:pStyle w:val="Heading1"/>
        <w:numPr>
          <w:ilvl w:val="0"/>
          <w:numId w:val="0"/>
        </w:numPr>
        <w:ind w:left="432" w:hanging="432"/>
      </w:pPr>
      <w:bookmarkStart w:id="18" w:name="_Toc169514569"/>
      <w:r>
        <w:lastRenderedPageBreak/>
        <w:t>Discretion to reduce penalty tax where taxpayer makes a full disclosure or cooperates with TRO</w:t>
      </w:r>
      <w:bookmarkEnd w:id="18"/>
      <w:r>
        <w:t xml:space="preserve"> </w:t>
      </w:r>
    </w:p>
    <w:p w14:paraId="2EF18B8C" w14:textId="77777777" w:rsidR="004D5550" w:rsidRDefault="004D5550" w:rsidP="004D5550">
      <w:pPr>
        <w:pStyle w:val="BlockText"/>
        <w:keepLines/>
        <w:numPr>
          <w:ilvl w:val="0"/>
          <w:numId w:val="44"/>
        </w:numPr>
        <w:spacing w:after="120"/>
        <w:jc w:val="both"/>
      </w:pPr>
      <w:r>
        <w:t>TRO has the discretion to reduce penalty tax by up to:</w:t>
      </w:r>
    </w:p>
    <w:p w14:paraId="03834132" w14:textId="77777777" w:rsidR="004D5550" w:rsidRDefault="004D5550" w:rsidP="004D5550">
      <w:pPr>
        <w:pStyle w:val="BlockText"/>
        <w:keepLines/>
        <w:numPr>
          <w:ilvl w:val="0"/>
          <w:numId w:val="60"/>
        </w:numPr>
        <w:spacing w:after="120"/>
        <w:jc w:val="both"/>
      </w:pPr>
      <w:r w:rsidRPr="00D07968">
        <w:rPr>
          <w:b/>
        </w:rPr>
        <w:t>20 per cent</w:t>
      </w:r>
      <w:r>
        <w:t>, if TRO conducts an investigation of the tax default and the taxpayer cooperates fully with the investigation</w:t>
      </w:r>
      <w:r>
        <w:rPr>
          <w:rStyle w:val="FootnoteReference"/>
        </w:rPr>
        <w:footnoteReference w:id="24"/>
      </w:r>
    </w:p>
    <w:p w14:paraId="5D68CBA4" w14:textId="77777777" w:rsidR="004D5550" w:rsidRDefault="004D5550" w:rsidP="004D5550">
      <w:pPr>
        <w:pStyle w:val="BlockText"/>
        <w:keepLines/>
        <w:numPr>
          <w:ilvl w:val="0"/>
          <w:numId w:val="60"/>
        </w:numPr>
        <w:spacing w:after="120"/>
        <w:jc w:val="both"/>
      </w:pPr>
      <w:r w:rsidRPr="00D07968">
        <w:rPr>
          <w:b/>
        </w:rPr>
        <w:t>80 per cent</w:t>
      </w:r>
      <w:r>
        <w:t>, if TRO has not commenced an investigation of the tax default and the taxpayer’s full and immediate disclosure of the extent of the tax default avoids the need for an investigation.</w:t>
      </w:r>
      <w:r>
        <w:rPr>
          <w:rStyle w:val="FootnoteReference"/>
        </w:rPr>
        <w:footnoteReference w:id="25"/>
      </w:r>
    </w:p>
    <w:p w14:paraId="1859406D" w14:textId="77777777" w:rsidR="004D5550" w:rsidRDefault="004D5550" w:rsidP="004D5550">
      <w:pPr>
        <w:pStyle w:val="BlockText"/>
        <w:keepLines/>
        <w:numPr>
          <w:ilvl w:val="0"/>
          <w:numId w:val="44"/>
        </w:numPr>
        <w:spacing w:after="120"/>
        <w:jc w:val="both"/>
      </w:pPr>
      <w:r>
        <w:t>If the taxpayer is liable to penalty tax because of deliberate concealment or suppression of information, there is no reduction of penalty tax.</w:t>
      </w:r>
      <w:r>
        <w:rPr>
          <w:rStyle w:val="FootnoteReference"/>
        </w:rPr>
        <w:footnoteReference w:id="26"/>
      </w:r>
    </w:p>
    <w:p w14:paraId="33095404" w14:textId="77777777" w:rsidR="004D5550" w:rsidRPr="00D07968" w:rsidRDefault="004D5550" w:rsidP="004D5550">
      <w:pPr>
        <w:pStyle w:val="Heading3"/>
        <w:numPr>
          <w:ilvl w:val="0"/>
          <w:numId w:val="0"/>
        </w:numPr>
        <w:ind w:left="720" w:hanging="720"/>
        <w:rPr>
          <w:lang w:eastAsia="en-AU"/>
        </w:rPr>
      </w:pPr>
      <w:bookmarkStart w:id="19" w:name="_Toc169514570"/>
      <w:r w:rsidRPr="00D07968">
        <w:rPr>
          <w:lang w:eastAsia="en-AU"/>
        </w:rPr>
        <w:t>Full and immediate disclosure</w:t>
      </w:r>
      <w:bookmarkEnd w:id="19"/>
    </w:p>
    <w:p w14:paraId="07E8DCB2" w14:textId="77777777" w:rsidR="004D5550" w:rsidRDefault="004D5550" w:rsidP="004D5550">
      <w:pPr>
        <w:pStyle w:val="ListParagraph"/>
        <w:numPr>
          <w:ilvl w:val="0"/>
          <w:numId w:val="44"/>
        </w:numPr>
        <w:rPr>
          <w:rFonts w:eastAsia="Times New Roman"/>
          <w:lang w:eastAsia="en-AU"/>
        </w:rPr>
      </w:pPr>
      <w:r w:rsidRPr="00D07968">
        <w:rPr>
          <w:rFonts w:eastAsia="Times New Roman"/>
          <w:lang w:eastAsia="en-AU"/>
        </w:rPr>
        <w:t>The purpose of significantly reducing penalty tax where the taxpayer makes a full and immediate disclosure is to encourage taxpayers who discover their tax default independently of investigation by TRO to come forward and disclose their liability.</w:t>
      </w:r>
    </w:p>
    <w:p w14:paraId="0B6757D5" w14:textId="77777777" w:rsidR="004D5550" w:rsidRDefault="004D5550" w:rsidP="004D5550">
      <w:pPr>
        <w:pStyle w:val="ListParagraph"/>
        <w:numPr>
          <w:ilvl w:val="0"/>
          <w:numId w:val="44"/>
        </w:numPr>
        <w:rPr>
          <w:rFonts w:eastAsia="Times New Roman"/>
          <w:lang w:eastAsia="en-AU"/>
        </w:rPr>
      </w:pPr>
      <w:r w:rsidRPr="00D07968">
        <w:rPr>
          <w:rFonts w:eastAsia="Times New Roman"/>
          <w:lang w:eastAsia="en-AU"/>
        </w:rPr>
        <w:t>To qualify for a reduction in penalty tax of up to 80 per cent, the following three elements must be satisfied.</w:t>
      </w:r>
    </w:p>
    <w:p w14:paraId="16A13E94" w14:textId="77777777" w:rsidR="004D5550" w:rsidRDefault="004D5550" w:rsidP="004D5550">
      <w:pPr>
        <w:pStyle w:val="ListParagraph"/>
        <w:numPr>
          <w:ilvl w:val="0"/>
          <w:numId w:val="61"/>
        </w:numPr>
        <w:rPr>
          <w:rFonts w:eastAsia="Times New Roman"/>
          <w:lang w:eastAsia="en-AU"/>
        </w:rPr>
      </w:pPr>
      <w:r w:rsidRPr="00D07968">
        <w:rPr>
          <w:rFonts w:eastAsia="Times New Roman"/>
          <w:lang w:eastAsia="en-AU"/>
        </w:rPr>
        <w:t>The taxpayer must make a written disclosure of the extent of the tax default.</w:t>
      </w:r>
    </w:p>
    <w:p w14:paraId="42EA7015" w14:textId="77777777" w:rsidR="004D5550" w:rsidRDefault="004D5550" w:rsidP="004D5550">
      <w:pPr>
        <w:pStyle w:val="ListParagraph"/>
        <w:numPr>
          <w:ilvl w:val="0"/>
          <w:numId w:val="61"/>
        </w:numPr>
        <w:rPr>
          <w:rFonts w:eastAsia="Times New Roman"/>
          <w:lang w:eastAsia="en-AU"/>
        </w:rPr>
      </w:pPr>
      <w:r w:rsidRPr="00D07968">
        <w:rPr>
          <w:rFonts w:eastAsia="Times New Roman"/>
          <w:lang w:eastAsia="en-AU"/>
        </w:rPr>
        <w:t>The disclosure must occur before TRO has commenced an investigation of the tax default.</w:t>
      </w:r>
    </w:p>
    <w:p w14:paraId="36DAB7F0" w14:textId="77777777" w:rsidR="004D5550" w:rsidRPr="00D07968" w:rsidRDefault="004D5550" w:rsidP="004D5550">
      <w:pPr>
        <w:pStyle w:val="ListParagraph"/>
        <w:numPr>
          <w:ilvl w:val="0"/>
          <w:numId w:val="61"/>
        </w:numPr>
        <w:rPr>
          <w:rFonts w:eastAsia="Times New Roman"/>
          <w:lang w:eastAsia="en-AU"/>
        </w:rPr>
      </w:pPr>
      <w:r w:rsidRPr="00D07968">
        <w:rPr>
          <w:rFonts w:eastAsia="Times New Roman"/>
          <w:lang w:eastAsia="en-AU"/>
        </w:rPr>
        <w:t>The disclosure must avoid the need for an investigation.</w:t>
      </w:r>
    </w:p>
    <w:p w14:paraId="7FCF31A6" w14:textId="77777777" w:rsidR="004D5550" w:rsidRDefault="004D5550" w:rsidP="004D5550">
      <w:pPr>
        <w:pStyle w:val="ListParagraph"/>
        <w:numPr>
          <w:ilvl w:val="0"/>
          <w:numId w:val="44"/>
        </w:numPr>
        <w:rPr>
          <w:rFonts w:eastAsia="Times New Roman"/>
          <w:lang w:eastAsia="en-AU"/>
        </w:rPr>
      </w:pPr>
      <w:r w:rsidRPr="00D07968">
        <w:rPr>
          <w:rFonts w:eastAsia="Times New Roman"/>
          <w:lang w:eastAsia="en-AU"/>
        </w:rPr>
        <w:t>A written disclosure must provide TRO with sufficient information to determine the nature and extent of the tax default to issue an assessment. The disclosure must state the identity of the taxpayer or group of taxpayers, the nature and period of the tax default and an explanation of how the tax default occurred.</w:t>
      </w:r>
    </w:p>
    <w:p w14:paraId="4AB0A7BD" w14:textId="77777777" w:rsidR="004D5550" w:rsidRDefault="004D5550" w:rsidP="004D5550">
      <w:pPr>
        <w:pStyle w:val="ListParagraph"/>
        <w:numPr>
          <w:ilvl w:val="0"/>
          <w:numId w:val="44"/>
        </w:numPr>
        <w:rPr>
          <w:rFonts w:eastAsia="Times New Roman"/>
          <w:lang w:eastAsia="en-AU"/>
        </w:rPr>
      </w:pPr>
      <w:r w:rsidRPr="00D07968">
        <w:rPr>
          <w:rFonts w:eastAsia="Times New Roman"/>
          <w:lang w:eastAsia="en-AU"/>
        </w:rPr>
        <w:t xml:space="preserve">TRO will generally apply the reduction where a full and immediate disclosure occurs before the taxpayer or a member of the taxpayer’s group is contacted by TRO. This includes: </w:t>
      </w:r>
    </w:p>
    <w:p w14:paraId="761FD001" w14:textId="77777777" w:rsidR="004D5550" w:rsidRDefault="004D5550" w:rsidP="004D5550">
      <w:pPr>
        <w:pStyle w:val="ListParagraph"/>
        <w:numPr>
          <w:ilvl w:val="0"/>
          <w:numId w:val="62"/>
        </w:numPr>
        <w:rPr>
          <w:rFonts w:eastAsia="Times New Roman"/>
          <w:lang w:eastAsia="en-AU"/>
        </w:rPr>
      </w:pPr>
      <w:r w:rsidRPr="00D07968">
        <w:rPr>
          <w:rFonts w:eastAsia="Times New Roman"/>
          <w:lang w:eastAsia="en-AU"/>
        </w:rPr>
        <w:t>contact by way of a direct inquiry with, or request for information from, the taxpayer or a third party</w:t>
      </w:r>
    </w:p>
    <w:p w14:paraId="3D7BA81B" w14:textId="77777777" w:rsidR="004D5550" w:rsidRDefault="004D5550" w:rsidP="004D5550">
      <w:pPr>
        <w:pStyle w:val="ListParagraph"/>
        <w:numPr>
          <w:ilvl w:val="0"/>
          <w:numId w:val="62"/>
        </w:numPr>
        <w:rPr>
          <w:rFonts w:eastAsia="Times New Roman"/>
          <w:lang w:eastAsia="en-AU"/>
        </w:rPr>
      </w:pPr>
      <w:r w:rsidRPr="00D07968">
        <w:rPr>
          <w:rFonts w:eastAsia="Times New Roman"/>
          <w:lang w:eastAsia="en-AU"/>
        </w:rPr>
        <w:t>investigation review or assessment under a taxation law</w:t>
      </w:r>
    </w:p>
    <w:p w14:paraId="4BECE375" w14:textId="77777777" w:rsidR="004D5550" w:rsidRPr="00D07968" w:rsidRDefault="004D5550" w:rsidP="004D5550">
      <w:pPr>
        <w:pStyle w:val="ListParagraph"/>
        <w:numPr>
          <w:ilvl w:val="0"/>
          <w:numId w:val="62"/>
        </w:numPr>
        <w:rPr>
          <w:rFonts w:eastAsia="Times New Roman"/>
          <w:lang w:eastAsia="en-AU"/>
        </w:rPr>
      </w:pPr>
      <w:r w:rsidRPr="00D07968">
        <w:rPr>
          <w:rFonts w:eastAsia="Times New Roman"/>
          <w:lang w:eastAsia="en-AU"/>
        </w:rPr>
        <w:t xml:space="preserve">but does not include instances where TRO has commenced an investigation by undertaking data matching exercises or other indirect examination of publicly available information of the taxpayer (such as the taxpayer’s website or the public announcements of a listed company). </w:t>
      </w:r>
    </w:p>
    <w:p w14:paraId="59DEDC90" w14:textId="77777777" w:rsidR="004D5550" w:rsidRDefault="004D5550" w:rsidP="004D5550">
      <w:pPr>
        <w:pStyle w:val="Heading3"/>
        <w:numPr>
          <w:ilvl w:val="0"/>
          <w:numId w:val="0"/>
        </w:numPr>
        <w:ind w:left="720" w:hanging="720"/>
      </w:pPr>
      <w:bookmarkStart w:id="20" w:name="_Toc169514571"/>
      <w:r>
        <w:t>Full cooperation with an investigation</w:t>
      </w:r>
      <w:bookmarkEnd w:id="20"/>
    </w:p>
    <w:p w14:paraId="55C07114" w14:textId="77777777" w:rsidR="004D5550" w:rsidRPr="00D07968" w:rsidRDefault="004D5550" w:rsidP="004D5550">
      <w:pPr>
        <w:pStyle w:val="ListParagraph"/>
        <w:numPr>
          <w:ilvl w:val="0"/>
          <w:numId w:val="44"/>
        </w:numPr>
        <w:rPr>
          <w:rFonts w:eastAsia="Times New Roman"/>
          <w:lang w:eastAsia="en-AU"/>
        </w:rPr>
      </w:pPr>
      <w:r>
        <w:t>Full cooperation with an investigation includes:</w:t>
      </w:r>
    </w:p>
    <w:p w14:paraId="52BEF444" w14:textId="77777777" w:rsidR="004D5550" w:rsidRPr="00D07968" w:rsidRDefault="004D5550" w:rsidP="004D5550">
      <w:pPr>
        <w:pStyle w:val="ListParagraph"/>
        <w:numPr>
          <w:ilvl w:val="0"/>
          <w:numId w:val="63"/>
        </w:numPr>
        <w:rPr>
          <w:rFonts w:eastAsia="Times New Roman"/>
          <w:lang w:eastAsia="en-AU"/>
        </w:rPr>
      </w:pPr>
      <w:r>
        <w:t>responding promptly to requests for information or other relevant material and volunteering relevant information where it is not requested</w:t>
      </w:r>
    </w:p>
    <w:p w14:paraId="02ADB30B" w14:textId="77777777" w:rsidR="004D5550" w:rsidRPr="00D07968" w:rsidRDefault="004D5550" w:rsidP="004D5550">
      <w:pPr>
        <w:pStyle w:val="ListParagraph"/>
        <w:numPr>
          <w:ilvl w:val="0"/>
          <w:numId w:val="63"/>
        </w:numPr>
        <w:rPr>
          <w:rFonts w:eastAsia="Times New Roman"/>
          <w:lang w:eastAsia="en-AU"/>
        </w:rPr>
      </w:pPr>
      <w:r>
        <w:lastRenderedPageBreak/>
        <w:t>consenting to authorised officers entering premises for the purposes of an authorised investigation</w:t>
      </w:r>
    </w:p>
    <w:p w14:paraId="5CBA5468" w14:textId="77777777" w:rsidR="004D5550" w:rsidRPr="00D07968" w:rsidRDefault="004D5550" w:rsidP="004D5550">
      <w:pPr>
        <w:pStyle w:val="ListParagraph"/>
        <w:numPr>
          <w:ilvl w:val="0"/>
          <w:numId w:val="63"/>
        </w:numPr>
        <w:rPr>
          <w:rFonts w:eastAsia="Times New Roman"/>
          <w:lang w:eastAsia="en-AU"/>
        </w:rPr>
      </w:pPr>
      <w:r>
        <w:t>making records accessible to authorised officers (including the provision of appropriate facilities for the copying of records)</w:t>
      </w:r>
    </w:p>
    <w:p w14:paraId="73450873" w14:textId="77777777" w:rsidR="004D5550" w:rsidRPr="00D07968" w:rsidRDefault="004D5550" w:rsidP="004D5550">
      <w:pPr>
        <w:pStyle w:val="ListParagraph"/>
        <w:numPr>
          <w:ilvl w:val="0"/>
          <w:numId w:val="63"/>
        </w:numPr>
        <w:rPr>
          <w:rFonts w:eastAsia="Times New Roman"/>
          <w:lang w:eastAsia="en-AU"/>
        </w:rPr>
      </w:pPr>
      <w:r>
        <w:t>being available for interview or allowing access to employees for interview.</w:t>
      </w:r>
    </w:p>
    <w:p w14:paraId="3A621F7C" w14:textId="55CBAE45" w:rsidR="004D5550" w:rsidRPr="00BB5F78" w:rsidRDefault="004D5550" w:rsidP="004D5550">
      <w:pPr>
        <w:pStyle w:val="Heading3"/>
        <w:numPr>
          <w:ilvl w:val="0"/>
          <w:numId w:val="0"/>
        </w:numPr>
        <w:ind w:left="720" w:hanging="720"/>
      </w:pPr>
      <w:bookmarkStart w:id="21" w:name="_Toc169514572"/>
      <w:r>
        <w:t xml:space="preserve">Penalty tax on tax defaults that </w:t>
      </w:r>
      <w:r w:rsidRPr="00BB5F78">
        <w:t>are late payment of tax paid on a periodic basis (returns-based taxes)</w:t>
      </w:r>
      <w:bookmarkEnd w:id="21"/>
      <w:r w:rsidRPr="00BB5F78">
        <w:t xml:space="preserve"> </w:t>
      </w:r>
    </w:p>
    <w:p w14:paraId="615EADB0" w14:textId="445D30A7" w:rsidR="004D5550" w:rsidRDefault="004D5550" w:rsidP="004D5550">
      <w:pPr>
        <w:pStyle w:val="BlockText"/>
        <w:keepLines/>
        <w:numPr>
          <w:ilvl w:val="0"/>
          <w:numId w:val="44"/>
        </w:numPr>
        <w:spacing w:after="120"/>
        <w:jc w:val="both"/>
      </w:pPr>
      <w:r w:rsidRPr="00BB5F78">
        <w:t xml:space="preserve">Where tax is paid on a returns basis, such as payroll tax, TRO will generally exercise the discretion under section 44 of the TAA to reduce the amount of penalty tax payable for tax defaults that </w:t>
      </w:r>
      <w:r w:rsidRPr="001C551C">
        <w:t>are</w:t>
      </w:r>
      <w:r>
        <w:t xml:space="preserve"> late payments of these periodic payments. </w:t>
      </w:r>
    </w:p>
    <w:p w14:paraId="083A2A62" w14:textId="77777777" w:rsidR="004D5550" w:rsidRDefault="004D5550" w:rsidP="004D5550">
      <w:pPr>
        <w:pStyle w:val="BlockText"/>
        <w:keepLines/>
        <w:numPr>
          <w:ilvl w:val="0"/>
          <w:numId w:val="44"/>
        </w:numPr>
        <w:spacing w:after="120"/>
        <w:jc w:val="both"/>
      </w:pPr>
      <w:r>
        <w:t>Where there is no information before TRO that the late payment is a result of an intentional disregard of the taxation law and the taxpayer does not notify TRO that the late payment arose from circumstances beyond the control of the taxpayer, TRO will generally remit the amount of penalty tax payable on a late payment on the following basis.</w:t>
      </w:r>
    </w:p>
    <w:p w14:paraId="3A78A53A" w14:textId="77777777" w:rsidR="004D5550" w:rsidRDefault="004D5550" w:rsidP="004D5550">
      <w:pPr>
        <w:pStyle w:val="BlockText"/>
        <w:keepLines/>
        <w:numPr>
          <w:ilvl w:val="0"/>
          <w:numId w:val="64"/>
        </w:numPr>
        <w:spacing w:after="120"/>
        <w:jc w:val="both"/>
      </w:pPr>
      <w:r>
        <w:t>Where the taxpayer has not made any other late payment in the 12 months preceding that late payment – the penalty tax will generally be reduced to nil and only interest will be payable in respect of the tax default.</w:t>
      </w:r>
    </w:p>
    <w:p w14:paraId="416781AE" w14:textId="77777777" w:rsidR="004D5550" w:rsidRDefault="004D5550" w:rsidP="004D5550">
      <w:pPr>
        <w:pStyle w:val="BlockText"/>
        <w:keepLines/>
        <w:numPr>
          <w:ilvl w:val="0"/>
          <w:numId w:val="64"/>
        </w:numPr>
        <w:spacing w:after="120"/>
        <w:jc w:val="both"/>
      </w:pPr>
      <w:r>
        <w:t>Where the taxpayer has previously made a late payment in the 12 months preceding that late payment – the penalty tax will generally be reduced to 5 per cent of the amount of the tax default and interest will be imposed as normal.</w:t>
      </w:r>
    </w:p>
    <w:p w14:paraId="3AE6C15C" w14:textId="77777777" w:rsidR="004D5550" w:rsidRDefault="004D5550" w:rsidP="004D5550">
      <w:pPr>
        <w:pStyle w:val="BlockText"/>
        <w:keepLines/>
        <w:numPr>
          <w:ilvl w:val="0"/>
          <w:numId w:val="44"/>
        </w:numPr>
        <w:spacing w:after="120"/>
        <w:jc w:val="both"/>
      </w:pPr>
      <w:r>
        <w:t xml:space="preserve">Where the taxpayer has made two or more late payments in the 12 months preceding that late payment, there will be no general remission of the penalty tax payable. Instead, TRO will determine the penalty tax payable in the normal manner.  </w:t>
      </w:r>
    </w:p>
    <w:p w14:paraId="4194B566" w14:textId="77777777" w:rsidR="004D5550" w:rsidRDefault="004D5550" w:rsidP="004D5550">
      <w:pPr>
        <w:pStyle w:val="BlockText"/>
        <w:keepLines/>
        <w:numPr>
          <w:ilvl w:val="0"/>
          <w:numId w:val="44"/>
        </w:numPr>
        <w:spacing w:after="120"/>
        <w:jc w:val="both"/>
      </w:pPr>
      <w:r>
        <w:t>In the circumstance of multiple late payments, it is less likely that the taxpayer will have taken reasonable care to comply with the taxation law. With a lack of reasonable care, penalty tax will generally be at least 25 per cent of the tax default and may be greater if TRO determines that there has been an intentional disregard of the taxation law (repeated tax defaults on the same matter or a closely related matter may suggest that a taxpayer is refusing to promptly meet a tax liability notwithstanding their ability to do so).</w:t>
      </w:r>
    </w:p>
    <w:p w14:paraId="00FFCEC5" w14:textId="77777777" w:rsidR="004D5550" w:rsidRDefault="004D5550" w:rsidP="004D5550">
      <w:pPr>
        <w:pStyle w:val="BlockText"/>
        <w:keepLines/>
        <w:numPr>
          <w:ilvl w:val="0"/>
          <w:numId w:val="44"/>
        </w:numPr>
        <w:spacing w:after="120"/>
        <w:jc w:val="both"/>
      </w:pPr>
      <w:r>
        <w:t>For penalty tax of 25 per cent not to apply, a taxpayer would need to demonstrate that reasonable care has generally been taken in attempting to make the periodic payments on time, consistent with the ordinary requirements of good commercial governance. This includes:</w:t>
      </w:r>
    </w:p>
    <w:p w14:paraId="70ABFE55" w14:textId="77777777" w:rsidR="004D5550" w:rsidRDefault="004D5550" w:rsidP="004D5550">
      <w:pPr>
        <w:pStyle w:val="BlockText"/>
        <w:keepLines/>
        <w:numPr>
          <w:ilvl w:val="0"/>
          <w:numId w:val="65"/>
        </w:numPr>
        <w:spacing w:after="120"/>
        <w:jc w:val="both"/>
      </w:pPr>
      <w:r>
        <w:t>having appropriate record keeping practices</w:t>
      </w:r>
    </w:p>
    <w:p w14:paraId="1148E783" w14:textId="77777777" w:rsidR="004D5550" w:rsidRDefault="004D5550" w:rsidP="004D5550">
      <w:pPr>
        <w:pStyle w:val="BlockText"/>
        <w:keepLines/>
        <w:numPr>
          <w:ilvl w:val="0"/>
          <w:numId w:val="65"/>
        </w:numPr>
        <w:spacing w:after="120"/>
        <w:jc w:val="both"/>
      </w:pPr>
      <w:r>
        <w:t>diligent efforts being made to understand and comply with tax obligations</w:t>
      </w:r>
    </w:p>
    <w:p w14:paraId="34E64982" w14:textId="77777777" w:rsidR="004D5550" w:rsidRDefault="004D5550" w:rsidP="004D5550">
      <w:pPr>
        <w:pStyle w:val="BlockText"/>
        <w:keepLines/>
        <w:numPr>
          <w:ilvl w:val="0"/>
          <w:numId w:val="65"/>
        </w:numPr>
        <w:spacing w:after="120"/>
        <w:jc w:val="both"/>
      </w:pPr>
      <w:r>
        <w:t xml:space="preserve">having sound processes in place to ensure the taxpayer is able to comply with its tax obligations. For example robust financial and reporting systems should be in place to help ensure payroll tax obligations are met and the correct tax paid on or before the 21st day of each month. </w:t>
      </w:r>
    </w:p>
    <w:p w14:paraId="019ECD8F" w14:textId="77777777" w:rsidR="004D5550" w:rsidRDefault="004D5550" w:rsidP="004D5550">
      <w:pPr>
        <w:pStyle w:val="BlockText"/>
        <w:keepLines/>
        <w:numPr>
          <w:ilvl w:val="0"/>
          <w:numId w:val="65"/>
        </w:numPr>
        <w:spacing w:after="120"/>
        <w:jc w:val="both"/>
      </w:pPr>
      <w:r>
        <w:t>having monitoring procedures in relation to accounts receivable and payable to ensure that sufficient cashflow/capacity is available to meet the periodic tax payments and to ensure that late payments are detected and remedied promptly</w:t>
      </w:r>
    </w:p>
    <w:p w14:paraId="44408572" w14:textId="77777777" w:rsidR="004D5550" w:rsidRDefault="004D5550" w:rsidP="004D5550">
      <w:pPr>
        <w:pStyle w:val="BlockText"/>
        <w:keepLines/>
        <w:numPr>
          <w:ilvl w:val="0"/>
          <w:numId w:val="65"/>
        </w:numPr>
        <w:spacing w:after="120"/>
        <w:jc w:val="both"/>
      </w:pPr>
      <w:r>
        <w:t>providing information on what steps have been taken to minimise the risk of periodic payments being made late in future.</w:t>
      </w:r>
    </w:p>
    <w:p w14:paraId="7A4C3D7B" w14:textId="77777777" w:rsidR="004D5550" w:rsidRDefault="004D5550" w:rsidP="004D5550">
      <w:pPr>
        <w:pStyle w:val="Heading3"/>
        <w:numPr>
          <w:ilvl w:val="0"/>
          <w:numId w:val="0"/>
        </w:numPr>
        <w:ind w:left="720" w:hanging="720"/>
      </w:pPr>
      <w:bookmarkStart w:id="22" w:name="_Toc169514573"/>
      <w:r>
        <w:lastRenderedPageBreak/>
        <w:t>Interest and penalty tax on tax defaults for stamp duty lodgements where the taxpayer makes a payment of estimated tax</w:t>
      </w:r>
      <w:bookmarkEnd w:id="22"/>
    </w:p>
    <w:p w14:paraId="59DF7F88" w14:textId="77777777" w:rsidR="004D5550" w:rsidRDefault="004D5550" w:rsidP="004D5550">
      <w:pPr>
        <w:pStyle w:val="BlockText"/>
        <w:keepLines/>
        <w:numPr>
          <w:ilvl w:val="0"/>
          <w:numId w:val="44"/>
        </w:numPr>
        <w:spacing w:after="120"/>
        <w:jc w:val="both"/>
      </w:pPr>
      <w:r>
        <w:t>Where an assessment will not be issued within the 60-day lodgement and payment period, a taxpayer should, in addition to the practices set out above under the heading ‘Reasonable care to comply with the taxation laws’ reasonably estimate the amount of stamp duty payable and pay that amount within the 60-day period.</w:t>
      </w:r>
    </w:p>
    <w:p w14:paraId="6E2C7B51" w14:textId="77777777" w:rsidR="004D5550" w:rsidRDefault="004D5550" w:rsidP="004D5550">
      <w:pPr>
        <w:pStyle w:val="BlockText"/>
        <w:keepLines/>
        <w:numPr>
          <w:ilvl w:val="0"/>
          <w:numId w:val="44"/>
        </w:numPr>
        <w:spacing w:after="120"/>
        <w:jc w:val="both"/>
      </w:pPr>
      <w:r>
        <w:t>Where that estimate is made on a reasonable basis and the taxpayer pays that amount within the 60-day period, interest and penalty tax payable on a tax default arising out of an underpayment of the tax actually assessed will generally be reduced to nil, provided that the amount of the tax default is paid within the time set out in the assessment.</w:t>
      </w:r>
    </w:p>
    <w:p w14:paraId="3B83B661" w14:textId="77777777" w:rsidR="004D5550" w:rsidRDefault="004D5550" w:rsidP="004D5550">
      <w:pPr>
        <w:pStyle w:val="BlockText"/>
        <w:keepLines/>
        <w:numPr>
          <w:ilvl w:val="0"/>
          <w:numId w:val="44"/>
        </w:numPr>
        <w:spacing w:after="120"/>
        <w:jc w:val="both"/>
      </w:pPr>
      <w:r>
        <w:t xml:space="preserve">Where a taxpayer does not reasonably estimate and pay the liability, TRO will determine the amount of interest and penalty tax having regard to the penalty scheme as set out in this guideline.  </w:t>
      </w:r>
    </w:p>
    <w:p w14:paraId="46F88D11" w14:textId="77777777" w:rsidR="004D5550" w:rsidRPr="00C14BAA" w:rsidRDefault="004D5550" w:rsidP="004D5550">
      <w:pPr>
        <w:pStyle w:val="Heading3"/>
        <w:numPr>
          <w:ilvl w:val="0"/>
          <w:numId w:val="0"/>
        </w:numPr>
        <w:ind w:left="720" w:hanging="720"/>
      </w:pPr>
      <w:bookmarkStart w:id="23" w:name="_Toc169514574"/>
      <w:r>
        <w:t>Matrix of penalty tax based on culpability of taxpayer</w:t>
      </w:r>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20" w:type="dxa"/>
          <w:bottom w:w="40" w:type="dxa"/>
          <w:right w:w="120" w:type="dxa"/>
        </w:tblCellMar>
        <w:tblLook w:val="0000" w:firstRow="0" w:lastRow="0" w:firstColumn="0" w:lastColumn="0" w:noHBand="0" w:noVBand="0"/>
      </w:tblPr>
      <w:tblGrid>
        <w:gridCol w:w="4996"/>
        <w:gridCol w:w="1441"/>
        <w:gridCol w:w="1853"/>
        <w:gridCol w:w="2018"/>
      </w:tblGrid>
      <w:tr w:rsidR="004D5550" w:rsidRPr="005B4FB9" w14:paraId="1FB7F58E" w14:textId="77777777" w:rsidTr="0074041C">
        <w:trPr>
          <w:trHeight w:val="560"/>
          <w:jc w:val="center"/>
        </w:trPr>
        <w:tc>
          <w:tcPr>
            <w:tcW w:w="2423" w:type="pct"/>
            <w:vAlign w:val="center"/>
          </w:tcPr>
          <w:p w14:paraId="4848993F" w14:textId="77777777" w:rsidR="004D5550" w:rsidRPr="005B4FB9" w:rsidRDefault="004D5550" w:rsidP="0074041C">
            <w:pPr>
              <w:pStyle w:val="Section"/>
              <w:spacing w:before="20" w:after="60"/>
              <w:jc w:val="center"/>
              <w:rPr>
                <w:rFonts w:ascii="Arial" w:hAnsi="Arial" w:cs="Arial"/>
                <w:b/>
                <w:sz w:val="18"/>
                <w:szCs w:val="18"/>
                <w:lang w:val="en-AU"/>
              </w:rPr>
            </w:pPr>
            <w:r w:rsidRPr="005B4FB9">
              <w:rPr>
                <w:rFonts w:ascii="Arial" w:hAnsi="Arial" w:cs="Arial"/>
                <w:b/>
                <w:sz w:val="18"/>
                <w:szCs w:val="18"/>
                <w:lang w:val="en-AU"/>
              </w:rPr>
              <w:t>PENALTY CATEGORY</w:t>
            </w:r>
          </w:p>
        </w:tc>
        <w:tc>
          <w:tcPr>
            <w:tcW w:w="699" w:type="pct"/>
            <w:vAlign w:val="center"/>
          </w:tcPr>
          <w:p w14:paraId="242BD816" w14:textId="77777777" w:rsidR="004D5550" w:rsidRPr="005B4FB9" w:rsidRDefault="004D5550" w:rsidP="0074041C">
            <w:pPr>
              <w:tabs>
                <w:tab w:val="left" w:pos="0"/>
                <w:tab w:val="left" w:pos="720"/>
                <w:tab w:val="left" w:pos="1440"/>
                <w:tab w:val="left" w:pos="2160"/>
                <w:tab w:val="left" w:pos="2880"/>
                <w:tab w:val="left" w:pos="3600"/>
                <w:tab w:val="left" w:pos="4320"/>
              </w:tabs>
              <w:autoSpaceDE w:val="0"/>
              <w:autoSpaceDN w:val="0"/>
              <w:adjustRightInd w:val="0"/>
              <w:spacing w:before="20" w:after="60"/>
              <w:ind w:left="15"/>
              <w:jc w:val="center"/>
              <w:rPr>
                <w:b/>
                <w:bCs/>
                <w:color w:val="000000"/>
                <w:sz w:val="18"/>
                <w:szCs w:val="18"/>
              </w:rPr>
            </w:pPr>
            <w:r w:rsidRPr="005B4FB9">
              <w:rPr>
                <w:b/>
                <w:bCs/>
                <w:color w:val="000000"/>
                <w:sz w:val="18"/>
                <w:szCs w:val="18"/>
              </w:rPr>
              <w:t>BASE PENALTY TAX</w:t>
            </w:r>
          </w:p>
        </w:tc>
        <w:tc>
          <w:tcPr>
            <w:tcW w:w="899" w:type="pct"/>
            <w:vAlign w:val="center"/>
          </w:tcPr>
          <w:p w14:paraId="410D816F" w14:textId="77777777" w:rsidR="004D5550" w:rsidRPr="005B4FB9" w:rsidRDefault="004D5550" w:rsidP="0074041C">
            <w:pPr>
              <w:pStyle w:val="Section"/>
              <w:spacing w:before="20" w:after="60"/>
              <w:jc w:val="center"/>
              <w:rPr>
                <w:rFonts w:ascii="Arial" w:hAnsi="Arial" w:cs="Arial"/>
                <w:b/>
                <w:sz w:val="18"/>
                <w:szCs w:val="18"/>
                <w:lang w:val="en-AU"/>
              </w:rPr>
            </w:pPr>
            <w:r w:rsidRPr="005B4FB9">
              <w:rPr>
                <w:rFonts w:ascii="Arial" w:hAnsi="Arial" w:cs="Arial"/>
                <w:b/>
                <w:bCs/>
                <w:color w:val="000000"/>
                <w:sz w:val="18"/>
                <w:szCs w:val="18"/>
              </w:rPr>
              <w:t>FULL AND IMMEDIATE DISCLOSURE BEFORE INVESTIGATION</w:t>
            </w:r>
          </w:p>
        </w:tc>
        <w:tc>
          <w:tcPr>
            <w:tcW w:w="979" w:type="pct"/>
            <w:vAlign w:val="center"/>
          </w:tcPr>
          <w:p w14:paraId="3E2B5711" w14:textId="77777777" w:rsidR="004D5550" w:rsidRPr="005B4FB9" w:rsidRDefault="004D5550" w:rsidP="0074041C">
            <w:pPr>
              <w:pStyle w:val="Section"/>
              <w:spacing w:before="20" w:after="60"/>
              <w:jc w:val="center"/>
              <w:rPr>
                <w:rFonts w:ascii="Arial" w:hAnsi="Arial" w:cs="Arial"/>
                <w:b/>
                <w:sz w:val="18"/>
                <w:szCs w:val="18"/>
                <w:lang w:val="en-AU"/>
              </w:rPr>
            </w:pPr>
            <w:r w:rsidRPr="005B4FB9">
              <w:rPr>
                <w:rFonts w:ascii="Arial" w:hAnsi="Arial" w:cs="Arial"/>
                <w:b/>
                <w:bCs/>
                <w:color w:val="000000"/>
                <w:sz w:val="18"/>
                <w:szCs w:val="18"/>
              </w:rPr>
              <w:t>FULL COOPERATION WITH INVESTIGATION</w:t>
            </w:r>
          </w:p>
        </w:tc>
      </w:tr>
      <w:tr w:rsidR="004D5550" w:rsidRPr="005B4FB9" w14:paraId="6D4B8A00" w14:textId="77777777" w:rsidTr="0074041C">
        <w:trPr>
          <w:jc w:val="center"/>
        </w:trPr>
        <w:tc>
          <w:tcPr>
            <w:tcW w:w="2423" w:type="pct"/>
            <w:vAlign w:val="center"/>
          </w:tcPr>
          <w:p w14:paraId="6F53FBE9" w14:textId="77777777" w:rsidR="004D5550" w:rsidRPr="005B4FB9" w:rsidRDefault="004D5550" w:rsidP="0074041C">
            <w:pPr>
              <w:pStyle w:val="Section"/>
              <w:spacing w:before="20" w:after="60"/>
              <w:jc w:val="left"/>
              <w:rPr>
                <w:rFonts w:ascii="Arial" w:hAnsi="Arial" w:cs="Arial"/>
                <w:color w:val="000000"/>
                <w:sz w:val="18"/>
                <w:szCs w:val="18"/>
              </w:rPr>
            </w:pPr>
            <w:r w:rsidRPr="005B4FB9">
              <w:rPr>
                <w:rFonts w:ascii="Arial" w:hAnsi="Arial" w:cs="Arial"/>
                <w:color w:val="000000"/>
                <w:sz w:val="18"/>
                <w:szCs w:val="18"/>
              </w:rPr>
              <w:t>Circumstances beyond the control of the taxpayer where the taxpayer has taken reasonable steps to mitigate the tax default or;</w:t>
            </w:r>
          </w:p>
          <w:p w14:paraId="03F403BF" w14:textId="77777777" w:rsidR="004D5550" w:rsidRPr="005B4FB9" w:rsidRDefault="004D5550" w:rsidP="0074041C">
            <w:pPr>
              <w:pStyle w:val="Section"/>
              <w:spacing w:before="20" w:after="60"/>
              <w:jc w:val="left"/>
              <w:rPr>
                <w:rFonts w:ascii="Arial" w:hAnsi="Arial" w:cs="Arial"/>
                <w:sz w:val="18"/>
                <w:szCs w:val="18"/>
                <w:lang w:val="en-AU"/>
              </w:rPr>
            </w:pPr>
            <w:r w:rsidRPr="005B4FB9">
              <w:rPr>
                <w:rFonts w:ascii="Arial" w:hAnsi="Arial" w:cs="Arial"/>
                <w:sz w:val="18"/>
                <w:szCs w:val="18"/>
              </w:rPr>
              <w:t>Tax was paid in error to another state or territory and it was paid to that state or territory by the due date for payment in the Territory</w:t>
            </w:r>
            <w:r w:rsidRPr="005B4FB9">
              <w:rPr>
                <w:rFonts w:ascii="Arial" w:hAnsi="Arial" w:cs="Arial"/>
                <w:color w:val="000000"/>
                <w:sz w:val="18"/>
                <w:szCs w:val="18"/>
              </w:rPr>
              <w:t xml:space="preserve"> </w:t>
            </w:r>
          </w:p>
        </w:tc>
        <w:tc>
          <w:tcPr>
            <w:tcW w:w="699" w:type="pct"/>
            <w:vAlign w:val="center"/>
          </w:tcPr>
          <w:p w14:paraId="434071A8"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0%</w:t>
            </w:r>
          </w:p>
        </w:tc>
        <w:tc>
          <w:tcPr>
            <w:tcW w:w="899" w:type="pct"/>
            <w:vAlign w:val="center"/>
          </w:tcPr>
          <w:p w14:paraId="1A550782"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0%</w:t>
            </w:r>
          </w:p>
        </w:tc>
        <w:tc>
          <w:tcPr>
            <w:tcW w:w="979" w:type="pct"/>
            <w:vAlign w:val="center"/>
          </w:tcPr>
          <w:p w14:paraId="4B0DD906" w14:textId="77777777" w:rsidR="004D5550" w:rsidRPr="005B4FB9" w:rsidRDefault="004D5550" w:rsidP="0074041C">
            <w:pPr>
              <w:autoSpaceDE w:val="0"/>
              <w:autoSpaceDN w:val="0"/>
              <w:adjustRightInd w:val="0"/>
              <w:spacing w:before="20" w:after="60"/>
              <w:jc w:val="center"/>
              <w:rPr>
                <w:color w:val="000000"/>
                <w:sz w:val="18"/>
                <w:szCs w:val="18"/>
              </w:rPr>
            </w:pPr>
            <w:r w:rsidRPr="005B4FB9">
              <w:rPr>
                <w:color w:val="000000"/>
                <w:sz w:val="18"/>
                <w:szCs w:val="18"/>
              </w:rPr>
              <w:t>0%</w:t>
            </w:r>
          </w:p>
        </w:tc>
      </w:tr>
      <w:tr w:rsidR="004D5550" w:rsidRPr="005B4FB9" w14:paraId="0CBE7B98" w14:textId="77777777" w:rsidTr="0074041C">
        <w:trPr>
          <w:trHeight w:val="65"/>
          <w:jc w:val="center"/>
        </w:trPr>
        <w:tc>
          <w:tcPr>
            <w:tcW w:w="2423" w:type="pct"/>
            <w:vAlign w:val="center"/>
          </w:tcPr>
          <w:p w14:paraId="05FA2581" w14:textId="77777777" w:rsidR="004D5550" w:rsidRPr="005B4FB9" w:rsidRDefault="004D5550" w:rsidP="0074041C">
            <w:pPr>
              <w:pStyle w:val="Section"/>
              <w:spacing w:before="20" w:after="60"/>
              <w:jc w:val="left"/>
              <w:rPr>
                <w:rFonts w:ascii="Arial" w:hAnsi="Arial" w:cs="Arial"/>
                <w:sz w:val="18"/>
                <w:szCs w:val="18"/>
                <w:lang w:val="en-AU"/>
              </w:rPr>
            </w:pPr>
            <w:r w:rsidRPr="005B4FB9">
              <w:rPr>
                <w:rFonts w:ascii="Arial" w:hAnsi="Arial" w:cs="Arial"/>
                <w:color w:val="000000"/>
                <w:sz w:val="18"/>
                <w:szCs w:val="18"/>
              </w:rPr>
              <w:t>Reasonable care taken to comply with the taxation law</w:t>
            </w:r>
          </w:p>
        </w:tc>
        <w:tc>
          <w:tcPr>
            <w:tcW w:w="699" w:type="pct"/>
            <w:vAlign w:val="center"/>
          </w:tcPr>
          <w:p w14:paraId="687D70F2"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10%</w:t>
            </w:r>
          </w:p>
        </w:tc>
        <w:tc>
          <w:tcPr>
            <w:tcW w:w="899" w:type="pct"/>
            <w:vAlign w:val="center"/>
          </w:tcPr>
          <w:p w14:paraId="2F62DEC3"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2%</w:t>
            </w:r>
          </w:p>
        </w:tc>
        <w:tc>
          <w:tcPr>
            <w:tcW w:w="979" w:type="pct"/>
            <w:vAlign w:val="center"/>
          </w:tcPr>
          <w:p w14:paraId="7F08B96D" w14:textId="77777777" w:rsidR="004D5550" w:rsidRPr="005B4FB9" w:rsidRDefault="004D5550" w:rsidP="0074041C">
            <w:pPr>
              <w:autoSpaceDE w:val="0"/>
              <w:autoSpaceDN w:val="0"/>
              <w:adjustRightInd w:val="0"/>
              <w:spacing w:before="20" w:after="60"/>
              <w:jc w:val="center"/>
              <w:rPr>
                <w:color w:val="000000"/>
                <w:sz w:val="18"/>
                <w:szCs w:val="18"/>
              </w:rPr>
            </w:pPr>
            <w:r w:rsidRPr="005B4FB9">
              <w:rPr>
                <w:color w:val="000000"/>
                <w:sz w:val="18"/>
                <w:szCs w:val="18"/>
              </w:rPr>
              <w:t>8%</w:t>
            </w:r>
          </w:p>
        </w:tc>
      </w:tr>
      <w:tr w:rsidR="004D5550" w:rsidRPr="005B4FB9" w14:paraId="16626B15" w14:textId="77777777" w:rsidTr="0074041C">
        <w:trPr>
          <w:trHeight w:val="65"/>
          <w:jc w:val="center"/>
        </w:trPr>
        <w:tc>
          <w:tcPr>
            <w:tcW w:w="2423" w:type="pct"/>
            <w:vAlign w:val="center"/>
          </w:tcPr>
          <w:p w14:paraId="02982667" w14:textId="77777777" w:rsidR="004D5550" w:rsidRPr="005B4FB9" w:rsidRDefault="004D5550" w:rsidP="0074041C">
            <w:pPr>
              <w:autoSpaceDE w:val="0"/>
              <w:autoSpaceDN w:val="0"/>
              <w:adjustRightInd w:val="0"/>
              <w:spacing w:before="20" w:after="60"/>
              <w:ind w:left="15"/>
              <w:rPr>
                <w:bCs/>
                <w:color w:val="000000"/>
                <w:sz w:val="18"/>
                <w:szCs w:val="18"/>
              </w:rPr>
            </w:pPr>
            <w:r w:rsidRPr="005B4FB9">
              <w:rPr>
                <w:bCs/>
                <w:color w:val="000000"/>
                <w:sz w:val="18"/>
                <w:szCs w:val="18"/>
              </w:rPr>
              <w:t>Default penalty</w:t>
            </w:r>
          </w:p>
        </w:tc>
        <w:tc>
          <w:tcPr>
            <w:tcW w:w="699" w:type="pct"/>
            <w:vAlign w:val="center"/>
          </w:tcPr>
          <w:p w14:paraId="2205E907" w14:textId="77777777" w:rsidR="004D5550" w:rsidRPr="005B4FB9" w:rsidRDefault="004D5550" w:rsidP="0074041C">
            <w:pPr>
              <w:autoSpaceDE w:val="0"/>
              <w:autoSpaceDN w:val="0"/>
              <w:adjustRightInd w:val="0"/>
              <w:spacing w:before="20" w:after="60"/>
              <w:ind w:left="15"/>
              <w:jc w:val="center"/>
              <w:rPr>
                <w:bCs/>
                <w:color w:val="000000"/>
                <w:sz w:val="18"/>
                <w:szCs w:val="18"/>
              </w:rPr>
            </w:pPr>
            <w:r w:rsidRPr="005B4FB9">
              <w:rPr>
                <w:bCs/>
                <w:color w:val="000000"/>
                <w:sz w:val="18"/>
                <w:szCs w:val="18"/>
              </w:rPr>
              <w:t>25%</w:t>
            </w:r>
          </w:p>
        </w:tc>
        <w:tc>
          <w:tcPr>
            <w:tcW w:w="899" w:type="pct"/>
            <w:vAlign w:val="center"/>
          </w:tcPr>
          <w:p w14:paraId="57C98072"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5%</w:t>
            </w:r>
          </w:p>
        </w:tc>
        <w:tc>
          <w:tcPr>
            <w:tcW w:w="979" w:type="pct"/>
            <w:vAlign w:val="center"/>
          </w:tcPr>
          <w:p w14:paraId="68516A28" w14:textId="77777777" w:rsidR="004D5550" w:rsidRPr="005B4FB9" w:rsidRDefault="004D5550" w:rsidP="0074041C">
            <w:pPr>
              <w:autoSpaceDE w:val="0"/>
              <w:autoSpaceDN w:val="0"/>
              <w:adjustRightInd w:val="0"/>
              <w:spacing w:before="20" w:after="60"/>
              <w:jc w:val="center"/>
              <w:rPr>
                <w:color w:val="000000"/>
                <w:sz w:val="18"/>
                <w:szCs w:val="18"/>
              </w:rPr>
            </w:pPr>
            <w:r w:rsidRPr="005B4FB9">
              <w:rPr>
                <w:color w:val="000000"/>
                <w:sz w:val="18"/>
                <w:szCs w:val="18"/>
              </w:rPr>
              <w:t>20%</w:t>
            </w:r>
          </w:p>
        </w:tc>
      </w:tr>
      <w:tr w:rsidR="004D5550" w:rsidRPr="005B4FB9" w14:paraId="6D6DAB3D" w14:textId="77777777" w:rsidTr="0074041C">
        <w:trPr>
          <w:trHeight w:val="65"/>
          <w:jc w:val="center"/>
        </w:trPr>
        <w:tc>
          <w:tcPr>
            <w:tcW w:w="2423" w:type="pct"/>
            <w:vAlign w:val="center"/>
          </w:tcPr>
          <w:p w14:paraId="58B2C358" w14:textId="77777777" w:rsidR="004D5550" w:rsidRPr="005B4FB9" w:rsidRDefault="004D5550" w:rsidP="0074041C">
            <w:pPr>
              <w:pStyle w:val="Section"/>
              <w:spacing w:before="20" w:after="60"/>
              <w:jc w:val="left"/>
              <w:rPr>
                <w:rFonts w:ascii="Arial" w:hAnsi="Arial" w:cs="Arial"/>
                <w:sz w:val="18"/>
                <w:szCs w:val="18"/>
                <w:lang w:val="en-AU"/>
              </w:rPr>
            </w:pPr>
            <w:r w:rsidRPr="005B4FB9">
              <w:rPr>
                <w:rFonts w:ascii="Arial" w:hAnsi="Arial" w:cs="Arial"/>
                <w:color w:val="000000"/>
                <w:sz w:val="18"/>
                <w:szCs w:val="18"/>
              </w:rPr>
              <w:t>Intentional disregard of a taxation law</w:t>
            </w:r>
          </w:p>
        </w:tc>
        <w:tc>
          <w:tcPr>
            <w:tcW w:w="699" w:type="pct"/>
            <w:vAlign w:val="center"/>
          </w:tcPr>
          <w:p w14:paraId="5CFCE215"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75%</w:t>
            </w:r>
          </w:p>
        </w:tc>
        <w:tc>
          <w:tcPr>
            <w:tcW w:w="899" w:type="pct"/>
            <w:vAlign w:val="center"/>
          </w:tcPr>
          <w:p w14:paraId="6C7A14AC"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15%</w:t>
            </w:r>
          </w:p>
        </w:tc>
        <w:tc>
          <w:tcPr>
            <w:tcW w:w="979" w:type="pct"/>
            <w:vAlign w:val="center"/>
          </w:tcPr>
          <w:p w14:paraId="2277EA8B" w14:textId="77777777" w:rsidR="004D5550" w:rsidRPr="005B4FB9" w:rsidRDefault="004D5550" w:rsidP="0074041C">
            <w:pPr>
              <w:autoSpaceDE w:val="0"/>
              <w:autoSpaceDN w:val="0"/>
              <w:adjustRightInd w:val="0"/>
              <w:spacing w:before="20" w:after="60"/>
              <w:jc w:val="center"/>
              <w:rPr>
                <w:color w:val="000000"/>
                <w:sz w:val="18"/>
                <w:szCs w:val="18"/>
              </w:rPr>
            </w:pPr>
            <w:r w:rsidRPr="005B4FB9">
              <w:rPr>
                <w:color w:val="000000"/>
                <w:sz w:val="18"/>
                <w:szCs w:val="18"/>
              </w:rPr>
              <w:t>60%</w:t>
            </w:r>
          </w:p>
        </w:tc>
      </w:tr>
      <w:tr w:rsidR="004D5550" w:rsidRPr="005B4FB9" w14:paraId="354A3764" w14:textId="77777777" w:rsidTr="0074041C">
        <w:trPr>
          <w:trHeight w:val="65"/>
          <w:jc w:val="center"/>
        </w:trPr>
        <w:tc>
          <w:tcPr>
            <w:tcW w:w="2423" w:type="pct"/>
            <w:vAlign w:val="center"/>
          </w:tcPr>
          <w:p w14:paraId="234F2DB6" w14:textId="77777777" w:rsidR="004D5550" w:rsidRPr="005B4FB9" w:rsidRDefault="004D5550" w:rsidP="0074041C">
            <w:pPr>
              <w:tabs>
                <w:tab w:val="left" w:pos="0"/>
                <w:tab w:val="left" w:pos="720"/>
                <w:tab w:val="left" w:pos="1440"/>
                <w:tab w:val="left" w:pos="2160"/>
                <w:tab w:val="left" w:pos="2880"/>
                <w:tab w:val="left" w:pos="3600"/>
                <w:tab w:val="left" w:pos="4320"/>
              </w:tabs>
              <w:autoSpaceDE w:val="0"/>
              <w:autoSpaceDN w:val="0"/>
              <w:adjustRightInd w:val="0"/>
              <w:spacing w:before="20" w:after="60"/>
              <w:ind w:left="15"/>
              <w:rPr>
                <w:color w:val="000000"/>
                <w:sz w:val="18"/>
                <w:szCs w:val="18"/>
              </w:rPr>
            </w:pPr>
            <w:r w:rsidRPr="005B4FB9">
              <w:rPr>
                <w:color w:val="000000"/>
                <w:sz w:val="18"/>
                <w:szCs w:val="18"/>
              </w:rPr>
              <w:t>Concealment or hindering an investigation</w:t>
            </w:r>
          </w:p>
        </w:tc>
        <w:tc>
          <w:tcPr>
            <w:tcW w:w="699" w:type="pct"/>
            <w:vAlign w:val="center"/>
          </w:tcPr>
          <w:p w14:paraId="2F995DFC" w14:textId="77777777" w:rsidR="004D5550" w:rsidRPr="005B4FB9" w:rsidRDefault="004D5550" w:rsidP="0074041C">
            <w:pPr>
              <w:tabs>
                <w:tab w:val="left" w:pos="0"/>
                <w:tab w:val="left" w:pos="720"/>
                <w:tab w:val="left" w:pos="1440"/>
                <w:tab w:val="left" w:pos="2160"/>
                <w:tab w:val="left" w:pos="2880"/>
                <w:tab w:val="left" w:pos="3600"/>
                <w:tab w:val="left" w:pos="4320"/>
              </w:tabs>
              <w:autoSpaceDE w:val="0"/>
              <w:autoSpaceDN w:val="0"/>
              <w:adjustRightInd w:val="0"/>
              <w:spacing w:before="20" w:after="60"/>
              <w:ind w:left="15"/>
              <w:jc w:val="center"/>
              <w:rPr>
                <w:color w:val="000000"/>
                <w:sz w:val="18"/>
                <w:szCs w:val="18"/>
              </w:rPr>
            </w:pPr>
            <w:r w:rsidRPr="005B4FB9">
              <w:rPr>
                <w:color w:val="000000"/>
                <w:sz w:val="18"/>
                <w:szCs w:val="18"/>
              </w:rPr>
              <w:t>75%</w:t>
            </w:r>
          </w:p>
        </w:tc>
        <w:tc>
          <w:tcPr>
            <w:tcW w:w="899" w:type="pct"/>
            <w:vAlign w:val="center"/>
          </w:tcPr>
          <w:p w14:paraId="29B74F3C" w14:textId="77777777" w:rsidR="004D5550" w:rsidRPr="005B4FB9" w:rsidRDefault="004D5550" w:rsidP="0074041C">
            <w:pPr>
              <w:tabs>
                <w:tab w:val="left" w:pos="0"/>
                <w:tab w:val="left" w:pos="720"/>
                <w:tab w:val="left" w:pos="1440"/>
                <w:tab w:val="left" w:pos="2160"/>
                <w:tab w:val="left" w:pos="2880"/>
                <w:tab w:val="left" w:pos="3600"/>
                <w:tab w:val="left" w:pos="4320"/>
              </w:tabs>
              <w:autoSpaceDE w:val="0"/>
              <w:autoSpaceDN w:val="0"/>
              <w:adjustRightInd w:val="0"/>
              <w:spacing w:before="20" w:after="60"/>
              <w:ind w:left="15"/>
              <w:jc w:val="center"/>
              <w:rPr>
                <w:color w:val="000000"/>
                <w:sz w:val="18"/>
                <w:szCs w:val="18"/>
              </w:rPr>
            </w:pPr>
            <w:r w:rsidRPr="005B4FB9">
              <w:rPr>
                <w:color w:val="000000"/>
                <w:sz w:val="18"/>
                <w:szCs w:val="18"/>
              </w:rPr>
              <w:t>n/a</w:t>
            </w:r>
          </w:p>
        </w:tc>
        <w:tc>
          <w:tcPr>
            <w:tcW w:w="979" w:type="pct"/>
            <w:vAlign w:val="center"/>
          </w:tcPr>
          <w:p w14:paraId="78677D98" w14:textId="77777777" w:rsidR="004D5550" w:rsidRPr="005B4FB9" w:rsidRDefault="004D5550" w:rsidP="0074041C">
            <w:pPr>
              <w:tabs>
                <w:tab w:val="left" w:pos="0"/>
                <w:tab w:val="left" w:pos="720"/>
                <w:tab w:val="left" w:pos="1440"/>
                <w:tab w:val="left" w:pos="2160"/>
                <w:tab w:val="left" w:pos="2880"/>
                <w:tab w:val="left" w:pos="3600"/>
                <w:tab w:val="left" w:pos="4320"/>
              </w:tabs>
              <w:autoSpaceDE w:val="0"/>
              <w:autoSpaceDN w:val="0"/>
              <w:adjustRightInd w:val="0"/>
              <w:spacing w:before="20" w:after="60"/>
              <w:ind w:left="15"/>
              <w:jc w:val="center"/>
              <w:rPr>
                <w:color w:val="000000"/>
                <w:sz w:val="18"/>
                <w:szCs w:val="18"/>
              </w:rPr>
            </w:pPr>
            <w:r w:rsidRPr="005B4FB9">
              <w:rPr>
                <w:color w:val="000000"/>
                <w:sz w:val="18"/>
                <w:szCs w:val="18"/>
              </w:rPr>
              <w:t>n/a</w:t>
            </w:r>
          </w:p>
        </w:tc>
      </w:tr>
      <w:tr w:rsidR="004D5550" w:rsidRPr="005B4FB9" w14:paraId="1CA80891" w14:textId="77777777" w:rsidTr="0074041C">
        <w:trPr>
          <w:trHeight w:val="65"/>
          <w:jc w:val="center"/>
        </w:trPr>
        <w:tc>
          <w:tcPr>
            <w:tcW w:w="2423" w:type="pct"/>
            <w:vAlign w:val="center"/>
          </w:tcPr>
          <w:p w14:paraId="7B3BC4E0" w14:textId="77777777" w:rsidR="004D5550" w:rsidRPr="005B4FB9" w:rsidRDefault="004D5550" w:rsidP="0074041C">
            <w:pPr>
              <w:tabs>
                <w:tab w:val="left" w:pos="0"/>
                <w:tab w:val="left" w:pos="720"/>
                <w:tab w:val="left" w:pos="1440"/>
                <w:tab w:val="left" w:pos="2160"/>
                <w:tab w:val="left" w:pos="2880"/>
                <w:tab w:val="left" w:pos="3600"/>
                <w:tab w:val="left" w:pos="4320"/>
              </w:tabs>
              <w:autoSpaceDE w:val="0"/>
              <w:autoSpaceDN w:val="0"/>
              <w:adjustRightInd w:val="0"/>
              <w:spacing w:before="20" w:after="60"/>
              <w:ind w:left="15"/>
              <w:rPr>
                <w:sz w:val="18"/>
                <w:szCs w:val="18"/>
                <w:u w:val="single"/>
              </w:rPr>
            </w:pPr>
            <w:r w:rsidRPr="005B4FB9">
              <w:rPr>
                <w:sz w:val="18"/>
                <w:szCs w:val="18"/>
              </w:rPr>
              <w:t xml:space="preserve">Intentional disregard of a taxation law </w:t>
            </w:r>
            <w:r w:rsidRPr="005B4FB9">
              <w:rPr>
                <w:sz w:val="18"/>
                <w:szCs w:val="18"/>
                <w:u w:val="single"/>
              </w:rPr>
              <w:t>and</w:t>
            </w:r>
          </w:p>
          <w:p w14:paraId="3EFCC581" w14:textId="77777777" w:rsidR="004D5550" w:rsidRPr="005B4FB9" w:rsidRDefault="004D5550" w:rsidP="0074041C">
            <w:pPr>
              <w:pStyle w:val="Section"/>
              <w:spacing w:before="20" w:after="60"/>
              <w:jc w:val="left"/>
              <w:rPr>
                <w:rFonts w:ascii="Arial" w:hAnsi="Arial" w:cs="Arial"/>
                <w:sz w:val="18"/>
                <w:szCs w:val="18"/>
                <w:lang w:val="en-AU"/>
              </w:rPr>
            </w:pPr>
            <w:r w:rsidRPr="005B4FB9">
              <w:rPr>
                <w:rFonts w:ascii="Arial" w:hAnsi="Arial" w:cs="Arial"/>
                <w:color w:val="000000"/>
                <w:sz w:val="18"/>
                <w:szCs w:val="18"/>
              </w:rPr>
              <w:t>concealment or hindering an investigation</w:t>
            </w:r>
          </w:p>
        </w:tc>
        <w:tc>
          <w:tcPr>
            <w:tcW w:w="699" w:type="pct"/>
            <w:vAlign w:val="center"/>
          </w:tcPr>
          <w:p w14:paraId="0231B0B9"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95%</w:t>
            </w:r>
          </w:p>
        </w:tc>
        <w:tc>
          <w:tcPr>
            <w:tcW w:w="899" w:type="pct"/>
            <w:vAlign w:val="center"/>
          </w:tcPr>
          <w:p w14:paraId="475547ED" w14:textId="77777777" w:rsidR="004D5550" w:rsidRPr="005B4FB9" w:rsidRDefault="004D5550" w:rsidP="0074041C">
            <w:pPr>
              <w:autoSpaceDE w:val="0"/>
              <w:autoSpaceDN w:val="0"/>
              <w:adjustRightInd w:val="0"/>
              <w:spacing w:before="20" w:after="60"/>
              <w:ind w:left="15"/>
              <w:jc w:val="center"/>
              <w:rPr>
                <w:color w:val="000000"/>
                <w:sz w:val="18"/>
                <w:szCs w:val="18"/>
              </w:rPr>
            </w:pPr>
            <w:r w:rsidRPr="005B4FB9">
              <w:rPr>
                <w:color w:val="000000"/>
                <w:sz w:val="18"/>
                <w:szCs w:val="18"/>
              </w:rPr>
              <w:t>n/a</w:t>
            </w:r>
          </w:p>
        </w:tc>
        <w:tc>
          <w:tcPr>
            <w:tcW w:w="979" w:type="pct"/>
            <w:vAlign w:val="center"/>
          </w:tcPr>
          <w:p w14:paraId="2DB53B13" w14:textId="77777777" w:rsidR="004D5550" w:rsidRPr="005B4FB9" w:rsidRDefault="004D5550" w:rsidP="0074041C">
            <w:pPr>
              <w:autoSpaceDE w:val="0"/>
              <w:autoSpaceDN w:val="0"/>
              <w:adjustRightInd w:val="0"/>
              <w:spacing w:before="20" w:after="60"/>
              <w:jc w:val="center"/>
              <w:rPr>
                <w:color w:val="000000"/>
                <w:sz w:val="18"/>
                <w:szCs w:val="18"/>
              </w:rPr>
            </w:pPr>
            <w:r w:rsidRPr="005B4FB9">
              <w:rPr>
                <w:color w:val="000000"/>
                <w:sz w:val="18"/>
                <w:szCs w:val="18"/>
              </w:rPr>
              <w:t>n/a</w:t>
            </w:r>
          </w:p>
        </w:tc>
      </w:tr>
    </w:tbl>
    <w:p w14:paraId="755D7325" w14:textId="77777777" w:rsidR="004D5550" w:rsidRDefault="004D5550" w:rsidP="004D5550">
      <w:pPr>
        <w:pStyle w:val="Heading3"/>
        <w:numPr>
          <w:ilvl w:val="0"/>
          <w:numId w:val="0"/>
        </w:numPr>
        <w:ind w:left="720" w:hanging="720"/>
      </w:pPr>
      <w:bookmarkStart w:id="24" w:name="_Toc169514575"/>
      <w:r>
        <w:t>Commissioner’s Guidelines</w:t>
      </w:r>
      <w:bookmarkEnd w:id="24"/>
    </w:p>
    <w:p w14:paraId="1D1755CB" w14:textId="77777777" w:rsidR="004D5550" w:rsidRDefault="004D5550" w:rsidP="004D5550">
      <w:pPr>
        <w:pStyle w:val="BlockText"/>
        <w:keepLines/>
        <w:numPr>
          <w:ilvl w:val="0"/>
          <w:numId w:val="44"/>
        </w:numPr>
        <w:spacing w:after="120"/>
        <w:jc w:val="both"/>
      </w:pPr>
      <w:r>
        <w:t xml:space="preserve">Commissioner’s Guideline </w:t>
      </w:r>
      <w:r w:rsidRPr="003D0945">
        <w:t>CG-GEN-001</w:t>
      </w:r>
      <w:r>
        <w:t>, which sets out information on the revenue publication system, is incorporated into and is to be read as one with this Guideline. All Circulars and Guidelines are available from the TRO website.</w:t>
      </w:r>
    </w:p>
    <w:p w14:paraId="1C84039B" w14:textId="77777777" w:rsidR="00C13AB8" w:rsidRDefault="00C13AB8">
      <w:pPr>
        <w:rPr>
          <w:rFonts w:asciiTheme="majorHAnsi" w:hAnsiTheme="majorHAnsi" w:cs="Arial"/>
          <w:bCs/>
          <w:color w:val="1F1F5F" w:themeColor="text1"/>
          <w:sz w:val="28"/>
          <w:szCs w:val="28"/>
        </w:rPr>
      </w:pPr>
      <w:bookmarkStart w:id="25" w:name="_Toc169514576"/>
      <w:r>
        <w:br w:type="page"/>
      </w:r>
    </w:p>
    <w:p w14:paraId="3D206927" w14:textId="70DAFF60" w:rsidR="004D5550" w:rsidRDefault="004D5550" w:rsidP="004D5550">
      <w:pPr>
        <w:pStyle w:val="Heading3"/>
        <w:numPr>
          <w:ilvl w:val="0"/>
          <w:numId w:val="0"/>
        </w:numPr>
        <w:ind w:left="720" w:hanging="720"/>
      </w:pPr>
      <w:r>
        <w:lastRenderedPageBreak/>
        <w:t>Date of effect</w:t>
      </w:r>
      <w:bookmarkEnd w:id="25"/>
    </w:p>
    <w:p w14:paraId="1F6ED716" w14:textId="46204531" w:rsidR="004D5550" w:rsidRPr="004D5550" w:rsidRDefault="004D5550" w:rsidP="004D5550">
      <w:pPr>
        <w:pStyle w:val="BlockText"/>
        <w:keepLines/>
        <w:numPr>
          <w:ilvl w:val="0"/>
          <w:numId w:val="44"/>
        </w:numPr>
        <w:spacing w:after="120"/>
        <w:jc w:val="both"/>
      </w:pPr>
      <w:r w:rsidRPr="004D5550">
        <w:t xml:space="preserve">This version of the Guideline takes effect from </w:t>
      </w:r>
      <w:r w:rsidR="008E5102">
        <w:t>1 July 2024</w:t>
      </w:r>
      <w:r w:rsidRPr="004D5550">
        <w:t>.</w:t>
      </w:r>
    </w:p>
    <w:p w14:paraId="7A3E24BB" w14:textId="4D57EC42" w:rsidR="004D5550" w:rsidRDefault="00025FFA" w:rsidP="004D5550">
      <w:r>
        <w:rPr>
          <w:noProof/>
          <w:lang w:eastAsia="en-AU"/>
        </w:rPr>
        <w:drawing>
          <wp:anchor distT="0" distB="0" distL="114300" distR="114300" simplePos="0" relativeHeight="251658240" behindDoc="0" locked="0" layoutInCell="1" allowOverlap="1" wp14:anchorId="73D320ED" wp14:editId="7ECCBB5B">
            <wp:simplePos x="0" y="0"/>
            <wp:positionH relativeFrom="margin">
              <wp:posOffset>0</wp:posOffset>
            </wp:positionH>
            <wp:positionV relativeFrom="paragraph">
              <wp:posOffset>29541</wp:posOffset>
            </wp:positionV>
            <wp:extent cx="1502797" cy="1152588"/>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h Rummery Signature2.tif"/>
                    <pic:cNvPicPr/>
                  </pic:nvPicPr>
                  <pic:blipFill>
                    <a:blip r:embed="rId18">
                      <a:extLst>
                        <a:ext uri="{28A0092B-C50C-407E-A947-70E740481C1C}">
                          <a14:useLocalDpi xmlns:a14="http://schemas.microsoft.com/office/drawing/2010/main" val="0"/>
                        </a:ext>
                      </a:extLst>
                    </a:blip>
                    <a:stretch>
                      <a:fillRect/>
                    </a:stretch>
                  </pic:blipFill>
                  <pic:spPr>
                    <a:xfrm>
                      <a:off x="0" y="0"/>
                      <a:ext cx="1502797" cy="1152588"/>
                    </a:xfrm>
                    <a:prstGeom prst="rect">
                      <a:avLst/>
                    </a:prstGeom>
                  </pic:spPr>
                </pic:pic>
              </a:graphicData>
            </a:graphic>
            <wp14:sizeRelH relativeFrom="page">
              <wp14:pctWidth>0</wp14:pctWidth>
            </wp14:sizeRelH>
            <wp14:sizeRelV relativeFrom="page">
              <wp14:pctHeight>0</wp14:pctHeight>
            </wp14:sizeRelV>
          </wp:anchor>
        </w:drawing>
      </w:r>
    </w:p>
    <w:p w14:paraId="3D140D8C" w14:textId="7ECE59CC" w:rsidR="004D5550" w:rsidRDefault="004D5550" w:rsidP="004D5550">
      <w:pPr>
        <w:rPr>
          <w:noProof/>
          <w:lang w:eastAsia="en-AU"/>
        </w:rPr>
      </w:pPr>
    </w:p>
    <w:p w14:paraId="01353CCD" w14:textId="77777777" w:rsidR="004D5550" w:rsidRDefault="004D5550" w:rsidP="004D5550"/>
    <w:p w14:paraId="45589830" w14:textId="4AEC3030" w:rsidR="004D5550" w:rsidRPr="001C551C" w:rsidRDefault="004D5550" w:rsidP="004D5550">
      <w:r w:rsidRPr="001C551C">
        <w:t>Sarah Rummery</w:t>
      </w:r>
    </w:p>
    <w:p w14:paraId="72D34B97" w14:textId="77777777" w:rsidR="004D5550" w:rsidRPr="001C551C" w:rsidRDefault="004D5550" w:rsidP="004D5550">
      <w:pPr>
        <w:rPr>
          <w:b/>
        </w:rPr>
      </w:pPr>
      <w:r w:rsidRPr="001C551C">
        <w:rPr>
          <w:b/>
        </w:rPr>
        <w:t>COMMISSIONER OF TERRITORY REVENUE</w:t>
      </w:r>
    </w:p>
    <w:p w14:paraId="2F07DE1C" w14:textId="6B0458DB" w:rsidR="004D5550" w:rsidRDefault="004D5550" w:rsidP="004D5550">
      <w:r w:rsidRPr="001C551C">
        <w:t xml:space="preserve">Date of Issue: </w:t>
      </w:r>
      <w:r w:rsidRPr="00336328">
        <w:t>1 July 2024</w:t>
      </w: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4D5550" w:rsidRPr="001F4BE5" w14:paraId="567BAA5D" w14:textId="77777777" w:rsidTr="0074041C">
        <w:tc>
          <w:tcPr>
            <w:tcW w:w="9854" w:type="dxa"/>
            <w:gridSpan w:val="2"/>
            <w:shd w:val="clear" w:color="auto" w:fill="auto"/>
          </w:tcPr>
          <w:p w14:paraId="5BE0B48F" w14:textId="77777777" w:rsidR="004D5550" w:rsidRPr="001F4BE5" w:rsidRDefault="004D5550" w:rsidP="0074041C">
            <w:pPr>
              <w:rPr>
                <w:sz w:val="20"/>
              </w:rPr>
            </w:pPr>
            <w:r w:rsidRPr="001F4BE5">
              <w:rPr>
                <w:sz w:val="20"/>
              </w:rPr>
              <w:t>For further information please contact the Territory Revenue Office:</w:t>
            </w:r>
          </w:p>
        </w:tc>
        <w:bookmarkStart w:id="26" w:name="_GoBack"/>
        <w:bookmarkEnd w:id="26"/>
      </w:tr>
      <w:tr w:rsidR="004D5550" w:rsidRPr="001F4BE5" w14:paraId="1D2BF5CD" w14:textId="77777777" w:rsidTr="0074041C">
        <w:tc>
          <w:tcPr>
            <w:tcW w:w="4927" w:type="dxa"/>
            <w:shd w:val="clear" w:color="auto" w:fill="auto"/>
          </w:tcPr>
          <w:p w14:paraId="61439883" w14:textId="77777777" w:rsidR="004D5550" w:rsidRPr="001F4BE5" w:rsidRDefault="004D5550" w:rsidP="0074041C">
            <w:pPr>
              <w:rPr>
                <w:sz w:val="20"/>
              </w:rPr>
            </w:pPr>
            <w:r w:rsidRPr="001F4BE5">
              <w:rPr>
                <w:sz w:val="20"/>
              </w:rPr>
              <w:t xml:space="preserve">GPO Box </w:t>
            </w:r>
            <w:r>
              <w:rPr>
                <w:sz w:val="20"/>
              </w:rPr>
              <w:t>197</w:t>
            </w:r>
            <w:r w:rsidRPr="001F4BE5">
              <w:rPr>
                <w:sz w:val="20"/>
              </w:rPr>
              <w:t>4</w:t>
            </w:r>
          </w:p>
          <w:p w14:paraId="793EB48D" w14:textId="77777777" w:rsidR="004D5550" w:rsidRPr="001F4BE5" w:rsidRDefault="004D5550" w:rsidP="0074041C">
            <w:pPr>
              <w:rPr>
                <w:sz w:val="20"/>
              </w:rPr>
            </w:pPr>
            <w:r w:rsidRPr="001F4BE5">
              <w:rPr>
                <w:sz w:val="20"/>
              </w:rPr>
              <w:t>Darwin  NT  0801</w:t>
            </w:r>
          </w:p>
          <w:p w14:paraId="75A172B1" w14:textId="77777777" w:rsidR="004D5550" w:rsidRPr="001F4BE5" w:rsidRDefault="004D5550" w:rsidP="0074041C">
            <w:pPr>
              <w:pStyle w:val="BlockText"/>
              <w:rPr>
                <w:sz w:val="20"/>
              </w:rPr>
            </w:pPr>
            <w:r w:rsidRPr="001F4BE5">
              <w:rPr>
                <w:sz w:val="20"/>
              </w:rPr>
              <w:t xml:space="preserve">Email: </w:t>
            </w:r>
            <w:hyperlink r:id="rId19" w:history="1">
              <w:r w:rsidRPr="004C2AD0">
                <w:rPr>
                  <w:rStyle w:val="Hyperlink"/>
                  <w:sz w:val="20"/>
                </w:rPr>
                <w:t>ntrevenue</w:t>
              </w:r>
              <w:r w:rsidRPr="00393FB4">
                <w:rPr>
                  <w:rStyle w:val="Hyperlink"/>
                  <w:sz w:val="20"/>
                </w:rPr>
                <w:t>@nt.gov.au</w:t>
              </w:r>
            </w:hyperlink>
          </w:p>
        </w:tc>
        <w:tc>
          <w:tcPr>
            <w:tcW w:w="4927" w:type="dxa"/>
            <w:shd w:val="clear" w:color="auto" w:fill="auto"/>
          </w:tcPr>
          <w:p w14:paraId="4DB9D8AD" w14:textId="77777777" w:rsidR="004D5550" w:rsidRPr="001F4BE5" w:rsidRDefault="004D5550" w:rsidP="0074041C">
            <w:pPr>
              <w:rPr>
                <w:sz w:val="20"/>
              </w:rPr>
            </w:pPr>
            <w:r w:rsidRPr="001F4BE5">
              <w:rPr>
                <w:sz w:val="20"/>
              </w:rPr>
              <w:t>Phone: 1300 305 353</w:t>
            </w:r>
          </w:p>
          <w:p w14:paraId="6DBA3FBC" w14:textId="77777777" w:rsidR="004D5550" w:rsidRPr="001F4BE5" w:rsidRDefault="004D5550" w:rsidP="0074041C">
            <w:pPr>
              <w:rPr>
                <w:sz w:val="20"/>
              </w:rPr>
            </w:pPr>
            <w:r w:rsidRPr="001F4BE5">
              <w:rPr>
                <w:sz w:val="20"/>
              </w:rPr>
              <w:t xml:space="preserve">Website: </w:t>
            </w:r>
            <w:hyperlink r:id="rId20" w:tooltip="link to TRO Website" w:history="1">
              <w:r w:rsidRPr="001F4BE5">
                <w:rPr>
                  <w:rStyle w:val="Hyperlink"/>
                  <w:sz w:val="20"/>
                </w:rPr>
                <w:t>www.revenue.nt.gov.au</w:t>
              </w:r>
            </w:hyperlink>
          </w:p>
        </w:tc>
      </w:tr>
    </w:tbl>
    <w:p w14:paraId="4AE15316" w14:textId="3863586E" w:rsidR="000B280D" w:rsidRPr="00C5584B" w:rsidRDefault="000B280D" w:rsidP="00852724">
      <w:pPr>
        <w:rPr>
          <w:lang w:eastAsia="en-AU"/>
        </w:rPr>
      </w:pPr>
    </w:p>
    <w:sectPr w:rsidR="000B280D" w:rsidRPr="00C5584B" w:rsidSect="00C95D30">
      <w:footerReference w:type="default" r:id="rId21"/>
      <w:headerReference w:type="first" r:id="rId22"/>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870D0" w14:textId="77777777" w:rsidR="007B1E55" w:rsidRDefault="007B1E55">
      <w:r>
        <w:separator/>
      </w:r>
    </w:p>
  </w:endnote>
  <w:endnote w:type="continuationSeparator" w:id="0">
    <w:p w14:paraId="4F768CF4" w14:textId="77777777" w:rsidR="007B1E55" w:rsidRDefault="007B1E55">
      <w:r>
        <w:continuationSeparator/>
      </w:r>
    </w:p>
  </w:endnote>
  <w:endnote w:type="continuationNotice" w:id="1">
    <w:p w14:paraId="2F4FED95" w14:textId="77777777" w:rsidR="007B1E55" w:rsidRDefault="007B1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385DC819" w14:textId="77777777" w:rsidR="008E5102" w:rsidRDefault="008E5102"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D43F" w14:textId="77777777" w:rsidR="008E5102" w:rsidRPr="00F538BD" w:rsidRDefault="008E5102" w:rsidP="004E7885">
    <w:pPr>
      <w:spacing w:after="0"/>
      <w:jc w:val="right"/>
      <w:rPr>
        <w:sz w:val="6"/>
        <w:szCs w:val="6"/>
      </w:rPr>
    </w:pPr>
    <w:r w:rsidRPr="001852AF">
      <w:rPr>
        <w:noProof/>
        <w:lang w:eastAsia="en-AU"/>
      </w:rPr>
      <w:drawing>
        <wp:inline distT="0" distB="0" distL="0" distR="0" wp14:anchorId="035F927B" wp14:editId="048327D1">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5BDA" w14:textId="77777777" w:rsidR="008E5102" w:rsidRDefault="008E5102"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07F6" w14:textId="77777777" w:rsidR="008E5102" w:rsidRPr="00F538BD" w:rsidRDefault="008E5102"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25C7" w14:textId="77777777" w:rsidR="008E5102" w:rsidRPr="00A50829" w:rsidRDefault="008E5102"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8E5102" w:rsidRPr="00132658" w14:paraId="2524B178" w14:textId="77777777" w:rsidTr="0074041C">
      <w:trPr>
        <w:cantSplit/>
        <w:trHeight w:hRule="exact" w:val="850"/>
        <w:tblHeader/>
      </w:trPr>
      <w:tc>
        <w:tcPr>
          <w:tcW w:w="10318" w:type="dxa"/>
          <w:vAlign w:val="bottom"/>
        </w:tcPr>
        <w:p w14:paraId="1DEA0CF3" w14:textId="7C5E19A8" w:rsidR="008E5102" w:rsidRDefault="008E5102" w:rsidP="00A50829">
          <w:pPr>
            <w:spacing w:after="0"/>
            <w:rPr>
              <w:rStyle w:val="PageNumber"/>
              <w:b/>
            </w:rPr>
          </w:pPr>
          <w:r>
            <w:rPr>
              <w:rStyle w:val="PageNumber"/>
            </w:rPr>
            <w:t xml:space="preserve">Department of </w:t>
          </w:r>
          <w:sdt>
            <w:sdtPr>
              <w:rPr>
                <w:rStyle w:val="PageNumber"/>
                <w:b/>
              </w:rPr>
              <w:alias w:val="Company"/>
              <w:tag w:val=""/>
              <w:id w:val="-1550452142"/>
              <w:placeholder>
                <w:docPart w:val="71114C70030F48419F425C14481C5FD4"/>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36FF8EF5" w14:textId="04DCE59A" w:rsidR="008E5102" w:rsidRPr="00CE6614" w:rsidRDefault="007B1E55" w:rsidP="00A50829">
          <w:pPr>
            <w:spacing w:after="0"/>
            <w:rPr>
              <w:rStyle w:val="PageNumber"/>
            </w:rPr>
          </w:pPr>
          <w:sdt>
            <w:sdtPr>
              <w:rPr>
                <w:rStyle w:val="PageNumber"/>
              </w:rPr>
              <w:alias w:val="Date"/>
              <w:tag w:val=""/>
              <w:id w:val="1578473972"/>
              <w:placeholder>
                <w:docPart w:val="F5C25E62DF404359A637D2E7B9E028BC"/>
              </w:placeholder>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8E5102">
                <w:rPr>
                  <w:rStyle w:val="PageNumber"/>
                </w:rPr>
                <w:t>1 July 2024</w:t>
              </w:r>
            </w:sdtContent>
          </w:sdt>
          <w:r w:rsidR="008E5102" w:rsidRPr="00CE6614">
            <w:rPr>
              <w:rStyle w:val="PageNumber"/>
            </w:rPr>
            <w:t xml:space="preserve"> | Version </w:t>
          </w:r>
          <w:r w:rsidR="008E5102">
            <w:rPr>
              <w:rStyle w:val="PageNumber"/>
            </w:rPr>
            <w:t>9</w:t>
          </w:r>
        </w:p>
        <w:p w14:paraId="051C2E31" w14:textId="7087A807" w:rsidR="008E5102" w:rsidRPr="00AC4488" w:rsidRDefault="008E5102"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B3DA1">
            <w:rPr>
              <w:rStyle w:val="PageNumber"/>
              <w:noProof/>
            </w:rPr>
            <w:t>16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B3DA1">
            <w:rPr>
              <w:rStyle w:val="PageNumber"/>
              <w:noProof/>
            </w:rPr>
            <w:t>16</w:t>
          </w:r>
          <w:r w:rsidRPr="00AC4488">
            <w:rPr>
              <w:rStyle w:val="PageNumber"/>
            </w:rPr>
            <w:fldChar w:fldCharType="end"/>
          </w:r>
        </w:p>
      </w:tc>
    </w:tr>
  </w:tbl>
  <w:p w14:paraId="0BB90DC2" w14:textId="77777777" w:rsidR="008E5102" w:rsidRDefault="008E5102"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A68F" w14:textId="77777777" w:rsidR="007B1E55" w:rsidRDefault="007B1E55">
      <w:r>
        <w:separator/>
      </w:r>
    </w:p>
  </w:footnote>
  <w:footnote w:type="continuationSeparator" w:id="0">
    <w:p w14:paraId="6CA11F39" w14:textId="77777777" w:rsidR="007B1E55" w:rsidRDefault="007B1E55">
      <w:r>
        <w:continuationSeparator/>
      </w:r>
    </w:p>
  </w:footnote>
  <w:footnote w:type="continuationNotice" w:id="1">
    <w:p w14:paraId="003A1F8E" w14:textId="77777777" w:rsidR="007B1E55" w:rsidRDefault="007B1E55">
      <w:pPr>
        <w:spacing w:after="0"/>
      </w:pPr>
    </w:p>
  </w:footnote>
  <w:footnote w:id="2">
    <w:p w14:paraId="5ED380B4" w14:textId="77777777" w:rsidR="008E5102" w:rsidRDefault="008E5102" w:rsidP="004D5550">
      <w:pPr>
        <w:pStyle w:val="FootnoteText"/>
      </w:pPr>
      <w:r>
        <w:rPr>
          <w:rStyle w:val="FootnoteReference"/>
        </w:rPr>
        <w:footnoteRef/>
      </w:r>
      <w:r>
        <w:t xml:space="preserve"> Section 11 of the MRA24.</w:t>
      </w:r>
    </w:p>
  </w:footnote>
  <w:footnote w:id="3">
    <w:p w14:paraId="72FD533A" w14:textId="77777777" w:rsidR="008E5102" w:rsidRDefault="008E5102" w:rsidP="004D5550">
      <w:pPr>
        <w:pStyle w:val="FootnoteText"/>
      </w:pPr>
      <w:r>
        <w:rPr>
          <w:rStyle w:val="FootnoteReference"/>
        </w:rPr>
        <w:footnoteRef/>
      </w:r>
      <w:r>
        <w:t xml:space="preserve"> Section 22 of the PRA.</w:t>
      </w:r>
    </w:p>
  </w:footnote>
  <w:footnote w:id="4">
    <w:p w14:paraId="7B6ED01A"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34(1) and 39(1) of the TAA.</w:t>
      </w:r>
    </w:p>
  </w:footnote>
  <w:footnote w:id="5">
    <w:p w14:paraId="65327559" w14:textId="77777777" w:rsidR="008E5102" w:rsidRPr="00E21B28" w:rsidRDefault="008E5102" w:rsidP="004D5550">
      <w:pPr>
        <w:pStyle w:val="FootnoteText"/>
        <w:jc w:val="both"/>
        <w:rPr>
          <w:rFonts w:cs="Arial"/>
          <w:szCs w:val="18"/>
        </w:rPr>
      </w:pPr>
      <w:r w:rsidRPr="00E21B28">
        <w:rPr>
          <w:rStyle w:val="FootnoteReference"/>
          <w:szCs w:val="18"/>
        </w:rPr>
        <w:footnoteRef/>
      </w:r>
      <w:r w:rsidRPr="00E21B28">
        <w:rPr>
          <w:rFonts w:cs="Arial"/>
          <w:szCs w:val="18"/>
        </w:rPr>
        <w:t xml:space="preserve"> See section 3(1) (</w:t>
      </w:r>
      <w:r>
        <w:rPr>
          <w:rFonts w:cs="Arial"/>
          <w:szCs w:val="18"/>
        </w:rPr>
        <w:t>‘</w:t>
      </w:r>
      <w:r w:rsidRPr="00E21B28">
        <w:rPr>
          <w:rFonts w:cs="Arial"/>
          <w:szCs w:val="18"/>
        </w:rPr>
        <w:t>taxation law</w:t>
      </w:r>
      <w:r>
        <w:rPr>
          <w:rFonts w:cs="Arial"/>
          <w:szCs w:val="18"/>
        </w:rPr>
        <w:t>’</w:t>
      </w:r>
      <w:r w:rsidRPr="00E21B28">
        <w:rPr>
          <w:rFonts w:cs="Arial"/>
          <w:szCs w:val="18"/>
        </w:rPr>
        <w:t>) of the TAA.</w:t>
      </w:r>
    </w:p>
  </w:footnote>
  <w:footnote w:id="6">
    <w:p w14:paraId="5BCCB391"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3(1) (</w:t>
      </w:r>
      <w:r>
        <w:rPr>
          <w:rFonts w:cs="Arial"/>
          <w:szCs w:val="18"/>
        </w:rPr>
        <w:t>‘</w:t>
      </w:r>
      <w:r w:rsidRPr="00E21B28">
        <w:rPr>
          <w:rFonts w:cs="Arial"/>
          <w:szCs w:val="18"/>
        </w:rPr>
        <w:t>tax</w:t>
      </w:r>
      <w:r>
        <w:rPr>
          <w:rFonts w:cs="Arial"/>
          <w:szCs w:val="18"/>
        </w:rPr>
        <w:t>’</w:t>
      </w:r>
      <w:r w:rsidRPr="00E21B28">
        <w:rPr>
          <w:rFonts w:cs="Arial"/>
          <w:szCs w:val="18"/>
        </w:rPr>
        <w:t>) of the TAA.</w:t>
      </w:r>
    </w:p>
  </w:footnote>
  <w:footnote w:id="7">
    <w:p w14:paraId="5711B284" w14:textId="77777777" w:rsidR="008E5102" w:rsidRPr="00E21B28" w:rsidRDefault="008E5102" w:rsidP="004D5550">
      <w:pPr>
        <w:pStyle w:val="FootnoteText"/>
        <w:jc w:val="both"/>
        <w:rPr>
          <w:rFonts w:cs="Arial"/>
          <w:szCs w:val="18"/>
        </w:rPr>
      </w:pPr>
      <w:r w:rsidRPr="00E21B28">
        <w:rPr>
          <w:rStyle w:val="FootnoteReference"/>
          <w:szCs w:val="18"/>
        </w:rPr>
        <w:footnoteRef/>
      </w:r>
      <w:r w:rsidRPr="00E21B28">
        <w:rPr>
          <w:rFonts w:cs="Arial"/>
          <w:szCs w:val="18"/>
        </w:rPr>
        <w:t xml:space="preserve"> See Commissioner’s Guideline </w:t>
      </w:r>
      <w:r w:rsidRPr="003D0945">
        <w:rPr>
          <w:rFonts w:cs="Arial"/>
          <w:szCs w:val="18"/>
        </w:rPr>
        <w:t>CG-SD-010</w:t>
      </w:r>
      <w:r w:rsidRPr="009E05CB">
        <w:rPr>
          <w:rFonts w:cs="Arial"/>
          <w:szCs w:val="18"/>
        </w:rPr>
        <w:t>:</w:t>
      </w:r>
      <w:r w:rsidRPr="00E21B28">
        <w:rPr>
          <w:rFonts w:cs="Arial"/>
          <w:szCs w:val="18"/>
        </w:rPr>
        <w:t xml:space="preserve"> </w:t>
      </w:r>
      <w:r w:rsidRPr="00E21B28">
        <w:rPr>
          <w:rFonts w:cs="Arial"/>
          <w:i/>
          <w:szCs w:val="18"/>
        </w:rPr>
        <w:t>Tax assessments requiring evidence of value</w:t>
      </w:r>
      <w:r w:rsidRPr="00E21B28">
        <w:rPr>
          <w:rFonts w:cs="Arial"/>
          <w:szCs w:val="18"/>
        </w:rPr>
        <w:t xml:space="preserve"> for further information on the recovery of valuation costs.</w:t>
      </w:r>
    </w:p>
  </w:footnote>
  <w:footnote w:id="8">
    <w:p w14:paraId="5CFA60EC"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34(2) of the TAA.</w:t>
      </w:r>
    </w:p>
  </w:footnote>
  <w:footnote w:id="9">
    <w:p w14:paraId="0C6517F4" w14:textId="0338E249" w:rsidR="008E5102" w:rsidRPr="00E21B28" w:rsidRDefault="008E5102" w:rsidP="004D5550">
      <w:pPr>
        <w:pStyle w:val="FootnoteText"/>
        <w:jc w:val="both"/>
        <w:rPr>
          <w:rFonts w:cs="Arial"/>
          <w:szCs w:val="18"/>
        </w:rPr>
      </w:pPr>
      <w:r w:rsidRPr="00E21B28">
        <w:rPr>
          <w:rStyle w:val="FootnoteReference"/>
          <w:szCs w:val="18"/>
        </w:rPr>
        <w:footnoteRef/>
      </w:r>
      <w:r w:rsidRPr="00E21B28">
        <w:rPr>
          <w:rFonts w:cs="Arial"/>
          <w:szCs w:val="18"/>
        </w:rPr>
        <w:t xml:space="preserve"> Section 35 of the TAA. </w:t>
      </w:r>
    </w:p>
  </w:footnote>
  <w:footnote w:id="10">
    <w:p w14:paraId="1D54936E"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34(3) of the TAA.</w:t>
      </w:r>
    </w:p>
  </w:footnote>
  <w:footnote w:id="11">
    <w:p w14:paraId="50A8A7BF"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36 of the TAA.</w:t>
      </w:r>
    </w:p>
  </w:footnote>
  <w:footnote w:id="12">
    <w:p w14:paraId="71381A7B"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38(1) of the TAA.</w:t>
      </w:r>
    </w:p>
  </w:footnote>
  <w:footnote w:id="13">
    <w:p w14:paraId="105CE78F"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38(2) of the TAA.</w:t>
      </w:r>
    </w:p>
  </w:footnote>
  <w:footnote w:id="14">
    <w:p w14:paraId="572C0AA0"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37 of the TAA.</w:t>
      </w:r>
    </w:p>
  </w:footnote>
  <w:footnote w:id="15">
    <w:p w14:paraId="4FA0865F"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39(1) of the TAA.</w:t>
      </w:r>
    </w:p>
  </w:footnote>
  <w:footnote w:id="16">
    <w:p w14:paraId="5C4FDA14"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41(2)(a) of the TAA.</w:t>
      </w:r>
    </w:p>
  </w:footnote>
  <w:footnote w:id="17">
    <w:p w14:paraId="7E6E1CDC"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41(2)(b) of the TAA.</w:t>
      </w:r>
    </w:p>
  </w:footnote>
  <w:footnote w:id="18">
    <w:p w14:paraId="61561DD4"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41(2)(c) of the TAA.</w:t>
      </w:r>
    </w:p>
  </w:footnote>
  <w:footnote w:id="19">
    <w:p w14:paraId="3FC33C3C" w14:textId="77777777" w:rsidR="008E5102" w:rsidRPr="00E21B28" w:rsidRDefault="008E5102" w:rsidP="004D5550">
      <w:pPr>
        <w:pStyle w:val="FootnoteText"/>
        <w:rPr>
          <w:rFonts w:cs="Arial"/>
          <w:szCs w:val="18"/>
        </w:rPr>
      </w:pPr>
      <w:r w:rsidRPr="00E21B28">
        <w:rPr>
          <w:rStyle w:val="FootnoteReference"/>
          <w:szCs w:val="18"/>
        </w:rPr>
        <w:footnoteRef/>
      </w:r>
      <w:r w:rsidRPr="00E21B28">
        <w:rPr>
          <w:rFonts w:cs="Arial"/>
          <w:szCs w:val="18"/>
        </w:rPr>
        <w:t xml:space="preserve"> Section 41(2)(c) of the TAA.</w:t>
      </w:r>
    </w:p>
  </w:footnote>
  <w:footnote w:id="20">
    <w:p w14:paraId="3FEAAB0E" w14:textId="77777777" w:rsidR="008E5102" w:rsidRPr="00693FA7" w:rsidRDefault="008E5102" w:rsidP="004D5550">
      <w:pPr>
        <w:pStyle w:val="FootnoteText"/>
        <w:rPr>
          <w:szCs w:val="18"/>
        </w:rPr>
      </w:pPr>
      <w:r w:rsidRPr="00693FA7">
        <w:rPr>
          <w:rStyle w:val="FootnoteReference"/>
          <w:szCs w:val="18"/>
        </w:rPr>
        <w:footnoteRef/>
      </w:r>
      <w:r w:rsidRPr="00693FA7">
        <w:rPr>
          <w:szCs w:val="18"/>
        </w:rPr>
        <w:t xml:space="preserve"> </w:t>
      </w:r>
      <w:r w:rsidRPr="00693FA7">
        <w:rPr>
          <w:rFonts w:cs="Arial"/>
          <w:szCs w:val="18"/>
        </w:rPr>
        <w:t>Section 44 of the TAA.</w:t>
      </w:r>
    </w:p>
  </w:footnote>
  <w:footnote w:id="21">
    <w:p w14:paraId="28B10916" w14:textId="77777777" w:rsidR="008E5102" w:rsidRDefault="008E5102" w:rsidP="004D5550">
      <w:pPr>
        <w:pStyle w:val="FootnoteText"/>
      </w:pPr>
      <w:r>
        <w:rPr>
          <w:rStyle w:val="FootnoteReference"/>
        </w:rPr>
        <w:footnoteRef/>
      </w:r>
      <w:r>
        <w:t xml:space="preserve"> </w:t>
      </w:r>
      <w:r w:rsidRPr="00E21B28">
        <w:rPr>
          <w:rFonts w:cs="Arial"/>
          <w:szCs w:val="18"/>
        </w:rPr>
        <w:t>Section 24 of the TAA.</w:t>
      </w:r>
    </w:p>
  </w:footnote>
  <w:footnote w:id="22">
    <w:p w14:paraId="2AB65208" w14:textId="77777777" w:rsidR="008E5102" w:rsidRDefault="008E5102" w:rsidP="004D5550">
      <w:pPr>
        <w:pStyle w:val="FootnoteText"/>
      </w:pPr>
      <w:r>
        <w:rPr>
          <w:rStyle w:val="FootnoteReference"/>
        </w:rPr>
        <w:footnoteRef/>
      </w:r>
      <w:r>
        <w:t xml:space="preserve"> </w:t>
      </w:r>
      <w:r w:rsidRPr="00E21B28">
        <w:rPr>
          <w:rFonts w:cs="Arial"/>
          <w:szCs w:val="18"/>
        </w:rPr>
        <w:t>Section 41(4) of the TAA.</w:t>
      </w:r>
    </w:p>
  </w:footnote>
  <w:footnote w:id="23">
    <w:p w14:paraId="2F75C9DC" w14:textId="77777777" w:rsidR="008E5102" w:rsidRDefault="008E5102" w:rsidP="004D5550">
      <w:pPr>
        <w:pStyle w:val="FootnoteText"/>
      </w:pPr>
      <w:r>
        <w:rPr>
          <w:rStyle w:val="FootnoteReference"/>
        </w:rPr>
        <w:footnoteRef/>
      </w:r>
      <w:r>
        <w:t xml:space="preserve"> </w:t>
      </w:r>
      <w:r w:rsidRPr="00E21B28">
        <w:rPr>
          <w:rFonts w:cs="Arial"/>
          <w:szCs w:val="18"/>
        </w:rPr>
        <w:t>See Part 8 of the TAA.</w:t>
      </w:r>
    </w:p>
  </w:footnote>
  <w:footnote w:id="24">
    <w:p w14:paraId="54CDC54D" w14:textId="77777777" w:rsidR="008E5102" w:rsidRDefault="008E5102" w:rsidP="004D5550">
      <w:pPr>
        <w:pStyle w:val="FootnoteText"/>
      </w:pPr>
      <w:r>
        <w:rPr>
          <w:rStyle w:val="FootnoteReference"/>
        </w:rPr>
        <w:footnoteRef/>
      </w:r>
      <w:r>
        <w:t xml:space="preserve"> </w:t>
      </w:r>
      <w:r w:rsidRPr="00E21B28">
        <w:rPr>
          <w:rFonts w:cs="Arial"/>
          <w:szCs w:val="18"/>
        </w:rPr>
        <w:t>Section 41(3)(a) of the TAA.</w:t>
      </w:r>
    </w:p>
  </w:footnote>
  <w:footnote w:id="25">
    <w:p w14:paraId="751706A4" w14:textId="77777777" w:rsidR="008E5102" w:rsidRPr="004D50C9" w:rsidRDefault="008E5102" w:rsidP="004D5550">
      <w:pPr>
        <w:pStyle w:val="FootnoteText"/>
        <w:rPr>
          <w:rFonts w:cs="Arial"/>
          <w:szCs w:val="18"/>
        </w:rPr>
      </w:pPr>
      <w:r>
        <w:rPr>
          <w:rStyle w:val="FootnoteReference"/>
        </w:rPr>
        <w:footnoteRef/>
      </w:r>
      <w:r>
        <w:t xml:space="preserve"> </w:t>
      </w:r>
      <w:r w:rsidRPr="00E21B28">
        <w:rPr>
          <w:rFonts w:cs="Arial"/>
          <w:szCs w:val="18"/>
        </w:rPr>
        <w:t>Section 41(3)(b) of the TAA.</w:t>
      </w:r>
    </w:p>
  </w:footnote>
  <w:footnote w:id="26">
    <w:p w14:paraId="0F66C275" w14:textId="77777777" w:rsidR="008E5102" w:rsidRDefault="008E5102" w:rsidP="004D5550">
      <w:pPr>
        <w:pStyle w:val="FootnoteText"/>
      </w:pPr>
      <w:r>
        <w:rPr>
          <w:rStyle w:val="FootnoteReference"/>
        </w:rPr>
        <w:footnoteRef/>
      </w:r>
      <w:r>
        <w:t xml:space="preserve"> </w:t>
      </w:r>
      <w:r w:rsidRPr="00E21B28">
        <w:rPr>
          <w:rFonts w:cs="Arial"/>
          <w:szCs w:val="18"/>
        </w:rPr>
        <w:t>Section 41(3) of the TAA.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0D6A" w14:textId="61E2EF13" w:rsidR="008E5102" w:rsidRPr="008E0345" w:rsidRDefault="007B1E55" w:rsidP="005A5A44">
    <w:pPr>
      <w:pStyle w:val="Header"/>
    </w:pPr>
    <w:sdt>
      <w:sdtPr>
        <w:alias w:val="Title"/>
        <w:tag w:val=""/>
        <w:id w:val="-477918894"/>
        <w:placeholder>
          <w:docPart w:val="564DC04D712F4AC98A1C7E0815DB47E5"/>
        </w:placeholder>
        <w:dataBinding w:prefixMappings="xmlns:ns0='http://purl.org/dc/elements/1.1/' xmlns:ns1='http://schemas.openxmlformats.org/package/2006/metadata/core-properties' " w:xpath="/ns1:coreProperties[1]/ns0:title[1]" w:storeItemID="{6C3C8BC8-F283-45AE-878A-BAB7291924A1}"/>
        <w:text/>
      </w:sdtPr>
      <w:sdtEndPr/>
      <w:sdtContent>
        <w:r w:rsidR="008E5102">
          <w:t>Commissioner’s Guideline: Interest and penalty tax</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D3FC3" w14:textId="77777777" w:rsidR="008E5102" w:rsidRPr="00BD0F38" w:rsidRDefault="008E5102" w:rsidP="00A32EFF">
    <w:pPr>
      <w:tabs>
        <w:tab w:val="right" w:pos="10318"/>
      </w:tabs>
    </w:pPr>
    <w:r w:rsidRPr="00BD0F38">
      <w:rPr>
        <w:noProof/>
        <w:lang w:eastAsia="en-AU"/>
      </w:rPr>
      <w:drawing>
        <wp:anchor distT="0" distB="0" distL="0" distR="0" simplePos="0" relativeHeight="251659264" behindDoc="0" locked="0" layoutInCell="1" allowOverlap="1" wp14:anchorId="353C3797" wp14:editId="622D6A9A">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6ED51" w14:textId="62B40E23" w:rsidR="008E5102" w:rsidRPr="004E7885" w:rsidRDefault="007B1E55" w:rsidP="004E7885">
    <w:pPr>
      <w:pStyle w:val="Header"/>
    </w:pPr>
    <w:sdt>
      <w:sdtPr>
        <w:alias w:val="Title"/>
        <w:tag w:val="Title"/>
        <w:id w:val="94911156"/>
        <w:lock w:val="sdtLocked"/>
        <w:placeholder>
          <w:docPart w:val="564DC04D712F4AC98A1C7E0815DB47E5"/>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8E5102">
          <w:t>Commissioner’s Guideline: Interest and penalty tax</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DA40" w14:textId="77777777" w:rsidR="008E5102" w:rsidRPr="00274F1C" w:rsidRDefault="008E510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0CF0BD3A66C04F9EBCAA7B3767211A4A"/>
      </w:placeholder>
      <w:dataBinding w:prefixMappings="xmlns:ns0='http://purl.org/dc/elements/1.1/' xmlns:ns1='http://schemas.openxmlformats.org/package/2006/metadata/core-properties' " w:xpath="/ns1:coreProperties[1]/ns0:title[1]" w:storeItemID="{6C3C8BC8-F283-45AE-878A-BAB7291924A1}"/>
      <w:text/>
    </w:sdtPr>
    <w:sdtEndPr/>
    <w:sdtContent>
      <w:p w14:paraId="30835F34" w14:textId="3B73FCE9" w:rsidR="008E5102" w:rsidRPr="00964B22" w:rsidRDefault="008E5102" w:rsidP="008E0345">
        <w:pPr>
          <w:pStyle w:val="Header"/>
          <w:rPr>
            <w:b/>
          </w:rPr>
        </w:pPr>
        <w:r>
          <w:t>Commissioner’s Guideline: Interest and penalty tax</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E1"/>
    <w:multiLevelType w:val="multilevel"/>
    <w:tmpl w:val="B43C14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CE7EA8"/>
    <w:multiLevelType w:val="hybridMultilevel"/>
    <w:tmpl w:val="9F6A244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0FEB5F75"/>
    <w:multiLevelType w:val="multilevel"/>
    <w:tmpl w:val="BEDA2F1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0EC6218"/>
    <w:multiLevelType w:val="hybridMultilevel"/>
    <w:tmpl w:val="EAB4BDB6"/>
    <w:lvl w:ilvl="0" w:tplc="E4C263D2">
      <w:start w:val="1"/>
      <w:numFmt w:val="lowerLetter"/>
      <w:lvlText w:val="%1)"/>
      <w:lvlJc w:val="left"/>
      <w:pPr>
        <w:ind w:left="1004" w:hanging="360"/>
      </w:pPr>
      <w:rPr>
        <w:rFonts w:eastAsiaTheme="minorEastAsia"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15E93577"/>
    <w:multiLevelType w:val="multilevel"/>
    <w:tmpl w:val="4E6AC8F6"/>
    <w:name w:val="NTG Table Bullet List33222222"/>
    <w:numStyleLink w:val="Numberlist"/>
  </w:abstractNum>
  <w:abstractNum w:abstractNumId="13"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D26C06"/>
    <w:multiLevelType w:val="multilevel"/>
    <w:tmpl w:val="3E5E177A"/>
    <w:name w:val="NTG Table Bullet List33222222222222222"/>
    <w:numStyleLink w:val="Tablenumberlist"/>
  </w:abstractNum>
  <w:abstractNum w:abstractNumId="16" w15:restartNumberingAfterBreak="0">
    <w:nsid w:val="19533A06"/>
    <w:multiLevelType w:val="multilevel"/>
    <w:tmpl w:val="3928FD02"/>
    <w:name w:val="NTG Table Bullet List3222"/>
    <w:numStyleLink w:val="Bulletlist"/>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AC24B81"/>
    <w:multiLevelType w:val="hybridMultilevel"/>
    <w:tmpl w:val="22822422"/>
    <w:lvl w:ilvl="0" w:tplc="9184EDD8">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1B26429D"/>
    <w:multiLevelType w:val="multilevel"/>
    <w:tmpl w:val="3E5E177A"/>
    <w:name w:val="NTG Table Bullet List33222222222"/>
    <w:numStyleLink w:val="Tablenumberlist"/>
  </w:abstractNum>
  <w:abstractNum w:abstractNumId="20"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D0744AE"/>
    <w:multiLevelType w:val="multilevel"/>
    <w:tmpl w:val="3E5E177A"/>
    <w:name w:val="NTG Table Bullet List3222322"/>
    <w:numStyleLink w:val="Tablenumberlist"/>
  </w:abstractNum>
  <w:abstractNum w:abstractNumId="23"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272E3F76"/>
    <w:multiLevelType w:val="multilevel"/>
    <w:tmpl w:val="3E5E177A"/>
    <w:name w:val="NTG Table Bullet List3322"/>
    <w:numStyleLink w:val="Tablenumberlist"/>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8E3536A"/>
    <w:multiLevelType w:val="hybridMultilevel"/>
    <w:tmpl w:val="015A326C"/>
    <w:lvl w:ilvl="0" w:tplc="E8F6DDA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2A1520E7"/>
    <w:multiLevelType w:val="multilevel"/>
    <w:tmpl w:val="4E6AC8F6"/>
    <w:numStyleLink w:val="Numberlist"/>
  </w:abstractNum>
  <w:abstractNum w:abstractNumId="31" w15:restartNumberingAfterBreak="0">
    <w:nsid w:val="2B5B6B4D"/>
    <w:multiLevelType w:val="multilevel"/>
    <w:tmpl w:val="617A032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3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3"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693641"/>
    <w:multiLevelType w:val="multilevel"/>
    <w:tmpl w:val="3E5E177A"/>
    <w:name w:val="NTG Table Bullet List33"/>
    <w:numStyleLink w:val="Tablenumberlist"/>
  </w:abstractNum>
  <w:abstractNum w:abstractNumId="35" w15:restartNumberingAfterBreak="0">
    <w:nsid w:val="2EF077BC"/>
    <w:multiLevelType w:val="multilevel"/>
    <w:tmpl w:val="0C78A7AC"/>
    <w:name w:val="NTG Table Bullet List33222222222222222222"/>
    <w:numStyleLink w:val="Tablebulletlist"/>
  </w:abstractNum>
  <w:abstractNum w:abstractNumId="36" w15:restartNumberingAfterBreak="0">
    <w:nsid w:val="2F8964FA"/>
    <w:multiLevelType w:val="hybridMultilevel"/>
    <w:tmpl w:val="9986524C"/>
    <w:lvl w:ilvl="0" w:tplc="C9FEA0B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310F42D7"/>
    <w:multiLevelType w:val="hybridMultilevel"/>
    <w:tmpl w:val="1B6200A0"/>
    <w:lvl w:ilvl="0" w:tplc="B5C035A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9" w15:restartNumberingAfterBreak="0">
    <w:nsid w:val="32DF44DA"/>
    <w:multiLevelType w:val="multilevel"/>
    <w:tmpl w:val="3E5E177A"/>
    <w:name w:val="NTG Table Bullet List3222323"/>
    <w:numStyleLink w:val="Tablenumberlist"/>
  </w:abstractNum>
  <w:abstractNum w:abstractNumId="4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C40746"/>
    <w:multiLevelType w:val="hybridMultilevel"/>
    <w:tmpl w:val="B860F4E4"/>
    <w:lvl w:ilvl="0" w:tplc="0C09001B">
      <w:start w:val="1"/>
      <w:numFmt w:val="lowerRoman"/>
      <w:lvlText w:val="%1."/>
      <w:lvlJc w:val="right"/>
      <w:pPr>
        <w:ind w:left="2008" w:hanging="360"/>
      </w:pPr>
    </w:lvl>
    <w:lvl w:ilvl="1" w:tplc="0C090019" w:tentative="1">
      <w:start w:val="1"/>
      <w:numFmt w:val="lowerLetter"/>
      <w:lvlText w:val="%2."/>
      <w:lvlJc w:val="left"/>
      <w:pPr>
        <w:ind w:left="2728" w:hanging="360"/>
      </w:pPr>
    </w:lvl>
    <w:lvl w:ilvl="2" w:tplc="0C09001B" w:tentative="1">
      <w:start w:val="1"/>
      <w:numFmt w:val="lowerRoman"/>
      <w:lvlText w:val="%3."/>
      <w:lvlJc w:val="right"/>
      <w:pPr>
        <w:ind w:left="3448" w:hanging="180"/>
      </w:pPr>
    </w:lvl>
    <w:lvl w:ilvl="3" w:tplc="0C09000F" w:tentative="1">
      <w:start w:val="1"/>
      <w:numFmt w:val="decimal"/>
      <w:lvlText w:val="%4."/>
      <w:lvlJc w:val="left"/>
      <w:pPr>
        <w:ind w:left="4168" w:hanging="360"/>
      </w:pPr>
    </w:lvl>
    <w:lvl w:ilvl="4" w:tplc="0C090019" w:tentative="1">
      <w:start w:val="1"/>
      <w:numFmt w:val="lowerLetter"/>
      <w:lvlText w:val="%5."/>
      <w:lvlJc w:val="left"/>
      <w:pPr>
        <w:ind w:left="4888" w:hanging="360"/>
      </w:pPr>
    </w:lvl>
    <w:lvl w:ilvl="5" w:tplc="0C09001B" w:tentative="1">
      <w:start w:val="1"/>
      <w:numFmt w:val="lowerRoman"/>
      <w:lvlText w:val="%6."/>
      <w:lvlJc w:val="right"/>
      <w:pPr>
        <w:ind w:left="5608" w:hanging="180"/>
      </w:pPr>
    </w:lvl>
    <w:lvl w:ilvl="6" w:tplc="0C09000F" w:tentative="1">
      <w:start w:val="1"/>
      <w:numFmt w:val="decimal"/>
      <w:lvlText w:val="%7."/>
      <w:lvlJc w:val="left"/>
      <w:pPr>
        <w:ind w:left="6328" w:hanging="360"/>
      </w:pPr>
    </w:lvl>
    <w:lvl w:ilvl="7" w:tplc="0C090019" w:tentative="1">
      <w:start w:val="1"/>
      <w:numFmt w:val="lowerLetter"/>
      <w:lvlText w:val="%8."/>
      <w:lvlJc w:val="left"/>
      <w:pPr>
        <w:ind w:left="7048" w:hanging="360"/>
      </w:pPr>
    </w:lvl>
    <w:lvl w:ilvl="8" w:tplc="0C09001B" w:tentative="1">
      <w:start w:val="1"/>
      <w:numFmt w:val="lowerRoman"/>
      <w:lvlText w:val="%9."/>
      <w:lvlJc w:val="right"/>
      <w:pPr>
        <w:ind w:left="7768" w:hanging="180"/>
      </w:pPr>
    </w:lvl>
  </w:abstractNum>
  <w:abstractNum w:abstractNumId="4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39B518C6"/>
    <w:multiLevelType w:val="multilevel"/>
    <w:tmpl w:val="3BE064F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46" w15:restartNumberingAfterBreak="0">
    <w:nsid w:val="3BE61945"/>
    <w:multiLevelType w:val="multilevel"/>
    <w:tmpl w:val="3928FD02"/>
    <w:name w:val="NTG Table Bullet List332222222222222222"/>
    <w:numStyleLink w:val="Bulletlist"/>
  </w:abstractNum>
  <w:abstractNum w:abstractNumId="47" w15:restartNumberingAfterBreak="0">
    <w:nsid w:val="400676E3"/>
    <w:multiLevelType w:val="multilevel"/>
    <w:tmpl w:val="FD1CD746"/>
    <w:numStyleLink w:val="Numberedlist"/>
  </w:abstractNum>
  <w:abstractNum w:abstractNumId="4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48E82620"/>
    <w:multiLevelType w:val="multilevel"/>
    <w:tmpl w:val="BB1CC0F2"/>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52" w15:restartNumberingAfterBreak="0">
    <w:nsid w:val="49FD3A20"/>
    <w:multiLevelType w:val="multilevel"/>
    <w:tmpl w:val="3E5E177A"/>
    <w:name w:val="NTG Table Bullet List3322222222222"/>
    <w:numStyleLink w:val="Tablenumberlist"/>
  </w:abstractNum>
  <w:abstractNum w:abstractNumId="5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2CB786D"/>
    <w:multiLevelType w:val="multilevel"/>
    <w:tmpl w:val="FD1CD746"/>
    <w:numStyleLink w:val="Numberedlist"/>
  </w:abstractNum>
  <w:abstractNum w:abstractNumId="58" w15:restartNumberingAfterBreak="0">
    <w:nsid w:val="53842BC6"/>
    <w:multiLevelType w:val="multilevel"/>
    <w:tmpl w:val="0C78A7AC"/>
    <w:numStyleLink w:val="Tablebulletlist"/>
  </w:abstractNum>
  <w:abstractNum w:abstractNumId="59" w15:restartNumberingAfterBreak="0">
    <w:nsid w:val="53C61D35"/>
    <w:multiLevelType w:val="multilevel"/>
    <w:tmpl w:val="83245F4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56DA2CAE"/>
    <w:multiLevelType w:val="multilevel"/>
    <w:tmpl w:val="3E5E177A"/>
    <w:name w:val="NTG Table Bullet List332222222222222"/>
    <w:numStyleLink w:val="Tablenumberlist"/>
  </w:abstractNum>
  <w:abstractNum w:abstractNumId="63" w15:restartNumberingAfterBreak="0">
    <w:nsid w:val="583359D9"/>
    <w:multiLevelType w:val="multilevel"/>
    <w:tmpl w:val="3E5E177A"/>
    <w:name w:val="NTG Table Bullet List332222222"/>
    <w:numStyleLink w:val="Tablenumberlist"/>
  </w:abstractNum>
  <w:abstractNum w:abstractNumId="6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8E21323"/>
    <w:multiLevelType w:val="multilevel"/>
    <w:tmpl w:val="4E6AC8F6"/>
    <w:numStyleLink w:val="Numberlist"/>
  </w:abstractNum>
  <w:abstractNum w:abstractNumId="67"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B185E3F"/>
    <w:multiLevelType w:val="multilevel"/>
    <w:tmpl w:val="A908138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9" w15:restartNumberingAfterBreak="0">
    <w:nsid w:val="5B9A5FFE"/>
    <w:multiLevelType w:val="multilevel"/>
    <w:tmpl w:val="0C78A7AC"/>
    <w:name w:val="NTG Table Bullet List33222222222222"/>
    <w:numStyleLink w:val="Tablebulletlist"/>
  </w:abstractNum>
  <w:abstractNum w:abstractNumId="70" w15:restartNumberingAfterBreak="0">
    <w:nsid w:val="5D444259"/>
    <w:multiLevelType w:val="multilevel"/>
    <w:tmpl w:val="0C78A7AC"/>
    <w:name w:val="NTG Table Bullet List332222"/>
    <w:numStyleLink w:val="Tablebulletlist"/>
  </w:abstractNum>
  <w:abstractNum w:abstractNumId="71" w15:restartNumberingAfterBreak="0">
    <w:nsid w:val="5D775F6E"/>
    <w:multiLevelType w:val="multilevel"/>
    <w:tmpl w:val="94A4D9F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72" w15:restartNumberingAfterBreak="0">
    <w:nsid w:val="620D533C"/>
    <w:multiLevelType w:val="hybridMultilevel"/>
    <w:tmpl w:val="C2608182"/>
    <w:lvl w:ilvl="0" w:tplc="67B28C2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3"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5"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7" w15:restartNumberingAfterBreak="0">
    <w:nsid w:val="69262556"/>
    <w:multiLevelType w:val="multilevel"/>
    <w:tmpl w:val="3E5E177A"/>
    <w:name w:val="NTG Table Bullet List3322222222222222"/>
    <w:numStyleLink w:val="Tablenumberlist"/>
  </w:abstractNum>
  <w:abstractNum w:abstractNumId="78" w15:restartNumberingAfterBreak="0">
    <w:nsid w:val="6BD75986"/>
    <w:multiLevelType w:val="multilevel"/>
    <w:tmpl w:val="8B8E47E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79" w15:restartNumberingAfterBreak="0">
    <w:nsid w:val="6D441B38"/>
    <w:multiLevelType w:val="multilevel"/>
    <w:tmpl w:val="7D06AC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716455C4"/>
    <w:multiLevelType w:val="hybridMultilevel"/>
    <w:tmpl w:val="046AD784"/>
    <w:lvl w:ilvl="0" w:tplc="0C09001B">
      <w:start w:val="1"/>
      <w:numFmt w:val="lowerRoman"/>
      <w:lvlText w:val="%1."/>
      <w:lvlJc w:val="right"/>
      <w:pPr>
        <w:ind w:left="1988" w:hanging="360"/>
      </w:pPr>
    </w:lvl>
    <w:lvl w:ilvl="1" w:tplc="0C090019" w:tentative="1">
      <w:start w:val="1"/>
      <w:numFmt w:val="lowerLetter"/>
      <w:lvlText w:val="%2."/>
      <w:lvlJc w:val="left"/>
      <w:pPr>
        <w:ind w:left="2708" w:hanging="360"/>
      </w:pPr>
    </w:lvl>
    <w:lvl w:ilvl="2" w:tplc="0C09001B" w:tentative="1">
      <w:start w:val="1"/>
      <w:numFmt w:val="lowerRoman"/>
      <w:lvlText w:val="%3."/>
      <w:lvlJc w:val="right"/>
      <w:pPr>
        <w:ind w:left="3428" w:hanging="180"/>
      </w:pPr>
    </w:lvl>
    <w:lvl w:ilvl="3" w:tplc="0C09000F" w:tentative="1">
      <w:start w:val="1"/>
      <w:numFmt w:val="decimal"/>
      <w:lvlText w:val="%4."/>
      <w:lvlJc w:val="left"/>
      <w:pPr>
        <w:ind w:left="4148" w:hanging="360"/>
      </w:pPr>
    </w:lvl>
    <w:lvl w:ilvl="4" w:tplc="0C090019" w:tentative="1">
      <w:start w:val="1"/>
      <w:numFmt w:val="lowerLetter"/>
      <w:lvlText w:val="%5."/>
      <w:lvlJc w:val="left"/>
      <w:pPr>
        <w:ind w:left="4868" w:hanging="360"/>
      </w:pPr>
    </w:lvl>
    <w:lvl w:ilvl="5" w:tplc="0C09001B" w:tentative="1">
      <w:start w:val="1"/>
      <w:numFmt w:val="lowerRoman"/>
      <w:lvlText w:val="%6."/>
      <w:lvlJc w:val="right"/>
      <w:pPr>
        <w:ind w:left="5588" w:hanging="180"/>
      </w:pPr>
    </w:lvl>
    <w:lvl w:ilvl="6" w:tplc="0C09000F" w:tentative="1">
      <w:start w:val="1"/>
      <w:numFmt w:val="decimal"/>
      <w:lvlText w:val="%7."/>
      <w:lvlJc w:val="left"/>
      <w:pPr>
        <w:ind w:left="6308" w:hanging="360"/>
      </w:pPr>
    </w:lvl>
    <w:lvl w:ilvl="7" w:tplc="0C090019" w:tentative="1">
      <w:start w:val="1"/>
      <w:numFmt w:val="lowerLetter"/>
      <w:lvlText w:val="%8."/>
      <w:lvlJc w:val="left"/>
      <w:pPr>
        <w:ind w:left="7028" w:hanging="360"/>
      </w:pPr>
    </w:lvl>
    <w:lvl w:ilvl="8" w:tplc="0C09001B" w:tentative="1">
      <w:start w:val="1"/>
      <w:numFmt w:val="lowerRoman"/>
      <w:lvlText w:val="%9."/>
      <w:lvlJc w:val="right"/>
      <w:pPr>
        <w:ind w:left="7748" w:hanging="180"/>
      </w:pPr>
    </w:lvl>
  </w:abstractNum>
  <w:abstractNum w:abstractNumId="81" w15:restartNumberingAfterBreak="0">
    <w:nsid w:val="7453664D"/>
    <w:multiLevelType w:val="multilevel"/>
    <w:tmpl w:val="0C78A7AC"/>
    <w:name w:val="NTG Table Bullet List3322222222222222222"/>
    <w:numStyleLink w:val="Tablebulletlist"/>
  </w:abstractNum>
  <w:abstractNum w:abstractNumId="82" w15:restartNumberingAfterBreak="0">
    <w:nsid w:val="758B2269"/>
    <w:multiLevelType w:val="multilevel"/>
    <w:tmpl w:val="A1388A1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83" w15:restartNumberingAfterBreak="0">
    <w:nsid w:val="76141D1E"/>
    <w:multiLevelType w:val="multilevel"/>
    <w:tmpl w:val="0C78A7AC"/>
    <w:name w:val="NTG Table Bullet List332222222222"/>
    <w:numStyleLink w:val="Tablebulletlist"/>
  </w:abstractNum>
  <w:abstractNum w:abstractNumId="84" w15:restartNumberingAfterBreak="0">
    <w:nsid w:val="765A32D4"/>
    <w:multiLevelType w:val="multilevel"/>
    <w:tmpl w:val="4E6AC8F6"/>
    <w:numStyleLink w:val="Numberlist"/>
  </w:abstractNum>
  <w:abstractNum w:abstractNumId="8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8" w15:restartNumberingAfterBreak="0">
    <w:nsid w:val="7BC75242"/>
    <w:multiLevelType w:val="hybridMultilevel"/>
    <w:tmpl w:val="044C23A4"/>
    <w:lvl w:ilvl="0" w:tplc="2FBA4A84">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40"/>
  </w:num>
  <w:num w:numId="2">
    <w:abstractNumId w:val="25"/>
  </w:num>
  <w:num w:numId="3">
    <w:abstractNumId w:val="87"/>
  </w:num>
  <w:num w:numId="4">
    <w:abstractNumId w:val="53"/>
  </w:num>
  <w:num w:numId="5">
    <w:abstractNumId w:val="32"/>
  </w:num>
  <w:num w:numId="6">
    <w:abstractNumId w:val="17"/>
  </w:num>
  <w:num w:numId="7">
    <w:abstractNumId w:val="58"/>
  </w:num>
  <w:num w:numId="8">
    <w:abstractNumId w:val="28"/>
  </w:num>
  <w:num w:numId="9">
    <w:abstractNumId w:val="66"/>
  </w:num>
  <w:num w:numId="10">
    <w:abstractNumId w:val="24"/>
  </w:num>
  <w:num w:numId="11">
    <w:abstractNumId w:val="75"/>
  </w:num>
  <w:num w:numId="12">
    <w:abstractNumId w:val="20"/>
  </w:num>
  <w:num w:numId="13">
    <w:abstractNumId w:val="2"/>
  </w:num>
  <w:num w:numId="14">
    <w:abstractNumId w:val="73"/>
  </w:num>
  <w:num w:numId="15">
    <w:abstractNumId w:val="30"/>
  </w:num>
  <w:num w:numId="16">
    <w:abstractNumId w:val="74"/>
  </w:num>
  <w:num w:numId="17">
    <w:abstractNumId w:val="84"/>
  </w:num>
  <w:num w:numId="18">
    <w:abstractNumId w:val="65"/>
  </w:num>
  <w:num w:numId="19">
    <w:abstractNumId w:val="56"/>
  </w:num>
  <w:num w:numId="20">
    <w:abstractNumId w:val="61"/>
  </w:num>
  <w:num w:numId="21">
    <w:abstractNumId w:val="48"/>
  </w:num>
  <w:num w:numId="22">
    <w:abstractNumId w:val="64"/>
  </w:num>
  <w:num w:numId="23">
    <w:abstractNumId w:val="55"/>
  </w:num>
  <w:num w:numId="24">
    <w:abstractNumId w:val="50"/>
  </w:num>
  <w:num w:numId="25">
    <w:abstractNumId w:val="44"/>
  </w:num>
  <w:num w:numId="26">
    <w:abstractNumId w:val="14"/>
  </w:num>
  <w:num w:numId="27">
    <w:abstractNumId w:val="85"/>
  </w:num>
  <w:num w:numId="28">
    <w:abstractNumId w:val="43"/>
  </w:num>
  <w:num w:numId="29">
    <w:abstractNumId w:val="33"/>
  </w:num>
  <w:num w:numId="30">
    <w:abstractNumId w:val="1"/>
  </w:num>
  <w:num w:numId="31">
    <w:abstractNumId w:val="49"/>
  </w:num>
  <w:num w:numId="32">
    <w:abstractNumId w:val="13"/>
  </w:num>
  <w:num w:numId="33">
    <w:abstractNumId w:val="76"/>
  </w:num>
  <w:num w:numId="34">
    <w:abstractNumId w:val="38"/>
  </w:num>
  <w:num w:numId="35">
    <w:abstractNumId w:val="86"/>
  </w:num>
  <w:num w:numId="36">
    <w:abstractNumId w:val="67"/>
  </w:num>
  <w:num w:numId="37">
    <w:abstractNumId w:val="5"/>
  </w:num>
  <w:num w:numId="38">
    <w:abstractNumId w:val="41"/>
  </w:num>
  <w:num w:numId="39">
    <w:abstractNumId w:val="57"/>
  </w:num>
  <w:num w:numId="40">
    <w:abstractNumId w:val="47"/>
  </w:num>
  <w:num w:numId="41">
    <w:abstractNumId w:val="3"/>
  </w:num>
  <w:num w:numId="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lvl w:ilvl="0">
        <w:start w:val="1"/>
        <w:numFmt w:val="decimal"/>
        <w:lvlText w:val="%1."/>
        <w:lvlJc w:val="left"/>
        <w:pPr>
          <w:ind w:left="1647" w:hanging="360"/>
        </w:pPr>
      </w:lvl>
    </w:lvlOverride>
    <w:lvlOverride w:ilvl="1">
      <w:lvl w:ilvl="1">
        <w:start w:val="1"/>
        <w:numFmt w:val="lowerLetter"/>
        <w:lvlText w:val="%2."/>
        <w:lvlJc w:val="left"/>
        <w:pPr>
          <w:ind w:left="2367" w:hanging="360"/>
        </w:pPr>
      </w:lvl>
    </w:lvlOverride>
    <w:lvlOverride w:ilvl="2">
      <w:lvl w:ilvl="2" w:tentative="1">
        <w:start w:val="1"/>
        <w:numFmt w:val="lowerRoman"/>
        <w:lvlText w:val="%3."/>
        <w:lvlJc w:val="right"/>
        <w:pPr>
          <w:ind w:left="3087" w:hanging="180"/>
        </w:pPr>
      </w:lvl>
    </w:lvlOverride>
    <w:lvlOverride w:ilvl="3">
      <w:lvl w:ilvl="3" w:tentative="1">
        <w:start w:val="1"/>
        <w:numFmt w:val="decimal"/>
        <w:lvlText w:val="%4."/>
        <w:lvlJc w:val="left"/>
        <w:pPr>
          <w:ind w:left="3807" w:hanging="360"/>
        </w:pPr>
      </w:lvl>
    </w:lvlOverride>
    <w:lvlOverride w:ilvl="4">
      <w:lvl w:ilvl="4" w:tentative="1">
        <w:start w:val="1"/>
        <w:numFmt w:val="lowerLetter"/>
        <w:lvlText w:val="%5."/>
        <w:lvlJc w:val="left"/>
        <w:pPr>
          <w:ind w:left="4527" w:hanging="360"/>
        </w:pPr>
      </w:lvl>
    </w:lvlOverride>
    <w:lvlOverride w:ilvl="5">
      <w:lvl w:ilvl="5" w:tentative="1">
        <w:start w:val="1"/>
        <w:numFmt w:val="lowerRoman"/>
        <w:lvlText w:val="%6."/>
        <w:lvlJc w:val="right"/>
        <w:pPr>
          <w:ind w:left="5247" w:hanging="180"/>
        </w:pPr>
      </w:lvl>
    </w:lvlOverride>
    <w:lvlOverride w:ilvl="6">
      <w:lvl w:ilvl="6" w:tentative="1">
        <w:start w:val="1"/>
        <w:numFmt w:val="decimal"/>
        <w:lvlText w:val="%7."/>
        <w:lvlJc w:val="left"/>
        <w:pPr>
          <w:ind w:left="5967" w:hanging="360"/>
        </w:pPr>
      </w:lvl>
    </w:lvlOverride>
    <w:lvlOverride w:ilvl="7">
      <w:lvl w:ilvl="7" w:tentative="1">
        <w:start w:val="1"/>
        <w:numFmt w:val="lowerLetter"/>
        <w:lvlText w:val="%8."/>
        <w:lvlJc w:val="left"/>
        <w:pPr>
          <w:ind w:left="6687" w:hanging="360"/>
        </w:pPr>
      </w:lvl>
    </w:lvlOverride>
    <w:lvlOverride w:ilvl="8">
      <w:lvl w:ilvl="8" w:tentative="1">
        <w:start w:val="1"/>
        <w:numFmt w:val="lowerRoman"/>
        <w:lvlText w:val="%9."/>
        <w:lvlJc w:val="right"/>
        <w:pPr>
          <w:ind w:left="7407" w:hanging="180"/>
        </w:pPr>
      </w:lvl>
    </w:lvlOverride>
  </w:num>
  <w:num w:numId="44">
    <w:abstractNumId w:val="79"/>
  </w:num>
  <w:num w:numId="45">
    <w:abstractNumId w:val="78"/>
  </w:num>
  <w:num w:numId="46">
    <w:abstractNumId w:val="23"/>
  </w:num>
  <w:num w:numId="47">
    <w:abstractNumId w:val="68"/>
  </w:num>
  <w:num w:numId="48">
    <w:abstractNumId w:val="71"/>
  </w:num>
  <w:num w:numId="49">
    <w:abstractNumId w:val="6"/>
  </w:num>
  <w:num w:numId="50">
    <w:abstractNumId w:val="59"/>
  </w:num>
  <w:num w:numId="51">
    <w:abstractNumId w:val="45"/>
  </w:num>
  <w:num w:numId="52">
    <w:abstractNumId w:val="31"/>
  </w:num>
  <w:num w:numId="53">
    <w:abstractNumId w:val="8"/>
  </w:num>
  <w:num w:numId="54">
    <w:abstractNumId w:val="82"/>
  </w:num>
  <w:num w:numId="55">
    <w:abstractNumId w:val="51"/>
  </w:num>
  <w:num w:numId="56">
    <w:abstractNumId w:val="0"/>
  </w:num>
  <w:num w:numId="57">
    <w:abstractNumId w:val="72"/>
  </w:num>
  <w:num w:numId="58">
    <w:abstractNumId w:val="42"/>
  </w:num>
  <w:num w:numId="59">
    <w:abstractNumId w:val="80"/>
  </w:num>
  <w:num w:numId="60">
    <w:abstractNumId w:val="36"/>
  </w:num>
  <w:num w:numId="61">
    <w:abstractNumId w:val="37"/>
  </w:num>
  <w:num w:numId="62">
    <w:abstractNumId w:val="18"/>
  </w:num>
  <w:num w:numId="63">
    <w:abstractNumId w:val="11"/>
  </w:num>
  <w:num w:numId="64">
    <w:abstractNumId w:val="29"/>
  </w:num>
  <w:num w:numId="65">
    <w:abstractNumId w:val="8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50"/>
    <w:rsid w:val="00001DDF"/>
    <w:rsid w:val="0000322D"/>
    <w:rsid w:val="00007670"/>
    <w:rsid w:val="00010665"/>
    <w:rsid w:val="000238B4"/>
    <w:rsid w:val="0002393A"/>
    <w:rsid w:val="00025FF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C3664"/>
    <w:rsid w:val="000C5B02"/>
    <w:rsid w:val="000D1F29"/>
    <w:rsid w:val="000D633D"/>
    <w:rsid w:val="000E0962"/>
    <w:rsid w:val="000E342B"/>
    <w:rsid w:val="000E38F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C551C"/>
    <w:rsid w:val="001D01C4"/>
    <w:rsid w:val="001D52B0"/>
    <w:rsid w:val="001D5A18"/>
    <w:rsid w:val="001D7CA4"/>
    <w:rsid w:val="001E057F"/>
    <w:rsid w:val="001E14EB"/>
    <w:rsid w:val="001E1D4D"/>
    <w:rsid w:val="001F2DE9"/>
    <w:rsid w:val="001F59E6"/>
    <w:rsid w:val="00202014"/>
    <w:rsid w:val="00206936"/>
    <w:rsid w:val="00206C6F"/>
    <w:rsid w:val="00206FBD"/>
    <w:rsid w:val="00207746"/>
    <w:rsid w:val="00221220"/>
    <w:rsid w:val="00230031"/>
    <w:rsid w:val="00235C01"/>
    <w:rsid w:val="00236878"/>
    <w:rsid w:val="00247343"/>
    <w:rsid w:val="00247538"/>
    <w:rsid w:val="00261650"/>
    <w:rsid w:val="00264C90"/>
    <w:rsid w:val="00265C56"/>
    <w:rsid w:val="002716CD"/>
    <w:rsid w:val="0027223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36328"/>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B6E52"/>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4C"/>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D5550"/>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E144D"/>
    <w:rsid w:val="005E1500"/>
    <w:rsid w:val="005E3A43"/>
    <w:rsid w:val="005E51A4"/>
    <w:rsid w:val="005F77C7"/>
    <w:rsid w:val="00601F5D"/>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D1ADA"/>
    <w:rsid w:val="006D66F7"/>
    <w:rsid w:val="006E2EF5"/>
    <w:rsid w:val="006E3B5D"/>
    <w:rsid w:val="006F7F30"/>
    <w:rsid w:val="00702D61"/>
    <w:rsid w:val="00705C9D"/>
    <w:rsid w:val="00705F13"/>
    <w:rsid w:val="00714F1D"/>
    <w:rsid w:val="00715225"/>
    <w:rsid w:val="00717C37"/>
    <w:rsid w:val="00720CC6"/>
    <w:rsid w:val="00722DDB"/>
    <w:rsid w:val="00724728"/>
    <w:rsid w:val="00724F98"/>
    <w:rsid w:val="00730B9B"/>
    <w:rsid w:val="0073182E"/>
    <w:rsid w:val="007332FF"/>
    <w:rsid w:val="0074041C"/>
    <w:rsid w:val="007408F5"/>
    <w:rsid w:val="00741EAE"/>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1E55"/>
    <w:rsid w:val="007B59D3"/>
    <w:rsid w:val="007B5C09"/>
    <w:rsid w:val="007B5DA2"/>
    <w:rsid w:val="007C0966"/>
    <w:rsid w:val="007C19E7"/>
    <w:rsid w:val="007C34F9"/>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20FF"/>
    <w:rsid w:val="008A51A3"/>
    <w:rsid w:val="008A7C12"/>
    <w:rsid w:val="008B03CE"/>
    <w:rsid w:val="008B3DA1"/>
    <w:rsid w:val="008B529E"/>
    <w:rsid w:val="008C17FB"/>
    <w:rsid w:val="008D1B00"/>
    <w:rsid w:val="008D57B8"/>
    <w:rsid w:val="008E0345"/>
    <w:rsid w:val="008E03FC"/>
    <w:rsid w:val="008E5102"/>
    <w:rsid w:val="008E510B"/>
    <w:rsid w:val="00902B13"/>
    <w:rsid w:val="00911941"/>
    <w:rsid w:val="009138A0"/>
    <w:rsid w:val="00925F0F"/>
    <w:rsid w:val="00930C91"/>
    <w:rsid w:val="00932F6B"/>
    <w:rsid w:val="009436FF"/>
    <w:rsid w:val="009468BC"/>
    <w:rsid w:val="009616DF"/>
    <w:rsid w:val="00964B22"/>
    <w:rsid w:val="0096542F"/>
    <w:rsid w:val="00966B57"/>
    <w:rsid w:val="00967FA7"/>
    <w:rsid w:val="00971645"/>
    <w:rsid w:val="009760C9"/>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15DB4"/>
    <w:rsid w:val="00A22C38"/>
    <w:rsid w:val="00A25193"/>
    <w:rsid w:val="00A26E80"/>
    <w:rsid w:val="00A31AE8"/>
    <w:rsid w:val="00A32EFF"/>
    <w:rsid w:val="00A3739D"/>
    <w:rsid w:val="00A37DDA"/>
    <w:rsid w:val="00A37ED8"/>
    <w:rsid w:val="00A50829"/>
    <w:rsid w:val="00A55E77"/>
    <w:rsid w:val="00A925EC"/>
    <w:rsid w:val="00A929AA"/>
    <w:rsid w:val="00A92B6B"/>
    <w:rsid w:val="00A955A9"/>
    <w:rsid w:val="00AA4C49"/>
    <w:rsid w:val="00AA541E"/>
    <w:rsid w:val="00AD0DA4"/>
    <w:rsid w:val="00AD134E"/>
    <w:rsid w:val="00AD1B26"/>
    <w:rsid w:val="00AD23F7"/>
    <w:rsid w:val="00AD4169"/>
    <w:rsid w:val="00AD7557"/>
    <w:rsid w:val="00AE25C6"/>
    <w:rsid w:val="00AE306C"/>
    <w:rsid w:val="00AF28C1"/>
    <w:rsid w:val="00B013AF"/>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5F78"/>
    <w:rsid w:val="00BB6464"/>
    <w:rsid w:val="00BC1BB8"/>
    <w:rsid w:val="00BD0F38"/>
    <w:rsid w:val="00BD7FE1"/>
    <w:rsid w:val="00BE37CA"/>
    <w:rsid w:val="00BE4B2A"/>
    <w:rsid w:val="00BE6144"/>
    <w:rsid w:val="00BE635A"/>
    <w:rsid w:val="00BF17E9"/>
    <w:rsid w:val="00BF2ABB"/>
    <w:rsid w:val="00BF5099"/>
    <w:rsid w:val="00C10F10"/>
    <w:rsid w:val="00C13AB8"/>
    <w:rsid w:val="00C15D4D"/>
    <w:rsid w:val="00C175DC"/>
    <w:rsid w:val="00C30171"/>
    <w:rsid w:val="00C309D8"/>
    <w:rsid w:val="00C33998"/>
    <w:rsid w:val="00C43519"/>
    <w:rsid w:val="00C51537"/>
    <w:rsid w:val="00C52BC3"/>
    <w:rsid w:val="00C5584B"/>
    <w:rsid w:val="00C61AFA"/>
    <w:rsid w:val="00C61D64"/>
    <w:rsid w:val="00C62099"/>
    <w:rsid w:val="00C64EA3"/>
    <w:rsid w:val="00C662A7"/>
    <w:rsid w:val="00C67611"/>
    <w:rsid w:val="00C72867"/>
    <w:rsid w:val="00C75E81"/>
    <w:rsid w:val="00C75F52"/>
    <w:rsid w:val="00C86609"/>
    <w:rsid w:val="00C92B4C"/>
    <w:rsid w:val="00C954F6"/>
    <w:rsid w:val="00C95D30"/>
    <w:rsid w:val="00CA6BC5"/>
    <w:rsid w:val="00CB3E57"/>
    <w:rsid w:val="00CC1CCA"/>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444B"/>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074B4"/>
    <w:rsid w:val="00F13212"/>
    <w:rsid w:val="00F14273"/>
    <w:rsid w:val="00F15D8F"/>
    <w:rsid w:val="00F31033"/>
    <w:rsid w:val="00F479D5"/>
    <w:rsid w:val="00F5445C"/>
    <w:rsid w:val="00F5696E"/>
    <w:rsid w:val="00F60EFF"/>
    <w:rsid w:val="00F63A11"/>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CD2F1"/>
  <w15:docId w15:val="{2441762A-BE6F-4704-9BAC-77684EDC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1"/>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1"/>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E45536"/>
    <w:rPr>
      <w:rFonts w:asciiTheme="majorHAnsi" w:hAnsiTheme="majorHAnsi" w:cs="Arial"/>
      <w:bCs/>
      <w:color w:val="1F1F5F" w:themeColor="text1"/>
      <w:sz w:val="28"/>
      <w:szCs w:val="28"/>
    </w:rPr>
  </w:style>
  <w:style w:type="paragraph" w:styleId="BlockText">
    <w:name w:val="Block Text"/>
    <w:basedOn w:val="Normal"/>
    <w:link w:val="BlockTextChar"/>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rsid w:val="00A22C38"/>
    <w:pPr>
      <w:spacing w:after="120"/>
    </w:pPr>
  </w:style>
  <w:style w:type="paragraph" w:styleId="ListNumber2">
    <w:name w:val="List Number 2"/>
    <w:aliases w:val="Number list level 2"/>
    <w:basedOn w:val="Normal"/>
    <w:uiPriority w:val="5"/>
    <w:rsid w:val="00A22C38"/>
    <w:pPr>
      <w:spacing w:after="120"/>
    </w:pPr>
  </w:style>
  <w:style w:type="paragraph" w:styleId="ListNumber3">
    <w:name w:val="List Number 3"/>
    <w:aliases w:val="Number list level 3"/>
    <w:basedOn w:val="Normal"/>
    <w:uiPriority w:val="5"/>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nhideWhenUsed/>
    <w:rsid w:val="000B6E48"/>
    <w:pPr>
      <w:spacing w:after="0"/>
    </w:pPr>
    <w:rPr>
      <w:sz w:val="20"/>
      <w:szCs w:val="20"/>
    </w:rPr>
  </w:style>
  <w:style w:type="character" w:customStyle="1" w:styleId="FootnoteTextChar">
    <w:name w:val="Footnote Text Char"/>
    <w:basedOn w:val="DefaultParagraphFont"/>
    <w:link w:val="FootnoteText"/>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Revision">
    <w:name w:val="Revision"/>
    <w:hidden/>
    <w:uiPriority w:val="99"/>
    <w:semiHidden/>
    <w:rsid w:val="004D5550"/>
    <w:pPr>
      <w:spacing w:after="0"/>
    </w:pPr>
    <w:rPr>
      <w:rFonts w:ascii="Lato" w:hAnsi="Lato"/>
    </w:rPr>
  </w:style>
  <w:style w:type="character" w:styleId="CommentReference">
    <w:name w:val="annotation reference"/>
    <w:basedOn w:val="DefaultParagraphFont"/>
    <w:uiPriority w:val="99"/>
    <w:semiHidden/>
    <w:unhideWhenUsed/>
    <w:rsid w:val="004D5550"/>
    <w:rPr>
      <w:sz w:val="16"/>
      <w:szCs w:val="16"/>
    </w:rPr>
  </w:style>
  <w:style w:type="paragraph" w:styleId="CommentText">
    <w:name w:val="annotation text"/>
    <w:basedOn w:val="Normal"/>
    <w:link w:val="CommentTextChar"/>
    <w:uiPriority w:val="99"/>
    <w:unhideWhenUsed/>
    <w:rsid w:val="004D5550"/>
    <w:rPr>
      <w:rFonts w:ascii="Arial" w:hAnsi="Arial"/>
      <w:sz w:val="20"/>
      <w:szCs w:val="20"/>
    </w:rPr>
  </w:style>
  <w:style w:type="character" w:customStyle="1" w:styleId="CommentTextChar">
    <w:name w:val="Comment Text Char"/>
    <w:basedOn w:val="DefaultParagraphFont"/>
    <w:link w:val="CommentText"/>
    <w:uiPriority w:val="99"/>
    <w:rsid w:val="004D5550"/>
    <w:rPr>
      <w:sz w:val="20"/>
      <w:szCs w:val="20"/>
    </w:rPr>
  </w:style>
  <w:style w:type="numbering" w:customStyle="1" w:styleId="Text">
    <w:name w:val="Text"/>
    <w:rsid w:val="004D5550"/>
    <w:pPr>
      <w:numPr>
        <w:numId w:val="46"/>
      </w:numPr>
    </w:pPr>
  </w:style>
  <w:style w:type="character" w:customStyle="1" w:styleId="BlockTextChar">
    <w:name w:val="Block Text Char"/>
    <w:basedOn w:val="DefaultParagraphFont"/>
    <w:link w:val="BlockText"/>
    <w:rsid w:val="004D5550"/>
    <w:rPr>
      <w:rFonts w:ascii="Lato" w:eastAsiaTheme="minorEastAsia" w:hAnsi="Lato"/>
      <w:iCs/>
    </w:rPr>
  </w:style>
  <w:style w:type="paragraph" w:customStyle="1" w:styleId="ExampleBox">
    <w:name w:val="Example Box"/>
    <w:rsid w:val="004D5550"/>
    <w:pPr>
      <w:pBdr>
        <w:top w:val="single" w:sz="4" w:space="1" w:color="auto"/>
        <w:left w:val="single" w:sz="4" w:space="4" w:color="auto"/>
        <w:bottom w:val="single" w:sz="4" w:space="1" w:color="auto"/>
        <w:right w:val="single" w:sz="4" w:space="4" w:color="auto"/>
      </w:pBdr>
      <w:shd w:val="clear" w:color="auto" w:fill="F3F3F3"/>
      <w:spacing w:before="120" w:after="120"/>
    </w:pPr>
    <w:rPr>
      <w:rFonts w:eastAsia="Times New Roman"/>
      <w:szCs w:val="20"/>
      <w:lang w:eastAsia="en-AU"/>
    </w:rPr>
  </w:style>
  <w:style w:type="paragraph" w:customStyle="1" w:styleId="Section">
    <w:name w:val="Section"/>
    <w:basedOn w:val="Normal"/>
    <w:rsid w:val="004D5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rFonts w:ascii="Times New Roman" w:eastAsia="Times New Roman" w:hAnsi="Times New Roman"/>
      <w:spacing w:val="-3"/>
      <w:sz w:val="26"/>
      <w:szCs w:val="20"/>
      <w:lang w:val="en-GB" w:eastAsia="en-AU"/>
    </w:rPr>
  </w:style>
  <w:style w:type="paragraph" w:styleId="CommentSubject">
    <w:name w:val="annotation subject"/>
    <w:basedOn w:val="CommentText"/>
    <w:next w:val="CommentText"/>
    <w:link w:val="CommentSubjectChar"/>
    <w:uiPriority w:val="99"/>
    <w:semiHidden/>
    <w:unhideWhenUsed/>
    <w:rsid w:val="00C13AB8"/>
    <w:rPr>
      <w:rFonts w:ascii="Lato" w:hAnsi="Lato"/>
      <w:b/>
      <w:bCs/>
    </w:rPr>
  </w:style>
  <w:style w:type="character" w:customStyle="1" w:styleId="CommentSubjectChar">
    <w:name w:val="Comment Subject Char"/>
    <w:basedOn w:val="CommentTextChar"/>
    <w:link w:val="CommentSubject"/>
    <w:uiPriority w:val="99"/>
    <w:semiHidden/>
    <w:rsid w:val="00C13AB8"/>
    <w:rPr>
      <w:rFonts w:ascii="Lato" w:hAnsi="Lato"/>
      <w:b/>
      <w:bCs/>
      <w:sz w:val="20"/>
      <w:szCs w:val="20"/>
    </w:rPr>
  </w:style>
  <w:style w:type="paragraph" w:styleId="BalloonText">
    <w:name w:val="Balloon Text"/>
    <w:basedOn w:val="Normal"/>
    <w:link w:val="BalloonTextChar"/>
    <w:uiPriority w:val="99"/>
    <w:semiHidden/>
    <w:unhideWhenUsed/>
    <w:rsid w:val="007C34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F9"/>
    <w:rPr>
      <w:rFonts w:ascii="Segoe UI" w:hAnsi="Segoe UI" w:cs="Segoe UI"/>
      <w:sz w:val="18"/>
      <w:szCs w:val="18"/>
    </w:rPr>
  </w:style>
  <w:style w:type="character" w:styleId="FollowedHyperlink">
    <w:name w:val="FollowedHyperlink"/>
    <w:basedOn w:val="DefaultParagraphFont"/>
    <w:uiPriority w:val="99"/>
    <w:semiHidden/>
    <w:unhideWhenUsed/>
    <w:rsid w:val="0074041C"/>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tif"/><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reasury.nt.gov.au/dtf/territory-revenue-off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revenue.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ntrevenue@nt.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0336EB0E740B9A712665B35A0C128"/>
        <w:category>
          <w:name w:val="General"/>
          <w:gallery w:val="placeholder"/>
        </w:category>
        <w:types>
          <w:type w:val="bbPlcHdr"/>
        </w:types>
        <w:behaviors>
          <w:behavior w:val="content"/>
        </w:behaviors>
        <w:guid w:val="{5ED463A7-3D90-412B-BE5A-58001826F121}"/>
      </w:docPartPr>
      <w:docPartBody>
        <w:p w:rsidR="00F829C8" w:rsidRDefault="00553C73">
          <w:pPr>
            <w:pStyle w:val="36A0336EB0E740B9A712665B35A0C128"/>
          </w:pPr>
          <w:r>
            <w:t>&lt;Document title&gt;</w:t>
          </w:r>
        </w:p>
      </w:docPartBody>
    </w:docPart>
    <w:docPart>
      <w:docPartPr>
        <w:name w:val="AED5A077CC2D4C63ADF1EB663C8C48E4"/>
        <w:category>
          <w:name w:val="General"/>
          <w:gallery w:val="placeholder"/>
        </w:category>
        <w:types>
          <w:type w:val="bbPlcHdr"/>
        </w:types>
        <w:behaviors>
          <w:behavior w:val="content"/>
        </w:behaviors>
        <w:guid w:val="{9D6EFEC2-4DA4-46D9-8C2A-178449670B91}"/>
      </w:docPartPr>
      <w:docPartBody>
        <w:p w:rsidR="00F829C8" w:rsidRDefault="00553C73">
          <w:pPr>
            <w:pStyle w:val="AED5A077CC2D4C63ADF1EB663C8C48E4"/>
          </w:pPr>
          <w:r w:rsidRPr="004E7885">
            <w:rPr>
              <w:rStyle w:val="PlaceholderText"/>
            </w:rPr>
            <w:t>&lt;Document title&gt;</w:t>
          </w:r>
        </w:p>
      </w:docPartBody>
    </w:docPart>
    <w:docPart>
      <w:docPartPr>
        <w:name w:val="564DC04D712F4AC98A1C7E0815DB47E5"/>
        <w:category>
          <w:name w:val="General"/>
          <w:gallery w:val="placeholder"/>
        </w:category>
        <w:types>
          <w:type w:val="bbPlcHdr"/>
        </w:types>
        <w:behaviors>
          <w:behavior w:val="content"/>
        </w:behaviors>
        <w:guid w:val="{CD55B15C-DB16-423E-AF20-2B3103ED672F}"/>
      </w:docPartPr>
      <w:docPartBody>
        <w:p w:rsidR="00F829C8" w:rsidRDefault="00553C73">
          <w:pPr>
            <w:pStyle w:val="564DC04D712F4AC98A1C7E0815DB47E5"/>
          </w:pPr>
          <w:r w:rsidRPr="004E7885">
            <w:rPr>
              <w:rStyle w:val="PlaceholderText"/>
            </w:rPr>
            <w:t>&lt;Document title&gt;</w:t>
          </w:r>
        </w:p>
      </w:docPartBody>
    </w:docPart>
    <w:docPart>
      <w:docPartPr>
        <w:name w:val="71114C70030F48419F425C14481C5FD4"/>
        <w:category>
          <w:name w:val="General"/>
          <w:gallery w:val="placeholder"/>
        </w:category>
        <w:types>
          <w:type w:val="bbPlcHdr"/>
        </w:types>
        <w:behaviors>
          <w:behavior w:val="content"/>
        </w:behaviors>
        <w:guid w:val="{C2DEAA44-A3D3-4F01-9216-5E27C1AADF36}"/>
      </w:docPartPr>
      <w:docPartBody>
        <w:p w:rsidR="00F829C8" w:rsidRDefault="00553C73">
          <w:pPr>
            <w:pStyle w:val="71114C70030F48419F425C14481C5FD4"/>
          </w:pPr>
          <w:r w:rsidRPr="007B29CC">
            <w:rPr>
              <w:rStyle w:val="PlaceholderText"/>
            </w:rPr>
            <w:t>[Company]</w:t>
          </w:r>
        </w:p>
      </w:docPartBody>
    </w:docPart>
    <w:docPart>
      <w:docPartPr>
        <w:name w:val="F5C25E62DF404359A637D2E7B9E028BC"/>
        <w:category>
          <w:name w:val="General"/>
          <w:gallery w:val="placeholder"/>
        </w:category>
        <w:types>
          <w:type w:val="bbPlcHdr"/>
        </w:types>
        <w:behaviors>
          <w:behavior w:val="content"/>
        </w:behaviors>
        <w:guid w:val="{F693CFCF-1703-4757-8156-56996B764549}"/>
      </w:docPartPr>
      <w:docPartBody>
        <w:p w:rsidR="00F829C8" w:rsidRDefault="00553C73">
          <w:pPr>
            <w:pStyle w:val="F5C25E62DF404359A637D2E7B9E028BC"/>
          </w:pPr>
          <w:r w:rsidRPr="005076E2">
            <w:t>&lt;Date Month Year&gt;</w:t>
          </w:r>
        </w:p>
      </w:docPartBody>
    </w:docPart>
    <w:docPart>
      <w:docPartPr>
        <w:name w:val="0CF0BD3A66C04F9EBCAA7B3767211A4A"/>
        <w:category>
          <w:name w:val="General"/>
          <w:gallery w:val="placeholder"/>
        </w:category>
        <w:types>
          <w:type w:val="bbPlcHdr"/>
        </w:types>
        <w:behaviors>
          <w:behavior w:val="content"/>
        </w:behaviors>
        <w:guid w:val="{A85B59DD-823E-4949-AFE1-FB1D435FD1F7}"/>
      </w:docPartPr>
      <w:docPartBody>
        <w:p w:rsidR="00F829C8" w:rsidRDefault="00553C73">
          <w:pPr>
            <w:pStyle w:val="0CF0BD3A66C04F9EBCAA7B3767211A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4A"/>
    <w:rsid w:val="00052F07"/>
    <w:rsid w:val="00553C73"/>
    <w:rsid w:val="00576157"/>
    <w:rsid w:val="0062504A"/>
    <w:rsid w:val="0065077A"/>
    <w:rsid w:val="008A0348"/>
    <w:rsid w:val="009B39B7"/>
    <w:rsid w:val="00AB57D3"/>
    <w:rsid w:val="00E13F6F"/>
    <w:rsid w:val="00F829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0336EB0E740B9A712665B35A0C128">
    <w:name w:val="36A0336EB0E740B9A712665B35A0C128"/>
  </w:style>
  <w:style w:type="character" w:styleId="PlaceholderText">
    <w:name w:val="Placeholder Text"/>
    <w:basedOn w:val="DefaultParagraphFont"/>
    <w:uiPriority w:val="99"/>
    <w:semiHidden/>
    <w:rPr>
      <w:color w:val="808080"/>
    </w:rPr>
  </w:style>
  <w:style w:type="paragraph" w:customStyle="1" w:styleId="AED5A077CC2D4C63ADF1EB663C8C48E4">
    <w:name w:val="AED5A077CC2D4C63ADF1EB663C8C48E4"/>
  </w:style>
  <w:style w:type="paragraph" w:customStyle="1" w:styleId="564DC04D712F4AC98A1C7E0815DB47E5">
    <w:name w:val="564DC04D712F4AC98A1C7E0815DB47E5"/>
  </w:style>
  <w:style w:type="paragraph" w:customStyle="1" w:styleId="71114C70030F48419F425C14481C5FD4">
    <w:name w:val="71114C70030F48419F425C14481C5FD4"/>
  </w:style>
  <w:style w:type="paragraph" w:customStyle="1" w:styleId="F5C25E62DF404359A637D2E7B9E028BC">
    <w:name w:val="F5C25E62DF404359A637D2E7B9E028BC"/>
  </w:style>
  <w:style w:type="paragraph" w:customStyle="1" w:styleId="0CF0BD3A66C04F9EBCAA7B3767211A4A">
    <w:name w:val="0CF0BD3A66C04F9EBCAA7B3767211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04C179-CCD5-41A6-8E48-D4CC0545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0</TotalTime>
  <Pages>16</Pages>
  <Words>4996</Words>
  <Characters>28479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Commissioner’s Guideline: Interest and penalty tax</vt:lpstr>
    </vt:vector>
  </TitlesOfParts>
  <Company>TREASURY AND FINANCE</Company>
  <LinksUpToDate>false</LinksUpToDate>
  <CharactersWithSpaces>33409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Guideline: Interest and penalty tax</dc:title>
  <dc:creator>Jacob Port</dc:creator>
  <cp:lastModifiedBy>Lynda Hale</cp:lastModifiedBy>
  <cp:revision>2</cp:revision>
  <cp:lastPrinted>2016-02-04T04:37:00Z</cp:lastPrinted>
  <dcterms:created xsi:type="dcterms:W3CDTF">2025-01-07T23:50:00Z</dcterms:created>
  <dcterms:modified xsi:type="dcterms:W3CDTF">2025-01-07T23:50:00Z</dcterms:modified>
</cp:coreProperties>
</file>