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6CB" w:rsidRPr="00C27A0A" w:rsidRDefault="00DE64A9" w:rsidP="00C27A0A">
      <w:pPr>
        <w:pStyle w:val="HeadingOne"/>
      </w:pPr>
      <w:r>
        <w:t>COMMISSIONER’S GUIDELINE</w:t>
      </w:r>
    </w:p>
    <w:p w:rsidR="00C27A0A" w:rsidRPr="005B02FD" w:rsidRDefault="00513926" w:rsidP="005B02FD">
      <w:pPr>
        <w:pStyle w:val="HeadingOne"/>
      </w:pPr>
      <w:r w:rsidRPr="005B02FD">
        <w:t>CG</w:t>
      </w:r>
      <w:r w:rsidR="00C27A0A" w:rsidRPr="005B02FD">
        <w:t>-</w:t>
      </w:r>
      <w:r w:rsidR="005B02FD">
        <w:t>GEN</w:t>
      </w:r>
      <w:r w:rsidR="00C27A0A" w:rsidRPr="005B02FD">
        <w:t>-</w:t>
      </w:r>
      <w:r w:rsidR="005B02FD">
        <w:t>001</w:t>
      </w:r>
      <w:r w:rsidRPr="005B02FD">
        <w:t>:</w:t>
      </w:r>
      <w:r w:rsidR="00C27A0A" w:rsidRPr="005B02FD">
        <w:t xml:space="preserve"> </w:t>
      </w:r>
      <w:r w:rsidR="005B02FD" w:rsidRPr="005B02FD">
        <w:t>Revenue Circulars, Commissioner’s Guidelines and Payroll Tax Rulings: explanation and status</w:t>
      </w:r>
    </w:p>
    <w:p w:rsidR="00C27A0A" w:rsidRDefault="00C27A0A" w:rsidP="00C27A0A">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30"/>
        <w:gridCol w:w="1848"/>
        <w:gridCol w:w="1710"/>
        <w:gridCol w:w="1842"/>
      </w:tblGrid>
      <w:tr w:rsidR="00F65356" w:rsidRPr="00590C55" w:rsidTr="00590C55">
        <w:trPr>
          <w:jc w:val="center"/>
        </w:trPr>
        <w:tc>
          <w:tcPr>
            <w:tcW w:w="1030" w:type="dxa"/>
            <w:vMerge w:val="restart"/>
            <w:shd w:val="clear" w:color="auto" w:fill="auto"/>
          </w:tcPr>
          <w:p w:rsidR="00F65356" w:rsidRPr="00590C55" w:rsidRDefault="00F65356" w:rsidP="00590C55">
            <w:pPr>
              <w:jc w:val="center"/>
              <w:rPr>
                <w:b/>
                <w:sz w:val="18"/>
                <w:szCs w:val="18"/>
              </w:rPr>
            </w:pPr>
            <w:r w:rsidRPr="00590C55">
              <w:rPr>
                <w:b/>
                <w:sz w:val="18"/>
                <w:szCs w:val="18"/>
              </w:rPr>
              <w:t>Version</w:t>
            </w:r>
          </w:p>
        </w:tc>
        <w:tc>
          <w:tcPr>
            <w:tcW w:w="1848" w:type="dxa"/>
            <w:vMerge w:val="restart"/>
            <w:tcBorders>
              <w:right w:val="single" w:sz="4" w:space="0" w:color="auto"/>
            </w:tcBorders>
            <w:shd w:val="clear" w:color="auto" w:fill="auto"/>
          </w:tcPr>
          <w:p w:rsidR="00F65356" w:rsidRPr="00590C55" w:rsidRDefault="00F65356" w:rsidP="00590C55">
            <w:pPr>
              <w:jc w:val="center"/>
              <w:rPr>
                <w:b/>
                <w:sz w:val="18"/>
                <w:szCs w:val="18"/>
              </w:rPr>
            </w:pPr>
            <w:r w:rsidRPr="00590C55">
              <w:rPr>
                <w:b/>
                <w:sz w:val="18"/>
                <w:szCs w:val="18"/>
              </w:rPr>
              <w:t>Issued</w:t>
            </w:r>
          </w:p>
        </w:tc>
        <w:tc>
          <w:tcPr>
            <w:tcW w:w="3552" w:type="dxa"/>
            <w:gridSpan w:val="2"/>
            <w:tcBorders>
              <w:top w:val="single" w:sz="4" w:space="0" w:color="auto"/>
              <w:left w:val="single" w:sz="4" w:space="0" w:color="auto"/>
              <w:bottom w:val="nil"/>
              <w:right w:val="single" w:sz="4" w:space="0" w:color="auto"/>
            </w:tcBorders>
            <w:shd w:val="clear" w:color="auto" w:fill="auto"/>
          </w:tcPr>
          <w:p w:rsidR="00F65356" w:rsidRPr="00590C55" w:rsidRDefault="00F65356" w:rsidP="00590C55">
            <w:pPr>
              <w:jc w:val="center"/>
              <w:rPr>
                <w:b/>
                <w:sz w:val="18"/>
                <w:szCs w:val="18"/>
              </w:rPr>
            </w:pPr>
            <w:r w:rsidRPr="00590C55">
              <w:rPr>
                <w:b/>
                <w:sz w:val="18"/>
                <w:szCs w:val="18"/>
              </w:rPr>
              <w:t>Dates of Effect</w:t>
            </w:r>
          </w:p>
        </w:tc>
      </w:tr>
      <w:tr w:rsidR="00F65356" w:rsidRPr="00590C55" w:rsidTr="00590C55">
        <w:trPr>
          <w:jc w:val="center"/>
        </w:trPr>
        <w:tc>
          <w:tcPr>
            <w:tcW w:w="1030" w:type="dxa"/>
            <w:vMerge/>
            <w:shd w:val="clear" w:color="auto" w:fill="auto"/>
          </w:tcPr>
          <w:p w:rsidR="00F65356" w:rsidRPr="00590C55" w:rsidRDefault="00F65356" w:rsidP="00590C55">
            <w:pPr>
              <w:jc w:val="center"/>
              <w:rPr>
                <w:sz w:val="18"/>
                <w:szCs w:val="18"/>
              </w:rPr>
            </w:pPr>
          </w:p>
        </w:tc>
        <w:tc>
          <w:tcPr>
            <w:tcW w:w="1848" w:type="dxa"/>
            <w:vMerge/>
            <w:tcBorders>
              <w:right w:val="single" w:sz="4" w:space="0" w:color="auto"/>
            </w:tcBorders>
            <w:shd w:val="clear" w:color="auto" w:fill="auto"/>
          </w:tcPr>
          <w:p w:rsidR="00F65356" w:rsidRPr="00590C55" w:rsidRDefault="00F65356" w:rsidP="00590C55">
            <w:pPr>
              <w:jc w:val="center"/>
              <w:rPr>
                <w:sz w:val="18"/>
                <w:szCs w:val="18"/>
              </w:rPr>
            </w:pPr>
          </w:p>
        </w:tc>
        <w:tc>
          <w:tcPr>
            <w:tcW w:w="1710" w:type="dxa"/>
            <w:tcBorders>
              <w:top w:val="nil"/>
              <w:left w:val="single" w:sz="4" w:space="0" w:color="auto"/>
              <w:bottom w:val="single" w:sz="4" w:space="0" w:color="auto"/>
              <w:right w:val="nil"/>
            </w:tcBorders>
            <w:shd w:val="clear" w:color="auto" w:fill="auto"/>
          </w:tcPr>
          <w:p w:rsidR="00F65356" w:rsidRPr="00590C55" w:rsidRDefault="00F65356" w:rsidP="00AD2225">
            <w:pPr>
              <w:rPr>
                <w:b/>
                <w:sz w:val="18"/>
                <w:szCs w:val="18"/>
              </w:rPr>
            </w:pPr>
            <w:r w:rsidRPr="00590C55">
              <w:rPr>
                <w:b/>
                <w:sz w:val="18"/>
                <w:szCs w:val="18"/>
              </w:rPr>
              <w:t>From:</w:t>
            </w:r>
          </w:p>
        </w:tc>
        <w:tc>
          <w:tcPr>
            <w:tcW w:w="1842" w:type="dxa"/>
            <w:tcBorders>
              <w:top w:val="nil"/>
              <w:left w:val="nil"/>
              <w:bottom w:val="single" w:sz="4" w:space="0" w:color="auto"/>
              <w:right w:val="single" w:sz="4" w:space="0" w:color="auto"/>
            </w:tcBorders>
            <w:shd w:val="clear" w:color="auto" w:fill="auto"/>
          </w:tcPr>
          <w:p w:rsidR="00F65356" w:rsidRPr="00590C55" w:rsidRDefault="00F65356" w:rsidP="00AD2225">
            <w:pPr>
              <w:rPr>
                <w:b/>
                <w:sz w:val="18"/>
                <w:szCs w:val="18"/>
              </w:rPr>
            </w:pPr>
            <w:r w:rsidRPr="00590C55">
              <w:rPr>
                <w:b/>
                <w:sz w:val="18"/>
                <w:szCs w:val="18"/>
              </w:rPr>
              <w:t xml:space="preserve">To: </w:t>
            </w:r>
          </w:p>
        </w:tc>
      </w:tr>
      <w:tr w:rsidR="005B02FD" w:rsidRPr="00590C55" w:rsidTr="00590C55">
        <w:trPr>
          <w:jc w:val="center"/>
        </w:trPr>
        <w:tc>
          <w:tcPr>
            <w:tcW w:w="1030" w:type="dxa"/>
            <w:shd w:val="clear" w:color="auto" w:fill="auto"/>
          </w:tcPr>
          <w:p w:rsidR="005B02FD" w:rsidRPr="00590C55" w:rsidRDefault="005B02FD" w:rsidP="00590C55">
            <w:pPr>
              <w:jc w:val="center"/>
              <w:rPr>
                <w:sz w:val="18"/>
                <w:szCs w:val="18"/>
              </w:rPr>
            </w:pPr>
            <w:r w:rsidRPr="00590C55">
              <w:rPr>
                <w:sz w:val="18"/>
                <w:szCs w:val="18"/>
              </w:rPr>
              <w:t>1</w:t>
            </w:r>
          </w:p>
        </w:tc>
        <w:tc>
          <w:tcPr>
            <w:tcW w:w="1848" w:type="dxa"/>
            <w:shd w:val="clear" w:color="auto" w:fill="auto"/>
          </w:tcPr>
          <w:p w:rsidR="005B02FD" w:rsidRPr="00590C55" w:rsidRDefault="005B02FD" w:rsidP="005B02FD">
            <w:pPr>
              <w:rPr>
                <w:sz w:val="18"/>
                <w:szCs w:val="18"/>
              </w:rPr>
            </w:pPr>
            <w:r w:rsidRPr="00590C55">
              <w:rPr>
                <w:sz w:val="18"/>
                <w:szCs w:val="18"/>
              </w:rPr>
              <w:t>29 April 2005</w:t>
            </w:r>
          </w:p>
        </w:tc>
        <w:tc>
          <w:tcPr>
            <w:tcW w:w="1710" w:type="dxa"/>
            <w:tcBorders>
              <w:top w:val="single" w:sz="4" w:space="0" w:color="auto"/>
              <w:bottom w:val="single" w:sz="4" w:space="0" w:color="auto"/>
            </w:tcBorders>
            <w:shd w:val="clear" w:color="auto" w:fill="auto"/>
          </w:tcPr>
          <w:p w:rsidR="005B02FD" w:rsidRPr="00590C55" w:rsidRDefault="005B02FD" w:rsidP="005B02FD">
            <w:pPr>
              <w:rPr>
                <w:sz w:val="18"/>
                <w:szCs w:val="18"/>
              </w:rPr>
            </w:pPr>
            <w:r w:rsidRPr="00590C55">
              <w:rPr>
                <w:sz w:val="18"/>
                <w:szCs w:val="18"/>
              </w:rPr>
              <w:t>29 April 2005</w:t>
            </w:r>
          </w:p>
        </w:tc>
        <w:tc>
          <w:tcPr>
            <w:tcW w:w="1842" w:type="dxa"/>
            <w:tcBorders>
              <w:top w:val="single" w:sz="4" w:space="0" w:color="auto"/>
              <w:bottom w:val="single" w:sz="4" w:space="0" w:color="auto"/>
            </w:tcBorders>
            <w:shd w:val="clear" w:color="auto" w:fill="auto"/>
          </w:tcPr>
          <w:p w:rsidR="005B02FD" w:rsidRPr="00590C55" w:rsidRDefault="005B02FD" w:rsidP="005B02FD">
            <w:pPr>
              <w:rPr>
                <w:sz w:val="18"/>
                <w:szCs w:val="18"/>
              </w:rPr>
            </w:pPr>
            <w:r w:rsidRPr="00590C55">
              <w:rPr>
                <w:sz w:val="18"/>
                <w:szCs w:val="18"/>
              </w:rPr>
              <w:t>31 December 2007</w:t>
            </w:r>
          </w:p>
        </w:tc>
      </w:tr>
      <w:tr w:rsidR="005B02FD" w:rsidRPr="00590C55" w:rsidTr="00590C55">
        <w:trPr>
          <w:jc w:val="center"/>
        </w:trPr>
        <w:tc>
          <w:tcPr>
            <w:tcW w:w="1030" w:type="dxa"/>
            <w:shd w:val="clear" w:color="auto" w:fill="auto"/>
          </w:tcPr>
          <w:p w:rsidR="005B02FD" w:rsidRPr="00590C55" w:rsidRDefault="005B02FD" w:rsidP="00590C55">
            <w:pPr>
              <w:jc w:val="center"/>
              <w:rPr>
                <w:sz w:val="18"/>
                <w:szCs w:val="18"/>
              </w:rPr>
            </w:pPr>
            <w:r w:rsidRPr="00590C55">
              <w:rPr>
                <w:sz w:val="18"/>
                <w:szCs w:val="18"/>
              </w:rPr>
              <w:t>2</w:t>
            </w:r>
          </w:p>
        </w:tc>
        <w:tc>
          <w:tcPr>
            <w:tcW w:w="1848" w:type="dxa"/>
            <w:shd w:val="clear" w:color="auto" w:fill="auto"/>
          </w:tcPr>
          <w:p w:rsidR="005B02FD" w:rsidRPr="00590C55" w:rsidRDefault="005B02FD" w:rsidP="005B02FD">
            <w:pPr>
              <w:rPr>
                <w:sz w:val="18"/>
                <w:szCs w:val="18"/>
              </w:rPr>
            </w:pPr>
            <w:r w:rsidRPr="00590C55">
              <w:rPr>
                <w:sz w:val="18"/>
                <w:szCs w:val="18"/>
              </w:rPr>
              <w:t>2 January 2008</w:t>
            </w:r>
          </w:p>
        </w:tc>
        <w:tc>
          <w:tcPr>
            <w:tcW w:w="1710" w:type="dxa"/>
            <w:tcBorders>
              <w:top w:val="single" w:sz="4" w:space="0" w:color="auto"/>
              <w:bottom w:val="single" w:sz="4" w:space="0" w:color="auto"/>
            </w:tcBorders>
            <w:shd w:val="clear" w:color="auto" w:fill="auto"/>
          </w:tcPr>
          <w:p w:rsidR="005B02FD" w:rsidRPr="00590C55" w:rsidRDefault="005B02FD" w:rsidP="005B02FD">
            <w:pPr>
              <w:rPr>
                <w:sz w:val="18"/>
                <w:szCs w:val="18"/>
              </w:rPr>
            </w:pPr>
            <w:r w:rsidRPr="00590C55">
              <w:rPr>
                <w:sz w:val="18"/>
                <w:szCs w:val="18"/>
              </w:rPr>
              <w:t>1 January 2008</w:t>
            </w:r>
          </w:p>
        </w:tc>
        <w:tc>
          <w:tcPr>
            <w:tcW w:w="1842" w:type="dxa"/>
            <w:tcBorders>
              <w:top w:val="single" w:sz="4" w:space="0" w:color="auto"/>
              <w:bottom w:val="single" w:sz="4" w:space="0" w:color="auto"/>
            </w:tcBorders>
            <w:shd w:val="clear" w:color="auto" w:fill="auto"/>
          </w:tcPr>
          <w:p w:rsidR="005B02FD" w:rsidRPr="00590C55" w:rsidRDefault="005B02FD" w:rsidP="005B02FD">
            <w:pPr>
              <w:rPr>
                <w:sz w:val="18"/>
                <w:szCs w:val="18"/>
              </w:rPr>
            </w:pPr>
            <w:r w:rsidRPr="00590C55">
              <w:rPr>
                <w:sz w:val="18"/>
                <w:szCs w:val="18"/>
              </w:rPr>
              <w:t>30 June 2009</w:t>
            </w:r>
          </w:p>
        </w:tc>
      </w:tr>
      <w:tr w:rsidR="005B02FD" w:rsidRPr="00590C55" w:rsidTr="00590C55">
        <w:trPr>
          <w:jc w:val="center"/>
        </w:trPr>
        <w:tc>
          <w:tcPr>
            <w:tcW w:w="1030" w:type="dxa"/>
            <w:shd w:val="clear" w:color="auto" w:fill="auto"/>
          </w:tcPr>
          <w:p w:rsidR="005B02FD" w:rsidRPr="00590C55" w:rsidRDefault="005B02FD" w:rsidP="00590C55">
            <w:pPr>
              <w:jc w:val="center"/>
              <w:rPr>
                <w:sz w:val="18"/>
                <w:szCs w:val="18"/>
              </w:rPr>
            </w:pPr>
            <w:r w:rsidRPr="00590C55">
              <w:rPr>
                <w:sz w:val="18"/>
                <w:szCs w:val="18"/>
              </w:rPr>
              <w:t>3</w:t>
            </w:r>
          </w:p>
        </w:tc>
        <w:tc>
          <w:tcPr>
            <w:tcW w:w="1848" w:type="dxa"/>
            <w:shd w:val="clear" w:color="auto" w:fill="auto"/>
          </w:tcPr>
          <w:p w:rsidR="005B02FD" w:rsidRPr="00590C55" w:rsidRDefault="005B02FD" w:rsidP="005B02FD">
            <w:pPr>
              <w:rPr>
                <w:sz w:val="18"/>
                <w:szCs w:val="18"/>
              </w:rPr>
            </w:pPr>
            <w:r w:rsidRPr="00590C55">
              <w:rPr>
                <w:sz w:val="18"/>
                <w:szCs w:val="18"/>
              </w:rPr>
              <w:t>1 July 2009</w:t>
            </w:r>
          </w:p>
        </w:tc>
        <w:tc>
          <w:tcPr>
            <w:tcW w:w="1710" w:type="dxa"/>
            <w:tcBorders>
              <w:top w:val="single" w:sz="4" w:space="0" w:color="auto"/>
            </w:tcBorders>
            <w:shd w:val="clear" w:color="auto" w:fill="auto"/>
          </w:tcPr>
          <w:p w:rsidR="005B02FD" w:rsidRPr="00590C55" w:rsidRDefault="005B02FD" w:rsidP="005B02FD">
            <w:pPr>
              <w:rPr>
                <w:sz w:val="18"/>
                <w:szCs w:val="18"/>
              </w:rPr>
            </w:pPr>
            <w:r w:rsidRPr="00590C55">
              <w:rPr>
                <w:sz w:val="18"/>
                <w:szCs w:val="18"/>
              </w:rPr>
              <w:t>1 July 2009</w:t>
            </w:r>
          </w:p>
        </w:tc>
        <w:tc>
          <w:tcPr>
            <w:tcW w:w="1842" w:type="dxa"/>
            <w:tcBorders>
              <w:top w:val="single" w:sz="4" w:space="0" w:color="auto"/>
            </w:tcBorders>
            <w:shd w:val="clear" w:color="auto" w:fill="auto"/>
          </w:tcPr>
          <w:p w:rsidR="005B02FD" w:rsidRPr="00590C55" w:rsidRDefault="005B02FD" w:rsidP="005B02FD">
            <w:pPr>
              <w:rPr>
                <w:sz w:val="18"/>
                <w:szCs w:val="18"/>
              </w:rPr>
            </w:pPr>
            <w:r w:rsidRPr="00590C55">
              <w:rPr>
                <w:sz w:val="18"/>
                <w:szCs w:val="18"/>
              </w:rPr>
              <w:t>Current</w:t>
            </w:r>
          </w:p>
        </w:tc>
      </w:tr>
    </w:tbl>
    <w:p w:rsidR="005B02FD" w:rsidRPr="00733450" w:rsidRDefault="005B02FD" w:rsidP="005B02FD">
      <w:pPr>
        <w:pStyle w:val="HeadingTwo"/>
      </w:pPr>
      <w:r w:rsidRPr="00733450">
        <w:t>Purpose</w:t>
      </w:r>
    </w:p>
    <w:p w:rsidR="005B02FD" w:rsidRDefault="005B02FD" w:rsidP="005B02FD">
      <w:pPr>
        <w:pStyle w:val="BlockText"/>
      </w:pPr>
      <w:r w:rsidRPr="00655116">
        <w:t xml:space="preserve">This Guideline explains </w:t>
      </w:r>
      <w:r>
        <w:t>the Territory Revenue Office’s</w:t>
      </w:r>
      <w:r w:rsidRPr="00655116">
        <w:t xml:space="preserve"> (</w:t>
      </w:r>
      <w:r>
        <w:t>TRO</w:t>
      </w:r>
      <w:r w:rsidRPr="00655116">
        <w:t>) publication system for issuing Revenue Circulars</w:t>
      </w:r>
      <w:r>
        <w:t xml:space="preserve">, </w:t>
      </w:r>
      <w:r w:rsidRPr="00655116">
        <w:t>Commissioner’s Guidelines</w:t>
      </w:r>
      <w:r>
        <w:t xml:space="preserve"> and Payroll Tax Rulings.</w:t>
      </w:r>
    </w:p>
    <w:p w:rsidR="005B02FD" w:rsidRPr="00655116" w:rsidRDefault="005B02FD" w:rsidP="005B02FD">
      <w:pPr>
        <w:pStyle w:val="HeadingTwo"/>
      </w:pPr>
      <w:r w:rsidRPr="00655116">
        <w:t>Revenue Circulars</w:t>
      </w:r>
    </w:p>
    <w:p w:rsidR="005B02FD" w:rsidRPr="00655116" w:rsidRDefault="005B02FD" w:rsidP="005B02FD">
      <w:pPr>
        <w:pStyle w:val="BlockText"/>
      </w:pPr>
      <w:r w:rsidRPr="00655116">
        <w:t>Revenue Circulars are an information system, intended to provide timely advice to taxpayers and their advisers of new developments to the revenue laws administered by the Commissioner</w:t>
      </w:r>
      <w:r>
        <w:t xml:space="preserve"> of Territory Revenue. </w:t>
      </w:r>
      <w:r w:rsidRPr="00655116">
        <w:t xml:space="preserve">As such, Circulars are current as at the date of issue, but </w:t>
      </w:r>
      <w:r>
        <w:t>are</w:t>
      </w:r>
      <w:r w:rsidRPr="00655116">
        <w:t xml:space="preserve"> </w:t>
      </w:r>
      <w:r w:rsidRPr="00E426C6">
        <w:t>not</w:t>
      </w:r>
      <w:r w:rsidRPr="00655116">
        <w:t xml:space="preserve"> updated to reflect developments that supersede the information provided in an old Circular.</w:t>
      </w:r>
    </w:p>
    <w:p w:rsidR="005B02FD" w:rsidRPr="00655116" w:rsidRDefault="005B02FD" w:rsidP="005B02FD">
      <w:pPr>
        <w:pStyle w:val="HeadingTwo"/>
      </w:pPr>
      <w:r w:rsidRPr="00655116">
        <w:t>Commissioner’s Guidelines</w:t>
      </w:r>
    </w:p>
    <w:p w:rsidR="005B02FD" w:rsidRDefault="005B02FD" w:rsidP="005B02FD">
      <w:pPr>
        <w:pStyle w:val="BlockText"/>
      </w:pPr>
      <w:r w:rsidRPr="00655116">
        <w:t>Commissioner’s Guidelines are issued to provide:</w:t>
      </w:r>
    </w:p>
    <w:p w:rsidR="005B02FD" w:rsidRDefault="005B02FD" w:rsidP="005B02FD">
      <w:pPr>
        <w:pStyle w:val="BlockText"/>
        <w:numPr>
          <w:ilvl w:val="1"/>
          <w:numId w:val="3"/>
        </w:numPr>
      </w:pPr>
      <w:r w:rsidRPr="00655116">
        <w:t xml:space="preserve">a guideline or overview of the Commissioner’s interpretation of various provisions of legislation administered by the Commissioner; or </w:t>
      </w:r>
    </w:p>
    <w:p w:rsidR="005B02FD" w:rsidRPr="00655116" w:rsidRDefault="005B02FD" w:rsidP="005B02FD">
      <w:pPr>
        <w:pStyle w:val="BlockText"/>
        <w:numPr>
          <w:ilvl w:val="1"/>
          <w:numId w:val="3"/>
        </w:numPr>
      </w:pPr>
      <w:r w:rsidRPr="00655116">
        <w:t xml:space="preserve">details of administrative policies, practices or procedures utilised by </w:t>
      </w:r>
      <w:r>
        <w:t>TRO</w:t>
      </w:r>
      <w:r w:rsidRPr="00655116">
        <w:t xml:space="preserve"> in administering those laws.  </w:t>
      </w:r>
    </w:p>
    <w:p w:rsidR="005B02FD" w:rsidRDefault="005B02FD" w:rsidP="005B02FD">
      <w:pPr>
        <w:pStyle w:val="BlockText"/>
      </w:pPr>
      <w:r>
        <w:t xml:space="preserve">For payroll tax, Commissioner’s Guidelines are limited to Territory specific issues and practices. Matters relating to the harmonised provisions of the payroll tax legislation are covered by the Payroll Tax Rulings system (see below). </w:t>
      </w:r>
    </w:p>
    <w:p w:rsidR="005B02FD" w:rsidRDefault="005B02FD" w:rsidP="005B02FD">
      <w:pPr>
        <w:pStyle w:val="BlockText"/>
      </w:pPr>
      <w:r w:rsidRPr="00655116">
        <w:t xml:space="preserve">Commissioner’s Guidelines </w:t>
      </w:r>
      <w:r w:rsidRPr="003451FC">
        <w:t>are</w:t>
      </w:r>
      <w:r w:rsidRPr="00655116">
        <w:t xml:space="preserve"> maintained to reflect current or revised interpretations of the law or updated practices and procedures by releasing new versions of the Guid</w:t>
      </w:r>
      <w:r>
        <w:t xml:space="preserve">eline to reflect such changes. </w:t>
      </w:r>
      <w:r w:rsidRPr="00655116">
        <w:t xml:space="preserve">The dates of effect and currency of each Commissioner’s Guideline are clearly indicated at the beginning of each Guideline, and both current and historical versions of the Guidelines </w:t>
      </w:r>
      <w:r>
        <w:t>are</w:t>
      </w:r>
      <w:r w:rsidRPr="00655116">
        <w:t xml:space="preserve"> maintained by </w:t>
      </w:r>
      <w:r>
        <w:t>TRO</w:t>
      </w:r>
      <w:r w:rsidRPr="00655116">
        <w:t xml:space="preserve"> and made available on </w:t>
      </w:r>
      <w:r w:rsidR="00FD43FB">
        <w:t xml:space="preserve">the </w:t>
      </w:r>
      <w:r>
        <w:t>TRO</w:t>
      </w:r>
      <w:r w:rsidRPr="00655116">
        <w:t xml:space="preserve"> website.</w:t>
      </w:r>
    </w:p>
    <w:p w:rsidR="005B02FD" w:rsidRPr="00C957E6" w:rsidRDefault="005B02FD" w:rsidP="005B02FD">
      <w:pPr>
        <w:pStyle w:val="HeadingTwo"/>
      </w:pPr>
      <w:r w:rsidRPr="00C957E6">
        <w:t>Payroll Tax Rulings</w:t>
      </w:r>
    </w:p>
    <w:p w:rsidR="005B02FD" w:rsidRPr="00BD443D" w:rsidRDefault="005B02FD" w:rsidP="00BD443D">
      <w:pPr>
        <w:pStyle w:val="BlockText"/>
      </w:pPr>
      <w:r w:rsidRPr="00BD443D">
        <w:t xml:space="preserve">The </w:t>
      </w:r>
      <w:r w:rsidRPr="00BD443D">
        <w:rPr>
          <w:i/>
          <w:szCs w:val="24"/>
        </w:rPr>
        <w:t xml:space="preserve">Payroll Tax Act </w:t>
      </w:r>
      <w:r w:rsidRPr="00BD443D">
        <w:t>(the Act), which commenced on 1 July 2009, is a result of a national project to harmonise the payroll tax legislation of all states and territories. As part of this process, a new Payroll Tax Rulings system has been introduced to provide:</w:t>
      </w:r>
    </w:p>
    <w:p w:rsidR="005B02FD" w:rsidRDefault="00BD443D" w:rsidP="005B02FD">
      <w:pPr>
        <w:pStyle w:val="BlockText"/>
        <w:numPr>
          <w:ilvl w:val="1"/>
          <w:numId w:val="3"/>
        </w:numPr>
      </w:pPr>
      <w:r>
        <w:br w:type="page"/>
      </w:r>
      <w:r w:rsidR="005B02FD">
        <w:lastRenderedPageBreak/>
        <w:t>guidance on t</w:t>
      </w:r>
      <w:r w:rsidR="005B02FD" w:rsidRPr="00655116">
        <w:t xml:space="preserve">he Commissioner’s interpretation of various provisions of </w:t>
      </w:r>
      <w:r w:rsidR="005B02FD">
        <w:t xml:space="preserve">the harmonised </w:t>
      </w:r>
      <w:r w:rsidR="005B02FD" w:rsidRPr="00655116">
        <w:t>legislation</w:t>
      </w:r>
      <w:r w:rsidR="005B02FD">
        <w:t>; and</w:t>
      </w:r>
      <w:r w:rsidR="005B02FD" w:rsidRPr="00655116">
        <w:t xml:space="preserve"> </w:t>
      </w:r>
    </w:p>
    <w:p w:rsidR="005B02FD" w:rsidRPr="00655116" w:rsidRDefault="005B02FD" w:rsidP="005B02FD">
      <w:pPr>
        <w:pStyle w:val="BlockText"/>
        <w:numPr>
          <w:ilvl w:val="1"/>
          <w:numId w:val="3"/>
        </w:numPr>
      </w:pPr>
      <w:r w:rsidRPr="00655116">
        <w:t xml:space="preserve">details of </w:t>
      </w:r>
      <w:r>
        <w:t xml:space="preserve">associated </w:t>
      </w:r>
      <w:r w:rsidRPr="00655116">
        <w:t xml:space="preserve">administrative policies, practices or procedures utilised by </w:t>
      </w:r>
      <w:r>
        <w:t>TRO</w:t>
      </w:r>
      <w:r w:rsidRPr="00655116">
        <w:t xml:space="preserve"> in administering th</w:t>
      </w:r>
      <w:r>
        <w:t>ese provisions.</w:t>
      </w:r>
      <w:r w:rsidRPr="00655116">
        <w:t xml:space="preserve">  </w:t>
      </w:r>
    </w:p>
    <w:p w:rsidR="00F60442" w:rsidRDefault="00F60442" w:rsidP="001F56A6">
      <w:pPr>
        <w:pStyle w:val="BlockText"/>
      </w:pPr>
      <w:r>
        <w:t xml:space="preserve">Payroll Tax Rulings are </w:t>
      </w:r>
      <w:r w:rsidR="005B02FD">
        <w:t>structure</w:t>
      </w:r>
      <w:r>
        <w:t>d</w:t>
      </w:r>
      <w:r w:rsidR="005B02FD">
        <w:t xml:space="preserve"> </w:t>
      </w:r>
      <w:r>
        <w:t xml:space="preserve">to be </w:t>
      </w:r>
      <w:r w:rsidR="005B02FD">
        <w:t xml:space="preserve">consistent with </w:t>
      </w:r>
      <w:r>
        <w:t xml:space="preserve">the </w:t>
      </w:r>
      <w:r w:rsidR="005B02FD">
        <w:t xml:space="preserve">corresponding ruling systems of most other </w:t>
      </w:r>
      <w:r>
        <w:t>states and territories</w:t>
      </w:r>
      <w:r w:rsidR="00FD43FB">
        <w:t>.</w:t>
      </w:r>
    </w:p>
    <w:p w:rsidR="005B02FD" w:rsidRPr="00655116" w:rsidRDefault="005B02FD" w:rsidP="004D5E80">
      <w:pPr>
        <w:pStyle w:val="HeadingTwo"/>
      </w:pPr>
      <w:r w:rsidRPr="00655116">
        <w:t>Status of Commissioner’s Guidelines</w:t>
      </w:r>
      <w:r>
        <w:t xml:space="preserve"> and Payroll Tax Rulings</w:t>
      </w:r>
    </w:p>
    <w:p w:rsidR="005B02FD" w:rsidRDefault="005B02FD" w:rsidP="005B02FD">
      <w:pPr>
        <w:pStyle w:val="BlockText"/>
      </w:pPr>
      <w:r w:rsidRPr="00655116">
        <w:t xml:space="preserve">Commissioner’s Guidelines </w:t>
      </w:r>
      <w:r>
        <w:t xml:space="preserve">and Payroll Tax Rulings </w:t>
      </w:r>
      <w:r w:rsidRPr="00655116">
        <w:t>are not co</w:t>
      </w:r>
      <w:r>
        <w:t>nclusive statements of the law.</w:t>
      </w:r>
      <w:r w:rsidRPr="00655116">
        <w:t xml:space="preserve"> They are an expression of the Commissioner’s opinion as to the interpretation of the law to be applied by </w:t>
      </w:r>
      <w:r>
        <w:t>TRO</w:t>
      </w:r>
      <w:r w:rsidRPr="00655116">
        <w:t xml:space="preserve"> over the period that the Guideline</w:t>
      </w:r>
      <w:r>
        <w:t xml:space="preserve"> or Ruling </w:t>
      </w:r>
      <w:r w:rsidRPr="00655116">
        <w:t>is effective and are provided for the purposes of guidance only.</w:t>
      </w:r>
    </w:p>
    <w:p w:rsidR="005B02FD" w:rsidRDefault="005B02FD" w:rsidP="005B02FD">
      <w:pPr>
        <w:pStyle w:val="BlockText"/>
      </w:pPr>
      <w:r w:rsidRPr="00655116">
        <w:t xml:space="preserve">A Commissioner’s Guideline </w:t>
      </w:r>
      <w:r>
        <w:t xml:space="preserve">or Payroll Tax Ruling </w:t>
      </w:r>
      <w:r w:rsidRPr="00655116">
        <w:t xml:space="preserve">will replace existing forms of advice by </w:t>
      </w:r>
      <w:r>
        <w:t>TRO</w:t>
      </w:r>
      <w:r w:rsidRPr="00655116">
        <w:t xml:space="preserve"> on the subject matter of the Guideline</w:t>
      </w:r>
      <w:r>
        <w:t xml:space="preserve"> or Ruling.</w:t>
      </w:r>
    </w:p>
    <w:p w:rsidR="005B02FD" w:rsidRDefault="005B02FD" w:rsidP="00A9379B">
      <w:pPr>
        <w:pStyle w:val="BlockText"/>
      </w:pPr>
      <w:r w:rsidRPr="00655116">
        <w:t xml:space="preserve">Commissioner’s Guidelines </w:t>
      </w:r>
      <w:r>
        <w:t>and Payroll Tax Rulings c</w:t>
      </w:r>
      <w:r w:rsidRPr="00655116">
        <w:t>annot override the provision</w:t>
      </w:r>
      <w:r>
        <w:t>s</w:t>
      </w:r>
      <w:r w:rsidRPr="00655116">
        <w:t xml:space="preserve"> of the relevant legislation. Statements or declarations by the Commissioner or his/her delegates and authorised officers do not have the effect of an estoppel against the operation of the law.</w:t>
      </w:r>
    </w:p>
    <w:p w:rsidR="005B02FD" w:rsidRDefault="005B02FD" w:rsidP="005B02FD">
      <w:pPr>
        <w:pStyle w:val="BlockText"/>
      </w:pPr>
      <w:r w:rsidRPr="00655116">
        <w:t xml:space="preserve">While Commissioner’s Guidelines </w:t>
      </w:r>
      <w:r>
        <w:t xml:space="preserve">and Payroll Tax Rulings </w:t>
      </w:r>
      <w:r w:rsidRPr="00655116">
        <w:t xml:space="preserve">are compiled with due care and skill, they are only intended to assist in the interpretation of revenue laws in given circumstances. A Guideline </w:t>
      </w:r>
      <w:r>
        <w:t xml:space="preserve">or Ruling </w:t>
      </w:r>
      <w:r w:rsidRPr="00655116">
        <w:t>may be overruled by legislative amendments or by a decision of a court or tribunal of competent jurisdiction.</w:t>
      </w:r>
    </w:p>
    <w:p w:rsidR="005B02FD" w:rsidRDefault="005B02FD" w:rsidP="004D5E80">
      <w:pPr>
        <w:pStyle w:val="HeadingTwo"/>
      </w:pPr>
      <w:r w:rsidRPr="00655116">
        <w:t>Date of issue / effect</w:t>
      </w:r>
    </w:p>
    <w:p w:rsidR="005B02FD" w:rsidRDefault="005B02FD" w:rsidP="005B02FD">
      <w:pPr>
        <w:pStyle w:val="BlockText"/>
      </w:pPr>
      <w:r w:rsidRPr="00655116">
        <w:t>A Revenue Circular, being an advisory service, is current as at the date of issue.  However, as indicated, Circulars are not updated, so care should be taken in relying on Circulars as statements of</w:t>
      </w:r>
      <w:r>
        <w:t xml:space="preserve"> the current state of affairs. </w:t>
      </w:r>
      <w:r w:rsidRPr="00655116">
        <w:t xml:space="preserve">Persons referring to a Circular should refer to Guidelines and the relevant legislation, or contact </w:t>
      </w:r>
      <w:r>
        <w:t>TRO</w:t>
      </w:r>
      <w:r w:rsidRPr="00655116">
        <w:t xml:space="preserve"> to confirm the currency of information in a Circular.</w:t>
      </w:r>
    </w:p>
    <w:p w:rsidR="005B02FD" w:rsidRDefault="005B02FD" w:rsidP="005B02FD">
      <w:pPr>
        <w:pStyle w:val="BlockText"/>
      </w:pPr>
      <w:r w:rsidRPr="00655116">
        <w:t xml:space="preserve">A Commissioner’s Guideline </w:t>
      </w:r>
      <w:r>
        <w:t xml:space="preserve">and a Payroll Tax Ruling generally </w:t>
      </w:r>
      <w:r w:rsidRPr="00655116">
        <w:t xml:space="preserve">operates prospectively from the date of effect (generally the date of issue) until the Guideline </w:t>
      </w:r>
      <w:r>
        <w:t xml:space="preserve">or Ruling </w:t>
      </w:r>
      <w:r w:rsidRPr="00655116">
        <w:t>is withdrawn or amended (in which case a new version of the Guideline</w:t>
      </w:r>
      <w:r>
        <w:t xml:space="preserve"> or Ruling </w:t>
      </w:r>
      <w:r w:rsidRPr="00655116">
        <w:t>will be issued).</w:t>
      </w:r>
    </w:p>
    <w:p w:rsidR="005B02FD" w:rsidRDefault="005B02FD" w:rsidP="005B02FD">
      <w:pPr>
        <w:pStyle w:val="BlockText"/>
      </w:pPr>
      <w:r>
        <w:t>When</w:t>
      </w:r>
      <w:r w:rsidRPr="00655116">
        <w:t xml:space="preserve"> a Commissioner’s Guideline</w:t>
      </w:r>
      <w:r>
        <w:t xml:space="preserve"> or Payroll Tax Ruling</w:t>
      </w:r>
      <w:r w:rsidRPr="00655116">
        <w:t xml:space="preserve"> operates prospectively, this does not mean that the practice or interpretation set out in the Guideline </w:t>
      </w:r>
      <w:r>
        <w:t xml:space="preserve">or Ruling </w:t>
      </w:r>
      <w:r w:rsidRPr="00655116">
        <w:t>did not exist prior</w:t>
      </w:r>
      <w:r>
        <w:t xml:space="preserve"> to the issue of the Guideline or Ruling.</w:t>
      </w:r>
      <w:r w:rsidRPr="00655116">
        <w:t xml:space="preserve"> Accordingly, to the extent that current practice is reflected in a Guide</w:t>
      </w:r>
      <w:r>
        <w:t xml:space="preserve">line or Ruling that practice continues. </w:t>
      </w:r>
      <w:r w:rsidRPr="00655116">
        <w:t xml:space="preserve">To the extent that a Guideline </w:t>
      </w:r>
      <w:r>
        <w:t xml:space="preserve">or Ruling </w:t>
      </w:r>
      <w:r w:rsidRPr="00655116">
        <w:t xml:space="preserve">alters a current </w:t>
      </w:r>
      <w:r>
        <w:t xml:space="preserve">or past </w:t>
      </w:r>
      <w:r w:rsidRPr="00655116">
        <w:t>practice, that new or amended practice takes effect from the date of effect of the Guideline</w:t>
      </w:r>
      <w:r>
        <w:t xml:space="preserve"> or Ruling</w:t>
      </w:r>
      <w:r w:rsidRPr="00655116">
        <w:t>.</w:t>
      </w:r>
    </w:p>
    <w:p w:rsidR="005B02FD" w:rsidRPr="00655116" w:rsidRDefault="005B02FD" w:rsidP="004D5E80">
      <w:pPr>
        <w:pStyle w:val="HeadingTwo"/>
      </w:pPr>
      <w:r w:rsidRPr="00655116">
        <w:t>How Circulars</w:t>
      </w:r>
      <w:r>
        <w:t xml:space="preserve">, </w:t>
      </w:r>
      <w:r w:rsidRPr="00655116">
        <w:t xml:space="preserve">Guidelines </w:t>
      </w:r>
      <w:r>
        <w:t xml:space="preserve">and Rulings </w:t>
      </w:r>
      <w:r w:rsidRPr="00655116">
        <w:t>are numbered</w:t>
      </w:r>
    </w:p>
    <w:p w:rsidR="005B02FD" w:rsidRPr="00655116" w:rsidRDefault="005B02FD" w:rsidP="005B02FD">
      <w:pPr>
        <w:pStyle w:val="BlockText"/>
      </w:pPr>
      <w:r w:rsidRPr="00655116">
        <w:t>Revenue Circulars</w:t>
      </w:r>
      <w:r>
        <w:t xml:space="preserve">, </w:t>
      </w:r>
      <w:r w:rsidRPr="00655116">
        <w:t xml:space="preserve">Commissioner’s Guidelines </w:t>
      </w:r>
      <w:r>
        <w:t>and Payroll Tax Rulings are</w:t>
      </w:r>
      <w:r w:rsidRPr="00655116">
        <w:t xml:space="preserve"> numbered using the following protocol:</w:t>
      </w:r>
    </w:p>
    <w:p w:rsidR="005B02FD" w:rsidRPr="00655116" w:rsidRDefault="005B02FD" w:rsidP="001F56A6">
      <w:pPr>
        <w:pStyle w:val="BlockText"/>
        <w:numPr>
          <w:ilvl w:val="1"/>
          <w:numId w:val="3"/>
        </w:numPr>
      </w:pPr>
      <w:r w:rsidRPr="00655116">
        <w:t xml:space="preserve">A code </w:t>
      </w:r>
      <w:r w:rsidRPr="001F56A6">
        <w:t>indicating</w:t>
      </w:r>
      <w:r w:rsidRPr="00655116">
        <w:t xml:space="preserve"> whether the document is a Circular</w:t>
      </w:r>
      <w:r>
        <w:t>,</w:t>
      </w:r>
      <w:r w:rsidRPr="00655116">
        <w:t xml:space="preserve"> Guideline</w:t>
      </w:r>
      <w:r>
        <w:t xml:space="preserve"> or a Payroll Tax Ruling</w:t>
      </w:r>
      <w:r w:rsidRPr="00655116">
        <w:t>:</w:t>
      </w:r>
    </w:p>
    <w:p w:rsidR="005B02FD" w:rsidRPr="005B02FD" w:rsidRDefault="005B02FD" w:rsidP="004D5E80">
      <w:pPr>
        <w:pStyle w:val="BodyText"/>
        <w:tabs>
          <w:tab w:val="left" w:pos="1276"/>
          <w:tab w:val="left" w:pos="1560"/>
          <w:tab w:val="left" w:pos="2127"/>
        </w:tabs>
        <w:spacing w:after="0"/>
        <w:ind w:left="1418" w:hanging="158"/>
        <w:rPr>
          <w:rStyle w:val="BlockTextChar"/>
        </w:rPr>
      </w:pPr>
      <w:r w:rsidRPr="00655116">
        <w:rPr>
          <w:rFonts w:ascii="Arial" w:hAnsi="Arial" w:cs="Arial"/>
          <w:b/>
          <w:sz w:val="24"/>
          <w:szCs w:val="24"/>
        </w:rPr>
        <w:t>RC</w:t>
      </w:r>
      <w:r w:rsidRPr="005B02FD">
        <w:rPr>
          <w:rStyle w:val="BlockTextChar"/>
        </w:rPr>
        <w:t xml:space="preserve"> </w:t>
      </w:r>
      <w:r w:rsidRPr="005B02FD">
        <w:rPr>
          <w:rStyle w:val="BlockTextChar"/>
        </w:rPr>
        <w:tab/>
      </w:r>
      <w:r w:rsidRPr="005B02FD">
        <w:rPr>
          <w:rStyle w:val="BlockTextChar"/>
        </w:rPr>
        <w:tab/>
        <w:t>–</w:t>
      </w:r>
      <w:r w:rsidRPr="005B02FD">
        <w:rPr>
          <w:rStyle w:val="BlockTextChar"/>
        </w:rPr>
        <w:tab/>
        <w:t>Revenue Circular</w:t>
      </w:r>
    </w:p>
    <w:p w:rsidR="005B02FD" w:rsidRPr="005B02FD" w:rsidRDefault="005B02FD" w:rsidP="004D5E80">
      <w:pPr>
        <w:pStyle w:val="BodyText"/>
        <w:tabs>
          <w:tab w:val="left" w:pos="1276"/>
          <w:tab w:val="left" w:pos="1560"/>
          <w:tab w:val="left" w:pos="2127"/>
        </w:tabs>
        <w:spacing w:after="0"/>
        <w:ind w:left="1418" w:hanging="158"/>
        <w:rPr>
          <w:rStyle w:val="BlockTextChar"/>
        </w:rPr>
      </w:pPr>
      <w:r w:rsidRPr="00655116">
        <w:rPr>
          <w:rFonts w:ascii="Arial" w:hAnsi="Arial" w:cs="Arial"/>
          <w:b/>
          <w:sz w:val="24"/>
          <w:szCs w:val="24"/>
        </w:rPr>
        <w:t>CG</w:t>
      </w:r>
      <w:r w:rsidRPr="005B02FD">
        <w:rPr>
          <w:rStyle w:val="BlockTextChar"/>
        </w:rPr>
        <w:t xml:space="preserve"> </w:t>
      </w:r>
      <w:r w:rsidRPr="005B02FD">
        <w:rPr>
          <w:rStyle w:val="BlockTextChar"/>
        </w:rPr>
        <w:tab/>
        <w:t xml:space="preserve">– </w:t>
      </w:r>
      <w:r w:rsidRPr="005B02FD">
        <w:rPr>
          <w:rStyle w:val="BlockTextChar"/>
        </w:rPr>
        <w:tab/>
        <w:t>Commissioner’s Guideline</w:t>
      </w:r>
    </w:p>
    <w:p w:rsidR="005B02FD" w:rsidRPr="005B02FD" w:rsidRDefault="005B02FD" w:rsidP="004D5E80">
      <w:pPr>
        <w:pStyle w:val="BodyText"/>
        <w:tabs>
          <w:tab w:val="left" w:pos="1276"/>
          <w:tab w:val="left" w:pos="1560"/>
          <w:tab w:val="left" w:pos="2127"/>
        </w:tabs>
        <w:spacing w:after="0"/>
        <w:ind w:left="1418" w:hanging="158"/>
        <w:rPr>
          <w:rStyle w:val="BlockTextChar"/>
        </w:rPr>
      </w:pPr>
      <w:r>
        <w:rPr>
          <w:rFonts w:ascii="Arial" w:hAnsi="Arial" w:cs="Arial"/>
          <w:b/>
          <w:sz w:val="24"/>
          <w:szCs w:val="24"/>
        </w:rPr>
        <w:t>PTA</w:t>
      </w:r>
      <w:r>
        <w:rPr>
          <w:rFonts w:ascii="Arial" w:hAnsi="Arial" w:cs="Arial"/>
          <w:b/>
          <w:sz w:val="24"/>
          <w:szCs w:val="24"/>
        </w:rPr>
        <w:tab/>
      </w:r>
      <w:r w:rsidRPr="005B02FD">
        <w:rPr>
          <w:rStyle w:val="BlockTextChar"/>
        </w:rPr>
        <w:t>–</w:t>
      </w:r>
      <w:r>
        <w:rPr>
          <w:rFonts w:ascii="Arial" w:hAnsi="Arial" w:cs="Arial"/>
          <w:b/>
          <w:sz w:val="24"/>
          <w:szCs w:val="24"/>
        </w:rPr>
        <w:tab/>
      </w:r>
      <w:r w:rsidRPr="005B02FD">
        <w:rPr>
          <w:rStyle w:val="BlockTextChar"/>
        </w:rPr>
        <w:t>Payroll Tax Ruling</w:t>
      </w:r>
    </w:p>
    <w:p w:rsidR="005B02FD" w:rsidRPr="00655116" w:rsidRDefault="005B02FD" w:rsidP="004D5E80">
      <w:pPr>
        <w:pStyle w:val="BodyText"/>
        <w:tabs>
          <w:tab w:val="num" w:pos="851"/>
          <w:tab w:val="left" w:pos="1276"/>
          <w:tab w:val="left" w:pos="1560"/>
          <w:tab w:val="left" w:pos="2127"/>
        </w:tabs>
        <w:spacing w:after="0"/>
        <w:ind w:left="1418" w:hanging="158"/>
        <w:rPr>
          <w:rFonts w:ascii="Arial" w:hAnsi="Arial" w:cs="Arial"/>
          <w:sz w:val="24"/>
          <w:szCs w:val="24"/>
        </w:rPr>
      </w:pPr>
    </w:p>
    <w:p w:rsidR="005B02FD" w:rsidRPr="00655116" w:rsidRDefault="00BD443D" w:rsidP="001F56A6">
      <w:pPr>
        <w:pStyle w:val="BlockText"/>
        <w:numPr>
          <w:ilvl w:val="1"/>
          <w:numId w:val="3"/>
        </w:numPr>
      </w:pPr>
      <w:r>
        <w:br w:type="page"/>
      </w:r>
      <w:r w:rsidR="005B02FD">
        <w:lastRenderedPageBreak/>
        <w:t xml:space="preserve">For </w:t>
      </w:r>
      <w:r w:rsidR="005B02FD" w:rsidRPr="001F56A6">
        <w:t>Revenue</w:t>
      </w:r>
      <w:r w:rsidR="005B02FD">
        <w:t xml:space="preserve"> Circulars and Commissioner’s Guidelines, a</w:t>
      </w:r>
      <w:r w:rsidR="005B02FD" w:rsidRPr="00655116">
        <w:t xml:space="preserve"> code indicating the tax-line or grant scheme the subject of the Circular or Guideline</w:t>
      </w:r>
      <w:r w:rsidR="005B02FD">
        <w:t>, such as</w:t>
      </w:r>
      <w:r w:rsidR="005B02FD" w:rsidRPr="00655116">
        <w:t>:</w:t>
      </w:r>
    </w:p>
    <w:p w:rsidR="005B02FD" w:rsidRPr="005B02FD" w:rsidRDefault="005B02FD" w:rsidP="00F81E78">
      <w:pPr>
        <w:pStyle w:val="BodyText"/>
        <w:tabs>
          <w:tab w:val="left" w:pos="1276"/>
          <w:tab w:val="left" w:pos="1560"/>
          <w:tab w:val="left" w:pos="2127"/>
        </w:tabs>
        <w:spacing w:after="0"/>
        <w:ind w:left="2880" w:hanging="1620"/>
        <w:rPr>
          <w:rStyle w:val="BlockTextChar"/>
        </w:rPr>
      </w:pPr>
      <w:r w:rsidRPr="00655116">
        <w:rPr>
          <w:rFonts w:ascii="Arial" w:hAnsi="Arial" w:cs="Arial"/>
          <w:b/>
          <w:sz w:val="24"/>
          <w:szCs w:val="24"/>
        </w:rPr>
        <w:t>PRT</w:t>
      </w:r>
      <w:r w:rsidRPr="005B02FD">
        <w:rPr>
          <w:rStyle w:val="BlockTextChar"/>
        </w:rPr>
        <w:tab/>
        <w:t>–</w:t>
      </w:r>
      <w:r w:rsidRPr="005B02FD">
        <w:rPr>
          <w:rStyle w:val="BlockTextChar"/>
        </w:rPr>
        <w:tab/>
        <w:t xml:space="preserve">Payroll </w:t>
      </w:r>
      <w:r w:rsidR="00E650CB">
        <w:rPr>
          <w:rStyle w:val="BlockTextChar"/>
        </w:rPr>
        <w:t>t</w:t>
      </w:r>
      <w:r w:rsidRPr="005B02FD">
        <w:rPr>
          <w:rStyle w:val="BlockTextChar"/>
        </w:rPr>
        <w:t>ax</w:t>
      </w:r>
    </w:p>
    <w:p w:rsidR="005B02FD" w:rsidRPr="005B02FD" w:rsidRDefault="005B02FD" w:rsidP="00F81E78">
      <w:pPr>
        <w:pStyle w:val="BodyText"/>
        <w:tabs>
          <w:tab w:val="left" w:pos="1276"/>
          <w:tab w:val="left" w:pos="1560"/>
          <w:tab w:val="left" w:pos="2127"/>
        </w:tabs>
        <w:spacing w:after="0"/>
        <w:ind w:left="2880" w:hanging="1620"/>
        <w:rPr>
          <w:rStyle w:val="BlockTextChar"/>
        </w:rPr>
      </w:pPr>
      <w:r w:rsidRPr="00655116">
        <w:rPr>
          <w:rFonts w:ascii="Arial" w:hAnsi="Arial" w:cs="Arial"/>
          <w:b/>
          <w:sz w:val="24"/>
          <w:szCs w:val="24"/>
        </w:rPr>
        <w:t>SD</w:t>
      </w:r>
      <w:r w:rsidRPr="005B02FD">
        <w:rPr>
          <w:rStyle w:val="BlockTextChar"/>
        </w:rPr>
        <w:tab/>
        <w:t>–</w:t>
      </w:r>
      <w:r w:rsidRPr="005B02FD">
        <w:rPr>
          <w:rStyle w:val="BlockTextChar"/>
        </w:rPr>
        <w:tab/>
        <w:t xml:space="preserve">Stamp </w:t>
      </w:r>
      <w:r w:rsidR="00E650CB">
        <w:rPr>
          <w:rStyle w:val="BlockTextChar"/>
        </w:rPr>
        <w:t>d</w:t>
      </w:r>
      <w:r w:rsidRPr="005B02FD">
        <w:rPr>
          <w:rStyle w:val="BlockTextChar"/>
        </w:rPr>
        <w:t>uty</w:t>
      </w:r>
    </w:p>
    <w:p w:rsidR="005B02FD" w:rsidRPr="005B02FD" w:rsidRDefault="005B02FD" w:rsidP="00F81E78">
      <w:pPr>
        <w:pStyle w:val="BodyText"/>
        <w:tabs>
          <w:tab w:val="left" w:pos="1560"/>
          <w:tab w:val="left" w:pos="2127"/>
          <w:tab w:val="left" w:pos="4253"/>
        </w:tabs>
        <w:spacing w:after="0"/>
        <w:ind w:left="2880" w:hanging="1620"/>
        <w:rPr>
          <w:rStyle w:val="BlockTextChar"/>
        </w:rPr>
      </w:pPr>
      <w:r w:rsidRPr="00655116">
        <w:rPr>
          <w:rFonts w:ascii="Arial" w:hAnsi="Arial" w:cs="Arial"/>
          <w:b/>
          <w:sz w:val="24"/>
          <w:szCs w:val="24"/>
        </w:rPr>
        <w:t>HI</w:t>
      </w:r>
      <w:r w:rsidRPr="005B02FD">
        <w:rPr>
          <w:rStyle w:val="BlockTextChar"/>
        </w:rPr>
        <w:tab/>
        <w:t>–</w:t>
      </w:r>
      <w:r w:rsidRPr="005B02FD">
        <w:rPr>
          <w:rStyle w:val="BlockTextChar"/>
        </w:rPr>
        <w:tab/>
      </w:r>
      <w:r w:rsidR="006D3126" w:rsidRPr="005B02FD">
        <w:rPr>
          <w:rStyle w:val="BlockTextChar"/>
        </w:rPr>
        <w:t>–</w:t>
      </w:r>
      <w:r w:rsidR="006D3126">
        <w:rPr>
          <w:rStyle w:val="BlockTextChar"/>
        </w:rPr>
        <w:tab/>
      </w:r>
      <w:r w:rsidRPr="005B02FD">
        <w:rPr>
          <w:rStyle w:val="BlockTextChar"/>
        </w:rPr>
        <w:t xml:space="preserve">Home </w:t>
      </w:r>
      <w:r w:rsidR="00E650CB">
        <w:rPr>
          <w:rStyle w:val="BlockTextChar"/>
        </w:rPr>
        <w:t>o</w:t>
      </w:r>
      <w:r w:rsidR="00F81E78">
        <w:rPr>
          <w:rStyle w:val="BlockTextChar"/>
        </w:rPr>
        <w:t xml:space="preserve">wner </w:t>
      </w:r>
      <w:r w:rsidR="00E650CB">
        <w:rPr>
          <w:rStyle w:val="BlockTextChar"/>
        </w:rPr>
        <w:t>a</w:t>
      </w:r>
      <w:r w:rsidR="006D3126">
        <w:rPr>
          <w:rStyle w:val="BlockTextChar"/>
        </w:rPr>
        <w:t xml:space="preserve">ssistance </w:t>
      </w:r>
      <w:r w:rsidR="00E650CB">
        <w:rPr>
          <w:rStyle w:val="BlockTextChar"/>
        </w:rPr>
        <w:t>s</w:t>
      </w:r>
      <w:r w:rsidR="006D3126">
        <w:rPr>
          <w:rStyle w:val="BlockTextChar"/>
        </w:rPr>
        <w:t>chemes</w:t>
      </w:r>
    </w:p>
    <w:p w:rsidR="005B02FD" w:rsidRPr="005B02FD" w:rsidRDefault="005B02FD" w:rsidP="004D5E80">
      <w:pPr>
        <w:pStyle w:val="BodyText"/>
        <w:tabs>
          <w:tab w:val="left" w:pos="1276"/>
          <w:tab w:val="left" w:pos="2160"/>
        </w:tabs>
        <w:spacing w:after="0"/>
        <w:ind w:left="2880" w:hanging="1620"/>
        <w:rPr>
          <w:rStyle w:val="BlockTextChar"/>
        </w:rPr>
      </w:pPr>
      <w:r w:rsidRPr="00655116">
        <w:rPr>
          <w:rFonts w:ascii="Arial" w:hAnsi="Arial" w:cs="Arial"/>
          <w:b/>
          <w:sz w:val="24"/>
          <w:szCs w:val="24"/>
        </w:rPr>
        <w:t>GEN</w:t>
      </w:r>
      <w:r w:rsidRPr="005B02FD">
        <w:rPr>
          <w:rStyle w:val="BlockTextChar"/>
        </w:rPr>
        <w:tab/>
        <w:t>–</w:t>
      </w:r>
      <w:r w:rsidR="006D3126">
        <w:rPr>
          <w:rStyle w:val="BlockTextChar"/>
        </w:rPr>
        <w:tab/>
      </w:r>
      <w:r w:rsidR="00E650CB">
        <w:rPr>
          <w:rStyle w:val="BlockTextChar"/>
        </w:rPr>
        <w:t>General category, u</w:t>
      </w:r>
      <w:r w:rsidRPr="005B02FD">
        <w:rPr>
          <w:rStyle w:val="BlockTextChar"/>
        </w:rPr>
        <w:t>sed where more than one tax line is effected or for matters of general administration</w:t>
      </w:r>
    </w:p>
    <w:p w:rsidR="00F60442" w:rsidRDefault="005B02FD" w:rsidP="004D5E80">
      <w:pPr>
        <w:pStyle w:val="BlockText"/>
        <w:numPr>
          <w:ilvl w:val="1"/>
          <w:numId w:val="3"/>
        </w:numPr>
        <w:spacing w:before="120"/>
      </w:pPr>
      <w:r w:rsidRPr="001F56A6">
        <w:t>The</w:t>
      </w:r>
      <w:r w:rsidRPr="00655116">
        <w:t xml:space="preserve"> sequential number of the </w:t>
      </w:r>
      <w:r>
        <w:t xml:space="preserve">Revenue </w:t>
      </w:r>
      <w:r w:rsidRPr="00655116">
        <w:t>Circular</w:t>
      </w:r>
      <w:r>
        <w:t xml:space="preserve">, </w:t>
      </w:r>
      <w:r w:rsidRPr="00655116">
        <w:t>Commissioner’s Guideline</w:t>
      </w:r>
      <w:r>
        <w:t xml:space="preserve"> or Payroll Tax Ruling</w:t>
      </w:r>
      <w:r w:rsidRPr="00655116">
        <w:t>.</w:t>
      </w:r>
    </w:p>
    <w:p w:rsidR="00F60442" w:rsidRDefault="00F60442" w:rsidP="004D5E80">
      <w:pPr>
        <w:pStyle w:val="ExampleBox"/>
        <w:pBdr>
          <w:left w:val="single" w:sz="4" w:space="0" w:color="auto"/>
        </w:pBdr>
        <w:spacing w:after="240"/>
      </w:pPr>
      <w:r w:rsidRPr="00655116">
        <w:t>For example, this Guideline, being concerned with general administrative matters and the first of its type to be issued, is numbered CG-GEN-001.</w:t>
      </w:r>
    </w:p>
    <w:p w:rsidR="005B02FD" w:rsidRDefault="005B02FD" w:rsidP="004D5E80">
      <w:pPr>
        <w:pStyle w:val="BlockText"/>
        <w:tabs>
          <w:tab w:val="num" w:pos="567"/>
        </w:tabs>
      </w:pPr>
      <w:r w:rsidRPr="00655116">
        <w:t xml:space="preserve">Where Commissioner’s Guidelines </w:t>
      </w:r>
      <w:r>
        <w:t xml:space="preserve">or Payroll Tax Rulings </w:t>
      </w:r>
      <w:r w:rsidRPr="00655116">
        <w:t xml:space="preserve">are amended, a new version will be issued retaining the same number.  The version history for each Guideline </w:t>
      </w:r>
      <w:r>
        <w:t xml:space="preserve">or Ruling </w:t>
      </w:r>
      <w:r w:rsidRPr="00655116">
        <w:t>(including the date of effect) is set out at the beginning of the Guideline</w:t>
      </w:r>
      <w:r>
        <w:t xml:space="preserve"> or Ruling</w:t>
      </w:r>
      <w:r w:rsidRPr="00655116">
        <w:t>.</w:t>
      </w:r>
    </w:p>
    <w:p w:rsidR="00F60442" w:rsidRDefault="00E650CB" w:rsidP="004D5E80">
      <w:pPr>
        <w:pStyle w:val="BlockText"/>
        <w:tabs>
          <w:tab w:val="num" w:pos="567"/>
        </w:tabs>
      </w:pPr>
      <w:r>
        <w:t xml:space="preserve">The </w:t>
      </w:r>
      <w:r w:rsidR="000349E1">
        <w:t>numbering</w:t>
      </w:r>
      <w:r>
        <w:t xml:space="preserve"> system applied to</w:t>
      </w:r>
      <w:r w:rsidR="00F60442">
        <w:t xml:space="preserve"> Payroll Tax Ruling</w:t>
      </w:r>
      <w:r>
        <w:t xml:space="preserve">s has </w:t>
      </w:r>
      <w:r w:rsidR="00F60442">
        <w:t xml:space="preserve">been adopted by most other states and territories.  </w:t>
      </w:r>
      <w:r w:rsidR="00FD43FB">
        <w:t>W</w:t>
      </w:r>
      <w:r w:rsidR="00F60442">
        <w:t xml:space="preserve">here a Payroll Tax Ruling is unrelated to a particular state or territory, the number </w:t>
      </w:r>
      <w:r w:rsidR="00FD43FB">
        <w:t>belonging</w:t>
      </w:r>
      <w:r w:rsidR="00F60442">
        <w:t xml:space="preserve"> to that ruling will not be reassigned to a separate</w:t>
      </w:r>
      <w:r w:rsidR="00FD43FB">
        <w:t xml:space="preserve"> ruling</w:t>
      </w:r>
      <w:r w:rsidR="00F60442">
        <w:t>.</w:t>
      </w:r>
    </w:p>
    <w:p w:rsidR="005B02FD" w:rsidRPr="00952E68" w:rsidRDefault="005B02FD" w:rsidP="004D5E80">
      <w:pPr>
        <w:pStyle w:val="HeadingTwo"/>
        <w:pBdr>
          <w:bottom w:val="single" w:sz="4" w:space="0" w:color="auto"/>
        </w:pBdr>
      </w:pPr>
      <w:r w:rsidRPr="00952E68">
        <w:t>How Circulars, Guidelines</w:t>
      </w:r>
      <w:r>
        <w:t xml:space="preserve">, Rulings </w:t>
      </w:r>
      <w:r w:rsidRPr="00952E68">
        <w:t>and other publications are distributed</w:t>
      </w:r>
    </w:p>
    <w:p w:rsidR="005B02FD" w:rsidRPr="00952E68" w:rsidRDefault="005B02FD" w:rsidP="005B02FD">
      <w:pPr>
        <w:pStyle w:val="BlockText"/>
      </w:pPr>
      <w:r w:rsidRPr="00952E68">
        <w:t>Revenue Circulars</w:t>
      </w:r>
      <w:r>
        <w:t xml:space="preserve">, </w:t>
      </w:r>
      <w:r w:rsidRPr="00952E68">
        <w:t xml:space="preserve">Commissioner’s Guidelines, </w:t>
      </w:r>
      <w:r>
        <w:t xml:space="preserve">Payroll Tax Rulings </w:t>
      </w:r>
      <w:r w:rsidRPr="00952E68">
        <w:t>and the other TRO publications are all available from the TRO website (see address below). The practice of distributing hard copies was discontinued from 1 December</w:t>
      </w:r>
      <w:r>
        <w:t> </w:t>
      </w:r>
      <w:r w:rsidRPr="00952E68">
        <w:t>2007.</w:t>
      </w:r>
    </w:p>
    <w:p w:rsidR="005B02FD" w:rsidRDefault="005B02FD" w:rsidP="00A9379B">
      <w:pPr>
        <w:pStyle w:val="BlockText"/>
        <w:tabs>
          <w:tab w:val="num" w:pos="567"/>
        </w:tabs>
      </w:pPr>
      <w:r w:rsidRPr="00952E68">
        <w:t>To receive email advice whenever a new or amended TRO publication becomes available you can register for TRO’s Publications Management System. The Publications Management System allows you to specify which categories of information you wish to register for</w:t>
      </w:r>
      <w:r>
        <w:t>.</w:t>
      </w:r>
      <w:r w:rsidRPr="00952E68">
        <w:t xml:space="preserve"> </w:t>
      </w:r>
    </w:p>
    <w:p w:rsidR="005B02FD" w:rsidRDefault="005B02FD" w:rsidP="005B02FD">
      <w:pPr>
        <w:pStyle w:val="BlockText"/>
      </w:pPr>
      <w:r w:rsidRPr="00952E68">
        <w:t xml:space="preserve">To register click on the ‘Publications Management System’ link located under ‘Online Services’ on our web home page. </w:t>
      </w:r>
    </w:p>
    <w:p w:rsidR="00F65356" w:rsidRDefault="00F65356" w:rsidP="00F65356">
      <w:pPr>
        <w:pStyle w:val="HeadingTwo"/>
      </w:pPr>
      <w:r>
        <w:t>Date of effect</w:t>
      </w:r>
    </w:p>
    <w:p w:rsidR="00F65356" w:rsidRDefault="00F65356" w:rsidP="00453E4B">
      <w:pPr>
        <w:pStyle w:val="BlockText"/>
        <w:numPr>
          <w:ilvl w:val="0"/>
          <w:numId w:val="0"/>
        </w:numPr>
      </w:pPr>
      <w:r>
        <w:t>This version of the</w:t>
      </w:r>
      <w:r w:rsidR="00453E4B">
        <w:t xml:space="preserve"> Guideline takes effect from 1 July 2009</w:t>
      </w:r>
      <w:r w:rsidR="00BD443D">
        <w:t>.</w:t>
      </w:r>
    </w:p>
    <w:p w:rsidR="006034B6" w:rsidRDefault="00FF726F" w:rsidP="006034B6">
      <w:r>
        <w:rPr>
          <w:noProof/>
        </w:rPr>
        <w:drawing>
          <wp:anchor distT="0" distB="0" distL="114300" distR="114300" simplePos="0" relativeHeight="251657728" behindDoc="1" locked="0" layoutInCell="1" allowOverlap="1">
            <wp:simplePos x="0" y="0"/>
            <wp:positionH relativeFrom="column">
              <wp:posOffset>-228600</wp:posOffset>
            </wp:positionH>
            <wp:positionV relativeFrom="paragraph">
              <wp:posOffset>73660</wp:posOffset>
            </wp:positionV>
            <wp:extent cx="1600200" cy="5467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5467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3D9D" w:rsidRDefault="00AE3D9D" w:rsidP="006034B6"/>
    <w:p w:rsidR="00364D5F" w:rsidRDefault="00364D5F" w:rsidP="006034B6"/>
    <w:p w:rsidR="006034B6" w:rsidRDefault="00453E4B" w:rsidP="006034B6">
      <w:r>
        <w:t>Craig Vukman</w:t>
      </w:r>
    </w:p>
    <w:p w:rsidR="006034B6" w:rsidRPr="009E761E" w:rsidRDefault="009E761E" w:rsidP="006034B6">
      <w:r>
        <w:t>Commissioner of Territory Revenue</w:t>
      </w:r>
    </w:p>
    <w:p w:rsidR="006034B6" w:rsidRDefault="006034B6" w:rsidP="006034B6"/>
    <w:p w:rsidR="006034B6" w:rsidRDefault="006034B6" w:rsidP="006034B6">
      <w:r>
        <w:t>Date of Issue:</w:t>
      </w:r>
      <w:r w:rsidR="00453E4B">
        <w:t xml:space="preserve"> 1 July 2009</w:t>
      </w:r>
    </w:p>
    <w:p w:rsidR="006034B6" w:rsidRDefault="006034B6" w:rsidP="006034B6"/>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927"/>
        <w:gridCol w:w="4927"/>
      </w:tblGrid>
      <w:tr w:rsidR="006034B6" w:rsidRPr="00590C55" w:rsidTr="00590C55">
        <w:tc>
          <w:tcPr>
            <w:tcW w:w="9854" w:type="dxa"/>
            <w:gridSpan w:val="2"/>
            <w:shd w:val="clear" w:color="auto" w:fill="auto"/>
          </w:tcPr>
          <w:p w:rsidR="006034B6" w:rsidRPr="00590C55" w:rsidRDefault="006034B6" w:rsidP="006034B6">
            <w:pPr>
              <w:rPr>
                <w:sz w:val="20"/>
              </w:rPr>
            </w:pPr>
            <w:r w:rsidRPr="00590C55">
              <w:rPr>
                <w:sz w:val="20"/>
              </w:rPr>
              <w:t>For further information please contact the Territory Revenue Office:</w:t>
            </w:r>
          </w:p>
        </w:tc>
      </w:tr>
      <w:tr w:rsidR="006034B6" w:rsidRPr="00590C55" w:rsidTr="00590C55">
        <w:tc>
          <w:tcPr>
            <w:tcW w:w="4927" w:type="dxa"/>
            <w:shd w:val="clear" w:color="auto" w:fill="auto"/>
          </w:tcPr>
          <w:p w:rsidR="006034B6" w:rsidRPr="00590C55" w:rsidRDefault="006034B6" w:rsidP="006034B6">
            <w:pPr>
              <w:rPr>
                <w:sz w:val="20"/>
              </w:rPr>
            </w:pPr>
            <w:r w:rsidRPr="00590C55">
              <w:rPr>
                <w:sz w:val="20"/>
              </w:rPr>
              <w:t>GPO Box 1</w:t>
            </w:r>
            <w:r w:rsidR="00D92EA8">
              <w:rPr>
                <w:sz w:val="20"/>
              </w:rPr>
              <w:t>97</w:t>
            </w:r>
            <w:bookmarkStart w:id="0" w:name="_GoBack"/>
            <w:bookmarkEnd w:id="0"/>
            <w:r w:rsidRPr="00590C55">
              <w:rPr>
                <w:sz w:val="20"/>
              </w:rPr>
              <w:t>4</w:t>
            </w:r>
          </w:p>
          <w:p w:rsidR="006034B6" w:rsidRPr="00590C55" w:rsidRDefault="006034B6" w:rsidP="006034B6">
            <w:pPr>
              <w:rPr>
                <w:sz w:val="20"/>
              </w:rPr>
            </w:pPr>
            <w:r w:rsidRPr="00590C55">
              <w:rPr>
                <w:sz w:val="20"/>
              </w:rPr>
              <w:t>Darwin  NT  0801</w:t>
            </w:r>
          </w:p>
          <w:p w:rsidR="006034B6" w:rsidRPr="00590C55" w:rsidRDefault="006034B6" w:rsidP="00590C55">
            <w:pPr>
              <w:pStyle w:val="BlockText"/>
              <w:numPr>
                <w:ilvl w:val="0"/>
                <w:numId w:val="0"/>
              </w:numPr>
              <w:rPr>
                <w:sz w:val="20"/>
              </w:rPr>
            </w:pPr>
            <w:r w:rsidRPr="00590C55">
              <w:rPr>
                <w:sz w:val="20"/>
              </w:rPr>
              <w:t xml:space="preserve">Email: </w:t>
            </w:r>
            <w:hyperlink r:id="rId12" w:history="1">
              <w:r w:rsidR="00686C51" w:rsidRPr="004D5E80">
                <w:rPr>
                  <w:rStyle w:val="Hyperlink"/>
                  <w:sz w:val="20"/>
                </w:rPr>
                <w:t>ntrevenue@nt.gov.au</w:t>
              </w:r>
            </w:hyperlink>
          </w:p>
        </w:tc>
        <w:tc>
          <w:tcPr>
            <w:tcW w:w="4927" w:type="dxa"/>
            <w:shd w:val="clear" w:color="auto" w:fill="auto"/>
          </w:tcPr>
          <w:p w:rsidR="006034B6" w:rsidRPr="00590C55" w:rsidRDefault="006034B6" w:rsidP="006034B6">
            <w:pPr>
              <w:rPr>
                <w:sz w:val="20"/>
              </w:rPr>
            </w:pPr>
            <w:r w:rsidRPr="00590C55">
              <w:rPr>
                <w:sz w:val="20"/>
              </w:rPr>
              <w:t>Phone: 1300 305 353</w:t>
            </w:r>
          </w:p>
          <w:p w:rsidR="006034B6" w:rsidRPr="00590C55" w:rsidRDefault="006034B6" w:rsidP="006034B6">
            <w:pPr>
              <w:rPr>
                <w:sz w:val="20"/>
              </w:rPr>
            </w:pPr>
            <w:r w:rsidRPr="00590C55">
              <w:rPr>
                <w:sz w:val="20"/>
              </w:rPr>
              <w:t xml:space="preserve">Website: </w:t>
            </w:r>
            <w:hyperlink r:id="rId13" w:history="1">
              <w:r w:rsidRPr="00590C55">
                <w:rPr>
                  <w:rStyle w:val="Hyperlink"/>
                  <w:sz w:val="20"/>
                </w:rPr>
                <w:t>www.revenue.nt.gov.au</w:t>
              </w:r>
            </w:hyperlink>
          </w:p>
        </w:tc>
      </w:tr>
    </w:tbl>
    <w:p w:rsidR="006034B6" w:rsidRPr="00364D5F" w:rsidRDefault="006034B6" w:rsidP="00364D5F">
      <w:pPr>
        <w:tabs>
          <w:tab w:val="left" w:pos="3090"/>
        </w:tabs>
      </w:pPr>
    </w:p>
    <w:sectPr w:rsidR="006034B6" w:rsidRPr="00364D5F" w:rsidSect="00F65356">
      <w:headerReference w:type="even" r:id="rId14"/>
      <w:headerReference w:type="default" r:id="rId15"/>
      <w:footerReference w:type="default" r:id="rId16"/>
      <w:headerReference w:type="first" r:id="rId17"/>
      <w:footerReference w:type="first" r:id="rId18"/>
      <w:pgSz w:w="11906" w:h="16838"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779" w:rsidRDefault="000C4779">
      <w:r>
        <w:separator/>
      </w:r>
    </w:p>
  </w:endnote>
  <w:endnote w:type="continuationSeparator" w:id="0">
    <w:p w:rsidR="000C4779" w:rsidRDefault="000C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metr415 Lt BT">
    <w:altName w:val="Geometr415 Lt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033" w:rsidRDefault="00191033" w:rsidP="00364D5F">
    <w:pPr>
      <w:pStyle w:val="Footer"/>
      <w:tabs>
        <w:tab w:val="clear" w:pos="4153"/>
        <w:tab w:val="clear" w:pos="8306"/>
        <w:tab w:val="right" w:pos="9720"/>
      </w:tabs>
      <w:rPr>
        <w:sz w:val="16"/>
        <w:szCs w:val="16"/>
      </w:rPr>
    </w:pPr>
  </w:p>
  <w:p w:rsidR="00191033" w:rsidRPr="00364D5F" w:rsidRDefault="00191033"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D92EA8">
      <w:rPr>
        <w:noProof/>
        <w:sz w:val="16"/>
        <w:szCs w:val="16"/>
      </w:rPr>
      <w:t>3</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D92EA8">
      <w:rPr>
        <w:noProof/>
        <w:sz w:val="16"/>
        <w:szCs w:val="16"/>
      </w:rPr>
      <w:t>3</w:t>
    </w:r>
    <w:r w:rsidRPr="006034B6">
      <w:rPr>
        <w:sz w:val="16"/>
        <w:szCs w:val="16"/>
      </w:rPr>
      <w:fldChar w:fldCharType="end"/>
    </w:r>
    <w:r>
      <w:rPr>
        <w:sz w:val="16"/>
        <w:szCs w:val="16"/>
      </w:rPr>
      <w:tab/>
    </w:r>
    <w:r w:rsidR="00BD443D">
      <w:rPr>
        <w:sz w:val="16"/>
        <w:szCs w:val="16"/>
      </w:rPr>
      <w:t>CG-GEN-001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033" w:rsidRDefault="00191033" w:rsidP="00364D5F">
    <w:pPr>
      <w:pStyle w:val="Footer"/>
      <w:tabs>
        <w:tab w:val="clear" w:pos="4153"/>
        <w:tab w:val="clear" w:pos="8306"/>
        <w:tab w:val="right" w:pos="9720"/>
      </w:tabs>
      <w:rPr>
        <w:sz w:val="16"/>
        <w:szCs w:val="16"/>
      </w:rPr>
    </w:pPr>
  </w:p>
  <w:p w:rsidR="00191033" w:rsidRPr="006034B6" w:rsidRDefault="00191033"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D92EA8">
      <w:rPr>
        <w:noProof/>
        <w:sz w:val="16"/>
        <w:szCs w:val="16"/>
      </w:rPr>
      <w:t>1</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D92EA8">
      <w:rPr>
        <w:noProof/>
        <w:sz w:val="16"/>
        <w:szCs w:val="16"/>
      </w:rPr>
      <w:t>3</w:t>
    </w:r>
    <w:r w:rsidRPr="006034B6">
      <w:rPr>
        <w:sz w:val="16"/>
        <w:szCs w:val="16"/>
      </w:rPr>
      <w:fldChar w:fldCharType="end"/>
    </w:r>
    <w:r>
      <w:rPr>
        <w:sz w:val="16"/>
        <w:szCs w:val="16"/>
      </w:rPr>
      <w:tab/>
      <w:t>CG-</w:t>
    </w:r>
    <w:r w:rsidR="00BD443D">
      <w:rPr>
        <w:sz w:val="16"/>
        <w:szCs w:val="16"/>
      </w:rPr>
      <w:t>GEN-001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779" w:rsidRDefault="000C4779">
      <w:r>
        <w:separator/>
      </w:r>
    </w:p>
  </w:footnote>
  <w:footnote w:type="continuationSeparator" w:id="0">
    <w:p w:rsidR="000C4779" w:rsidRDefault="000C4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033" w:rsidRDefault="00191033" w:rsidP="00763A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1033" w:rsidRDefault="001910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033" w:rsidRPr="003765CD" w:rsidRDefault="00191033" w:rsidP="0019571B">
    <w:pPr>
      <w:pStyle w:val="NTTBodyText"/>
      <w:jc w:val="center"/>
      <w:rPr>
        <w:rStyle w:val="Heading2Ch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033" w:rsidRDefault="00FF726F" w:rsidP="0019571B">
    <w:pPr>
      <w:pStyle w:val="NTTHeaderInfo"/>
      <w:rPr>
        <w:b/>
        <w:noProof/>
      </w:rPr>
    </w:pPr>
    <w:r>
      <w:rPr>
        <w:b/>
        <w:noProof/>
      </w:rPr>
      <w:drawing>
        <wp:anchor distT="0" distB="0" distL="114300" distR="114300" simplePos="0" relativeHeight="251657728" behindDoc="1" locked="0" layoutInCell="1" allowOverlap="1">
          <wp:simplePos x="0" y="0"/>
          <wp:positionH relativeFrom="column">
            <wp:posOffset>-539115</wp:posOffset>
          </wp:positionH>
          <wp:positionV relativeFrom="paragraph">
            <wp:posOffset>-131445</wp:posOffset>
          </wp:positionV>
          <wp:extent cx="7115175" cy="895350"/>
          <wp:effectExtent l="0" t="0" r="0" b="0"/>
          <wp:wrapThrough wrapText="bothSides">
            <wp:wrapPolygon edited="0">
              <wp:start x="0" y="0"/>
              <wp:lineTo x="0" y="21140"/>
              <wp:lineTo x="21571" y="21140"/>
              <wp:lineTo x="21571" y="0"/>
              <wp:lineTo x="0" y="0"/>
            </wp:wrapPolygon>
          </wp:wrapThrough>
          <wp:docPr id="7" name="Picture 7" descr="D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TF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51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1033" w:rsidRDefault="00191033" w:rsidP="0019571B">
    <w:pPr>
      <w:pStyle w:val="NTTHeaderInfo"/>
      <w:rPr>
        <w:b/>
        <w:noProof/>
      </w:rPr>
    </w:pPr>
  </w:p>
  <w:p w:rsidR="00191033" w:rsidRDefault="00191033" w:rsidP="0019571B">
    <w:pPr>
      <w:pStyle w:val="NTTHeaderInfo"/>
      <w:rPr>
        <w:b/>
        <w:noProof/>
      </w:rPr>
    </w:pPr>
  </w:p>
  <w:p w:rsidR="00191033" w:rsidRDefault="00191033">
    <w:pPr>
      <w:pStyle w:val="Header"/>
    </w:pPr>
  </w:p>
  <w:p w:rsidR="00191033" w:rsidRDefault="00191033">
    <w:pPr>
      <w:pStyle w:val="Header"/>
    </w:pPr>
  </w:p>
  <w:p w:rsidR="00191033" w:rsidRDefault="00191033">
    <w:pPr>
      <w:pStyle w:val="Header"/>
    </w:pPr>
  </w:p>
  <w:p w:rsidR="00191033" w:rsidRDefault="00191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74482B0"/>
    <w:lvl w:ilvl="0">
      <w:start w:val="1"/>
      <w:numFmt w:val="decimal"/>
      <w:pStyle w:val="ListNumber"/>
      <w:lvlText w:val="%1."/>
      <w:lvlJc w:val="left"/>
      <w:pPr>
        <w:tabs>
          <w:tab w:val="num" w:pos="360"/>
        </w:tabs>
        <w:ind w:left="360" w:hanging="360"/>
      </w:pPr>
    </w:lvl>
  </w:abstractNum>
  <w:abstractNum w:abstractNumId="1" w15:restartNumberingAfterBreak="0">
    <w:nsid w:val="02D310B8"/>
    <w:multiLevelType w:val="multilevel"/>
    <w:tmpl w:val="6DA248D0"/>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A21D4B"/>
    <w:multiLevelType w:val="hybridMultilevel"/>
    <w:tmpl w:val="E1CE53AC"/>
    <w:lvl w:ilvl="0" w:tplc="C496680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D593059"/>
    <w:multiLevelType w:val="multilevel"/>
    <w:tmpl w:val="88F6EEB2"/>
    <w:numStyleLink w:val="Text"/>
  </w:abstractNum>
  <w:abstractNum w:abstractNumId="4" w15:restartNumberingAfterBreak="0">
    <w:nsid w:val="0FC94AA2"/>
    <w:multiLevelType w:val="singleLevel"/>
    <w:tmpl w:val="25184BCA"/>
    <w:lvl w:ilvl="0">
      <w:start w:val="1"/>
      <w:numFmt w:val="decimal"/>
      <w:lvlText w:val="(%1)"/>
      <w:lvlJc w:val="left"/>
      <w:pPr>
        <w:tabs>
          <w:tab w:val="num" w:pos="375"/>
        </w:tabs>
        <w:ind w:left="375" w:hanging="375"/>
      </w:pPr>
      <w:rPr>
        <w:rFonts w:hint="default"/>
      </w:rPr>
    </w:lvl>
  </w:abstractNum>
  <w:abstractNum w:abstractNumId="5" w15:restartNumberingAfterBreak="0">
    <w:nsid w:val="1E903CE7"/>
    <w:multiLevelType w:val="multilevel"/>
    <w:tmpl w:val="88F6EEB2"/>
    <w:styleLink w:val="Text"/>
    <w:lvl w:ilvl="0">
      <w:start w:val="1"/>
      <w:numFmt w:val="decimal"/>
      <w:pStyle w:val="BlockText"/>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3F0D1A6E"/>
    <w:multiLevelType w:val="multilevel"/>
    <w:tmpl w:val="74F6A72C"/>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39B51DF"/>
    <w:multiLevelType w:val="multilevel"/>
    <w:tmpl w:val="0C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8" w15:restartNumberingAfterBreak="0">
    <w:nsid w:val="4A167D1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C043CF6"/>
    <w:multiLevelType w:val="hybridMultilevel"/>
    <w:tmpl w:val="D9AC47FE"/>
    <w:lvl w:ilvl="0" w:tplc="BFF47E7C">
      <w:start w:val="1"/>
      <w:numFmt w:val="decimal"/>
      <w:lvlText w:val="%1)"/>
      <w:lvlJc w:val="left"/>
      <w:pPr>
        <w:tabs>
          <w:tab w:val="num" w:pos="720"/>
        </w:tabs>
        <w:ind w:left="720" w:hanging="72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5C591029"/>
    <w:multiLevelType w:val="singleLevel"/>
    <w:tmpl w:val="C4966800"/>
    <w:lvl w:ilvl="0">
      <w:start w:val="1"/>
      <w:numFmt w:val="decimal"/>
      <w:lvlText w:val="%1)"/>
      <w:lvlJc w:val="left"/>
      <w:pPr>
        <w:tabs>
          <w:tab w:val="num" w:pos="720"/>
        </w:tabs>
        <w:ind w:left="720" w:hanging="720"/>
      </w:pPr>
      <w:rPr>
        <w:rFonts w:hint="default"/>
      </w:rPr>
    </w:lvl>
  </w:abstractNum>
  <w:abstractNum w:abstractNumId="11" w15:restartNumberingAfterBreak="0">
    <w:nsid w:val="7294591F"/>
    <w:multiLevelType w:val="multilevel"/>
    <w:tmpl w:val="88F6EEB2"/>
    <w:numStyleLink w:val="Text"/>
  </w:abstractNum>
  <w:num w:numId="1">
    <w:abstractNumId w:val="11"/>
  </w:num>
  <w:num w:numId="2">
    <w:abstractNumId w:val="6"/>
  </w:num>
  <w:num w:numId="3">
    <w:abstractNumId w:val="5"/>
    <w:lvlOverride w:ilvl="0">
      <w:lvl w:ilvl="0">
        <w:start w:val="1"/>
        <w:numFmt w:val="decimal"/>
        <w:pStyle w:val="BlockText"/>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268"/>
          </w:tabs>
          <w:ind w:left="2268"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
    <w:abstractNumId w:val="1"/>
  </w:num>
  <w:num w:numId="5">
    <w:abstractNumId w:val="3"/>
  </w:num>
  <w:num w:numId="6">
    <w:abstractNumId w:val="7"/>
  </w:num>
  <w:num w:numId="7">
    <w:abstractNumId w:val="8"/>
  </w:num>
  <w:num w:numId="8">
    <w:abstractNumId w:val="0"/>
  </w:num>
  <w:num w:numId="9">
    <w:abstractNumId w:val="4"/>
  </w:num>
  <w:num w:numId="10">
    <w:abstractNumId w:val="10"/>
  </w:num>
  <w:num w:numId="11">
    <w:abstractNumId w:val="2"/>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JZOhZKswzYTzCkmk88rI3vOFsn0QakZihVIwvKvwUc8wtBYw/y3iH0GCrCFZBLMfB90Ek3Cs6nsO0tu3nheazg==" w:salt="Jtt8FBXuMsTgQ1y2T/o5t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2FD"/>
    <w:rsid w:val="000060BF"/>
    <w:rsid w:val="000064CB"/>
    <w:rsid w:val="000104AB"/>
    <w:rsid w:val="00010EEA"/>
    <w:rsid w:val="0002150C"/>
    <w:rsid w:val="00022413"/>
    <w:rsid w:val="00023645"/>
    <w:rsid w:val="00025614"/>
    <w:rsid w:val="000302C0"/>
    <w:rsid w:val="000333C6"/>
    <w:rsid w:val="000349E1"/>
    <w:rsid w:val="000376B2"/>
    <w:rsid w:val="000424F1"/>
    <w:rsid w:val="00042BC9"/>
    <w:rsid w:val="00045CCE"/>
    <w:rsid w:val="00046838"/>
    <w:rsid w:val="0005160E"/>
    <w:rsid w:val="00054E58"/>
    <w:rsid w:val="00055A15"/>
    <w:rsid w:val="00055F6E"/>
    <w:rsid w:val="000567BE"/>
    <w:rsid w:val="0005747B"/>
    <w:rsid w:val="00062400"/>
    <w:rsid w:val="00063A93"/>
    <w:rsid w:val="00063EAC"/>
    <w:rsid w:val="0006593D"/>
    <w:rsid w:val="00067AE5"/>
    <w:rsid w:val="00070001"/>
    <w:rsid w:val="000755D7"/>
    <w:rsid w:val="00081963"/>
    <w:rsid w:val="00081984"/>
    <w:rsid w:val="000917B2"/>
    <w:rsid w:val="00094D2B"/>
    <w:rsid w:val="000968BE"/>
    <w:rsid w:val="000A058E"/>
    <w:rsid w:val="000A1789"/>
    <w:rsid w:val="000A57FE"/>
    <w:rsid w:val="000A5BAB"/>
    <w:rsid w:val="000A5FAF"/>
    <w:rsid w:val="000A7ABD"/>
    <w:rsid w:val="000B1FE4"/>
    <w:rsid w:val="000C0DD5"/>
    <w:rsid w:val="000C2C04"/>
    <w:rsid w:val="000C3AD0"/>
    <w:rsid w:val="000C4779"/>
    <w:rsid w:val="000C5DAB"/>
    <w:rsid w:val="000D21B9"/>
    <w:rsid w:val="000D4683"/>
    <w:rsid w:val="000D760C"/>
    <w:rsid w:val="000E26E6"/>
    <w:rsid w:val="000E4D8E"/>
    <w:rsid w:val="000F7515"/>
    <w:rsid w:val="00112237"/>
    <w:rsid w:val="001171EA"/>
    <w:rsid w:val="00117E21"/>
    <w:rsid w:val="00117F5D"/>
    <w:rsid w:val="00120400"/>
    <w:rsid w:val="0012101B"/>
    <w:rsid w:val="0012610A"/>
    <w:rsid w:val="001271FF"/>
    <w:rsid w:val="0013250A"/>
    <w:rsid w:val="00134634"/>
    <w:rsid w:val="00135C96"/>
    <w:rsid w:val="001364CD"/>
    <w:rsid w:val="001407E2"/>
    <w:rsid w:val="001422DD"/>
    <w:rsid w:val="001521B6"/>
    <w:rsid w:val="00153959"/>
    <w:rsid w:val="00153AFD"/>
    <w:rsid w:val="001545F9"/>
    <w:rsid w:val="001579C2"/>
    <w:rsid w:val="00160881"/>
    <w:rsid w:val="0016262C"/>
    <w:rsid w:val="00164258"/>
    <w:rsid w:val="00164A3A"/>
    <w:rsid w:val="00166509"/>
    <w:rsid w:val="00176573"/>
    <w:rsid w:val="0018229E"/>
    <w:rsid w:val="00184056"/>
    <w:rsid w:val="00184984"/>
    <w:rsid w:val="00184B7C"/>
    <w:rsid w:val="00187674"/>
    <w:rsid w:val="00191033"/>
    <w:rsid w:val="00192F6F"/>
    <w:rsid w:val="0019571B"/>
    <w:rsid w:val="00196C1B"/>
    <w:rsid w:val="001971A1"/>
    <w:rsid w:val="0019771F"/>
    <w:rsid w:val="001A6196"/>
    <w:rsid w:val="001B2DF0"/>
    <w:rsid w:val="001B71AE"/>
    <w:rsid w:val="001B7AC7"/>
    <w:rsid w:val="001C422C"/>
    <w:rsid w:val="001C4568"/>
    <w:rsid w:val="001D27E9"/>
    <w:rsid w:val="001D4089"/>
    <w:rsid w:val="001D4FA3"/>
    <w:rsid w:val="001D5A9F"/>
    <w:rsid w:val="001D6742"/>
    <w:rsid w:val="001D69E9"/>
    <w:rsid w:val="001D7DC4"/>
    <w:rsid w:val="001E3578"/>
    <w:rsid w:val="001E6135"/>
    <w:rsid w:val="001F4991"/>
    <w:rsid w:val="001F5273"/>
    <w:rsid w:val="001F56A6"/>
    <w:rsid w:val="001F60FE"/>
    <w:rsid w:val="001F6B23"/>
    <w:rsid w:val="001F7B6E"/>
    <w:rsid w:val="0020232B"/>
    <w:rsid w:val="00204372"/>
    <w:rsid w:val="002048E7"/>
    <w:rsid w:val="00206981"/>
    <w:rsid w:val="00207E37"/>
    <w:rsid w:val="00210686"/>
    <w:rsid w:val="002115E6"/>
    <w:rsid w:val="00211ADE"/>
    <w:rsid w:val="00215A9D"/>
    <w:rsid w:val="0021684D"/>
    <w:rsid w:val="00220E1E"/>
    <w:rsid w:val="00221114"/>
    <w:rsid w:val="0022361B"/>
    <w:rsid w:val="00224644"/>
    <w:rsid w:val="0022584E"/>
    <w:rsid w:val="002306CE"/>
    <w:rsid w:val="0023083D"/>
    <w:rsid w:val="002374AC"/>
    <w:rsid w:val="00237B7C"/>
    <w:rsid w:val="00242910"/>
    <w:rsid w:val="002440CC"/>
    <w:rsid w:val="0024555A"/>
    <w:rsid w:val="002466CE"/>
    <w:rsid w:val="002524C0"/>
    <w:rsid w:val="002526A8"/>
    <w:rsid w:val="00252EA3"/>
    <w:rsid w:val="0025439F"/>
    <w:rsid w:val="002545A4"/>
    <w:rsid w:val="002546CB"/>
    <w:rsid w:val="002548C6"/>
    <w:rsid w:val="002555DE"/>
    <w:rsid w:val="00271740"/>
    <w:rsid w:val="0027710E"/>
    <w:rsid w:val="00281237"/>
    <w:rsid w:val="002863EF"/>
    <w:rsid w:val="00295BEF"/>
    <w:rsid w:val="00297E74"/>
    <w:rsid w:val="002A03A5"/>
    <w:rsid w:val="002A3775"/>
    <w:rsid w:val="002A5567"/>
    <w:rsid w:val="002A5623"/>
    <w:rsid w:val="002A7D1F"/>
    <w:rsid w:val="002B1738"/>
    <w:rsid w:val="002B4FBF"/>
    <w:rsid w:val="002C0386"/>
    <w:rsid w:val="002C1DA7"/>
    <w:rsid w:val="002C267D"/>
    <w:rsid w:val="002D4686"/>
    <w:rsid w:val="002D5D00"/>
    <w:rsid w:val="002D6B9D"/>
    <w:rsid w:val="002D700A"/>
    <w:rsid w:val="002D7B81"/>
    <w:rsid w:val="002E1CE1"/>
    <w:rsid w:val="00301586"/>
    <w:rsid w:val="00307F79"/>
    <w:rsid w:val="00311AB6"/>
    <w:rsid w:val="00314B99"/>
    <w:rsid w:val="00314C98"/>
    <w:rsid w:val="00314E75"/>
    <w:rsid w:val="00323FDD"/>
    <w:rsid w:val="00327C11"/>
    <w:rsid w:val="00330CA3"/>
    <w:rsid w:val="00332D45"/>
    <w:rsid w:val="00340212"/>
    <w:rsid w:val="00343BDF"/>
    <w:rsid w:val="003455BA"/>
    <w:rsid w:val="003458E7"/>
    <w:rsid w:val="00350C52"/>
    <w:rsid w:val="00350DA3"/>
    <w:rsid w:val="0035373D"/>
    <w:rsid w:val="00354185"/>
    <w:rsid w:val="00354627"/>
    <w:rsid w:val="00355A73"/>
    <w:rsid w:val="00355AD3"/>
    <w:rsid w:val="003566B4"/>
    <w:rsid w:val="003627B1"/>
    <w:rsid w:val="003649F0"/>
    <w:rsid w:val="00364D5F"/>
    <w:rsid w:val="00365875"/>
    <w:rsid w:val="003659AD"/>
    <w:rsid w:val="00371470"/>
    <w:rsid w:val="00371523"/>
    <w:rsid w:val="00371DC6"/>
    <w:rsid w:val="00371E1A"/>
    <w:rsid w:val="003765CD"/>
    <w:rsid w:val="00385103"/>
    <w:rsid w:val="00386424"/>
    <w:rsid w:val="00386D5A"/>
    <w:rsid w:val="0038749B"/>
    <w:rsid w:val="00393DD6"/>
    <w:rsid w:val="00394D70"/>
    <w:rsid w:val="0039737A"/>
    <w:rsid w:val="003A1552"/>
    <w:rsid w:val="003A525E"/>
    <w:rsid w:val="003A7455"/>
    <w:rsid w:val="003B21D5"/>
    <w:rsid w:val="003B4A50"/>
    <w:rsid w:val="003B4C4C"/>
    <w:rsid w:val="003B680A"/>
    <w:rsid w:val="003C1073"/>
    <w:rsid w:val="003C6832"/>
    <w:rsid w:val="003D0F41"/>
    <w:rsid w:val="003D26A8"/>
    <w:rsid w:val="003D3D24"/>
    <w:rsid w:val="003D400C"/>
    <w:rsid w:val="003D5245"/>
    <w:rsid w:val="003E23F6"/>
    <w:rsid w:val="003E5274"/>
    <w:rsid w:val="003E62DE"/>
    <w:rsid w:val="003F5E2C"/>
    <w:rsid w:val="003F70DD"/>
    <w:rsid w:val="003F7195"/>
    <w:rsid w:val="003F73D3"/>
    <w:rsid w:val="003F7433"/>
    <w:rsid w:val="003F7BDE"/>
    <w:rsid w:val="00401F0A"/>
    <w:rsid w:val="004050CF"/>
    <w:rsid w:val="0041111B"/>
    <w:rsid w:val="004124F6"/>
    <w:rsid w:val="00412F76"/>
    <w:rsid w:val="004130A1"/>
    <w:rsid w:val="0041454C"/>
    <w:rsid w:val="004154A9"/>
    <w:rsid w:val="0041637D"/>
    <w:rsid w:val="0041795D"/>
    <w:rsid w:val="00424DCE"/>
    <w:rsid w:val="004302A2"/>
    <w:rsid w:val="00430725"/>
    <w:rsid w:val="00431E0A"/>
    <w:rsid w:val="00432945"/>
    <w:rsid w:val="00434F1E"/>
    <w:rsid w:val="004362E6"/>
    <w:rsid w:val="004379E6"/>
    <w:rsid w:val="004407DC"/>
    <w:rsid w:val="00453E4B"/>
    <w:rsid w:val="0045415A"/>
    <w:rsid w:val="0045697A"/>
    <w:rsid w:val="00456CDA"/>
    <w:rsid w:val="004572A6"/>
    <w:rsid w:val="00461243"/>
    <w:rsid w:val="00463743"/>
    <w:rsid w:val="004646F7"/>
    <w:rsid w:val="00465AB2"/>
    <w:rsid w:val="00466FB5"/>
    <w:rsid w:val="00470036"/>
    <w:rsid w:val="004707BC"/>
    <w:rsid w:val="004726D4"/>
    <w:rsid w:val="00473F14"/>
    <w:rsid w:val="004742EA"/>
    <w:rsid w:val="004743B6"/>
    <w:rsid w:val="00474B80"/>
    <w:rsid w:val="00476314"/>
    <w:rsid w:val="00481F7B"/>
    <w:rsid w:val="00482184"/>
    <w:rsid w:val="00482C30"/>
    <w:rsid w:val="00490396"/>
    <w:rsid w:val="0049040E"/>
    <w:rsid w:val="004909A0"/>
    <w:rsid w:val="00492379"/>
    <w:rsid w:val="004941E5"/>
    <w:rsid w:val="00494D6F"/>
    <w:rsid w:val="004A5CE6"/>
    <w:rsid w:val="004A60E1"/>
    <w:rsid w:val="004B003D"/>
    <w:rsid w:val="004B39EB"/>
    <w:rsid w:val="004B4B9D"/>
    <w:rsid w:val="004C0D46"/>
    <w:rsid w:val="004C12DE"/>
    <w:rsid w:val="004C5782"/>
    <w:rsid w:val="004C5891"/>
    <w:rsid w:val="004C6027"/>
    <w:rsid w:val="004D04AA"/>
    <w:rsid w:val="004D3B44"/>
    <w:rsid w:val="004D5E80"/>
    <w:rsid w:val="004E09CA"/>
    <w:rsid w:val="004E294C"/>
    <w:rsid w:val="004E391B"/>
    <w:rsid w:val="004E502F"/>
    <w:rsid w:val="004E5F24"/>
    <w:rsid w:val="004E69E8"/>
    <w:rsid w:val="004F103E"/>
    <w:rsid w:val="004F74F8"/>
    <w:rsid w:val="00500BE6"/>
    <w:rsid w:val="0050534D"/>
    <w:rsid w:val="00510ABA"/>
    <w:rsid w:val="0051194C"/>
    <w:rsid w:val="00513926"/>
    <w:rsid w:val="00516D27"/>
    <w:rsid w:val="00517382"/>
    <w:rsid w:val="005205CA"/>
    <w:rsid w:val="00520F76"/>
    <w:rsid w:val="00522191"/>
    <w:rsid w:val="005247E5"/>
    <w:rsid w:val="00525881"/>
    <w:rsid w:val="0052614B"/>
    <w:rsid w:val="0052675D"/>
    <w:rsid w:val="00526B7A"/>
    <w:rsid w:val="00530165"/>
    <w:rsid w:val="005302CE"/>
    <w:rsid w:val="00532754"/>
    <w:rsid w:val="00536F37"/>
    <w:rsid w:val="00537837"/>
    <w:rsid w:val="005400EA"/>
    <w:rsid w:val="005419BC"/>
    <w:rsid w:val="005428F8"/>
    <w:rsid w:val="00542966"/>
    <w:rsid w:val="00545D20"/>
    <w:rsid w:val="005475C0"/>
    <w:rsid w:val="00547681"/>
    <w:rsid w:val="00551CBC"/>
    <w:rsid w:val="00555249"/>
    <w:rsid w:val="0056224B"/>
    <w:rsid w:val="005628C3"/>
    <w:rsid w:val="00566890"/>
    <w:rsid w:val="005707AB"/>
    <w:rsid w:val="00572867"/>
    <w:rsid w:val="00573A16"/>
    <w:rsid w:val="0058140E"/>
    <w:rsid w:val="00581D64"/>
    <w:rsid w:val="00582D7B"/>
    <w:rsid w:val="005855C5"/>
    <w:rsid w:val="0058646E"/>
    <w:rsid w:val="00587446"/>
    <w:rsid w:val="00590C55"/>
    <w:rsid w:val="00596353"/>
    <w:rsid w:val="00596B7E"/>
    <w:rsid w:val="005A0101"/>
    <w:rsid w:val="005A6A98"/>
    <w:rsid w:val="005A6EAB"/>
    <w:rsid w:val="005B02FD"/>
    <w:rsid w:val="005B03D6"/>
    <w:rsid w:val="005B3B6D"/>
    <w:rsid w:val="005B419B"/>
    <w:rsid w:val="005B43D5"/>
    <w:rsid w:val="005B4B9A"/>
    <w:rsid w:val="005B5511"/>
    <w:rsid w:val="005D0992"/>
    <w:rsid w:val="005D4468"/>
    <w:rsid w:val="005D54FC"/>
    <w:rsid w:val="005E5A0B"/>
    <w:rsid w:val="005E722D"/>
    <w:rsid w:val="005F0CAA"/>
    <w:rsid w:val="005F1765"/>
    <w:rsid w:val="005F21D9"/>
    <w:rsid w:val="005F2627"/>
    <w:rsid w:val="006023B8"/>
    <w:rsid w:val="0060284F"/>
    <w:rsid w:val="006034B6"/>
    <w:rsid w:val="00605813"/>
    <w:rsid w:val="00605CAB"/>
    <w:rsid w:val="006102F8"/>
    <w:rsid w:val="00612FBB"/>
    <w:rsid w:val="0061625F"/>
    <w:rsid w:val="006226DC"/>
    <w:rsid w:val="00623756"/>
    <w:rsid w:val="00624CDA"/>
    <w:rsid w:val="00626B28"/>
    <w:rsid w:val="00630FFB"/>
    <w:rsid w:val="00632A1A"/>
    <w:rsid w:val="00634CF3"/>
    <w:rsid w:val="00635C62"/>
    <w:rsid w:val="00635F78"/>
    <w:rsid w:val="00645230"/>
    <w:rsid w:val="00645F0D"/>
    <w:rsid w:val="006501B7"/>
    <w:rsid w:val="00654280"/>
    <w:rsid w:val="006552F7"/>
    <w:rsid w:val="006575EA"/>
    <w:rsid w:val="0066709F"/>
    <w:rsid w:val="006831AE"/>
    <w:rsid w:val="00686C51"/>
    <w:rsid w:val="0069461E"/>
    <w:rsid w:val="006A21A5"/>
    <w:rsid w:val="006A30C4"/>
    <w:rsid w:val="006A356D"/>
    <w:rsid w:val="006B002A"/>
    <w:rsid w:val="006B0776"/>
    <w:rsid w:val="006B19DB"/>
    <w:rsid w:val="006B3D13"/>
    <w:rsid w:val="006B455C"/>
    <w:rsid w:val="006B605D"/>
    <w:rsid w:val="006B7698"/>
    <w:rsid w:val="006C05D0"/>
    <w:rsid w:val="006C1229"/>
    <w:rsid w:val="006C12B1"/>
    <w:rsid w:val="006C360A"/>
    <w:rsid w:val="006D0C05"/>
    <w:rsid w:val="006D19A1"/>
    <w:rsid w:val="006D3126"/>
    <w:rsid w:val="006D34E1"/>
    <w:rsid w:val="006D7D4A"/>
    <w:rsid w:val="006E03DB"/>
    <w:rsid w:val="006E0735"/>
    <w:rsid w:val="006E32F6"/>
    <w:rsid w:val="006E3A88"/>
    <w:rsid w:val="006E3FC6"/>
    <w:rsid w:val="006E79AA"/>
    <w:rsid w:val="006F1AB6"/>
    <w:rsid w:val="006F56AA"/>
    <w:rsid w:val="006F5C85"/>
    <w:rsid w:val="00700C9F"/>
    <w:rsid w:val="00703666"/>
    <w:rsid w:val="0070603B"/>
    <w:rsid w:val="00706F00"/>
    <w:rsid w:val="00713E0D"/>
    <w:rsid w:val="00720153"/>
    <w:rsid w:val="00724967"/>
    <w:rsid w:val="00731530"/>
    <w:rsid w:val="00736DB7"/>
    <w:rsid w:val="0074419C"/>
    <w:rsid w:val="007445E4"/>
    <w:rsid w:val="007501B1"/>
    <w:rsid w:val="0075176D"/>
    <w:rsid w:val="0075179B"/>
    <w:rsid w:val="007553B7"/>
    <w:rsid w:val="00755BFC"/>
    <w:rsid w:val="007572CE"/>
    <w:rsid w:val="00757465"/>
    <w:rsid w:val="00761932"/>
    <w:rsid w:val="00762067"/>
    <w:rsid w:val="00762918"/>
    <w:rsid w:val="00762969"/>
    <w:rsid w:val="00763A20"/>
    <w:rsid w:val="00767E45"/>
    <w:rsid w:val="007719DE"/>
    <w:rsid w:val="007735E7"/>
    <w:rsid w:val="00773B36"/>
    <w:rsid w:val="00777491"/>
    <w:rsid w:val="00780551"/>
    <w:rsid w:val="00780F8C"/>
    <w:rsid w:val="007817A1"/>
    <w:rsid w:val="007829AE"/>
    <w:rsid w:val="00784A94"/>
    <w:rsid w:val="00787076"/>
    <w:rsid w:val="00791ACA"/>
    <w:rsid w:val="00797A22"/>
    <w:rsid w:val="007A07E8"/>
    <w:rsid w:val="007A442B"/>
    <w:rsid w:val="007A4587"/>
    <w:rsid w:val="007A553D"/>
    <w:rsid w:val="007B1307"/>
    <w:rsid w:val="007B51DD"/>
    <w:rsid w:val="007B7CC0"/>
    <w:rsid w:val="007C0304"/>
    <w:rsid w:val="007C0E96"/>
    <w:rsid w:val="007C1D40"/>
    <w:rsid w:val="007C4B87"/>
    <w:rsid w:val="007C62CA"/>
    <w:rsid w:val="007C71F4"/>
    <w:rsid w:val="007D290F"/>
    <w:rsid w:val="007D34CA"/>
    <w:rsid w:val="007D40A4"/>
    <w:rsid w:val="007D4D03"/>
    <w:rsid w:val="007D7071"/>
    <w:rsid w:val="007E4470"/>
    <w:rsid w:val="007E6321"/>
    <w:rsid w:val="007E6726"/>
    <w:rsid w:val="007F0790"/>
    <w:rsid w:val="007F10F3"/>
    <w:rsid w:val="007F23CE"/>
    <w:rsid w:val="007F3D47"/>
    <w:rsid w:val="007F458D"/>
    <w:rsid w:val="007F5FDB"/>
    <w:rsid w:val="007F658A"/>
    <w:rsid w:val="007F78D8"/>
    <w:rsid w:val="008049A2"/>
    <w:rsid w:val="00807DD2"/>
    <w:rsid w:val="0081131C"/>
    <w:rsid w:val="00821BA6"/>
    <w:rsid w:val="00824BAA"/>
    <w:rsid w:val="00824DF7"/>
    <w:rsid w:val="00827A50"/>
    <w:rsid w:val="008323D0"/>
    <w:rsid w:val="00832DC1"/>
    <w:rsid w:val="0084462A"/>
    <w:rsid w:val="008525BF"/>
    <w:rsid w:val="00854345"/>
    <w:rsid w:val="00855DA8"/>
    <w:rsid w:val="008618DE"/>
    <w:rsid w:val="008642D5"/>
    <w:rsid w:val="00864645"/>
    <w:rsid w:val="00865384"/>
    <w:rsid w:val="00866773"/>
    <w:rsid w:val="00874692"/>
    <w:rsid w:val="00875635"/>
    <w:rsid w:val="00880CC9"/>
    <w:rsid w:val="0088327C"/>
    <w:rsid w:val="0088762D"/>
    <w:rsid w:val="008877ED"/>
    <w:rsid w:val="00890996"/>
    <w:rsid w:val="00890DB6"/>
    <w:rsid w:val="008933D8"/>
    <w:rsid w:val="008A0085"/>
    <w:rsid w:val="008A0833"/>
    <w:rsid w:val="008A0912"/>
    <w:rsid w:val="008A0DC2"/>
    <w:rsid w:val="008A3E60"/>
    <w:rsid w:val="008A43A5"/>
    <w:rsid w:val="008A7265"/>
    <w:rsid w:val="008B23E9"/>
    <w:rsid w:val="008B3039"/>
    <w:rsid w:val="008C0559"/>
    <w:rsid w:val="008C1207"/>
    <w:rsid w:val="008C3763"/>
    <w:rsid w:val="008D038F"/>
    <w:rsid w:val="008D0BA9"/>
    <w:rsid w:val="008D2392"/>
    <w:rsid w:val="008D5BB0"/>
    <w:rsid w:val="008D7117"/>
    <w:rsid w:val="008E1DC7"/>
    <w:rsid w:val="008E5AC0"/>
    <w:rsid w:val="008E6244"/>
    <w:rsid w:val="008F2A38"/>
    <w:rsid w:val="008F3E64"/>
    <w:rsid w:val="008F5DAC"/>
    <w:rsid w:val="008F7654"/>
    <w:rsid w:val="0090131A"/>
    <w:rsid w:val="00902884"/>
    <w:rsid w:val="00903EAE"/>
    <w:rsid w:val="009069DD"/>
    <w:rsid w:val="0091589D"/>
    <w:rsid w:val="009312EE"/>
    <w:rsid w:val="00931A46"/>
    <w:rsid w:val="009329EC"/>
    <w:rsid w:val="009342C0"/>
    <w:rsid w:val="00944373"/>
    <w:rsid w:val="00944463"/>
    <w:rsid w:val="0094548B"/>
    <w:rsid w:val="00945A49"/>
    <w:rsid w:val="00947358"/>
    <w:rsid w:val="00951504"/>
    <w:rsid w:val="00955AC5"/>
    <w:rsid w:val="00956834"/>
    <w:rsid w:val="0096299F"/>
    <w:rsid w:val="00966B8B"/>
    <w:rsid w:val="00971B1A"/>
    <w:rsid w:val="00972562"/>
    <w:rsid w:val="0097383F"/>
    <w:rsid w:val="00981A37"/>
    <w:rsid w:val="00981DD0"/>
    <w:rsid w:val="009912B8"/>
    <w:rsid w:val="00993121"/>
    <w:rsid w:val="0099370B"/>
    <w:rsid w:val="00993BA5"/>
    <w:rsid w:val="009A4C0F"/>
    <w:rsid w:val="009A5957"/>
    <w:rsid w:val="009A5B4C"/>
    <w:rsid w:val="009A75A0"/>
    <w:rsid w:val="009B08B2"/>
    <w:rsid w:val="009B13A1"/>
    <w:rsid w:val="009B1546"/>
    <w:rsid w:val="009B1644"/>
    <w:rsid w:val="009C414E"/>
    <w:rsid w:val="009D0425"/>
    <w:rsid w:val="009D1CC1"/>
    <w:rsid w:val="009D385D"/>
    <w:rsid w:val="009D5D56"/>
    <w:rsid w:val="009D5DA2"/>
    <w:rsid w:val="009E0273"/>
    <w:rsid w:val="009E1CE4"/>
    <w:rsid w:val="009E2103"/>
    <w:rsid w:val="009E21DC"/>
    <w:rsid w:val="009E7450"/>
    <w:rsid w:val="009E761E"/>
    <w:rsid w:val="009F372D"/>
    <w:rsid w:val="009F3A74"/>
    <w:rsid w:val="009F48CB"/>
    <w:rsid w:val="009F5A99"/>
    <w:rsid w:val="009F6DAD"/>
    <w:rsid w:val="009F73C1"/>
    <w:rsid w:val="009F759A"/>
    <w:rsid w:val="00A00C96"/>
    <w:rsid w:val="00A00F49"/>
    <w:rsid w:val="00A00FF6"/>
    <w:rsid w:val="00A03DF6"/>
    <w:rsid w:val="00A047F2"/>
    <w:rsid w:val="00A06FB0"/>
    <w:rsid w:val="00A10398"/>
    <w:rsid w:val="00A10DB1"/>
    <w:rsid w:val="00A15B51"/>
    <w:rsid w:val="00A16927"/>
    <w:rsid w:val="00A2194D"/>
    <w:rsid w:val="00A23E15"/>
    <w:rsid w:val="00A255CB"/>
    <w:rsid w:val="00A27062"/>
    <w:rsid w:val="00A271E9"/>
    <w:rsid w:val="00A3089F"/>
    <w:rsid w:val="00A30A6C"/>
    <w:rsid w:val="00A36699"/>
    <w:rsid w:val="00A45774"/>
    <w:rsid w:val="00A47EC0"/>
    <w:rsid w:val="00A537CF"/>
    <w:rsid w:val="00A5494C"/>
    <w:rsid w:val="00A55ECC"/>
    <w:rsid w:val="00A57A39"/>
    <w:rsid w:val="00A60570"/>
    <w:rsid w:val="00A608B1"/>
    <w:rsid w:val="00A641DF"/>
    <w:rsid w:val="00A65BF5"/>
    <w:rsid w:val="00A7187B"/>
    <w:rsid w:val="00A728DB"/>
    <w:rsid w:val="00A73C0C"/>
    <w:rsid w:val="00A8134F"/>
    <w:rsid w:val="00A81BDC"/>
    <w:rsid w:val="00A82727"/>
    <w:rsid w:val="00A8454A"/>
    <w:rsid w:val="00A84B88"/>
    <w:rsid w:val="00A9379B"/>
    <w:rsid w:val="00A94CD2"/>
    <w:rsid w:val="00A968CE"/>
    <w:rsid w:val="00A97CCB"/>
    <w:rsid w:val="00AA04C3"/>
    <w:rsid w:val="00AA0714"/>
    <w:rsid w:val="00AA548A"/>
    <w:rsid w:val="00AA6273"/>
    <w:rsid w:val="00AA632B"/>
    <w:rsid w:val="00AA7082"/>
    <w:rsid w:val="00AB1281"/>
    <w:rsid w:val="00AB22EA"/>
    <w:rsid w:val="00AB3949"/>
    <w:rsid w:val="00AB3EA7"/>
    <w:rsid w:val="00AB4AB1"/>
    <w:rsid w:val="00AB5CE5"/>
    <w:rsid w:val="00AC0479"/>
    <w:rsid w:val="00AC5873"/>
    <w:rsid w:val="00AC61E5"/>
    <w:rsid w:val="00AC6677"/>
    <w:rsid w:val="00AD2225"/>
    <w:rsid w:val="00AD5CC0"/>
    <w:rsid w:val="00AD5EAB"/>
    <w:rsid w:val="00AD5EAF"/>
    <w:rsid w:val="00AE0B75"/>
    <w:rsid w:val="00AE2154"/>
    <w:rsid w:val="00AE3D9D"/>
    <w:rsid w:val="00AF2DB3"/>
    <w:rsid w:val="00AF35EB"/>
    <w:rsid w:val="00AF42F0"/>
    <w:rsid w:val="00AF5B58"/>
    <w:rsid w:val="00B0128A"/>
    <w:rsid w:val="00B01BD5"/>
    <w:rsid w:val="00B02AB8"/>
    <w:rsid w:val="00B03943"/>
    <w:rsid w:val="00B11074"/>
    <w:rsid w:val="00B142D1"/>
    <w:rsid w:val="00B14E33"/>
    <w:rsid w:val="00B1670C"/>
    <w:rsid w:val="00B16B84"/>
    <w:rsid w:val="00B17B7E"/>
    <w:rsid w:val="00B21D03"/>
    <w:rsid w:val="00B23100"/>
    <w:rsid w:val="00B24316"/>
    <w:rsid w:val="00B407CC"/>
    <w:rsid w:val="00B5270D"/>
    <w:rsid w:val="00B54F76"/>
    <w:rsid w:val="00B555A0"/>
    <w:rsid w:val="00B60FD0"/>
    <w:rsid w:val="00B621B6"/>
    <w:rsid w:val="00B63555"/>
    <w:rsid w:val="00B71990"/>
    <w:rsid w:val="00B71D61"/>
    <w:rsid w:val="00B828A5"/>
    <w:rsid w:val="00B82C46"/>
    <w:rsid w:val="00B85594"/>
    <w:rsid w:val="00B921A2"/>
    <w:rsid w:val="00BA093E"/>
    <w:rsid w:val="00BA0D70"/>
    <w:rsid w:val="00BA24A6"/>
    <w:rsid w:val="00BA263D"/>
    <w:rsid w:val="00BA2971"/>
    <w:rsid w:val="00BA3777"/>
    <w:rsid w:val="00BA48FA"/>
    <w:rsid w:val="00BA4ABE"/>
    <w:rsid w:val="00BA63DE"/>
    <w:rsid w:val="00BA6FAF"/>
    <w:rsid w:val="00BB0A32"/>
    <w:rsid w:val="00BB0B06"/>
    <w:rsid w:val="00BB2188"/>
    <w:rsid w:val="00BC0077"/>
    <w:rsid w:val="00BC590E"/>
    <w:rsid w:val="00BD047B"/>
    <w:rsid w:val="00BD2B44"/>
    <w:rsid w:val="00BD2C00"/>
    <w:rsid w:val="00BD443D"/>
    <w:rsid w:val="00BE1391"/>
    <w:rsid w:val="00BE71B8"/>
    <w:rsid w:val="00BE7723"/>
    <w:rsid w:val="00BE7D5F"/>
    <w:rsid w:val="00BF25BF"/>
    <w:rsid w:val="00BF59C3"/>
    <w:rsid w:val="00BF618D"/>
    <w:rsid w:val="00BF79D3"/>
    <w:rsid w:val="00BF7C7C"/>
    <w:rsid w:val="00C02729"/>
    <w:rsid w:val="00C03D88"/>
    <w:rsid w:val="00C03F77"/>
    <w:rsid w:val="00C04FF1"/>
    <w:rsid w:val="00C1093F"/>
    <w:rsid w:val="00C12329"/>
    <w:rsid w:val="00C21CAC"/>
    <w:rsid w:val="00C2238C"/>
    <w:rsid w:val="00C23AEC"/>
    <w:rsid w:val="00C23F02"/>
    <w:rsid w:val="00C24755"/>
    <w:rsid w:val="00C2528A"/>
    <w:rsid w:val="00C254DF"/>
    <w:rsid w:val="00C26AF2"/>
    <w:rsid w:val="00C27A0A"/>
    <w:rsid w:val="00C30D67"/>
    <w:rsid w:val="00C319F4"/>
    <w:rsid w:val="00C32D2A"/>
    <w:rsid w:val="00C335F2"/>
    <w:rsid w:val="00C33F90"/>
    <w:rsid w:val="00C35B2A"/>
    <w:rsid w:val="00C368C0"/>
    <w:rsid w:val="00C37B99"/>
    <w:rsid w:val="00C37DC4"/>
    <w:rsid w:val="00C432A7"/>
    <w:rsid w:val="00C44F7F"/>
    <w:rsid w:val="00C45C9C"/>
    <w:rsid w:val="00C45FB9"/>
    <w:rsid w:val="00C47288"/>
    <w:rsid w:val="00C51229"/>
    <w:rsid w:val="00C55095"/>
    <w:rsid w:val="00C613A4"/>
    <w:rsid w:val="00C62EED"/>
    <w:rsid w:val="00C63A22"/>
    <w:rsid w:val="00C666F3"/>
    <w:rsid w:val="00C67A86"/>
    <w:rsid w:val="00C75F63"/>
    <w:rsid w:val="00C7642D"/>
    <w:rsid w:val="00C80B4A"/>
    <w:rsid w:val="00C83BA4"/>
    <w:rsid w:val="00C8698C"/>
    <w:rsid w:val="00C90E10"/>
    <w:rsid w:val="00C914DE"/>
    <w:rsid w:val="00C92230"/>
    <w:rsid w:val="00C93068"/>
    <w:rsid w:val="00C93DBA"/>
    <w:rsid w:val="00C973DA"/>
    <w:rsid w:val="00CA4134"/>
    <w:rsid w:val="00CA44FC"/>
    <w:rsid w:val="00CA7A00"/>
    <w:rsid w:val="00CB5202"/>
    <w:rsid w:val="00CB556E"/>
    <w:rsid w:val="00CB6136"/>
    <w:rsid w:val="00CB634F"/>
    <w:rsid w:val="00CB7F80"/>
    <w:rsid w:val="00CC1325"/>
    <w:rsid w:val="00CC1B04"/>
    <w:rsid w:val="00CD3BEC"/>
    <w:rsid w:val="00CD41B4"/>
    <w:rsid w:val="00CD472A"/>
    <w:rsid w:val="00CD5754"/>
    <w:rsid w:val="00CD6756"/>
    <w:rsid w:val="00CE0218"/>
    <w:rsid w:val="00CE2985"/>
    <w:rsid w:val="00CF094D"/>
    <w:rsid w:val="00CF1679"/>
    <w:rsid w:val="00CF26C4"/>
    <w:rsid w:val="00CF3458"/>
    <w:rsid w:val="00CF76E8"/>
    <w:rsid w:val="00CF7CE4"/>
    <w:rsid w:val="00D00D00"/>
    <w:rsid w:val="00D01D91"/>
    <w:rsid w:val="00D01EDD"/>
    <w:rsid w:val="00D03FBF"/>
    <w:rsid w:val="00D10561"/>
    <w:rsid w:val="00D1271C"/>
    <w:rsid w:val="00D1311C"/>
    <w:rsid w:val="00D14B39"/>
    <w:rsid w:val="00D15DC7"/>
    <w:rsid w:val="00D2734D"/>
    <w:rsid w:val="00D339A3"/>
    <w:rsid w:val="00D40FB2"/>
    <w:rsid w:val="00D426E7"/>
    <w:rsid w:val="00D44B5C"/>
    <w:rsid w:val="00D4588E"/>
    <w:rsid w:val="00D4597F"/>
    <w:rsid w:val="00D46D7A"/>
    <w:rsid w:val="00D47F5D"/>
    <w:rsid w:val="00D52970"/>
    <w:rsid w:val="00D54990"/>
    <w:rsid w:val="00D54F29"/>
    <w:rsid w:val="00D57FF4"/>
    <w:rsid w:val="00D61191"/>
    <w:rsid w:val="00D63C57"/>
    <w:rsid w:val="00D65C30"/>
    <w:rsid w:val="00D6670A"/>
    <w:rsid w:val="00D71F16"/>
    <w:rsid w:val="00D73CD8"/>
    <w:rsid w:val="00D81604"/>
    <w:rsid w:val="00D90F1C"/>
    <w:rsid w:val="00D91A6D"/>
    <w:rsid w:val="00D91D80"/>
    <w:rsid w:val="00D92EA8"/>
    <w:rsid w:val="00D94CCC"/>
    <w:rsid w:val="00D95631"/>
    <w:rsid w:val="00D9777E"/>
    <w:rsid w:val="00D97E0B"/>
    <w:rsid w:val="00D97F9A"/>
    <w:rsid w:val="00DA0588"/>
    <w:rsid w:val="00DA3638"/>
    <w:rsid w:val="00DA4644"/>
    <w:rsid w:val="00DA73FE"/>
    <w:rsid w:val="00DB3E79"/>
    <w:rsid w:val="00DB70C4"/>
    <w:rsid w:val="00DB7968"/>
    <w:rsid w:val="00DB7D4C"/>
    <w:rsid w:val="00DC332A"/>
    <w:rsid w:val="00DC3F21"/>
    <w:rsid w:val="00DC3F78"/>
    <w:rsid w:val="00DC41DE"/>
    <w:rsid w:val="00DD2AC4"/>
    <w:rsid w:val="00DD3F35"/>
    <w:rsid w:val="00DE2A7B"/>
    <w:rsid w:val="00DE64A9"/>
    <w:rsid w:val="00DF40ED"/>
    <w:rsid w:val="00E01CEC"/>
    <w:rsid w:val="00E0391A"/>
    <w:rsid w:val="00E03A9E"/>
    <w:rsid w:val="00E07172"/>
    <w:rsid w:val="00E120D0"/>
    <w:rsid w:val="00E229A3"/>
    <w:rsid w:val="00E26BA3"/>
    <w:rsid w:val="00E33ABF"/>
    <w:rsid w:val="00E453C8"/>
    <w:rsid w:val="00E50EEB"/>
    <w:rsid w:val="00E51BC9"/>
    <w:rsid w:val="00E55AAB"/>
    <w:rsid w:val="00E564E8"/>
    <w:rsid w:val="00E650CB"/>
    <w:rsid w:val="00E65FE2"/>
    <w:rsid w:val="00E71056"/>
    <w:rsid w:val="00E718BD"/>
    <w:rsid w:val="00E722AF"/>
    <w:rsid w:val="00E80CEE"/>
    <w:rsid w:val="00E82C12"/>
    <w:rsid w:val="00E84A38"/>
    <w:rsid w:val="00E95529"/>
    <w:rsid w:val="00EA01AC"/>
    <w:rsid w:val="00EA0B33"/>
    <w:rsid w:val="00EA100C"/>
    <w:rsid w:val="00EA448F"/>
    <w:rsid w:val="00EA5777"/>
    <w:rsid w:val="00EB4DF2"/>
    <w:rsid w:val="00EB5C29"/>
    <w:rsid w:val="00EC10FD"/>
    <w:rsid w:val="00EC1254"/>
    <w:rsid w:val="00EC14FC"/>
    <w:rsid w:val="00EC4686"/>
    <w:rsid w:val="00ED07DF"/>
    <w:rsid w:val="00ED0B9A"/>
    <w:rsid w:val="00ED0D88"/>
    <w:rsid w:val="00ED3D74"/>
    <w:rsid w:val="00ED7B90"/>
    <w:rsid w:val="00EE1282"/>
    <w:rsid w:val="00EE2D47"/>
    <w:rsid w:val="00EE37D3"/>
    <w:rsid w:val="00EF0350"/>
    <w:rsid w:val="00EF0F77"/>
    <w:rsid w:val="00F00E4D"/>
    <w:rsid w:val="00F07436"/>
    <w:rsid w:val="00F078AC"/>
    <w:rsid w:val="00F10AF7"/>
    <w:rsid w:val="00F12497"/>
    <w:rsid w:val="00F21E75"/>
    <w:rsid w:val="00F2620D"/>
    <w:rsid w:val="00F266D3"/>
    <w:rsid w:val="00F26C6C"/>
    <w:rsid w:val="00F26E96"/>
    <w:rsid w:val="00F2739F"/>
    <w:rsid w:val="00F275A7"/>
    <w:rsid w:val="00F30797"/>
    <w:rsid w:val="00F32DC4"/>
    <w:rsid w:val="00F35A52"/>
    <w:rsid w:val="00F41CD5"/>
    <w:rsid w:val="00F43570"/>
    <w:rsid w:val="00F45A80"/>
    <w:rsid w:val="00F4720B"/>
    <w:rsid w:val="00F53BD0"/>
    <w:rsid w:val="00F54766"/>
    <w:rsid w:val="00F60442"/>
    <w:rsid w:val="00F65356"/>
    <w:rsid w:val="00F65883"/>
    <w:rsid w:val="00F775A7"/>
    <w:rsid w:val="00F81AB7"/>
    <w:rsid w:val="00F81E78"/>
    <w:rsid w:val="00F83718"/>
    <w:rsid w:val="00F84042"/>
    <w:rsid w:val="00F85133"/>
    <w:rsid w:val="00F9092C"/>
    <w:rsid w:val="00F93BC7"/>
    <w:rsid w:val="00F94421"/>
    <w:rsid w:val="00F946ED"/>
    <w:rsid w:val="00F965BC"/>
    <w:rsid w:val="00FA2A4F"/>
    <w:rsid w:val="00FA2CCF"/>
    <w:rsid w:val="00FA3740"/>
    <w:rsid w:val="00FA3A1B"/>
    <w:rsid w:val="00FB0857"/>
    <w:rsid w:val="00FB13A9"/>
    <w:rsid w:val="00FB265C"/>
    <w:rsid w:val="00FB556D"/>
    <w:rsid w:val="00FC033B"/>
    <w:rsid w:val="00FC0B62"/>
    <w:rsid w:val="00FC2011"/>
    <w:rsid w:val="00FC2B90"/>
    <w:rsid w:val="00FC4A2E"/>
    <w:rsid w:val="00FC6726"/>
    <w:rsid w:val="00FD4385"/>
    <w:rsid w:val="00FD43FB"/>
    <w:rsid w:val="00FD5FBD"/>
    <w:rsid w:val="00FE2CB7"/>
    <w:rsid w:val="00FE4969"/>
    <w:rsid w:val="00FE5B14"/>
    <w:rsid w:val="00FF07C1"/>
    <w:rsid w:val="00FF2B51"/>
    <w:rsid w:val="00FF45F4"/>
    <w:rsid w:val="00FF5EC5"/>
    <w:rsid w:val="00FF61E5"/>
    <w:rsid w:val="00FF72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3381F3"/>
  <w15:docId w15:val="{AF341986-A10F-4275-83FA-DAEF9EF4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A0A"/>
    <w:rPr>
      <w:rFonts w:ascii="Arial" w:hAnsi="Arial" w:cs="Arial"/>
      <w:sz w:val="22"/>
    </w:rPr>
  </w:style>
  <w:style w:type="paragraph" w:styleId="Heading1">
    <w:name w:val="heading 1"/>
    <w:basedOn w:val="Normal"/>
    <w:next w:val="Normal"/>
    <w:link w:val="Heading1Char"/>
    <w:qFormat/>
    <w:rsid w:val="00BD2B44"/>
    <w:pPr>
      <w:tabs>
        <w:tab w:val="center" w:pos="4153"/>
      </w:tabs>
      <w:spacing w:line="240" w:lineRule="exact"/>
      <w:ind w:right="-680"/>
      <w:jc w:val="right"/>
      <w:outlineLvl w:val="0"/>
    </w:pPr>
    <w:rPr>
      <w:sz w:val="18"/>
      <w:szCs w:val="18"/>
    </w:rPr>
  </w:style>
  <w:style w:type="paragraph" w:styleId="Heading2">
    <w:name w:val="heading 2"/>
    <w:basedOn w:val="Heading1"/>
    <w:next w:val="Normal"/>
    <w:link w:val="Heading2Char"/>
    <w:qFormat/>
    <w:rsid w:val="00BD2B44"/>
    <w:pPr>
      <w:outlineLvl w:val="1"/>
    </w:pPr>
    <w:rPr>
      <w:b/>
    </w:rPr>
  </w:style>
  <w:style w:type="paragraph" w:styleId="Heading4">
    <w:name w:val="heading 4"/>
    <w:basedOn w:val="Normal"/>
    <w:next w:val="Normal"/>
    <w:qFormat/>
    <w:rsid w:val="00890996"/>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90996"/>
    <w:pPr>
      <w:spacing w:before="240" w:after="60"/>
      <w:outlineLvl w:val="4"/>
    </w:pPr>
    <w:rPr>
      <w:b/>
      <w:bCs/>
      <w:i/>
      <w:iCs/>
      <w:sz w:val="26"/>
      <w:szCs w:val="26"/>
    </w:rPr>
  </w:style>
  <w:style w:type="paragraph" w:styleId="Heading6">
    <w:name w:val="heading 6"/>
    <w:basedOn w:val="Normal"/>
    <w:next w:val="Normal"/>
    <w:qFormat/>
    <w:rsid w:val="00890996"/>
    <w:pPr>
      <w:spacing w:before="240" w:after="60"/>
      <w:outlineLvl w:val="5"/>
    </w:pPr>
    <w:rPr>
      <w:rFonts w:ascii="Times New Roman" w:hAnsi="Times New Roman" w:cs="Times New Roman"/>
      <w:b/>
      <w:bCs/>
      <w:szCs w:val="22"/>
    </w:rPr>
  </w:style>
  <w:style w:type="paragraph" w:styleId="Heading7">
    <w:name w:val="heading 7"/>
    <w:basedOn w:val="Normal"/>
    <w:next w:val="Normal"/>
    <w:qFormat/>
    <w:rsid w:val="00890996"/>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890996"/>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890996"/>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84B7C"/>
    <w:pPr>
      <w:tabs>
        <w:tab w:val="center" w:pos="4153"/>
        <w:tab w:val="right" w:pos="8306"/>
      </w:tabs>
    </w:pPr>
  </w:style>
  <w:style w:type="paragraph" w:styleId="Header">
    <w:name w:val="header"/>
    <w:basedOn w:val="Normal"/>
    <w:rsid w:val="00184B7C"/>
    <w:pPr>
      <w:tabs>
        <w:tab w:val="center" w:pos="4153"/>
        <w:tab w:val="right" w:pos="8306"/>
      </w:tabs>
    </w:pPr>
  </w:style>
  <w:style w:type="paragraph" w:styleId="BalloonText">
    <w:name w:val="Balloon Text"/>
    <w:basedOn w:val="Normal"/>
    <w:semiHidden/>
    <w:rsid w:val="00CB5202"/>
    <w:rPr>
      <w:rFonts w:ascii="Tahoma" w:hAnsi="Tahoma" w:cs="Tahoma"/>
      <w:sz w:val="16"/>
      <w:szCs w:val="16"/>
    </w:rPr>
  </w:style>
  <w:style w:type="paragraph" w:customStyle="1" w:styleId="NTTHeaderInfo">
    <w:name w:val="NTT Header Info"/>
    <w:rsid w:val="00713E0D"/>
    <w:pPr>
      <w:spacing w:line="240" w:lineRule="exact"/>
      <w:jc w:val="right"/>
    </w:pPr>
    <w:rPr>
      <w:rFonts w:ascii="Arial" w:hAnsi="Arial"/>
      <w:sz w:val="18"/>
      <w:szCs w:val="18"/>
    </w:rPr>
  </w:style>
  <w:style w:type="character" w:customStyle="1" w:styleId="Heading1Char">
    <w:name w:val="Heading 1 Char"/>
    <w:link w:val="Heading1"/>
    <w:rsid w:val="00BD2B44"/>
    <w:rPr>
      <w:rFonts w:ascii="Arial" w:hAnsi="Arial"/>
      <w:sz w:val="18"/>
      <w:szCs w:val="18"/>
      <w:lang w:val="en-AU" w:eastAsia="en-AU" w:bidi="ar-SA"/>
    </w:rPr>
  </w:style>
  <w:style w:type="character" w:customStyle="1" w:styleId="Heading2Char">
    <w:name w:val="Heading 2 Char"/>
    <w:link w:val="Heading2"/>
    <w:rsid w:val="00BD2B44"/>
    <w:rPr>
      <w:rFonts w:ascii="Arial" w:hAnsi="Arial"/>
      <w:b/>
      <w:sz w:val="18"/>
      <w:szCs w:val="18"/>
      <w:lang w:val="en-AU" w:eastAsia="en-AU" w:bidi="ar-SA"/>
    </w:rPr>
  </w:style>
  <w:style w:type="paragraph" w:customStyle="1" w:styleId="NTTBodyText">
    <w:name w:val="NTT Body Text"/>
    <w:rsid w:val="00E51BC9"/>
    <w:pPr>
      <w:spacing w:after="120" w:line="300" w:lineRule="exact"/>
    </w:pPr>
    <w:rPr>
      <w:rFonts w:ascii="Arial" w:hAnsi="Arial"/>
      <w:sz w:val="22"/>
      <w:szCs w:val="24"/>
    </w:rPr>
  </w:style>
  <w:style w:type="character" w:styleId="PageNumber">
    <w:name w:val="page number"/>
    <w:basedOn w:val="DefaultParagraphFont"/>
    <w:rsid w:val="0019571B"/>
  </w:style>
  <w:style w:type="paragraph" w:customStyle="1" w:styleId="NTTBodyTextTitle">
    <w:name w:val="NTT Body Text Title"/>
    <w:basedOn w:val="NTTBodyText"/>
    <w:rsid w:val="001D7DC4"/>
    <w:rPr>
      <w:b/>
      <w:bCs/>
    </w:rPr>
  </w:style>
  <w:style w:type="table" w:styleId="TableGrid">
    <w:name w:val="Table Grid"/>
    <w:basedOn w:val="TableNormal"/>
    <w:rsid w:val="00C27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One">
    <w:name w:val="Heading One"/>
    <w:basedOn w:val="Normal"/>
    <w:rsid w:val="00364D5F"/>
    <w:pPr>
      <w:spacing w:after="120"/>
      <w:jc w:val="center"/>
    </w:pPr>
    <w:rPr>
      <w:rFonts w:cs="Times New Roman"/>
      <w:b/>
      <w:bCs/>
      <w:sz w:val="32"/>
    </w:rPr>
  </w:style>
  <w:style w:type="paragraph" w:customStyle="1" w:styleId="HeadingTwo">
    <w:name w:val="Heading Two"/>
    <w:basedOn w:val="Normal"/>
    <w:rsid w:val="00B24316"/>
    <w:pPr>
      <w:keepNext/>
      <w:keepLines/>
      <w:pBdr>
        <w:bottom w:val="single" w:sz="4" w:space="1" w:color="auto"/>
      </w:pBdr>
      <w:spacing w:before="360" w:after="120"/>
    </w:pPr>
    <w:rPr>
      <w:rFonts w:cs="Times New Roman"/>
      <w:b/>
      <w:bCs/>
    </w:rPr>
  </w:style>
  <w:style w:type="numbering" w:customStyle="1" w:styleId="Text">
    <w:name w:val="Text"/>
    <w:rsid w:val="00545D20"/>
    <w:pPr>
      <w:numPr>
        <w:numId w:val="13"/>
      </w:numPr>
    </w:pPr>
  </w:style>
  <w:style w:type="character" w:styleId="Hyperlink">
    <w:name w:val="Hyperlink"/>
    <w:rsid w:val="00545D20"/>
    <w:rPr>
      <w:color w:val="0000FF"/>
      <w:u w:val="single"/>
    </w:rPr>
  </w:style>
  <w:style w:type="paragraph" w:styleId="BlockText">
    <w:name w:val="Block Text"/>
    <w:basedOn w:val="ListNumber"/>
    <w:link w:val="BlockTextChar"/>
    <w:rsid w:val="00A9379B"/>
    <w:pPr>
      <w:keepLines/>
      <w:numPr>
        <w:numId w:val="3"/>
      </w:numPr>
      <w:tabs>
        <w:tab w:val="clear" w:pos="567"/>
      </w:tabs>
      <w:spacing w:after="120"/>
      <w:jc w:val="both"/>
    </w:pPr>
  </w:style>
  <w:style w:type="paragraph" w:customStyle="1" w:styleId="HeadingThree">
    <w:name w:val="Heading Three"/>
    <w:basedOn w:val="HeadingTwo"/>
    <w:rsid w:val="00545D20"/>
    <w:pPr>
      <w:pBdr>
        <w:bottom w:val="none" w:sz="0" w:space="0" w:color="auto"/>
      </w:pBdr>
    </w:pPr>
    <w:rPr>
      <w:i/>
      <w:iCs/>
    </w:rPr>
  </w:style>
  <w:style w:type="paragraph" w:customStyle="1" w:styleId="HeadingFour">
    <w:name w:val="Heading Four"/>
    <w:basedOn w:val="HeadingThree"/>
    <w:rsid w:val="006034B6"/>
    <w:rPr>
      <w:b w:val="0"/>
      <w:bCs w:val="0"/>
      <w:u w:val="single"/>
    </w:rPr>
  </w:style>
  <w:style w:type="paragraph" w:styleId="BodyText2">
    <w:name w:val="Body Text 2"/>
    <w:basedOn w:val="Normal"/>
    <w:rsid w:val="00513926"/>
    <w:pPr>
      <w:spacing w:after="120"/>
      <w:jc w:val="both"/>
    </w:pPr>
    <w:rPr>
      <w:rFonts w:ascii="Tahoma" w:hAnsi="Tahoma" w:cs="Times New Roman"/>
      <w:b/>
    </w:rPr>
  </w:style>
  <w:style w:type="paragraph" w:styleId="ListNumber">
    <w:name w:val="List Number"/>
    <w:basedOn w:val="Normal"/>
    <w:link w:val="ListNumberChar"/>
    <w:rsid w:val="00890996"/>
    <w:pPr>
      <w:numPr>
        <w:numId w:val="8"/>
      </w:numPr>
    </w:pPr>
  </w:style>
  <w:style w:type="paragraph" w:customStyle="1" w:styleId="ExampleBox">
    <w:name w:val="Example Box"/>
    <w:rsid w:val="00F65356"/>
    <w:pPr>
      <w:pBdr>
        <w:top w:val="single" w:sz="4" w:space="1" w:color="auto"/>
        <w:left w:val="single" w:sz="4" w:space="4" w:color="auto"/>
        <w:bottom w:val="single" w:sz="4" w:space="1" w:color="auto"/>
        <w:right w:val="single" w:sz="4" w:space="4" w:color="auto"/>
      </w:pBdr>
      <w:shd w:val="clear" w:color="auto" w:fill="F3F3F3"/>
      <w:spacing w:before="120" w:after="120"/>
    </w:pPr>
    <w:rPr>
      <w:rFonts w:ascii="Arial" w:hAnsi="Arial"/>
      <w:sz w:val="22"/>
    </w:rPr>
  </w:style>
  <w:style w:type="paragraph" w:styleId="BodyText">
    <w:name w:val="Body Text"/>
    <w:basedOn w:val="Normal"/>
    <w:rsid w:val="005B02FD"/>
    <w:pPr>
      <w:spacing w:after="120"/>
      <w:jc w:val="both"/>
    </w:pPr>
    <w:rPr>
      <w:rFonts w:ascii="Tahoma" w:hAnsi="Tahoma" w:cs="Times New Roman"/>
    </w:rPr>
  </w:style>
  <w:style w:type="paragraph" w:customStyle="1" w:styleId="Subheading1">
    <w:name w:val="Subheading 1"/>
    <w:basedOn w:val="Normal"/>
    <w:rsid w:val="005B02FD"/>
    <w:pPr>
      <w:spacing w:before="360" w:line="300" w:lineRule="exact"/>
    </w:pPr>
    <w:rPr>
      <w:rFonts w:cs="Times New Roman"/>
      <w:sz w:val="28"/>
      <w:szCs w:val="28"/>
    </w:rPr>
  </w:style>
  <w:style w:type="paragraph" w:customStyle="1" w:styleId="Pa4">
    <w:name w:val="Pa4"/>
    <w:basedOn w:val="Normal"/>
    <w:next w:val="Normal"/>
    <w:rsid w:val="005B02FD"/>
    <w:pPr>
      <w:autoSpaceDE w:val="0"/>
      <w:autoSpaceDN w:val="0"/>
      <w:adjustRightInd w:val="0"/>
      <w:spacing w:before="100" w:line="201" w:lineRule="atLeast"/>
    </w:pPr>
    <w:rPr>
      <w:rFonts w:ascii="Geometr415 Lt BT" w:hAnsi="Geometr415 Lt BT" w:cs="Times New Roman"/>
      <w:sz w:val="24"/>
      <w:szCs w:val="24"/>
    </w:rPr>
  </w:style>
  <w:style w:type="paragraph" w:customStyle="1" w:styleId="RulingBodyText">
    <w:name w:val="Ruling Body Text"/>
    <w:link w:val="RulingBodyTextChar"/>
    <w:rsid w:val="005B02FD"/>
    <w:pPr>
      <w:spacing w:line="280" w:lineRule="atLeast"/>
    </w:pPr>
    <w:rPr>
      <w:rFonts w:ascii="Arial" w:hAnsi="Arial"/>
      <w:sz w:val="22"/>
      <w:szCs w:val="2"/>
    </w:rPr>
  </w:style>
  <w:style w:type="character" w:customStyle="1" w:styleId="RulingBodyTextChar">
    <w:name w:val="Ruling Body Text Char"/>
    <w:link w:val="RulingBodyText"/>
    <w:rsid w:val="005B02FD"/>
    <w:rPr>
      <w:rFonts w:ascii="Arial" w:hAnsi="Arial"/>
      <w:sz w:val="22"/>
      <w:szCs w:val="2"/>
      <w:lang w:val="en-AU" w:eastAsia="en-AU" w:bidi="ar-SA"/>
    </w:rPr>
  </w:style>
  <w:style w:type="character" w:customStyle="1" w:styleId="ListNumberChar">
    <w:name w:val="List Number Char"/>
    <w:link w:val="ListNumber"/>
    <w:rsid w:val="005B02FD"/>
    <w:rPr>
      <w:rFonts w:ascii="Arial" w:hAnsi="Arial" w:cs="Arial"/>
      <w:sz w:val="22"/>
      <w:lang w:val="en-AU" w:eastAsia="en-AU" w:bidi="ar-SA"/>
    </w:rPr>
  </w:style>
  <w:style w:type="character" w:customStyle="1" w:styleId="BlockTextChar">
    <w:name w:val="Block Text Char"/>
    <w:basedOn w:val="ListNumberChar"/>
    <w:link w:val="BlockText"/>
    <w:rsid w:val="00A9379B"/>
    <w:rPr>
      <w:rFonts w:ascii="Arial" w:hAnsi="Arial" w:cs="Arial"/>
      <w:sz w:val="22"/>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venue.nt.gov.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trevenue@nt.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_x0020_Type_x0020_Topic xmlns="378e824e-6e02-4c0d-8321-dd86fba681ee" xsi:nil="true"/>
    <Main_x0020_Category xmlns="378e824e-6e02-4c0d-8321-dd86fba681ee">6</Main_x0020_Category>
    <Tax_x0020_Type xmlns="378e824e-6e02-4c0d-8321-dd86fba681ee" xsi:nil="true"/>
    <Publication_x0020_Title xmlns="378e824e-6e02-4c0d-8321-dd86fba681ee">Revenue Circulars, Commissioner’s Guidelines and Payroll Tax Rulings: explanation and status</Publication_x0020_Title>
    <Details xmlns="378e824e-6e02-4c0d-8321-dd86fba681ee" xsi:nil="true"/>
    <Identifier xmlns="378e824e-6e02-4c0d-8321-dd86fba681ee">CG-GEN-001</Identifier>
    <Publication_x0020_Type xmlns="378e824e-6e02-4c0d-8321-dd86fba681ee" xsi:nil="true"/>
    <Sub_x0020_Sub_x0020_Category xmlns="378e824e-6e02-4c0d-8321-dd86fba681ee" xsi:nil="true"/>
    <Release_x0020_Date xmlns="378e824e-6e02-4c0d-8321-dd86fba681ee">2016-02-25T14:30:00+00:00</Release_x0020_Date>
    <Sub_x0020_Category xmlns="378e824e-6e02-4c0d-8321-dd86fba681ee">27</Sub_x0020_Category>
    <Notify xmlns="378e824e-6e02-4c0d-8321-dd86fba681ee">false</Notif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833AE-73A9-4165-BC97-82D931C1227B}">
  <ds:schemaRefs>
    <ds:schemaRef ds:uri="http://schemas.microsoft.com/sharepoint/v3/contenttype/forms"/>
  </ds:schemaRefs>
</ds:datastoreItem>
</file>

<file path=customXml/itemProps2.xml><?xml version="1.0" encoding="utf-8"?>
<ds:datastoreItem xmlns:ds="http://schemas.openxmlformats.org/officeDocument/2006/customXml" ds:itemID="{B3257C35-E502-4EC8-A2DD-6C4CB7026BA7}">
  <ds:schemaRefs>
    <ds:schemaRef ds:uri="http://schemas.microsoft.com/office/2006/metadata/properties"/>
    <ds:schemaRef ds:uri="http://schemas.microsoft.com/office/infopath/2007/PartnerControls"/>
    <ds:schemaRef ds:uri="378e824e-6e02-4c0d-8321-dd86fba681ee"/>
  </ds:schemaRefs>
</ds:datastoreItem>
</file>

<file path=customXml/itemProps3.xml><?xml version="1.0" encoding="utf-8"?>
<ds:datastoreItem xmlns:ds="http://schemas.openxmlformats.org/officeDocument/2006/customXml" ds:itemID="{8728C9DB-E9C4-47F8-A83E-99391283E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215C0F-B228-4928-AE07-56B3761F7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1095</Words>
  <Characters>6245</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Our Ref:</vt:lpstr>
    </vt:vector>
  </TitlesOfParts>
  <Company>Northern Territory Government</Company>
  <LinksUpToDate>false</LinksUpToDate>
  <CharactersWithSpaces>7326</CharactersWithSpaces>
  <SharedDoc>false</SharedDoc>
  <HLinks>
    <vt:vector size="12" baseType="variant">
      <vt:variant>
        <vt:i4>5242895</vt:i4>
      </vt:variant>
      <vt:variant>
        <vt:i4>3</vt:i4>
      </vt:variant>
      <vt:variant>
        <vt:i4>0</vt:i4>
      </vt:variant>
      <vt:variant>
        <vt:i4>5</vt:i4>
      </vt:variant>
      <vt:variant>
        <vt:lpwstr>http://www.revenue.nt.gov.au/</vt:lpwstr>
      </vt:variant>
      <vt:variant>
        <vt:lpwstr/>
      </vt:variant>
      <vt:variant>
        <vt:i4>7798799</vt:i4>
      </vt:variant>
      <vt:variant>
        <vt:i4>0</vt:i4>
      </vt:variant>
      <vt:variant>
        <vt:i4>0</vt:i4>
      </vt:variant>
      <vt:variant>
        <vt:i4>5</vt:i4>
      </vt:variant>
      <vt:variant>
        <vt:lpwstr>mailto:ntrevenue@nt.gov.au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Revenue Circulars, Commissioner’s Guidelines and Payroll Tax Rulings: explanation and status</dc:title>
  <dc:creator>sschu</dc:creator>
  <cp:lastModifiedBy>Jessica Symonds</cp:lastModifiedBy>
  <cp:revision>4</cp:revision>
  <cp:lastPrinted>2011-11-09T04:50:00Z</cp:lastPrinted>
  <dcterms:created xsi:type="dcterms:W3CDTF">2016-02-25T06:05:00Z</dcterms:created>
  <dcterms:modified xsi:type="dcterms:W3CDTF">2021-09-08T07:42:00Z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