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794947" w:displacedByCustomXml="next"/>
    <w:sdt>
      <w:sdtPr>
        <w:rPr>
          <w:szCs w:val="60"/>
        </w:rPr>
        <w:alias w:val="Title"/>
        <w:tag w:val="Title"/>
        <w:id w:val="-509755993"/>
        <w:placeholder>
          <w:docPart w:val="4D9AAB19EA8A4D2F850A071CE6CE7970"/>
        </w:placeholder>
        <w:dataBinding w:prefixMappings="xmlns:ns0='http://purl.org/dc/elements/1.1/' xmlns:ns1='http://schemas.openxmlformats.org/package/2006/metadata/core-properties' " w:xpath="/ns1:coreProperties[1]/ns0:title[1]" w:storeItemID="{6C3C8BC8-F283-45AE-878A-BAB7291924A1}"/>
        <w15:color w:val="1F1F5F"/>
        <w:text w:multiLine="1"/>
      </w:sdtPr>
      <w:sdtContent>
        <w:p w14:paraId="6F675D2D" w14:textId="3F5AA249" w:rsidR="00D61FD1" w:rsidRPr="00CF34C1" w:rsidRDefault="00CF34C1" w:rsidP="00CF34C1">
          <w:pPr>
            <w:pStyle w:val="Title"/>
            <w:spacing w:after="120"/>
            <w:rPr>
              <w:sz w:val="48"/>
              <w:szCs w:val="48"/>
            </w:rPr>
          </w:pPr>
          <w:r w:rsidRPr="000435F6">
            <w:rPr>
              <w:szCs w:val="60"/>
            </w:rPr>
            <w:t>Understanding NTGPASS and NTSSS Benefits</w:t>
          </w:r>
        </w:p>
      </w:sdtContent>
    </w:sdt>
    <w:bookmarkEnd w:id="0" w:displacedByCustomXml="prev"/>
    <w:bookmarkStart w:id="1" w:name="_Toc15286907" w:displacedByCustomXml="prev"/>
    <w:bookmarkStart w:id="2" w:name="_Toc15286861" w:displacedByCustomXml="prev"/>
    <w:bookmarkEnd w:id="2"/>
    <w:bookmarkEnd w:id="1"/>
    <w:p w14:paraId="7419C10A" w14:textId="77777777" w:rsidR="00CF34C1" w:rsidRDefault="00CF34C1" w:rsidP="00CF34C1">
      <w:pPr>
        <w:rPr>
          <w:lang w:eastAsia="en-AU"/>
        </w:rPr>
        <w:sectPr w:rsidR="00CF34C1" w:rsidSect="00CF34C1">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567" w:footer="794" w:gutter="0"/>
          <w:cols w:space="708"/>
          <w:titlePg/>
          <w:docGrid w:linePitch="360"/>
        </w:sectPr>
      </w:pPr>
    </w:p>
    <w:p w14:paraId="6804F01C" w14:textId="7C438F72" w:rsidR="00CF34C1" w:rsidRDefault="00CF34C1" w:rsidP="000435F6">
      <w:pPr>
        <w:rPr>
          <w:lang w:eastAsia="en-AU"/>
        </w:rPr>
      </w:pPr>
      <w:bookmarkStart w:id="3" w:name="_Hlk207794980"/>
      <w:r w:rsidRPr="00CF34C1">
        <w:rPr>
          <w:lang w:eastAsia="en-AU"/>
        </w:rPr>
        <w:t>This fact sheet provides a brief outline of NTGPASS and NTSSS benefits.</w:t>
      </w:r>
    </w:p>
    <w:bookmarkEnd w:id="3"/>
    <w:p w14:paraId="7D6D7348" w14:textId="77777777" w:rsidR="000435F6" w:rsidRDefault="000435F6" w:rsidP="000435F6">
      <w:pPr>
        <w:rPr>
          <w:lang w:eastAsia="en-AU"/>
        </w:rPr>
        <w:sectPr w:rsidR="000435F6" w:rsidSect="000435F6">
          <w:type w:val="continuous"/>
          <w:pgSz w:w="11906" w:h="16838" w:code="9"/>
          <w:pgMar w:top="794" w:right="794" w:bottom="794" w:left="794" w:header="794" w:footer="794" w:gutter="0"/>
          <w:cols w:space="708"/>
          <w:titlePg/>
          <w:docGrid w:linePitch="360"/>
        </w:sectPr>
      </w:pPr>
    </w:p>
    <w:p w14:paraId="6B6E6861" w14:textId="515FCFFB" w:rsidR="00D61FD1" w:rsidRDefault="00CF34C1" w:rsidP="008F30DE">
      <w:pPr>
        <w:pStyle w:val="Heading1"/>
        <w:shd w:val="clear" w:color="auto" w:fill="FFFFFF" w:themeFill="background1"/>
        <w:rPr>
          <w:lang w:eastAsia="en-AU"/>
        </w:rPr>
      </w:pPr>
      <w:bookmarkStart w:id="4" w:name="_Hlk207795001"/>
      <w:r w:rsidRPr="00CF34C1">
        <w:rPr>
          <w:lang w:eastAsia="en-AU"/>
        </w:rPr>
        <w:t>NTGPASS</w:t>
      </w:r>
    </w:p>
    <w:p w14:paraId="476D2D66" w14:textId="77777777" w:rsidR="00CF34C1" w:rsidRPr="00CE396E" w:rsidRDefault="00CF34C1" w:rsidP="000435F6">
      <w:r w:rsidRPr="00CE396E">
        <w:t>NTGPASS is a</w:t>
      </w:r>
      <w:r>
        <w:t xml:space="preserve"> defined benefit scheme that provides members with an employer-funded lump sum benefit.</w:t>
      </w:r>
    </w:p>
    <w:p w14:paraId="42738C9A" w14:textId="77777777" w:rsidR="00CF34C1" w:rsidRPr="00CE396E" w:rsidRDefault="00CF34C1" w:rsidP="000435F6">
      <w:r>
        <w:t xml:space="preserve">The benefit is paid when members leave the scheme (usually on resignation), and is </w:t>
      </w:r>
      <w:r w:rsidRPr="00CE396E">
        <w:t>equal to:</w:t>
      </w:r>
    </w:p>
    <w:tbl>
      <w:tblPr>
        <w:tblW w:w="0" w:type="auto"/>
        <w:tblCellMar>
          <w:left w:w="0" w:type="dxa"/>
          <w:right w:w="0" w:type="dxa"/>
        </w:tblCellMar>
        <w:tblLook w:val="01E0" w:firstRow="1" w:lastRow="1" w:firstColumn="1" w:lastColumn="1" w:noHBand="0" w:noVBand="0"/>
      </w:tblPr>
      <w:tblGrid>
        <w:gridCol w:w="770"/>
        <w:gridCol w:w="475"/>
        <w:gridCol w:w="894"/>
        <w:gridCol w:w="475"/>
        <w:gridCol w:w="894"/>
      </w:tblGrid>
      <w:tr w:rsidR="000435F6" w:rsidRPr="00C32DF7" w14:paraId="2FBE145C" w14:textId="77777777" w:rsidTr="000435F6">
        <w:trPr>
          <w:trHeight w:hRule="exact" w:val="249"/>
        </w:trPr>
        <w:tc>
          <w:tcPr>
            <w:tcW w:w="770" w:type="dxa"/>
            <w:vMerge w:val="restart"/>
            <w:shd w:val="clear" w:color="auto" w:fill="auto"/>
            <w:vAlign w:val="center"/>
          </w:tcPr>
          <w:p w14:paraId="65E5D506" w14:textId="77777777" w:rsidR="000435F6" w:rsidRPr="00C32DF7" w:rsidRDefault="000435F6" w:rsidP="000435F6">
            <w:pPr>
              <w:jc w:val="center"/>
            </w:pPr>
            <w:r w:rsidRPr="00C32DF7">
              <w:t>2.5%</w:t>
            </w:r>
          </w:p>
        </w:tc>
        <w:tc>
          <w:tcPr>
            <w:tcW w:w="475" w:type="dxa"/>
            <w:vMerge w:val="restart"/>
            <w:shd w:val="clear" w:color="auto" w:fill="auto"/>
            <w:vAlign w:val="center"/>
          </w:tcPr>
          <w:p w14:paraId="3D2A224B" w14:textId="77777777" w:rsidR="000435F6" w:rsidRPr="00C32DF7" w:rsidRDefault="000435F6" w:rsidP="000435F6">
            <w:pPr>
              <w:jc w:val="center"/>
            </w:pPr>
            <w:r w:rsidRPr="00C32DF7">
              <w:t>x</w:t>
            </w:r>
          </w:p>
        </w:tc>
        <w:tc>
          <w:tcPr>
            <w:tcW w:w="894" w:type="dxa"/>
            <w:shd w:val="clear" w:color="auto" w:fill="auto"/>
            <w:vAlign w:val="center"/>
          </w:tcPr>
          <w:p w14:paraId="14726C4B" w14:textId="77777777" w:rsidR="000435F6" w:rsidRPr="00C32DF7" w:rsidRDefault="000435F6" w:rsidP="000435F6">
            <w:pPr>
              <w:jc w:val="center"/>
            </w:pPr>
            <w:r w:rsidRPr="00C32DF7">
              <w:t>benefit</w:t>
            </w:r>
          </w:p>
        </w:tc>
        <w:tc>
          <w:tcPr>
            <w:tcW w:w="475" w:type="dxa"/>
            <w:vMerge w:val="restart"/>
            <w:shd w:val="clear" w:color="auto" w:fill="auto"/>
            <w:vAlign w:val="center"/>
          </w:tcPr>
          <w:p w14:paraId="04B132F2" w14:textId="77777777" w:rsidR="000435F6" w:rsidRPr="00C32DF7" w:rsidRDefault="000435F6" w:rsidP="000435F6">
            <w:pPr>
              <w:jc w:val="center"/>
            </w:pPr>
            <w:r w:rsidRPr="00C32DF7">
              <w:t>x</w:t>
            </w:r>
          </w:p>
        </w:tc>
        <w:tc>
          <w:tcPr>
            <w:tcW w:w="894" w:type="dxa"/>
            <w:shd w:val="clear" w:color="auto" w:fill="auto"/>
            <w:vAlign w:val="center"/>
          </w:tcPr>
          <w:p w14:paraId="1CFC1C26" w14:textId="77777777" w:rsidR="000435F6" w:rsidRPr="00C32DF7" w:rsidRDefault="000435F6" w:rsidP="000435F6">
            <w:pPr>
              <w:jc w:val="center"/>
            </w:pPr>
            <w:r w:rsidRPr="00C32DF7">
              <w:t>benefit</w:t>
            </w:r>
          </w:p>
        </w:tc>
      </w:tr>
      <w:tr w:rsidR="000435F6" w:rsidRPr="00C32DF7" w14:paraId="65617ED1" w14:textId="77777777" w:rsidTr="000435F6">
        <w:trPr>
          <w:trHeight w:hRule="exact" w:val="585"/>
        </w:trPr>
        <w:tc>
          <w:tcPr>
            <w:tcW w:w="770" w:type="dxa"/>
            <w:vMerge/>
            <w:shd w:val="clear" w:color="auto" w:fill="auto"/>
            <w:vAlign w:val="center"/>
          </w:tcPr>
          <w:p w14:paraId="2A1FE9A9" w14:textId="77777777" w:rsidR="000435F6" w:rsidRPr="00C32DF7" w:rsidRDefault="000435F6" w:rsidP="000435F6">
            <w:pPr>
              <w:jc w:val="center"/>
            </w:pPr>
          </w:p>
        </w:tc>
        <w:tc>
          <w:tcPr>
            <w:tcW w:w="475" w:type="dxa"/>
            <w:vMerge/>
            <w:shd w:val="clear" w:color="auto" w:fill="auto"/>
            <w:vAlign w:val="center"/>
          </w:tcPr>
          <w:p w14:paraId="2553C2E0" w14:textId="77777777" w:rsidR="000435F6" w:rsidRPr="00C32DF7" w:rsidRDefault="000435F6" w:rsidP="000435F6">
            <w:pPr>
              <w:jc w:val="center"/>
            </w:pPr>
          </w:p>
        </w:tc>
        <w:tc>
          <w:tcPr>
            <w:tcW w:w="894" w:type="dxa"/>
            <w:shd w:val="clear" w:color="auto" w:fill="auto"/>
            <w:vAlign w:val="center"/>
          </w:tcPr>
          <w:p w14:paraId="1967D3FC" w14:textId="77777777" w:rsidR="000435F6" w:rsidRPr="00C32DF7" w:rsidRDefault="000435F6" w:rsidP="000435F6">
            <w:pPr>
              <w:jc w:val="center"/>
            </w:pPr>
            <w:r w:rsidRPr="00C32DF7">
              <w:t>points</w:t>
            </w:r>
          </w:p>
        </w:tc>
        <w:tc>
          <w:tcPr>
            <w:tcW w:w="475" w:type="dxa"/>
            <w:vMerge/>
            <w:shd w:val="clear" w:color="auto" w:fill="auto"/>
            <w:vAlign w:val="center"/>
          </w:tcPr>
          <w:p w14:paraId="3F3C1E66" w14:textId="77777777" w:rsidR="000435F6" w:rsidRPr="00C32DF7" w:rsidRDefault="000435F6" w:rsidP="000435F6">
            <w:pPr>
              <w:jc w:val="center"/>
            </w:pPr>
          </w:p>
        </w:tc>
        <w:tc>
          <w:tcPr>
            <w:tcW w:w="894" w:type="dxa"/>
            <w:shd w:val="clear" w:color="auto" w:fill="auto"/>
            <w:vAlign w:val="center"/>
          </w:tcPr>
          <w:p w14:paraId="0066FD36" w14:textId="77777777" w:rsidR="000435F6" w:rsidRPr="00C32DF7" w:rsidRDefault="000435F6" w:rsidP="000435F6">
            <w:pPr>
              <w:jc w:val="center"/>
            </w:pPr>
            <w:r w:rsidRPr="00C32DF7">
              <w:t>salary</w:t>
            </w:r>
          </w:p>
        </w:tc>
      </w:tr>
    </w:tbl>
    <w:p w14:paraId="684B0249" w14:textId="77777777" w:rsidR="00CF34C1" w:rsidRPr="0083274D" w:rsidRDefault="00CF34C1" w:rsidP="000435F6">
      <w:r w:rsidRPr="0083274D">
        <w:t xml:space="preserve">Each of these components </w:t>
      </w:r>
      <w:r>
        <w:t>is</w:t>
      </w:r>
      <w:r w:rsidRPr="0083274D">
        <w:t xml:space="preserve"> explained below.</w:t>
      </w:r>
    </w:p>
    <w:p w14:paraId="20A39153" w14:textId="77777777" w:rsidR="00CF34C1" w:rsidRPr="00147B09" w:rsidRDefault="00CF34C1" w:rsidP="00CF34C1">
      <w:pPr>
        <w:pStyle w:val="Heading2"/>
      </w:pPr>
      <w:r w:rsidRPr="00147B09">
        <w:t xml:space="preserve">Benefit points </w:t>
      </w:r>
    </w:p>
    <w:p w14:paraId="3E0AD8B9" w14:textId="77777777" w:rsidR="00CF34C1" w:rsidRDefault="00CF34C1" w:rsidP="000435F6">
      <w:r w:rsidRPr="00CE396E">
        <w:t>As an active NTGPASS member you make compulsory contributions of 2</w:t>
      </w:r>
      <w:r>
        <w:t xml:space="preserve"> to</w:t>
      </w:r>
      <w:r w:rsidRPr="00CE396E">
        <w:t xml:space="preserve"> 6 per cent of </w:t>
      </w:r>
      <w:r>
        <w:t xml:space="preserve">your </w:t>
      </w:r>
      <w:r w:rsidRPr="000C11DB">
        <w:rPr>
          <w:b/>
          <w:i/>
        </w:rPr>
        <w:t>contribution salary</w:t>
      </w:r>
      <w:r>
        <w:t xml:space="preserve"> to a complying superannuation fund of your choice</w:t>
      </w:r>
      <w:r w:rsidRPr="00CE396E">
        <w:t>.</w:t>
      </w:r>
    </w:p>
    <w:p w14:paraId="4128F431" w14:textId="77777777" w:rsidR="00CF34C1" w:rsidRPr="00CE396E" w:rsidRDefault="00CF34C1" w:rsidP="000435F6">
      <w:r w:rsidRPr="00CE396E">
        <w:t xml:space="preserve">Your </w:t>
      </w:r>
      <w:r w:rsidRPr="000C11DB">
        <w:rPr>
          <w:b/>
          <w:i/>
        </w:rPr>
        <w:t>contribution salary</w:t>
      </w:r>
      <w:r w:rsidRPr="00CE396E">
        <w:t xml:space="preserve"> is recorded </w:t>
      </w:r>
      <w:r>
        <w:t xml:space="preserve">at the annual review </w:t>
      </w:r>
      <w:r w:rsidRPr="00CE396E">
        <w:t>on 1</w:t>
      </w:r>
      <w:r>
        <w:t> </w:t>
      </w:r>
      <w:r w:rsidRPr="00CE396E">
        <w:t xml:space="preserve">October each year and is equal to </w:t>
      </w:r>
      <w:r>
        <w:t xml:space="preserve">your actual annual rate of </w:t>
      </w:r>
      <w:r w:rsidRPr="00CE396E">
        <w:t>salary plus approved allowances</w:t>
      </w:r>
      <w:r>
        <w:t xml:space="preserve"> (different rules apply for members of the Police Force and for members on Executive Contracts)</w:t>
      </w:r>
      <w:r w:rsidRPr="00CE396E">
        <w:t>.</w:t>
      </w:r>
    </w:p>
    <w:p w14:paraId="5B2CE479" w14:textId="3C6961A1" w:rsidR="00CF34C1" w:rsidRPr="00CE396E" w:rsidRDefault="00CF34C1" w:rsidP="000435F6">
      <w:r w:rsidRPr="00CE396E">
        <w:t xml:space="preserve">Each 1 per cent of compulsory contributions made for a year of </w:t>
      </w:r>
      <w:r w:rsidR="00AD1CE9" w:rsidRPr="00CE396E">
        <w:t>full-time</w:t>
      </w:r>
      <w:r w:rsidRPr="00CE396E">
        <w:t xml:space="preserve"> employment entitles you to one benefit point.</w:t>
      </w:r>
    </w:p>
    <w:tbl>
      <w:tblPr>
        <w:tblW w:w="0" w:type="auto"/>
        <w:tblInd w:w="176" w:type="dxa"/>
        <w:tblLook w:val="01E0" w:firstRow="1" w:lastRow="1" w:firstColumn="1" w:lastColumn="1" w:noHBand="0" w:noVBand="0"/>
      </w:tblPr>
      <w:tblGrid>
        <w:gridCol w:w="2088"/>
        <w:gridCol w:w="2052"/>
      </w:tblGrid>
      <w:tr w:rsidR="00CF34C1" w:rsidRPr="000435F6" w14:paraId="78278FF3" w14:textId="77777777" w:rsidTr="000435F6">
        <w:trPr>
          <w:trHeight w:hRule="exact" w:val="227"/>
        </w:trPr>
        <w:tc>
          <w:tcPr>
            <w:tcW w:w="2088" w:type="dxa"/>
            <w:tcBorders>
              <w:bottom w:val="single" w:sz="4" w:space="0" w:color="auto"/>
            </w:tcBorders>
            <w:shd w:val="clear" w:color="auto" w:fill="auto"/>
          </w:tcPr>
          <w:p w14:paraId="6445ECA4" w14:textId="5349C5CA" w:rsidR="00CF34C1" w:rsidRPr="000435F6" w:rsidRDefault="00CF34C1" w:rsidP="000435F6">
            <w:pPr>
              <w:jc w:val="center"/>
              <w:rPr>
                <w:sz w:val="20"/>
                <w:szCs w:val="20"/>
              </w:rPr>
            </w:pPr>
            <w:r w:rsidRPr="000435F6">
              <w:rPr>
                <w:sz w:val="20"/>
                <w:szCs w:val="20"/>
              </w:rPr>
              <w:t>Contribution Rate</w:t>
            </w:r>
          </w:p>
        </w:tc>
        <w:tc>
          <w:tcPr>
            <w:tcW w:w="2052" w:type="dxa"/>
            <w:tcBorders>
              <w:bottom w:val="single" w:sz="4" w:space="0" w:color="auto"/>
            </w:tcBorders>
            <w:shd w:val="clear" w:color="auto" w:fill="auto"/>
          </w:tcPr>
          <w:p w14:paraId="699444FD" w14:textId="77777777" w:rsidR="00CF34C1" w:rsidRPr="000435F6" w:rsidRDefault="00CF34C1" w:rsidP="000435F6">
            <w:pPr>
              <w:jc w:val="center"/>
              <w:rPr>
                <w:sz w:val="20"/>
                <w:szCs w:val="20"/>
              </w:rPr>
            </w:pPr>
            <w:r w:rsidRPr="000435F6">
              <w:rPr>
                <w:sz w:val="20"/>
                <w:szCs w:val="20"/>
              </w:rPr>
              <w:t>Annual Benefit Points</w:t>
            </w:r>
          </w:p>
        </w:tc>
      </w:tr>
      <w:tr w:rsidR="00CF34C1" w:rsidRPr="000435F6" w14:paraId="610CA3B6" w14:textId="77777777" w:rsidTr="000435F6">
        <w:trPr>
          <w:trHeight w:hRule="exact" w:val="57"/>
        </w:trPr>
        <w:tc>
          <w:tcPr>
            <w:tcW w:w="2088" w:type="dxa"/>
            <w:shd w:val="clear" w:color="auto" w:fill="auto"/>
          </w:tcPr>
          <w:p w14:paraId="20CA48A7" w14:textId="77777777" w:rsidR="00CF34C1" w:rsidRPr="000435F6" w:rsidRDefault="00CF34C1" w:rsidP="000435F6">
            <w:pPr>
              <w:jc w:val="center"/>
              <w:rPr>
                <w:sz w:val="20"/>
                <w:szCs w:val="20"/>
              </w:rPr>
            </w:pPr>
          </w:p>
        </w:tc>
        <w:tc>
          <w:tcPr>
            <w:tcW w:w="2052" w:type="dxa"/>
            <w:shd w:val="clear" w:color="auto" w:fill="auto"/>
          </w:tcPr>
          <w:p w14:paraId="0B51ED63" w14:textId="77777777" w:rsidR="00CF34C1" w:rsidRPr="000435F6" w:rsidRDefault="00CF34C1" w:rsidP="000435F6">
            <w:pPr>
              <w:jc w:val="center"/>
              <w:rPr>
                <w:sz w:val="20"/>
                <w:szCs w:val="20"/>
              </w:rPr>
            </w:pPr>
          </w:p>
        </w:tc>
      </w:tr>
      <w:tr w:rsidR="00CF34C1" w:rsidRPr="000435F6" w14:paraId="01890342" w14:textId="77777777" w:rsidTr="000435F6">
        <w:trPr>
          <w:trHeight w:hRule="exact" w:val="227"/>
        </w:trPr>
        <w:tc>
          <w:tcPr>
            <w:tcW w:w="2088" w:type="dxa"/>
            <w:shd w:val="clear" w:color="auto" w:fill="auto"/>
          </w:tcPr>
          <w:p w14:paraId="3CF17886" w14:textId="77777777" w:rsidR="00CF34C1" w:rsidRPr="000435F6" w:rsidRDefault="00CF34C1" w:rsidP="000435F6">
            <w:pPr>
              <w:jc w:val="center"/>
              <w:rPr>
                <w:sz w:val="20"/>
                <w:szCs w:val="20"/>
              </w:rPr>
            </w:pPr>
            <w:r w:rsidRPr="000435F6">
              <w:rPr>
                <w:sz w:val="20"/>
                <w:szCs w:val="20"/>
              </w:rPr>
              <w:t>2%</w:t>
            </w:r>
          </w:p>
        </w:tc>
        <w:tc>
          <w:tcPr>
            <w:tcW w:w="2052" w:type="dxa"/>
            <w:shd w:val="clear" w:color="auto" w:fill="auto"/>
          </w:tcPr>
          <w:p w14:paraId="16A98CBE" w14:textId="77777777" w:rsidR="00CF34C1" w:rsidRPr="000435F6" w:rsidRDefault="00CF34C1" w:rsidP="000435F6">
            <w:pPr>
              <w:jc w:val="center"/>
              <w:rPr>
                <w:sz w:val="20"/>
                <w:szCs w:val="20"/>
              </w:rPr>
            </w:pPr>
            <w:r w:rsidRPr="000435F6">
              <w:rPr>
                <w:sz w:val="20"/>
                <w:szCs w:val="20"/>
              </w:rPr>
              <w:t>2</w:t>
            </w:r>
          </w:p>
        </w:tc>
      </w:tr>
      <w:tr w:rsidR="00CF34C1" w:rsidRPr="000435F6" w14:paraId="07208369" w14:textId="77777777" w:rsidTr="000435F6">
        <w:trPr>
          <w:trHeight w:hRule="exact" w:val="227"/>
        </w:trPr>
        <w:tc>
          <w:tcPr>
            <w:tcW w:w="2088" w:type="dxa"/>
            <w:shd w:val="clear" w:color="auto" w:fill="auto"/>
          </w:tcPr>
          <w:p w14:paraId="004EB13B" w14:textId="77777777" w:rsidR="00CF34C1" w:rsidRPr="000435F6" w:rsidRDefault="00CF34C1" w:rsidP="000435F6">
            <w:pPr>
              <w:jc w:val="center"/>
              <w:rPr>
                <w:sz w:val="20"/>
                <w:szCs w:val="20"/>
              </w:rPr>
            </w:pPr>
            <w:r w:rsidRPr="000435F6">
              <w:rPr>
                <w:sz w:val="20"/>
                <w:szCs w:val="20"/>
              </w:rPr>
              <w:t>3%</w:t>
            </w:r>
          </w:p>
        </w:tc>
        <w:tc>
          <w:tcPr>
            <w:tcW w:w="2052" w:type="dxa"/>
            <w:shd w:val="clear" w:color="auto" w:fill="auto"/>
          </w:tcPr>
          <w:p w14:paraId="65F1C507" w14:textId="77777777" w:rsidR="00CF34C1" w:rsidRPr="000435F6" w:rsidRDefault="00CF34C1" w:rsidP="000435F6">
            <w:pPr>
              <w:jc w:val="center"/>
              <w:rPr>
                <w:sz w:val="20"/>
                <w:szCs w:val="20"/>
              </w:rPr>
            </w:pPr>
            <w:r w:rsidRPr="000435F6">
              <w:rPr>
                <w:sz w:val="20"/>
                <w:szCs w:val="20"/>
              </w:rPr>
              <w:t>3</w:t>
            </w:r>
          </w:p>
        </w:tc>
      </w:tr>
      <w:tr w:rsidR="00CF34C1" w:rsidRPr="000435F6" w14:paraId="7D585969" w14:textId="77777777" w:rsidTr="000435F6">
        <w:trPr>
          <w:trHeight w:hRule="exact" w:val="227"/>
        </w:trPr>
        <w:tc>
          <w:tcPr>
            <w:tcW w:w="2088" w:type="dxa"/>
            <w:shd w:val="clear" w:color="auto" w:fill="auto"/>
          </w:tcPr>
          <w:p w14:paraId="055E0367" w14:textId="77777777" w:rsidR="00CF34C1" w:rsidRPr="000435F6" w:rsidRDefault="00CF34C1" w:rsidP="000435F6">
            <w:pPr>
              <w:jc w:val="center"/>
              <w:rPr>
                <w:sz w:val="20"/>
                <w:szCs w:val="20"/>
              </w:rPr>
            </w:pPr>
            <w:r w:rsidRPr="000435F6">
              <w:rPr>
                <w:sz w:val="20"/>
                <w:szCs w:val="20"/>
              </w:rPr>
              <w:t>4%</w:t>
            </w:r>
          </w:p>
        </w:tc>
        <w:tc>
          <w:tcPr>
            <w:tcW w:w="2052" w:type="dxa"/>
            <w:shd w:val="clear" w:color="auto" w:fill="auto"/>
          </w:tcPr>
          <w:p w14:paraId="02B53900" w14:textId="77777777" w:rsidR="00CF34C1" w:rsidRPr="000435F6" w:rsidRDefault="00CF34C1" w:rsidP="000435F6">
            <w:pPr>
              <w:jc w:val="center"/>
              <w:rPr>
                <w:sz w:val="20"/>
                <w:szCs w:val="20"/>
              </w:rPr>
            </w:pPr>
            <w:r w:rsidRPr="000435F6">
              <w:rPr>
                <w:sz w:val="20"/>
                <w:szCs w:val="20"/>
              </w:rPr>
              <w:t>4</w:t>
            </w:r>
          </w:p>
        </w:tc>
      </w:tr>
      <w:tr w:rsidR="00CF34C1" w:rsidRPr="000435F6" w14:paraId="1B9C1587" w14:textId="77777777" w:rsidTr="000435F6">
        <w:trPr>
          <w:trHeight w:hRule="exact" w:val="227"/>
        </w:trPr>
        <w:tc>
          <w:tcPr>
            <w:tcW w:w="2088" w:type="dxa"/>
            <w:shd w:val="clear" w:color="auto" w:fill="auto"/>
          </w:tcPr>
          <w:p w14:paraId="416B1BFD" w14:textId="77777777" w:rsidR="00CF34C1" w:rsidRPr="000435F6" w:rsidRDefault="00CF34C1" w:rsidP="000435F6">
            <w:pPr>
              <w:jc w:val="center"/>
              <w:rPr>
                <w:sz w:val="20"/>
                <w:szCs w:val="20"/>
              </w:rPr>
            </w:pPr>
            <w:r w:rsidRPr="000435F6">
              <w:rPr>
                <w:sz w:val="20"/>
                <w:szCs w:val="20"/>
              </w:rPr>
              <w:t>5%</w:t>
            </w:r>
          </w:p>
        </w:tc>
        <w:tc>
          <w:tcPr>
            <w:tcW w:w="2052" w:type="dxa"/>
            <w:shd w:val="clear" w:color="auto" w:fill="auto"/>
          </w:tcPr>
          <w:p w14:paraId="451D99A5" w14:textId="77777777" w:rsidR="00CF34C1" w:rsidRPr="000435F6" w:rsidRDefault="00CF34C1" w:rsidP="000435F6">
            <w:pPr>
              <w:jc w:val="center"/>
              <w:rPr>
                <w:sz w:val="20"/>
                <w:szCs w:val="20"/>
              </w:rPr>
            </w:pPr>
            <w:r w:rsidRPr="000435F6">
              <w:rPr>
                <w:sz w:val="20"/>
                <w:szCs w:val="20"/>
              </w:rPr>
              <w:t>5</w:t>
            </w:r>
          </w:p>
        </w:tc>
      </w:tr>
      <w:tr w:rsidR="00CF34C1" w:rsidRPr="000435F6" w14:paraId="0D51C366" w14:textId="77777777" w:rsidTr="000435F6">
        <w:trPr>
          <w:trHeight w:hRule="exact" w:val="227"/>
        </w:trPr>
        <w:tc>
          <w:tcPr>
            <w:tcW w:w="2088" w:type="dxa"/>
            <w:shd w:val="clear" w:color="auto" w:fill="auto"/>
          </w:tcPr>
          <w:p w14:paraId="4DF29390" w14:textId="77777777" w:rsidR="00CF34C1" w:rsidRPr="000435F6" w:rsidRDefault="00CF34C1" w:rsidP="000435F6">
            <w:pPr>
              <w:jc w:val="center"/>
              <w:rPr>
                <w:sz w:val="20"/>
                <w:szCs w:val="20"/>
              </w:rPr>
            </w:pPr>
            <w:r w:rsidRPr="000435F6">
              <w:rPr>
                <w:sz w:val="20"/>
                <w:szCs w:val="20"/>
              </w:rPr>
              <w:t>6%</w:t>
            </w:r>
          </w:p>
        </w:tc>
        <w:tc>
          <w:tcPr>
            <w:tcW w:w="2052" w:type="dxa"/>
            <w:shd w:val="clear" w:color="auto" w:fill="auto"/>
          </w:tcPr>
          <w:p w14:paraId="6E13EC01" w14:textId="77777777" w:rsidR="00CF34C1" w:rsidRPr="000435F6" w:rsidRDefault="00CF34C1" w:rsidP="000435F6">
            <w:pPr>
              <w:jc w:val="center"/>
              <w:rPr>
                <w:sz w:val="20"/>
                <w:szCs w:val="20"/>
              </w:rPr>
            </w:pPr>
            <w:r w:rsidRPr="000435F6">
              <w:rPr>
                <w:sz w:val="20"/>
                <w:szCs w:val="20"/>
              </w:rPr>
              <w:t>6</w:t>
            </w:r>
          </w:p>
        </w:tc>
      </w:tr>
    </w:tbl>
    <w:p w14:paraId="14C1DC3A" w14:textId="77777777" w:rsidR="00CF34C1" w:rsidRDefault="00CF34C1" w:rsidP="000435F6">
      <w:r>
        <w:t>T</w:t>
      </w:r>
      <w:r w:rsidRPr="00CE396E">
        <w:t xml:space="preserve">he more benefit points you accumulate, the greater your </w:t>
      </w:r>
      <w:r>
        <w:t>NTGPASS benefit</w:t>
      </w:r>
      <w:r w:rsidRPr="00CE396E">
        <w:t xml:space="preserve"> will be. </w:t>
      </w:r>
    </w:p>
    <w:p w14:paraId="6C2A4B13" w14:textId="77777777" w:rsidR="00CF34C1" w:rsidRPr="00CE396E" w:rsidRDefault="00CF34C1" w:rsidP="000435F6">
      <w:pPr>
        <w:rPr>
          <w:b/>
        </w:rPr>
      </w:pPr>
      <w:r>
        <w:t xml:space="preserve">Part time employees’ benefit points are pro-rated in proportion to the amount of part time work being performed at the annual review date. </w:t>
      </w:r>
    </w:p>
    <w:p w14:paraId="2D8F05F9" w14:textId="77777777" w:rsidR="00CF34C1" w:rsidRPr="00147B09" w:rsidRDefault="00CF34C1" w:rsidP="000435F6">
      <w:pPr>
        <w:pStyle w:val="Heading2"/>
      </w:pPr>
      <w:r w:rsidRPr="00147B09">
        <w:t>Benefit Salary</w:t>
      </w:r>
    </w:p>
    <w:p w14:paraId="04922F68" w14:textId="73ECE89D" w:rsidR="00CF34C1" w:rsidRPr="00CF34C1" w:rsidRDefault="00CF34C1" w:rsidP="000435F6">
      <w:pPr>
        <w:rPr>
          <w:rFonts w:ascii="Arial" w:hAnsi="Arial" w:cs="Myriad Pro"/>
          <w:b/>
        </w:rPr>
      </w:pPr>
      <w:r w:rsidRPr="00CE396E">
        <w:rPr>
          <w:rFonts w:ascii="Arial" w:hAnsi="Arial" w:cs="Myriad Pro"/>
        </w:rPr>
        <w:t xml:space="preserve">Your benefit salary is the average of your last three contribution salaries after these salaries have been </w:t>
      </w:r>
      <w:r>
        <w:rPr>
          <w:rFonts w:ascii="Arial" w:hAnsi="Arial" w:cs="Myriad Pro"/>
        </w:rPr>
        <w:t>indexed</w:t>
      </w:r>
      <w:r w:rsidRPr="00CE396E">
        <w:rPr>
          <w:rFonts w:ascii="Arial" w:hAnsi="Arial" w:cs="Myriad Pro"/>
        </w:rPr>
        <w:t xml:space="preserve"> at your exit date by the movement in</w:t>
      </w:r>
      <w:r>
        <w:rPr>
          <w:rFonts w:ascii="Arial" w:hAnsi="Arial" w:cs="Myriad Pro"/>
        </w:rPr>
        <w:t xml:space="preserve"> Northern Territory</w:t>
      </w:r>
      <w:r w:rsidRPr="00CE396E">
        <w:rPr>
          <w:rFonts w:ascii="Arial" w:hAnsi="Arial" w:cs="Myriad Pro"/>
        </w:rPr>
        <w:t xml:space="preserve"> average weekly </w:t>
      </w:r>
      <w:r>
        <w:rPr>
          <w:rFonts w:ascii="Arial" w:hAnsi="Arial" w:cs="Myriad Pro"/>
        </w:rPr>
        <w:t xml:space="preserve">ordinary time </w:t>
      </w:r>
      <w:r w:rsidRPr="00CE396E">
        <w:rPr>
          <w:rFonts w:ascii="Arial" w:hAnsi="Arial" w:cs="Myriad Pro"/>
        </w:rPr>
        <w:t xml:space="preserve">earnings. Part time salaries are converted to full-time equivalent </w:t>
      </w:r>
      <w:r>
        <w:rPr>
          <w:rFonts w:ascii="Arial" w:hAnsi="Arial" w:cs="Myriad Pro"/>
        </w:rPr>
        <w:t>values before they are indexed</w:t>
      </w:r>
      <w:r w:rsidRPr="00CE396E">
        <w:rPr>
          <w:rFonts w:ascii="Arial" w:hAnsi="Arial" w:cs="Myriad Pro"/>
        </w:rPr>
        <w:t>.</w:t>
      </w:r>
    </w:p>
    <w:p w14:paraId="773164F2" w14:textId="77777777" w:rsidR="00CF34C1" w:rsidRPr="00497BF7" w:rsidRDefault="00CF34C1" w:rsidP="00CF34C1">
      <w:pPr>
        <w:pStyle w:val="Heading2"/>
      </w:pPr>
      <w:r w:rsidRPr="00497BF7">
        <w:t>Example – 2% contribution rate</w:t>
      </w:r>
    </w:p>
    <w:p w14:paraId="3CFA92A6" w14:textId="1F6264EC" w:rsidR="00CF34C1" w:rsidRPr="00CE396E" w:rsidRDefault="00CF34C1" w:rsidP="000435F6">
      <w:r w:rsidRPr="00CE396E">
        <w:t xml:space="preserve">Robert chooses to make compulsory contributions of 2% of salary for his entire active membership of </w:t>
      </w:r>
      <w:r>
        <w:t>2</w:t>
      </w:r>
      <w:r w:rsidRPr="00CE396E">
        <w:t>5 years. Robert accumulates 2</w:t>
      </w:r>
      <w:r w:rsidR="008C2544">
        <w:t> </w:t>
      </w:r>
      <w:r w:rsidRPr="00CE396E">
        <w:t xml:space="preserve">benefit points per year and will have </w:t>
      </w:r>
      <w:r>
        <w:t>a total of 5</w:t>
      </w:r>
      <w:r w:rsidRPr="00CE396E">
        <w:t>0 benefit points on exit. His benefit salary is $60</w:t>
      </w:r>
      <w:r w:rsidR="00814213">
        <w:t> </w:t>
      </w:r>
      <w:r w:rsidRPr="00CE396E">
        <w:t>000.</w:t>
      </w:r>
    </w:p>
    <w:p w14:paraId="73D8B228" w14:textId="77777777" w:rsidR="00CF34C1" w:rsidRDefault="00CF34C1" w:rsidP="000435F6">
      <w:r w:rsidRPr="00CE396E">
        <w:t>Robert will receive the following accrued employer component:</w:t>
      </w:r>
    </w:p>
    <w:p w14:paraId="419F8767" w14:textId="47DAFB0E" w:rsidR="00CF34C1" w:rsidRDefault="00CF34C1" w:rsidP="000435F6">
      <w:r>
        <w:t xml:space="preserve"> </w:t>
      </w:r>
      <w:r>
        <w:tab/>
        <w:t>2.5% x 50 x $60 </w:t>
      </w:r>
      <w:r w:rsidR="00814213">
        <w:t>000 =</w:t>
      </w:r>
      <w:r>
        <w:t xml:space="preserve"> $75 000</w:t>
      </w:r>
    </w:p>
    <w:p w14:paraId="201A3F22" w14:textId="77777777" w:rsidR="00CF34C1" w:rsidRPr="00497BF7" w:rsidRDefault="00CF34C1" w:rsidP="00CF34C1">
      <w:pPr>
        <w:pStyle w:val="Heading2"/>
      </w:pPr>
      <w:r w:rsidRPr="00497BF7">
        <w:t>Example – 6% contribution rate</w:t>
      </w:r>
    </w:p>
    <w:p w14:paraId="29F4B51F" w14:textId="77777777" w:rsidR="00CF34C1" w:rsidRPr="00CE396E" w:rsidRDefault="00CF34C1" w:rsidP="000435F6">
      <w:r>
        <w:t>Using the same factors as above, but with</w:t>
      </w:r>
      <w:r w:rsidRPr="00CE396E">
        <w:t xml:space="preserve"> Robert </w:t>
      </w:r>
      <w:r>
        <w:t xml:space="preserve">choosing to make compulsory </w:t>
      </w:r>
      <w:r w:rsidRPr="00CE396E">
        <w:t>contributi</w:t>
      </w:r>
      <w:r>
        <w:t>o</w:t>
      </w:r>
      <w:r w:rsidRPr="00CE396E">
        <w:t>n</w:t>
      </w:r>
      <w:r>
        <w:t xml:space="preserve">s of </w:t>
      </w:r>
      <w:r w:rsidRPr="00CE396E">
        <w:t xml:space="preserve">6% </w:t>
      </w:r>
      <w:r>
        <w:t>throughout</w:t>
      </w:r>
      <w:r w:rsidRPr="00CE396E">
        <w:t xml:space="preserve"> his </w:t>
      </w:r>
      <w:r>
        <w:t>2</w:t>
      </w:r>
      <w:r w:rsidRPr="00CE396E">
        <w:t>5 years</w:t>
      </w:r>
      <w:r>
        <w:t xml:space="preserve"> of</w:t>
      </w:r>
      <w:r w:rsidRPr="00CE396E">
        <w:t xml:space="preserve"> membership</w:t>
      </w:r>
      <w:r>
        <w:t>, h</w:t>
      </w:r>
      <w:r w:rsidRPr="00CE396E">
        <w:t xml:space="preserve">e </w:t>
      </w:r>
      <w:r>
        <w:t xml:space="preserve">will accumulate </w:t>
      </w:r>
      <w:r w:rsidRPr="00ED6FF1">
        <w:t>150</w:t>
      </w:r>
      <w:r w:rsidRPr="00476BDD">
        <w:rPr>
          <w:color w:val="FF0000"/>
        </w:rPr>
        <w:t xml:space="preserve"> </w:t>
      </w:r>
      <w:r>
        <w:t>benefit points on resignation (2</w:t>
      </w:r>
      <w:r w:rsidRPr="00CE396E">
        <w:t xml:space="preserve">5 x 6). </w:t>
      </w:r>
    </w:p>
    <w:p w14:paraId="2BD541D3" w14:textId="77777777" w:rsidR="00CF34C1" w:rsidRDefault="00CF34C1" w:rsidP="000435F6">
      <w:r w:rsidRPr="00CE396E">
        <w:t>Robert will receive the following accrued employer component:</w:t>
      </w:r>
    </w:p>
    <w:p w14:paraId="2F4B1425" w14:textId="77777777" w:rsidR="00CF34C1" w:rsidRDefault="00CF34C1" w:rsidP="000435F6">
      <w:r>
        <w:t>2.5% x 150 x $60 000 x 1 = $225 000</w:t>
      </w:r>
    </w:p>
    <w:p w14:paraId="06C983D3" w14:textId="77777777" w:rsidR="000435F6" w:rsidRDefault="000435F6" w:rsidP="000435F6"/>
    <w:p w14:paraId="6457D364" w14:textId="77777777" w:rsidR="000435F6" w:rsidRDefault="000435F6" w:rsidP="000435F6"/>
    <w:p w14:paraId="6E5096C5" w14:textId="408D5F60" w:rsidR="00CF34C1" w:rsidRPr="00115C1C" w:rsidRDefault="00CF34C1" w:rsidP="00CF34C1">
      <w:pPr>
        <w:pStyle w:val="Heading1"/>
      </w:pPr>
      <w:r w:rsidRPr="00115C1C">
        <w:lastRenderedPageBreak/>
        <w:t>NTSSS</w:t>
      </w:r>
    </w:p>
    <w:p w14:paraId="24B500C6" w14:textId="77777777" w:rsidR="00CF34C1" w:rsidRPr="00B53A7C" w:rsidRDefault="00CF34C1" w:rsidP="000435F6">
      <w:r w:rsidRPr="00CE396E">
        <w:t>Active members of NTGPASS also receive a benefit from the NT Supplementary Superannuation Scheme (NTSSS)</w:t>
      </w:r>
      <w:r>
        <w:t>,</w:t>
      </w:r>
      <w:r w:rsidRPr="00CE396E">
        <w:t xml:space="preserve"> equal </w:t>
      </w:r>
      <w:r w:rsidRPr="00B53A7C">
        <w:t>to 3</w:t>
      </w:r>
      <w:r>
        <w:t>%</w:t>
      </w:r>
      <w:r w:rsidRPr="00B53A7C">
        <w:t xml:space="preserve"> of final sala</w:t>
      </w:r>
      <w:r>
        <w:t>ry for each year of eligible service since 1 </w:t>
      </w:r>
      <w:r w:rsidRPr="00B53A7C">
        <w:t xml:space="preserve">October 1988. </w:t>
      </w:r>
    </w:p>
    <w:p w14:paraId="4EEB737C" w14:textId="77777777" w:rsidR="00CF34C1" w:rsidRDefault="00CF34C1" w:rsidP="000435F6">
      <w:r w:rsidRPr="00CE396E">
        <w:t xml:space="preserve">If your accrued employer component from NTGPASS does not satisfy </w:t>
      </w:r>
      <w:r>
        <w:t xml:space="preserve">the minimum </w:t>
      </w:r>
      <w:r w:rsidRPr="00CE396E">
        <w:t xml:space="preserve">Superannuation Guarantee </w:t>
      </w:r>
      <w:r>
        <w:t xml:space="preserve">(SG) </w:t>
      </w:r>
      <w:r w:rsidRPr="00CE396E">
        <w:t xml:space="preserve">requirements you will </w:t>
      </w:r>
      <w:r>
        <w:t xml:space="preserve">also </w:t>
      </w:r>
      <w:r w:rsidRPr="00CE396E">
        <w:t>receive a</w:t>
      </w:r>
      <w:r>
        <w:t xml:space="preserve"> SG</w:t>
      </w:r>
      <w:r w:rsidRPr="00CE396E">
        <w:t xml:space="preserve"> top up payment from NTSSS.</w:t>
      </w:r>
      <w:r>
        <w:t xml:space="preserve"> The current minimum rate for SG payments is 12%.</w:t>
      </w:r>
    </w:p>
    <w:p w14:paraId="39BA47CB" w14:textId="77777777" w:rsidR="00CF34C1" w:rsidRPr="00497BF7" w:rsidRDefault="00CF34C1" w:rsidP="00CF34C1">
      <w:pPr>
        <w:pStyle w:val="Heading2"/>
      </w:pPr>
      <w:r w:rsidRPr="00497BF7">
        <w:t>Example – NTSSS</w:t>
      </w:r>
    </w:p>
    <w:p w14:paraId="3A61183A" w14:textId="5BA92018" w:rsidR="00CF34C1" w:rsidRDefault="00CF34C1" w:rsidP="000435F6">
      <w:r>
        <w:t>Where Robert’s NTGPASS accrued employer component satisfies SG requirements, such as in</w:t>
      </w:r>
      <w:r w:rsidR="00AD1CE9">
        <w:t xml:space="preserve"> </w:t>
      </w:r>
      <w:r>
        <w:t xml:space="preserve">the 6% contribution rate example above, his NTSSS benefit would be equal to: </w:t>
      </w:r>
    </w:p>
    <w:p w14:paraId="6F9A9DBA" w14:textId="0B091298" w:rsidR="00AD1CE9" w:rsidRDefault="00CF34C1" w:rsidP="00AD1CE9">
      <w:r>
        <w:t>3% x $60 000 x 25 years = $45 000</w:t>
      </w:r>
    </w:p>
    <w:p w14:paraId="1341817F" w14:textId="524C99F1" w:rsidR="00CF34C1" w:rsidRPr="007010AA" w:rsidRDefault="00AD1CE9" w:rsidP="00AD1CE9">
      <w:pPr>
        <w:pStyle w:val="Heading2"/>
      </w:pPr>
      <w:r>
        <w:br w:type="column"/>
      </w:r>
      <w:r w:rsidR="00CF34C1" w:rsidRPr="007010AA">
        <w:t>Disclaimer</w:t>
      </w:r>
    </w:p>
    <w:p w14:paraId="1B0F89BB" w14:textId="2CD3A3D2" w:rsidR="00CF34C1" w:rsidRDefault="00CF34C1" w:rsidP="00996655">
      <w:pPr>
        <w:sectPr w:rsidR="00CF34C1" w:rsidSect="0009182A">
          <w:type w:val="continuous"/>
          <w:pgSz w:w="11906" w:h="16838" w:code="9"/>
          <w:pgMar w:top="794" w:right="794" w:bottom="794" w:left="794" w:header="794" w:footer="1077" w:gutter="0"/>
          <w:cols w:num="2" w:space="708"/>
          <w:titlePg/>
          <w:docGrid w:linePitch="360"/>
        </w:sectPr>
      </w:pPr>
      <w:r w:rsidRPr="00CE396E">
        <w:t>The material in this fact sheet is provided for information purposes only and should not be relied upon for making financial commitments. The Commissioner of Superannuation and the Northern Territory of Australia accepts no responsibility for any losses arising from any use or reliance upon the information or conclusions reached using the information.</w:t>
      </w:r>
      <w:bookmarkEnd w:id="4"/>
    </w:p>
    <w:p w14:paraId="19A498D4" w14:textId="77777777" w:rsidR="006A2F2D" w:rsidRPr="00996655" w:rsidRDefault="006A2F2D" w:rsidP="00814213">
      <w:pPr>
        <w:rPr>
          <w:lang w:bidi="en-US"/>
        </w:rPr>
      </w:pPr>
    </w:p>
    <w:sectPr w:rsidR="006A2F2D" w:rsidRPr="00996655" w:rsidSect="00CF34C1">
      <w:type w:val="continuous"/>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ADC3" w14:textId="77777777" w:rsidR="0023365C" w:rsidRDefault="0023365C" w:rsidP="007332FF">
      <w:r>
        <w:separator/>
      </w:r>
    </w:p>
  </w:endnote>
  <w:endnote w:type="continuationSeparator" w:id="0">
    <w:p w14:paraId="64EE6E3E" w14:textId="77777777" w:rsidR="0023365C" w:rsidRDefault="0023365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E556" w14:textId="77777777" w:rsidR="0009182A" w:rsidRDefault="00091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8EA2" w14:textId="518BDB6B" w:rsidR="00996655" w:rsidRDefault="00996655" w:rsidP="00996655">
    <w:pPr>
      <w:spacing w:after="0"/>
    </w:pPr>
  </w:p>
  <w:tbl>
    <w:tblPr>
      <w:tblW w:w="1040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408"/>
    </w:tblGrid>
    <w:tr w:rsidR="00996655" w:rsidRPr="00132658" w14:paraId="2567AE5C" w14:textId="77777777" w:rsidTr="006C0C83">
      <w:trPr>
        <w:cantSplit/>
        <w:trHeight w:hRule="exact" w:val="903"/>
      </w:trPr>
      <w:tc>
        <w:tcPr>
          <w:tcW w:w="10408" w:type="dxa"/>
          <w:vAlign w:val="bottom"/>
        </w:tcPr>
        <w:p w14:paraId="5FF2B02C" w14:textId="2CF15594" w:rsidR="00996655"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4D9AAB19EA8A4D2F850A071CE6CE7970"/>
              </w:placeholder>
              <w:dataBinding w:prefixMappings="xmlns:ns0='http://schemas.openxmlformats.org/officeDocument/2006/extended-properties' " w:xpath="/ns0:Properties[1]/ns0:Company[1]" w:storeItemID="{6668398D-A668-4E3E-A5EB-62B293D839F1}"/>
              <w15:color w:val="000000"/>
              <w:text w:multiLine="1"/>
            </w:sdtPr>
            <w:sdtContent>
              <w:r w:rsidR="00CF34C1">
                <w:rPr>
                  <w:rStyle w:val="PageNumber"/>
                  <w:b/>
                </w:rPr>
                <w:t>TREASURY AND FINANCE</w:t>
              </w:r>
            </w:sdtContent>
          </w:sdt>
          <w:r w:rsidR="00592E78" w:rsidRPr="00750D2F">
            <w:rPr>
              <w:rStyle w:val="PageNumber"/>
            </w:rPr>
            <w:t xml:space="preserve"> </w:t>
          </w:r>
          <w:r w:rsidR="000435F6">
            <w:rPr>
              <w:rStyle w:val="PageNumber"/>
            </w:rPr>
            <w:t>– NT Superannuation Office</w:t>
          </w:r>
        </w:p>
        <w:p w14:paraId="2225503E" w14:textId="06893BB0" w:rsidR="0009182A" w:rsidRPr="00750D2F" w:rsidRDefault="00000000" w:rsidP="00996655">
          <w:pPr>
            <w:spacing w:after="0"/>
            <w:rPr>
              <w:rStyle w:val="PageNumber"/>
              <w:lang w:eastAsia="zh-CN"/>
            </w:rPr>
          </w:pPr>
          <w:sdt>
            <w:sdtPr>
              <w:rPr>
                <w:rStyle w:val="PageNumber"/>
                <w:rFonts w:hint="eastAsia"/>
                <w:lang w:eastAsia="zh-CN"/>
              </w:rPr>
              <w:alias w:val="Date"/>
              <w:tag w:val=""/>
              <w:id w:val="419989697"/>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Content>
              <w:r w:rsidR="0009182A">
                <w:rPr>
                  <w:rStyle w:val="PageNumber"/>
                  <w:rFonts w:hint="eastAsia"/>
                  <w:lang w:eastAsia="zh-CN"/>
                </w:rPr>
                <w:t xml:space="preserve">3 </w:t>
              </w:r>
              <w:r w:rsidR="0009182A">
                <w:rPr>
                  <w:rStyle w:val="PageNumber"/>
                  <w:lang w:eastAsia="zh-CN"/>
                </w:rPr>
                <w:t>September 2025</w:t>
              </w:r>
            </w:sdtContent>
          </w:sdt>
          <w:r w:rsidR="0009182A" w:rsidRPr="0009182A">
            <w:rPr>
              <w:sz w:val="19"/>
              <w:lang w:eastAsia="zh-CN"/>
            </w:rPr>
            <w:t xml:space="preserve"> </w:t>
          </w:r>
          <w:r w:rsidR="0009182A">
            <w:rPr>
              <w:rFonts w:hint="eastAsia"/>
              <w:sz w:val="19"/>
              <w:lang w:eastAsia="zh-CN"/>
            </w:rPr>
            <w:t xml:space="preserve">| </w:t>
          </w:r>
          <w:r w:rsidR="0009182A" w:rsidRPr="0009182A">
            <w:rPr>
              <w:sz w:val="19"/>
              <w:lang w:eastAsia="zh-CN"/>
            </w:rPr>
            <w:t>NTG-P25-V09</w:t>
          </w:r>
        </w:p>
        <w:p w14:paraId="7C5D6138"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1598D392" w14:textId="77777777" w:rsidR="00CA36A0" w:rsidRPr="00996655" w:rsidRDefault="00CA36A0" w:rsidP="00996655">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B35A" w14:textId="77777777" w:rsidR="00D15D88" w:rsidRDefault="00D15D88" w:rsidP="00C0326E">
    <w:pPr>
      <w:spacing w:after="0"/>
    </w:pPr>
  </w:p>
  <w:p w14:paraId="4B986F24"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08A07E43" w14:textId="77777777" w:rsidTr="008921B4">
      <w:trPr>
        <w:cantSplit/>
        <w:trHeight w:hRule="exact" w:val="1134"/>
      </w:trPr>
      <w:tc>
        <w:tcPr>
          <w:tcW w:w="7767" w:type="dxa"/>
          <w:vAlign w:val="bottom"/>
        </w:tcPr>
        <w:p w14:paraId="31ECA40D" w14:textId="63CF305B" w:rsidR="00901430" w:rsidRDefault="00901430" w:rsidP="00C0326E">
          <w:pPr>
            <w:spacing w:after="0"/>
            <w:rPr>
              <w:rStyle w:val="PageNumber"/>
            </w:rPr>
          </w:pPr>
          <w:r>
            <w:rPr>
              <w:rStyle w:val="PageNumber"/>
            </w:rPr>
            <w:t xml:space="preserve">Department of </w:t>
          </w:r>
          <w:sdt>
            <w:sdtPr>
              <w:rPr>
                <w:b/>
                <w:sz w:val="19"/>
                <w:szCs w:val="19"/>
              </w:rPr>
              <w:alias w:val="Company"/>
              <w:tag w:val=""/>
              <w:id w:val="250782577"/>
              <w:dataBinding w:prefixMappings="xmlns:ns0='http://schemas.openxmlformats.org/officeDocument/2006/extended-properties' " w:xpath="/ns0:Properties[1]/ns0:Company[1]" w:storeItemID="{6668398D-A668-4E3E-A5EB-62B293D839F1}"/>
              <w15:color w:val="000000"/>
              <w:text w:multiLine="1"/>
            </w:sdtPr>
            <w:sdtContent>
              <w:r w:rsidR="00CF34C1">
                <w:rPr>
                  <w:b/>
                  <w:sz w:val="19"/>
                  <w:szCs w:val="19"/>
                </w:rPr>
                <w:t>TREASURY AND FINANCE</w:t>
              </w:r>
            </w:sdtContent>
          </w:sdt>
          <w:r w:rsidR="00592E78">
            <w:rPr>
              <w:rStyle w:val="PageNumber"/>
            </w:rPr>
            <w:t xml:space="preserve"> </w:t>
          </w:r>
          <w:r w:rsidR="000435F6">
            <w:rPr>
              <w:rStyle w:val="PageNumber"/>
            </w:rPr>
            <w:t>– NT Superannuation Office</w:t>
          </w:r>
        </w:p>
        <w:p w14:paraId="55279C14" w14:textId="523FEFCB" w:rsidR="0009182A" w:rsidRPr="0009182A" w:rsidRDefault="00000000" w:rsidP="00C0326E">
          <w:pPr>
            <w:spacing w:after="0"/>
            <w:rPr>
              <w:rStyle w:val="PageNumber"/>
              <w:lang w:eastAsia="zh-CN"/>
            </w:rPr>
          </w:pPr>
          <w:sdt>
            <w:sdtPr>
              <w:rPr>
                <w:rStyle w:val="PageNumber"/>
                <w:rFonts w:hint="eastAsia"/>
                <w:lang w:eastAsia="zh-CN"/>
              </w:rPr>
              <w:alias w:val="Date"/>
              <w:tag w:val=""/>
              <w:id w:val="1578473972"/>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Content>
              <w:r w:rsidR="0009182A">
                <w:rPr>
                  <w:rStyle w:val="PageNumber"/>
                  <w:rFonts w:hint="eastAsia"/>
                  <w:lang w:eastAsia="zh-CN"/>
                </w:rPr>
                <w:t xml:space="preserve">3 </w:t>
              </w:r>
              <w:r w:rsidR="0009182A">
                <w:rPr>
                  <w:rStyle w:val="PageNumber"/>
                  <w:lang w:eastAsia="zh-CN"/>
                </w:rPr>
                <w:t>September 2025</w:t>
              </w:r>
            </w:sdtContent>
          </w:sdt>
          <w:r w:rsidR="0009182A" w:rsidRPr="0009182A">
            <w:rPr>
              <w:sz w:val="19"/>
              <w:lang w:eastAsia="zh-CN"/>
            </w:rPr>
            <w:t xml:space="preserve"> </w:t>
          </w:r>
          <w:r w:rsidR="0009182A">
            <w:rPr>
              <w:rFonts w:hint="eastAsia"/>
              <w:sz w:val="19"/>
              <w:lang w:eastAsia="zh-CN"/>
            </w:rPr>
            <w:t xml:space="preserve">| </w:t>
          </w:r>
          <w:r w:rsidR="0009182A" w:rsidRPr="0009182A">
            <w:rPr>
              <w:sz w:val="19"/>
              <w:lang w:eastAsia="zh-CN"/>
            </w:rPr>
            <w:t>NTG-P25-V09</w:t>
          </w:r>
        </w:p>
        <w:p w14:paraId="5E5E56BF"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6432B6ED" w14:textId="77777777" w:rsidR="00C0326E" w:rsidRPr="001E14EB" w:rsidRDefault="00C0326E" w:rsidP="00C0326E">
          <w:pPr>
            <w:spacing w:after="0"/>
            <w:jc w:val="right"/>
          </w:pPr>
          <w:r>
            <w:rPr>
              <w:noProof/>
              <w:lang w:eastAsia="en-AU"/>
            </w:rPr>
            <w:drawing>
              <wp:inline distT="0" distB="0" distL="0" distR="0" wp14:anchorId="00B12214" wp14:editId="56784398">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01893DA"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BB38" w14:textId="77777777" w:rsidR="0023365C" w:rsidRDefault="0023365C" w:rsidP="007332FF">
      <w:r>
        <w:separator/>
      </w:r>
    </w:p>
  </w:footnote>
  <w:footnote w:type="continuationSeparator" w:id="0">
    <w:p w14:paraId="3E3DB950" w14:textId="77777777" w:rsidR="0023365C" w:rsidRDefault="0023365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55B1" w14:textId="77777777" w:rsidR="0009182A" w:rsidRDefault="00091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5D68" w14:textId="730F2300"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CF34C1">
          <w:t>Understanding NTGPASS and NTSSS Benefits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9CA"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76463636">
    <w:abstractNumId w:val="33"/>
  </w:num>
  <w:num w:numId="2" w16cid:durableId="781729298">
    <w:abstractNumId w:val="21"/>
  </w:num>
  <w:num w:numId="3" w16cid:durableId="1876115533">
    <w:abstractNumId w:val="71"/>
  </w:num>
  <w:num w:numId="4" w16cid:durableId="833684541">
    <w:abstractNumId w:val="43"/>
  </w:num>
  <w:num w:numId="5" w16cid:durableId="1194229265">
    <w:abstractNumId w:val="27"/>
  </w:num>
  <w:num w:numId="6" w16cid:durableId="806977056">
    <w:abstractNumId w:val="15"/>
  </w:num>
  <w:num w:numId="7" w16cid:durableId="1077094067">
    <w:abstractNumId w:val="48"/>
  </w:num>
  <w:num w:numId="8" w16cid:durableId="559750411">
    <w:abstractNumId w:val="24"/>
  </w:num>
  <w:num w:numId="9" w16cid:durableId="1603803149">
    <w:abstractNumId w:val="55"/>
  </w:num>
  <w:num w:numId="10" w16cid:durableId="2115711409">
    <w:abstractNumId w:val="20"/>
  </w:num>
  <w:num w:numId="11" w16cid:durableId="109207881">
    <w:abstractNumId w:val="61"/>
  </w:num>
  <w:num w:numId="12" w16cid:durableId="770048535">
    <w:abstractNumId w:val="17"/>
  </w:num>
  <w:num w:numId="13" w16cid:durableId="869535735">
    <w:abstractNumId w:val="1"/>
  </w:num>
  <w:num w:numId="14" w16cid:durableId="1309704096">
    <w:abstractNumId w:val="59"/>
  </w:num>
  <w:num w:numId="15" w16cid:durableId="1171333547">
    <w:abstractNumId w:val="26"/>
  </w:num>
  <w:num w:numId="16" w16cid:durableId="1966740556">
    <w:abstractNumId w:val="60"/>
  </w:num>
  <w:num w:numId="17" w16cid:durableId="1268196365">
    <w:abstractNumId w:val="69"/>
  </w:num>
  <w:num w:numId="18" w16cid:durableId="1362903369">
    <w:abstractNumId w:val="54"/>
  </w:num>
  <w:num w:numId="19" w16cid:durableId="1064916176">
    <w:abstractNumId w:val="46"/>
  </w:num>
  <w:num w:numId="20" w16cid:durableId="2002584892">
    <w:abstractNumId w:val="50"/>
  </w:num>
  <w:num w:numId="21" w16cid:durableId="655498062">
    <w:abstractNumId w:val="38"/>
  </w:num>
  <w:num w:numId="22" w16cid:durableId="1138061870">
    <w:abstractNumId w:val="53"/>
  </w:num>
  <w:num w:numId="23" w16cid:durableId="523596001">
    <w:abstractNumId w:val="45"/>
  </w:num>
  <w:num w:numId="24" w16cid:durableId="1835300310">
    <w:abstractNumId w:val="40"/>
  </w:num>
  <w:num w:numId="25" w16cid:durableId="240067954">
    <w:abstractNumId w:val="36"/>
  </w:num>
  <w:num w:numId="26" w16cid:durableId="1665939066">
    <w:abstractNumId w:val="10"/>
  </w:num>
  <w:num w:numId="27" w16cid:durableId="828405291">
    <w:abstractNumId w:val="70"/>
  </w:num>
  <w:num w:numId="28" w16cid:durableId="1303538920">
    <w:abstractNumId w:val="35"/>
  </w:num>
  <w:num w:numId="29" w16cid:durableId="1505364490">
    <w:abstractNumId w:val="28"/>
  </w:num>
  <w:num w:numId="30" w16cid:durableId="1889994482">
    <w:abstractNumId w:val="0"/>
  </w:num>
  <w:num w:numId="31" w16cid:durableId="535434773">
    <w:abstractNumId w:val="39"/>
  </w:num>
  <w:num w:numId="32" w16cid:durableId="693305561">
    <w:abstractNumId w:val="9"/>
  </w:num>
  <w:num w:numId="33" w16cid:durableId="1594194658">
    <w:abstractNumId w:val="62"/>
  </w:num>
  <w:num w:numId="34" w16cid:durableId="1800371220">
    <w:abstractNumId w:val="31"/>
  </w:num>
  <w:num w:numId="35" w16cid:durableId="314798751">
    <w:abstractNumId w:val="47"/>
  </w:num>
  <w:num w:numId="36" w16cid:durableId="1320115944">
    <w:abstractNumId w:val="63"/>
  </w:num>
  <w:num w:numId="37" w16cid:durableId="579631879">
    <w:abstractNumId w:val="65"/>
  </w:num>
  <w:num w:numId="38" w16cid:durableId="639959708">
    <w:abstractNumId w:val="14"/>
  </w:num>
  <w:num w:numId="39" w16cid:durableId="735202735">
    <w:abstractNumId w:val="25"/>
  </w:num>
  <w:num w:numId="40" w16cid:durableId="56169197">
    <w:abstractNumId w:val="66"/>
  </w:num>
  <w:num w:numId="41" w16cid:durableId="1728186428">
    <w:abstractNumId w:val="2"/>
  </w:num>
  <w:num w:numId="42" w16cid:durableId="538594523">
    <w:abstractNumId w:val="58"/>
  </w:num>
  <w:num w:numId="43" w16cid:durableId="1332175823">
    <w:abstractNumId w:val="11"/>
  </w:num>
  <w:num w:numId="44" w16cid:durableId="635572317">
    <w:abstractNumId w:val="34"/>
  </w:num>
  <w:num w:numId="45" w16cid:durableId="2041317196">
    <w:abstractNumId w:val="41"/>
  </w:num>
  <w:num w:numId="46" w16cid:durableId="833646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00644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efaultTableStyle w:val="NTGmeetingagenda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09"/>
    <w:rsid w:val="00001DDF"/>
    <w:rsid w:val="0000322D"/>
    <w:rsid w:val="00007670"/>
    <w:rsid w:val="00010665"/>
    <w:rsid w:val="0002393A"/>
    <w:rsid w:val="00027DB8"/>
    <w:rsid w:val="00031A96"/>
    <w:rsid w:val="00040BF3"/>
    <w:rsid w:val="0004211C"/>
    <w:rsid w:val="000435F6"/>
    <w:rsid w:val="00046C59"/>
    <w:rsid w:val="00046E82"/>
    <w:rsid w:val="00051362"/>
    <w:rsid w:val="00051F45"/>
    <w:rsid w:val="00052953"/>
    <w:rsid w:val="0005341A"/>
    <w:rsid w:val="0005465F"/>
    <w:rsid w:val="00056DEF"/>
    <w:rsid w:val="00056EDC"/>
    <w:rsid w:val="0006635A"/>
    <w:rsid w:val="000720BE"/>
    <w:rsid w:val="0007259C"/>
    <w:rsid w:val="00074E27"/>
    <w:rsid w:val="00080202"/>
    <w:rsid w:val="00080DCD"/>
    <w:rsid w:val="00080E22"/>
    <w:rsid w:val="00082573"/>
    <w:rsid w:val="000840A3"/>
    <w:rsid w:val="000844CD"/>
    <w:rsid w:val="00085062"/>
    <w:rsid w:val="00086A5F"/>
    <w:rsid w:val="000911EF"/>
    <w:rsid w:val="0009182A"/>
    <w:rsid w:val="000962C5"/>
    <w:rsid w:val="00097865"/>
    <w:rsid w:val="000A4317"/>
    <w:rsid w:val="000A559C"/>
    <w:rsid w:val="000B2CA1"/>
    <w:rsid w:val="000D1F29"/>
    <w:rsid w:val="000D633D"/>
    <w:rsid w:val="000E21AD"/>
    <w:rsid w:val="000E342B"/>
    <w:rsid w:val="000E3ED2"/>
    <w:rsid w:val="000E5DD2"/>
    <w:rsid w:val="000F2958"/>
    <w:rsid w:val="000F3850"/>
    <w:rsid w:val="000F604F"/>
    <w:rsid w:val="00104E7F"/>
    <w:rsid w:val="00107D09"/>
    <w:rsid w:val="00110139"/>
    <w:rsid w:val="001137EC"/>
    <w:rsid w:val="00114404"/>
    <w:rsid w:val="001152F5"/>
    <w:rsid w:val="00117743"/>
    <w:rsid w:val="00117F5B"/>
    <w:rsid w:val="00120487"/>
    <w:rsid w:val="00127715"/>
    <w:rsid w:val="00132658"/>
    <w:rsid w:val="00150DC0"/>
    <w:rsid w:val="00156CD4"/>
    <w:rsid w:val="0016153B"/>
    <w:rsid w:val="00161898"/>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38C4"/>
    <w:rsid w:val="001F59E6"/>
    <w:rsid w:val="00203F1C"/>
    <w:rsid w:val="00206936"/>
    <w:rsid w:val="00206C6F"/>
    <w:rsid w:val="00206FBD"/>
    <w:rsid w:val="00207746"/>
    <w:rsid w:val="00230031"/>
    <w:rsid w:val="0023365C"/>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21B0"/>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352F0"/>
    <w:rsid w:val="0033580F"/>
    <w:rsid w:val="00342283"/>
    <w:rsid w:val="00343A87"/>
    <w:rsid w:val="00344A36"/>
    <w:rsid w:val="003456F4"/>
    <w:rsid w:val="00347FB6"/>
    <w:rsid w:val="003504FD"/>
    <w:rsid w:val="00350881"/>
    <w:rsid w:val="00357D55"/>
    <w:rsid w:val="00363513"/>
    <w:rsid w:val="00364FE8"/>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68E0"/>
    <w:rsid w:val="003D7818"/>
    <w:rsid w:val="003E2445"/>
    <w:rsid w:val="003E3BB2"/>
    <w:rsid w:val="003F5B58"/>
    <w:rsid w:val="0040222A"/>
    <w:rsid w:val="004047BC"/>
    <w:rsid w:val="004100F7"/>
    <w:rsid w:val="00414CB3"/>
    <w:rsid w:val="00415601"/>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E47C2"/>
    <w:rsid w:val="004F016A"/>
    <w:rsid w:val="004F79CA"/>
    <w:rsid w:val="00500F94"/>
    <w:rsid w:val="00501A22"/>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0D75"/>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F5B"/>
    <w:rsid w:val="006670D7"/>
    <w:rsid w:val="006674D9"/>
    <w:rsid w:val="006719EA"/>
    <w:rsid w:val="00671F13"/>
    <w:rsid w:val="006728AA"/>
    <w:rsid w:val="0067400A"/>
    <w:rsid w:val="006847AD"/>
    <w:rsid w:val="0069114B"/>
    <w:rsid w:val="006944C1"/>
    <w:rsid w:val="006A2F2D"/>
    <w:rsid w:val="006A756A"/>
    <w:rsid w:val="006C0C83"/>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4213"/>
    <w:rsid w:val="00815297"/>
    <w:rsid w:val="008170DB"/>
    <w:rsid w:val="00817BA1"/>
    <w:rsid w:val="00823022"/>
    <w:rsid w:val="008242B0"/>
    <w:rsid w:val="0082634E"/>
    <w:rsid w:val="008313C4"/>
    <w:rsid w:val="00835434"/>
    <w:rsid w:val="008358C0"/>
    <w:rsid w:val="008375F5"/>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2544"/>
    <w:rsid w:val="008C70BB"/>
    <w:rsid w:val="008D1B00"/>
    <w:rsid w:val="008D278B"/>
    <w:rsid w:val="008D57B8"/>
    <w:rsid w:val="008E03FC"/>
    <w:rsid w:val="008E510B"/>
    <w:rsid w:val="008F30DE"/>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7FF0"/>
    <w:rsid w:val="00A00828"/>
    <w:rsid w:val="00A03290"/>
    <w:rsid w:val="00A0387E"/>
    <w:rsid w:val="00A05BFD"/>
    <w:rsid w:val="00A07490"/>
    <w:rsid w:val="00A10655"/>
    <w:rsid w:val="00A12B64"/>
    <w:rsid w:val="00A22660"/>
    <w:rsid w:val="00A22C38"/>
    <w:rsid w:val="00A25193"/>
    <w:rsid w:val="00A26E80"/>
    <w:rsid w:val="00A31AE8"/>
    <w:rsid w:val="00A362EB"/>
    <w:rsid w:val="00A3739D"/>
    <w:rsid w:val="00A37DDA"/>
    <w:rsid w:val="00A45005"/>
    <w:rsid w:val="00A55A62"/>
    <w:rsid w:val="00A66857"/>
    <w:rsid w:val="00A67839"/>
    <w:rsid w:val="00A76790"/>
    <w:rsid w:val="00A925EC"/>
    <w:rsid w:val="00A929AA"/>
    <w:rsid w:val="00A92B6B"/>
    <w:rsid w:val="00AA541E"/>
    <w:rsid w:val="00AA7E89"/>
    <w:rsid w:val="00AB5413"/>
    <w:rsid w:val="00AD0DA4"/>
    <w:rsid w:val="00AD1CE9"/>
    <w:rsid w:val="00AD4169"/>
    <w:rsid w:val="00AE25C6"/>
    <w:rsid w:val="00AE306C"/>
    <w:rsid w:val="00AF28C1"/>
    <w:rsid w:val="00B02EF1"/>
    <w:rsid w:val="00B061EB"/>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C4A31"/>
    <w:rsid w:val="00BD7FE1"/>
    <w:rsid w:val="00BE37CA"/>
    <w:rsid w:val="00BE6144"/>
    <w:rsid w:val="00BE635A"/>
    <w:rsid w:val="00BF17E9"/>
    <w:rsid w:val="00BF2ABB"/>
    <w:rsid w:val="00BF5099"/>
    <w:rsid w:val="00C0326E"/>
    <w:rsid w:val="00C10F10"/>
    <w:rsid w:val="00C12A5B"/>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39AB"/>
    <w:rsid w:val="00C954F6"/>
    <w:rsid w:val="00CA36A0"/>
    <w:rsid w:val="00CA6BC5"/>
    <w:rsid w:val="00CC571B"/>
    <w:rsid w:val="00CC61CD"/>
    <w:rsid w:val="00CC6C02"/>
    <w:rsid w:val="00CC737B"/>
    <w:rsid w:val="00CD5011"/>
    <w:rsid w:val="00CE640F"/>
    <w:rsid w:val="00CE76BC"/>
    <w:rsid w:val="00CF34C1"/>
    <w:rsid w:val="00CF410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4C9B"/>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37648"/>
    <w:rsid w:val="00E44B8A"/>
    <w:rsid w:val="00E44C89"/>
    <w:rsid w:val="00E457A6"/>
    <w:rsid w:val="00E52375"/>
    <w:rsid w:val="00E61BA2"/>
    <w:rsid w:val="00E63864"/>
    <w:rsid w:val="00E6403F"/>
    <w:rsid w:val="00E75451"/>
    <w:rsid w:val="00E770C4"/>
    <w:rsid w:val="00E84C5A"/>
    <w:rsid w:val="00E861DB"/>
    <w:rsid w:val="00E908F1"/>
    <w:rsid w:val="00E93406"/>
    <w:rsid w:val="00E93B78"/>
    <w:rsid w:val="00E9402C"/>
    <w:rsid w:val="00E956C5"/>
    <w:rsid w:val="00E95C39"/>
    <w:rsid w:val="00EA2C39"/>
    <w:rsid w:val="00EA49ED"/>
    <w:rsid w:val="00EB0A3C"/>
    <w:rsid w:val="00EB0A96"/>
    <w:rsid w:val="00EB164C"/>
    <w:rsid w:val="00EB1D82"/>
    <w:rsid w:val="00EB370C"/>
    <w:rsid w:val="00EB77F9"/>
    <w:rsid w:val="00EC46CB"/>
    <w:rsid w:val="00EC5769"/>
    <w:rsid w:val="00EC7D00"/>
    <w:rsid w:val="00ED0304"/>
    <w:rsid w:val="00ED3AEE"/>
    <w:rsid w:val="00ED5B7B"/>
    <w:rsid w:val="00EE38FA"/>
    <w:rsid w:val="00EE3E2C"/>
    <w:rsid w:val="00EE5D23"/>
    <w:rsid w:val="00EE750D"/>
    <w:rsid w:val="00EF3CA4"/>
    <w:rsid w:val="00EF7362"/>
    <w:rsid w:val="00EF7859"/>
    <w:rsid w:val="00F014DA"/>
    <w:rsid w:val="00F02591"/>
    <w:rsid w:val="00F13E64"/>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E6D6E"/>
  <w15:docId w15:val="{04A95210-B608-46F4-A11F-E92BA5AD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E93B78"/>
    <w:pPr>
      <w:keepNext/>
      <w:keepLines/>
      <w:spacing w:before="240"/>
      <w:outlineLvl w:val="0"/>
    </w:pPr>
    <w:rPr>
      <w:rFonts w:ascii="Lato Semibold" w:eastAsia="Times New Roman" w:hAnsi="Lato Semibold"/>
      <w:color w:val="008387" w:themeColor="accent3"/>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E93B78"/>
    <w:rPr>
      <w:rFonts w:ascii="Lato Semibold" w:eastAsia="Times New Roman" w:hAnsi="Lato Semibold"/>
      <w:color w:val="008387" w:themeColor="accent3"/>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EB370C"/>
    <w:pPr>
      <w:spacing w:after="800"/>
    </w:pPr>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EB370C"/>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343741" w:themeColor="text1"/>
      <w:sz w:val="28"/>
      <w:szCs w:val="26"/>
    </w:rPr>
  </w:style>
  <w:style w:type="paragraph" w:styleId="BlockText">
    <w:name w:val="Block Text"/>
    <w:basedOn w:val="Normal"/>
    <w:semiHidden/>
    <w:rsid w:val="00414CB3"/>
    <w:rPr>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93B78"/>
    <w:pPr>
      <w:numPr>
        <w:ilvl w:val="1"/>
      </w:numPr>
      <w:spacing w:after="160"/>
      <w:jc w:val="right"/>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43741"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43741"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415601"/>
    <w:pPr>
      <w:spacing w:before="40" w:after="40"/>
    </w:pPr>
    <w:rPr>
      <w:rFonts w:ascii="Lato" w:hAnsi="Lato"/>
    </w:rPr>
    <w:tblPr>
      <w:tblStyleRow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rPr>
      <w:tblPr/>
      <w:trPr>
        <w:tblHeader/>
      </w:trPr>
      <w:tcPr>
        <w:shd w:val="clear" w:color="auto" w:fill="343741" w:themeFill="text1"/>
      </w:tcPr>
    </w:tblStylePr>
    <w:tblStylePr w:type="firstCol">
      <w:rPr>
        <w:b/>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6962962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713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AAB19EA8A4D2F850A071CE6CE7970"/>
        <w:category>
          <w:name w:val="General"/>
          <w:gallery w:val="placeholder"/>
        </w:category>
        <w:types>
          <w:type w:val="bbPlcHdr"/>
        </w:types>
        <w:behaviors>
          <w:behavior w:val="content"/>
        </w:behaviors>
        <w:guid w:val="{0D3D073A-E654-41FC-B9D1-6222EC5CBE6D}"/>
      </w:docPartPr>
      <w:docPartBody>
        <w:p w:rsidR="000468B7" w:rsidRDefault="00000000">
          <w:pPr>
            <w:pStyle w:val="4D9AAB19EA8A4D2F850A071CE6CE7970"/>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E9"/>
    <w:rsid w:val="000468B7"/>
    <w:rsid w:val="00074E27"/>
    <w:rsid w:val="000E5013"/>
    <w:rsid w:val="001A1057"/>
    <w:rsid w:val="002B21B0"/>
    <w:rsid w:val="0040027C"/>
    <w:rsid w:val="004E47C2"/>
    <w:rsid w:val="007E3113"/>
    <w:rsid w:val="008242B0"/>
    <w:rsid w:val="008375F5"/>
    <w:rsid w:val="00C337E9"/>
    <w:rsid w:val="00E14B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D9AAB19EA8A4D2F850A071CE6CE7970">
    <w:name w:val="4D9AAB19EA8A4D2F850A071CE6CE7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Understanding NTGPASS and NTSSS Benefits</vt:lpstr>
    </vt:vector>
  </TitlesOfParts>
  <Company>TREASURY AND FINANCE</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NTGPASS and NTSSS Benefits</dc:title>
  <dc:creator>Northern Territory Government</dc:creator>
  <cp:lastModifiedBy>Ruobin Zhang</cp:lastModifiedBy>
  <cp:revision>7</cp:revision>
  <cp:lastPrinted>2019-08-28T22:41:00Z</cp:lastPrinted>
  <dcterms:created xsi:type="dcterms:W3CDTF">2025-09-03T00:41:00Z</dcterms:created>
  <dcterms:modified xsi:type="dcterms:W3CDTF">2025-09-03T03:26:00Z</dcterms:modified>
</cp:coreProperties>
</file>