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alias w:val="Title"/>
        <w:tag w:val=""/>
        <w:id w:val="-509987125"/>
        <w:placeholder>
          <w:docPart w:val="0ED64CB21D3E4B58A886A15B169062B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="00806800" w:rsidRPr="006D3B70" w:rsidRDefault="00B87EFE" w:rsidP="00806800">
          <w:pPr>
            <w:pStyle w:val="NTGCoverPageTitle"/>
            <w:rPr>
              <w:lang w:val="en-AU"/>
            </w:rPr>
          </w:pPr>
          <w:r>
            <w:t>Guidance document: Classification of the functions of government – Australia (COFOG-A)</w:t>
          </w:r>
        </w:p>
      </w:sdtContent>
    </w:sdt>
    <w:p w:rsidR="00705033" w:rsidRPr="006D3B70" w:rsidRDefault="000E41C6" w:rsidP="00027D9F">
      <w:pPr>
        <w:pStyle w:val="NTGCoverPageDate"/>
      </w:pPr>
      <w:r>
        <w:t>21 July 2023</w:t>
      </w:r>
    </w:p>
    <w:p w:rsidR="00420C06" w:rsidRPr="006D3B70" w:rsidRDefault="005D269A" w:rsidP="005D269A">
      <w:pPr>
        <w:pStyle w:val="NTGCoverPageVersion"/>
        <w:rPr>
          <w:rFonts w:eastAsiaTheme="majorEastAsia"/>
        </w:rPr>
      </w:pPr>
      <w:r w:rsidRPr="006D3B70">
        <w:rPr>
          <w:rFonts w:eastAsiaTheme="majorEastAsia"/>
        </w:rPr>
        <w:t>Version </w:t>
      </w:r>
      <w:r w:rsidR="00CB54D9">
        <w:rPr>
          <w:rFonts w:eastAsiaTheme="majorEastAsia"/>
        </w:rPr>
        <w:t>1.</w:t>
      </w:r>
      <w:r w:rsidR="00B17B25">
        <w:rPr>
          <w:rFonts w:eastAsiaTheme="majorEastAsia"/>
        </w:rPr>
        <w:t>2</w:t>
      </w:r>
    </w:p>
    <w:p w:rsidR="005D269A" w:rsidRPr="006D3B70" w:rsidRDefault="005D269A" w:rsidP="00420C06">
      <w:pPr>
        <w:rPr>
          <w:rFonts w:eastAsiaTheme="majorEastAsia"/>
        </w:rPr>
      </w:pPr>
    </w:p>
    <w:p w:rsidR="00634329" w:rsidRPr="006D3B70" w:rsidRDefault="00634329" w:rsidP="00420C06">
      <w:pPr>
        <w:sectPr w:rsidR="00634329" w:rsidRPr="006D3B70" w:rsidSect="00687540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268" w:right="1134" w:bottom="1701" w:left="1134" w:header="709" w:footer="0" w:gutter="0"/>
          <w:cols w:space="708"/>
          <w:titlePg/>
          <w:docGrid w:linePitch="360"/>
        </w:sectPr>
      </w:pPr>
    </w:p>
    <w:tbl>
      <w:tblPr>
        <w:tblStyle w:val="NTGTable"/>
        <w:tblW w:w="0" w:type="auto"/>
        <w:tblLook w:val="06A0" w:firstRow="1" w:lastRow="0" w:firstColumn="1" w:lastColumn="0" w:noHBand="1" w:noVBand="1"/>
        <w:tblDescription w:val="Document details showing row labels: document title, contact details, date and version, approved by, date approved and document review"/>
      </w:tblPr>
      <w:tblGrid>
        <w:gridCol w:w="2374"/>
        <w:gridCol w:w="7254"/>
      </w:tblGrid>
      <w:tr w:rsidR="006621DD" w:rsidRPr="006D3B70" w:rsidTr="007910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9" w:type="dxa"/>
            <w:gridSpan w:val="2"/>
          </w:tcPr>
          <w:p w:rsidR="006A769B" w:rsidRPr="006D3B70" w:rsidRDefault="006A769B" w:rsidP="005F764E">
            <w:pPr>
              <w:rPr>
                <w:bCs/>
              </w:rPr>
            </w:pPr>
            <w:r w:rsidRPr="006D3B70">
              <w:rPr>
                <w:bCs/>
              </w:rPr>
              <w:lastRenderedPageBreak/>
              <w:t>Document details</w:t>
            </w:r>
          </w:p>
        </w:tc>
      </w:tr>
      <w:tr w:rsidR="00A24C50" w:rsidRPr="006D3B70" w:rsidTr="005F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A24C50" w:rsidRPr="006D3B70" w:rsidRDefault="00A24C50" w:rsidP="005F764E">
            <w:pPr>
              <w:rPr>
                <w:b/>
                <w:bCs/>
              </w:rPr>
            </w:pPr>
            <w:r w:rsidRPr="006D3B70">
              <w:rPr>
                <w:b/>
                <w:bCs/>
              </w:rPr>
              <w:t>Document title</w:t>
            </w:r>
          </w:p>
        </w:tc>
        <w:tc>
          <w:tcPr>
            <w:tcW w:w="7263" w:type="dxa"/>
          </w:tcPr>
          <w:p w:rsidR="00A24C50" w:rsidRPr="006D3B70" w:rsidRDefault="00FB5006" w:rsidP="005F7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D3B70">
              <w:rPr>
                <w:bCs/>
              </w:rPr>
              <w:fldChar w:fldCharType="begin"/>
            </w:r>
            <w:r w:rsidRPr="006D3B70">
              <w:rPr>
                <w:bCs/>
              </w:rPr>
              <w:instrText xml:space="preserve"> TITLE  </w:instrText>
            </w:r>
            <w:r w:rsidRPr="006D3B70">
              <w:rPr>
                <w:bCs/>
              </w:rPr>
              <w:fldChar w:fldCharType="separate"/>
            </w:r>
            <w:r w:rsidR="00EF69C4">
              <w:rPr>
                <w:bCs/>
              </w:rPr>
              <w:t>Guidance document: Classification of the functions of government – Australia (COFOG-A)</w:t>
            </w:r>
            <w:r w:rsidRPr="006D3B70">
              <w:rPr>
                <w:bCs/>
              </w:rPr>
              <w:fldChar w:fldCharType="end"/>
            </w:r>
          </w:p>
        </w:tc>
      </w:tr>
      <w:tr w:rsidR="00A24C50" w:rsidRPr="006D3B70" w:rsidTr="005F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A24C50" w:rsidRPr="006D3B70" w:rsidRDefault="00A24C50" w:rsidP="005F764E">
            <w:pPr>
              <w:rPr>
                <w:b/>
                <w:bCs/>
              </w:rPr>
            </w:pPr>
            <w:r w:rsidRPr="006D3B70">
              <w:rPr>
                <w:b/>
                <w:bCs/>
              </w:rPr>
              <w:t>Contact details</w:t>
            </w:r>
          </w:p>
        </w:tc>
        <w:tc>
          <w:tcPr>
            <w:tcW w:w="7263" w:type="dxa"/>
          </w:tcPr>
          <w:p w:rsidR="0094747D" w:rsidRDefault="0094747D" w:rsidP="009474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Financial Management Group</w:t>
            </w:r>
          </w:p>
          <w:p w:rsidR="00A24C50" w:rsidRDefault="00A963F5" w:rsidP="005F7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Department of Treasury and Finance</w:t>
            </w:r>
          </w:p>
          <w:p w:rsidR="00A963F5" w:rsidRPr="006D3B70" w:rsidRDefault="00C63C5D" w:rsidP="005F7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hyperlink r:id="rId15" w:history="1">
              <w:r w:rsidR="0094747D" w:rsidRPr="00FF447B">
                <w:rPr>
                  <w:rStyle w:val="Hyperlink"/>
                  <w:bCs/>
                </w:rPr>
                <w:t>dtf.financialpolicy</w:t>
              </w:r>
              <w:r w:rsidR="00A963F5" w:rsidRPr="00FF447B">
                <w:rPr>
                  <w:rStyle w:val="Hyperlink"/>
                  <w:bCs/>
                </w:rPr>
                <w:t>@nt.gov.au</w:t>
              </w:r>
            </w:hyperlink>
          </w:p>
        </w:tc>
      </w:tr>
      <w:tr w:rsidR="00A24C50" w:rsidRPr="006D3B70" w:rsidTr="005F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A24C50" w:rsidRPr="006D3B70" w:rsidRDefault="00A24C50" w:rsidP="005F764E">
            <w:pPr>
              <w:rPr>
                <w:b/>
                <w:bCs/>
              </w:rPr>
            </w:pPr>
            <w:r w:rsidRPr="006D3B70">
              <w:rPr>
                <w:b/>
                <w:bCs/>
              </w:rPr>
              <w:t>Date and version</w:t>
            </w:r>
          </w:p>
        </w:tc>
        <w:tc>
          <w:tcPr>
            <w:tcW w:w="7263" w:type="dxa"/>
          </w:tcPr>
          <w:p w:rsidR="00A24C50" w:rsidRPr="006D3B70" w:rsidRDefault="00FB5006" w:rsidP="005F7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D3B70">
              <w:rPr>
                <w:bCs/>
              </w:rPr>
              <w:fldChar w:fldCharType="begin"/>
            </w:r>
            <w:r w:rsidRPr="006D3B70">
              <w:rPr>
                <w:bCs/>
              </w:rPr>
              <w:instrText xml:space="preserve"> DOCPROPERTY  DocumentDate  \* MERGEFORMAT </w:instrText>
            </w:r>
            <w:r w:rsidRPr="006D3B70">
              <w:rPr>
                <w:bCs/>
              </w:rPr>
              <w:fldChar w:fldCharType="separate"/>
            </w:r>
            <w:r w:rsidR="000E41C6">
              <w:rPr>
                <w:bCs/>
              </w:rPr>
              <w:t>21 July 2023</w:t>
            </w:r>
            <w:r w:rsidRPr="006D3B70">
              <w:rPr>
                <w:bCs/>
              </w:rPr>
              <w:fldChar w:fldCharType="end"/>
            </w:r>
            <w:r w:rsidR="000E41C6" w:rsidRPr="006D3B70">
              <w:rPr>
                <w:bCs/>
              </w:rPr>
              <w:t xml:space="preserve"> </w:t>
            </w:r>
          </w:p>
          <w:p w:rsidR="00A24C50" w:rsidRPr="006D3B70" w:rsidRDefault="001D705C" w:rsidP="000E41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6D3B70">
              <w:rPr>
                <w:bCs/>
              </w:rPr>
              <w:t>Version </w:t>
            </w:r>
            <w:r w:rsidR="000E41C6" w:rsidRPr="006D3B70">
              <w:rPr>
                <w:bCs/>
              </w:rPr>
              <w:fldChar w:fldCharType="begin"/>
            </w:r>
            <w:r w:rsidR="000E41C6" w:rsidRPr="006D3B70">
              <w:rPr>
                <w:bCs/>
              </w:rPr>
              <w:instrText xml:space="preserve"> DOCPROPERTY  VersionNo  \* MERGEFORMAT </w:instrText>
            </w:r>
            <w:r w:rsidR="000E41C6" w:rsidRPr="006D3B70">
              <w:rPr>
                <w:bCs/>
              </w:rPr>
              <w:fldChar w:fldCharType="separate"/>
            </w:r>
            <w:r w:rsidR="000E41C6">
              <w:rPr>
                <w:bCs/>
              </w:rPr>
              <w:t>1.2</w:t>
            </w:r>
            <w:r w:rsidR="000E41C6" w:rsidRPr="006D3B70">
              <w:rPr>
                <w:bCs/>
              </w:rPr>
              <w:fldChar w:fldCharType="end"/>
            </w:r>
          </w:p>
        </w:tc>
      </w:tr>
      <w:tr w:rsidR="006A769B" w:rsidRPr="006D3B70" w:rsidTr="005F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A769B" w:rsidRPr="006D3B70" w:rsidRDefault="006A769B" w:rsidP="005F764E">
            <w:pPr>
              <w:rPr>
                <w:b/>
                <w:bCs/>
              </w:rPr>
            </w:pPr>
            <w:r w:rsidRPr="006D3B70">
              <w:rPr>
                <w:b/>
                <w:bCs/>
              </w:rPr>
              <w:t>Approved by</w:t>
            </w:r>
          </w:p>
        </w:tc>
        <w:tc>
          <w:tcPr>
            <w:tcW w:w="7263" w:type="dxa"/>
          </w:tcPr>
          <w:p w:rsidR="005E3893" w:rsidRDefault="00B17B25" w:rsidP="005F7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Tarrant Moore</w:t>
            </w:r>
          </w:p>
          <w:p w:rsidR="007D7E7C" w:rsidRPr="006D3B70" w:rsidRDefault="00B17B25" w:rsidP="005F7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A/Executive Director (Finance)</w:t>
            </w:r>
          </w:p>
        </w:tc>
      </w:tr>
      <w:tr w:rsidR="006A769B" w:rsidRPr="006D3B70" w:rsidTr="005F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A769B" w:rsidRPr="006D3B70" w:rsidRDefault="006A769B" w:rsidP="005F764E">
            <w:pPr>
              <w:rPr>
                <w:b/>
                <w:bCs/>
              </w:rPr>
            </w:pPr>
            <w:r w:rsidRPr="006D3B70">
              <w:rPr>
                <w:b/>
                <w:bCs/>
              </w:rPr>
              <w:t>Date approved</w:t>
            </w:r>
          </w:p>
        </w:tc>
        <w:tc>
          <w:tcPr>
            <w:tcW w:w="7263" w:type="dxa"/>
          </w:tcPr>
          <w:p w:rsidR="006A769B" w:rsidRPr="006D3B70" w:rsidRDefault="00C43D5D" w:rsidP="00DE15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 xml:space="preserve">21 </w:t>
            </w:r>
            <w:r w:rsidR="000E41C6">
              <w:rPr>
                <w:bCs/>
              </w:rPr>
              <w:t>July 2023</w:t>
            </w:r>
          </w:p>
        </w:tc>
      </w:tr>
      <w:tr w:rsidR="006A769B" w:rsidRPr="006D3B70" w:rsidTr="005F76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:rsidR="006A769B" w:rsidRPr="006D3B70" w:rsidRDefault="006A769B" w:rsidP="005E3893">
            <w:pPr>
              <w:rPr>
                <w:b/>
                <w:bCs/>
              </w:rPr>
            </w:pPr>
            <w:r w:rsidRPr="006D3B70">
              <w:rPr>
                <w:b/>
                <w:bCs/>
              </w:rPr>
              <w:t>Document review</w:t>
            </w:r>
          </w:p>
        </w:tc>
        <w:tc>
          <w:tcPr>
            <w:tcW w:w="7263" w:type="dxa"/>
          </w:tcPr>
          <w:p w:rsidR="006A769B" w:rsidRPr="006D3B70" w:rsidRDefault="005E3893" w:rsidP="005F7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Annually</w:t>
            </w:r>
          </w:p>
        </w:tc>
      </w:tr>
    </w:tbl>
    <w:p w:rsidR="006A769B" w:rsidRPr="006D3B70" w:rsidRDefault="006A769B" w:rsidP="00420C06"/>
    <w:tbl>
      <w:tblPr>
        <w:tblStyle w:val="NTGTable"/>
        <w:tblW w:w="0" w:type="auto"/>
        <w:tblLook w:val="0620" w:firstRow="1" w:lastRow="0" w:firstColumn="0" w:lastColumn="0" w:noHBand="1" w:noVBand="1"/>
        <w:tblDescription w:val="Document change history showing version, date, author and change details"/>
      </w:tblPr>
      <w:tblGrid>
        <w:gridCol w:w="1129"/>
        <w:gridCol w:w="2071"/>
        <w:gridCol w:w="2476"/>
        <w:gridCol w:w="3952"/>
      </w:tblGrid>
      <w:tr w:rsidR="006621DD" w:rsidRPr="006D3B70" w:rsidTr="002022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628" w:type="dxa"/>
            <w:gridSpan w:val="4"/>
          </w:tcPr>
          <w:p w:rsidR="006A769B" w:rsidRPr="006D3B70" w:rsidRDefault="006A769B" w:rsidP="005F764E">
            <w:pPr>
              <w:rPr>
                <w:b w:val="0"/>
              </w:rPr>
            </w:pPr>
            <w:r w:rsidRPr="006D3B70">
              <w:t>Change history</w:t>
            </w:r>
          </w:p>
        </w:tc>
      </w:tr>
      <w:tr w:rsidR="006A769B" w:rsidRPr="006D3B70" w:rsidTr="005E3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129" w:type="dxa"/>
          </w:tcPr>
          <w:p w:rsidR="006A769B" w:rsidRPr="006D3B70" w:rsidRDefault="006A769B" w:rsidP="005F764E">
            <w:pPr>
              <w:rPr>
                <w:b w:val="0"/>
              </w:rPr>
            </w:pPr>
            <w:r w:rsidRPr="006D3B70">
              <w:t>Version</w:t>
            </w:r>
          </w:p>
        </w:tc>
        <w:tc>
          <w:tcPr>
            <w:tcW w:w="2071" w:type="dxa"/>
          </w:tcPr>
          <w:p w:rsidR="006A769B" w:rsidRPr="006D3B70" w:rsidRDefault="006A769B" w:rsidP="005F764E">
            <w:pPr>
              <w:rPr>
                <w:b w:val="0"/>
              </w:rPr>
            </w:pPr>
            <w:r w:rsidRPr="006D3B70">
              <w:t>Date</w:t>
            </w:r>
          </w:p>
        </w:tc>
        <w:tc>
          <w:tcPr>
            <w:tcW w:w="2476" w:type="dxa"/>
          </w:tcPr>
          <w:p w:rsidR="006A769B" w:rsidRPr="006D3B70" w:rsidRDefault="006A769B" w:rsidP="005F764E">
            <w:pPr>
              <w:rPr>
                <w:b w:val="0"/>
              </w:rPr>
            </w:pPr>
            <w:r w:rsidRPr="006D3B70">
              <w:t>Author</w:t>
            </w:r>
          </w:p>
        </w:tc>
        <w:tc>
          <w:tcPr>
            <w:tcW w:w="3952" w:type="dxa"/>
          </w:tcPr>
          <w:p w:rsidR="006A769B" w:rsidRPr="006D3B70" w:rsidRDefault="006A769B" w:rsidP="005F764E">
            <w:pPr>
              <w:rPr>
                <w:b w:val="0"/>
              </w:rPr>
            </w:pPr>
            <w:r w:rsidRPr="006D3B70">
              <w:t>Change details</w:t>
            </w:r>
          </w:p>
        </w:tc>
      </w:tr>
      <w:tr w:rsidR="006A769B" w:rsidRPr="006D3B70" w:rsidTr="005E3893">
        <w:tc>
          <w:tcPr>
            <w:tcW w:w="1129" w:type="dxa"/>
          </w:tcPr>
          <w:p w:rsidR="006A769B" w:rsidRPr="006D3B70" w:rsidRDefault="00406267" w:rsidP="00931091">
            <w:fldSimple w:instr=" DOCPROPERTY  VersionNo  \* MERGEFORMAT ">
              <w:r w:rsidR="00EF69C4">
                <w:t>1.0</w:t>
              </w:r>
            </w:fldSimple>
          </w:p>
        </w:tc>
        <w:tc>
          <w:tcPr>
            <w:tcW w:w="2071" w:type="dxa"/>
          </w:tcPr>
          <w:p w:rsidR="006A769B" w:rsidRPr="006D3B70" w:rsidRDefault="00931091" w:rsidP="00931091">
            <w:r w:rsidRPr="006D3B70">
              <w:rPr>
                <w:bCs/>
              </w:rPr>
              <w:fldChar w:fldCharType="begin"/>
            </w:r>
            <w:r w:rsidRPr="006D3B70">
              <w:rPr>
                <w:bCs/>
              </w:rPr>
              <w:instrText xml:space="preserve"> DOCPROPERTY  DocumentDate  \* MERGEFORMAT </w:instrText>
            </w:r>
            <w:r w:rsidRPr="006D3B70">
              <w:rPr>
                <w:bCs/>
              </w:rPr>
              <w:fldChar w:fldCharType="separate"/>
            </w:r>
            <w:r w:rsidR="00EF69C4">
              <w:rPr>
                <w:bCs/>
              </w:rPr>
              <w:t>22 February 2018</w:t>
            </w:r>
            <w:r w:rsidRPr="006D3B70">
              <w:rPr>
                <w:bCs/>
              </w:rPr>
              <w:fldChar w:fldCharType="end"/>
            </w:r>
          </w:p>
        </w:tc>
        <w:tc>
          <w:tcPr>
            <w:tcW w:w="2476" w:type="dxa"/>
          </w:tcPr>
          <w:p w:rsidR="006A769B" w:rsidRPr="006D3B70" w:rsidRDefault="00406267" w:rsidP="005F764E">
            <w:fldSimple w:instr=" DOCPROPERTY  DocumentAuthor  \* MERGEFORMAT ">
              <w:r w:rsidR="00EF69C4">
                <w:t>DTF Financial Policy</w:t>
              </w:r>
            </w:fldSimple>
          </w:p>
        </w:tc>
        <w:tc>
          <w:tcPr>
            <w:tcW w:w="3952" w:type="dxa"/>
          </w:tcPr>
          <w:p w:rsidR="006A769B" w:rsidRPr="006D3B70" w:rsidRDefault="00A45F95" w:rsidP="005F764E">
            <w:r w:rsidRPr="006D3B70">
              <w:t>Initial version</w:t>
            </w:r>
          </w:p>
        </w:tc>
      </w:tr>
      <w:tr w:rsidR="006A769B" w:rsidRPr="006D3B70" w:rsidTr="005E3893">
        <w:tc>
          <w:tcPr>
            <w:tcW w:w="1129" w:type="dxa"/>
          </w:tcPr>
          <w:p w:rsidR="006A769B" w:rsidRPr="006D3B70" w:rsidRDefault="006D749F" w:rsidP="005F764E">
            <w:r>
              <w:t>1.1</w:t>
            </w:r>
          </w:p>
        </w:tc>
        <w:tc>
          <w:tcPr>
            <w:tcW w:w="2071" w:type="dxa"/>
          </w:tcPr>
          <w:p w:rsidR="006A769B" w:rsidRPr="006D3B70" w:rsidRDefault="006D749F" w:rsidP="005F764E">
            <w:r>
              <w:t>29 May 2018</w:t>
            </w:r>
          </w:p>
        </w:tc>
        <w:tc>
          <w:tcPr>
            <w:tcW w:w="2476" w:type="dxa"/>
          </w:tcPr>
          <w:p w:rsidR="006A769B" w:rsidRPr="006D3B70" w:rsidRDefault="006D749F" w:rsidP="005F764E">
            <w:r>
              <w:t>DTF Financial Policy</w:t>
            </w:r>
          </w:p>
        </w:tc>
        <w:tc>
          <w:tcPr>
            <w:tcW w:w="3952" w:type="dxa"/>
          </w:tcPr>
          <w:p w:rsidR="006A769B" w:rsidRPr="006D3B70" w:rsidRDefault="006D749F" w:rsidP="005F764E">
            <w:r>
              <w:t>Minor amendments</w:t>
            </w:r>
            <w:r w:rsidR="0008308A">
              <w:t>, introduce FTE reporting</w:t>
            </w:r>
          </w:p>
        </w:tc>
      </w:tr>
      <w:tr w:rsidR="006A769B" w:rsidRPr="006D3B70" w:rsidTr="005E3893">
        <w:tc>
          <w:tcPr>
            <w:tcW w:w="1129" w:type="dxa"/>
          </w:tcPr>
          <w:p w:rsidR="006A769B" w:rsidRPr="006D3B70" w:rsidRDefault="000E41C6" w:rsidP="005F764E">
            <w:r>
              <w:t>1.2</w:t>
            </w:r>
          </w:p>
        </w:tc>
        <w:tc>
          <w:tcPr>
            <w:tcW w:w="2071" w:type="dxa"/>
          </w:tcPr>
          <w:p w:rsidR="006A769B" w:rsidRPr="006D3B70" w:rsidRDefault="000E41C6" w:rsidP="005F764E">
            <w:r>
              <w:t>21 July 2023</w:t>
            </w:r>
          </w:p>
        </w:tc>
        <w:tc>
          <w:tcPr>
            <w:tcW w:w="2476" w:type="dxa"/>
          </w:tcPr>
          <w:p w:rsidR="006A769B" w:rsidRPr="006D3B70" w:rsidRDefault="000E41C6" w:rsidP="005F764E">
            <w:r>
              <w:t>DTF Financial Policy</w:t>
            </w:r>
          </w:p>
        </w:tc>
        <w:tc>
          <w:tcPr>
            <w:tcW w:w="3952" w:type="dxa"/>
          </w:tcPr>
          <w:p w:rsidR="006A769B" w:rsidRPr="006D3B70" w:rsidRDefault="000E41C6" w:rsidP="005F764E">
            <w:r>
              <w:t>Minor amendments, update agency names</w:t>
            </w:r>
            <w:r w:rsidR="00C43D5D">
              <w:t xml:space="preserve"> and references</w:t>
            </w:r>
          </w:p>
        </w:tc>
      </w:tr>
    </w:tbl>
    <w:p w:rsidR="006A769B" w:rsidRPr="006D3B70" w:rsidRDefault="006A769B" w:rsidP="00420C06"/>
    <w:tbl>
      <w:tblPr>
        <w:tblStyle w:val="NTGTable"/>
        <w:tblW w:w="0" w:type="auto"/>
        <w:tblLook w:val="0620" w:firstRow="1" w:lastRow="0" w:firstColumn="0" w:lastColumn="0" w:noHBand="1" w:noVBand="1"/>
        <w:tblDescription w:val="Acronyms used in the document showing Acronym and full form"/>
      </w:tblPr>
      <w:tblGrid>
        <w:gridCol w:w="2374"/>
        <w:gridCol w:w="7254"/>
      </w:tblGrid>
      <w:tr w:rsidR="006621DD" w:rsidRPr="006D3B70" w:rsidTr="00931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9628" w:type="dxa"/>
            <w:gridSpan w:val="2"/>
          </w:tcPr>
          <w:p w:rsidR="006A769B" w:rsidRPr="006D3B70" w:rsidRDefault="006A769B" w:rsidP="005F764E">
            <w:pPr>
              <w:rPr>
                <w:b w:val="0"/>
              </w:rPr>
            </w:pPr>
            <w:r w:rsidRPr="006D3B70">
              <w:t>Acronyms</w:t>
            </w:r>
            <w:r w:rsidRPr="006D3B70">
              <w:br/>
            </w:r>
            <w:r w:rsidRPr="006D3B70">
              <w:rPr>
                <w:b w:val="0"/>
              </w:rPr>
              <w:t>The following acronyms are used in this document</w:t>
            </w:r>
          </w:p>
        </w:tc>
      </w:tr>
      <w:tr w:rsidR="006A769B" w:rsidRPr="006D3B70" w:rsidTr="00931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374" w:type="dxa"/>
          </w:tcPr>
          <w:p w:rsidR="006A769B" w:rsidRPr="006D3B70" w:rsidRDefault="006621DD" w:rsidP="005F764E">
            <w:pPr>
              <w:rPr>
                <w:b w:val="0"/>
              </w:rPr>
            </w:pPr>
            <w:r w:rsidRPr="006D3B70">
              <w:t>Acronyms</w:t>
            </w:r>
          </w:p>
        </w:tc>
        <w:tc>
          <w:tcPr>
            <w:tcW w:w="7254" w:type="dxa"/>
          </w:tcPr>
          <w:p w:rsidR="006A769B" w:rsidRPr="006D3B70" w:rsidRDefault="006621DD" w:rsidP="005F764E">
            <w:pPr>
              <w:rPr>
                <w:b w:val="0"/>
              </w:rPr>
            </w:pPr>
            <w:r w:rsidRPr="006D3B70">
              <w:t>Full form</w:t>
            </w:r>
          </w:p>
        </w:tc>
      </w:tr>
      <w:tr w:rsidR="00931091" w:rsidRPr="006D3B70" w:rsidTr="00931091">
        <w:tc>
          <w:tcPr>
            <w:tcW w:w="2374" w:type="dxa"/>
          </w:tcPr>
          <w:p w:rsidR="00931091" w:rsidRPr="006D3B70" w:rsidRDefault="00931091" w:rsidP="00931091">
            <w:r>
              <w:t>ABS</w:t>
            </w:r>
          </w:p>
        </w:tc>
        <w:tc>
          <w:tcPr>
            <w:tcW w:w="7254" w:type="dxa"/>
          </w:tcPr>
          <w:p w:rsidR="00931091" w:rsidRPr="006D3B70" w:rsidRDefault="00931091" w:rsidP="00931091">
            <w:r>
              <w:t>Australian Bureau of Statistics</w:t>
            </w:r>
          </w:p>
        </w:tc>
      </w:tr>
      <w:tr w:rsidR="00983798" w:rsidRPr="006D3B70" w:rsidTr="00931091">
        <w:tc>
          <w:tcPr>
            <w:tcW w:w="2374" w:type="dxa"/>
          </w:tcPr>
          <w:p w:rsidR="00983798" w:rsidRDefault="00983798" w:rsidP="00931091">
            <w:r>
              <w:t>AGFS15</w:t>
            </w:r>
          </w:p>
        </w:tc>
        <w:tc>
          <w:tcPr>
            <w:tcW w:w="7254" w:type="dxa"/>
          </w:tcPr>
          <w:p w:rsidR="00983798" w:rsidRDefault="00983798" w:rsidP="00DA458D">
            <w:r>
              <w:t xml:space="preserve">The Australian System of Government Finance Statistics: Concepts, Sources and </w:t>
            </w:r>
            <w:r w:rsidR="00DA458D">
              <w:t>Methods – 2015</w:t>
            </w:r>
          </w:p>
        </w:tc>
      </w:tr>
      <w:tr w:rsidR="00437A33" w:rsidRPr="006D3B70" w:rsidTr="00931091">
        <w:tc>
          <w:tcPr>
            <w:tcW w:w="2374" w:type="dxa"/>
          </w:tcPr>
          <w:p w:rsidR="00437A33" w:rsidRDefault="00437A33" w:rsidP="00931091">
            <w:r>
              <w:t>CGC</w:t>
            </w:r>
          </w:p>
        </w:tc>
        <w:tc>
          <w:tcPr>
            <w:tcW w:w="7254" w:type="dxa"/>
          </w:tcPr>
          <w:p w:rsidR="00437A33" w:rsidRDefault="00437A33" w:rsidP="00931091">
            <w:r>
              <w:t>Commonwealth Grants Commission</w:t>
            </w:r>
          </w:p>
        </w:tc>
      </w:tr>
      <w:tr w:rsidR="00931091" w:rsidRPr="006D3B70" w:rsidTr="00931091">
        <w:tc>
          <w:tcPr>
            <w:tcW w:w="2374" w:type="dxa"/>
          </w:tcPr>
          <w:p w:rsidR="00931091" w:rsidRPr="006D3B70" w:rsidRDefault="00931091" w:rsidP="00931091">
            <w:r>
              <w:t>COFOG-A</w:t>
            </w:r>
          </w:p>
        </w:tc>
        <w:tc>
          <w:tcPr>
            <w:tcW w:w="7254" w:type="dxa"/>
          </w:tcPr>
          <w:p w:rsidR="00931091" w:rsidRPr="006D3B70" w:rsidRDefault="00931091" w:rsidP="00DA458D">
            <w:r>
              <w:t xml:space="preserve">Classification of the </w:t>
            </w:r>
            <w:r w:rsidR="006422E0">
              <w:t>f</w:t>
            </w:r>
            <w:r w:rsidR="00762D23">
              <w:t xml:space="preserve">unctions of </w:t>
            </w:r>
            <w:r w:rsidR="00DA458D">
              <w:t>government – Australia</w:t>
            </w:r>
          </w:p>
        </w:tc>
      </w:tr>
      <w:tr w:rsidR="004917A2" w:rsidRPr="006D3B70" w:rsidTr="00931091">
        <w:tc>
          <w:tcPr>
            <w:tcW w:w="2374" w:type="dxa"/>
          </w:tcPr>
          <w:p w:rsidR="004917A2" w:rsidRDefault="000E41C6" w:rsidP="000E41C6">
            <w:r>
              <w:t>DCDD</w:t>
            </w:r>
          </w:p>
        </w:tc>
        <w:tc>
          <w:tcPr>
            <w:tcW w:w="7254" w:type="dxa"/>
          </w:tcPr>
          <w:p w:rsidR="004917A2" w:rsidRDefault="004917A2" w:rsidP="000E41C6">
            <w:r>
              <w:t xml:space="preserve">Department of Corporate and </w:t>
            </w:r>
            <w:r w:rsidR="000E41C6">
              <w:t>Digital Development</w:t>
            </w:r>
          </w:p>
        </w:tc>
      </w:tr>
      <w:tr w:rsidR="00B17B25" w:rsidRPr="006D3B70" w:rsidTr="00931091">
        <w:tc>
          <w:tcPr>
            <w:tcW w:w="2374" w:type="dxa"/>
          </w:tcPr>
          <w:p w:rsidR="00B17B25" w:rsidDel="000E41C6" w:rsidRDefault="00B17B25" w:rsidP="000E41C6">
            <w:r>
              <w:t>DIPL</w:t>
            </w:r>
          </w:p>
        </w:tc>
        <w:tc>
          <w:tcPr>
            <w:tcW w:w="7254" w:type="dxa"/>
          </w:tcPr>
          <w:p w:rsidR="00B17B25" w:rsidRDefault="00B17B25" w:rsidP="000E41C6">
            <w:r>
              <w:t>Department of Infrastructure, Planning and Logistics</w:t>
            </w:r>
          </w:p>
        </w:tc>
      </w:tr>
      <w:tr w:rsidR="006C536E" w:rsidRPr="006D3B70" w:rsidTr="00931091">
        <w:tc>
          <w:tcPr>
            <w:tcW w:w="2374" w:type="dxa"/>
          </w:tcPr>
          <w:p w:rsidR="006C536E" w:rsidRDefault="006C536E" w:rsidP="00931091">
            <w:r>
              <w:t>DTF</w:t>
            </w:r>
          </w:p>
        </w:tc>
        <w:tc>
          <w:tcPr>
            <w:tcW w:w="7254" w:type="dxa"/>
          </w:tcPr>
          <w:p w:rsidR="006C536E" w:rsidRDefault="006C536E" w:rsidP="006422E0">
            <w:r>
              <w:t>Department of Treasury and Finance</w:t>
            </w:r>
          </w:p>
        </w:tc>
      </w:tr>
      <w:tr w:rsidR="00586714" w:rsidRPr="006D3B70" w:rsidTr="00931091">
        <w:tc>
          <w:tcPr>
            <w:tcW w:w="2374" w:type="dxa"/>
          </w:tcPr>
          <w:p w:rsidR="00586714" w:rsidRDefault="00586714" w:rsidP="00931091">
            <w:r>
              <w:t>FTE</w:t>
            </w:r>
          </w:p>
        </w:tc>
        <w:tc>
          <w:tcPr>
            <w:tcW w:w="7254" w:type="dxa"/>
          </w:tcPr>
          <w:p w:rsidR="00586714" w:rsidRDefault="006D749F" w:rsidP="00931091">
            <w:r>
              <w:t>Full-time e</w:t>
            </w:r>
            <w:r w:rsidR="00586714">
              <w:t>quivalent</w:t>
            </w:r>
          </w:p>
        </w:tc>
      </w:tr>
      <w:tr w:rsidR="00931091" w:rsidRPr="006D3B70" w:rsidTr="00931091">
        <w:tc>
          <w:tcPr>
            <w:tcW w:w="2374" w:type="dxa"/>
          </w:tcPr>
          <w:p w:rsidR="00931091" w:rsidRPr="006D3B70" w:rsidRDefault="00931091" w:rsidP="00931091">
            <w:r>
              <w:t>GFS</w:t>
            </w:r>
          </w:p>
        </w:tc>
        <w:tc>
          <w:tcPr>
            <w:tcW w:w="7254" w:type="dxa"/>
          </w:tcPr>
          <w:p w:rsidR="00931091" w:rsidRPr="006D3B70" w:rsidRDefault="006422E0" w:rsidP="00931091">
            <w:r>
              <w:t>Government finance s</w:t>
            </w:r>
            <w:r w:rsidR="00931091">
              <w:t>tatistics</w:t>
            </w:r>
          </w:p>
        </w:tc>
      </w:tr>
      <w:tr w:rsidR="00437A33" w:rsidRPr="006D3B70" w:rsidTr="00931091">
        <w:tc>
          <w:tcPr>
            <w:tcW w:w="2374" w:type="dxa"/>
          </w:tcPr>
          <w:p w:rsidR="00437A33" w:rsidRDefault="00437A33" w:rsidP="00931091">
            <w:r>
              <w:t>GST</w:t>
            </w:r>
          </w:p>
        </w:tc>
        <w:tc>
          <w:tcPr>
            <w:tcW w:w="7254" w:type="dxa"/>
          </w:tcPr>
          <w:p w:rsidR="00437A33" w:rsidRDefault="006422E0" w:rsidP="00931091">
            <w:r>
              <w:t>Goods and services t</w:t>
            </w:r>
            <w:r w:rsidR="00437A33">
              <w:t>ax</w:t>
            </w:r>
          </w:p>
        </w:tc>
      </w:tr>
      <w:tr w:rsidR="00046FAF" w:rsidRPr="006D3B70" w:rsidTr="00931091">
        <w:tc>
          <w:tcPr>
            <w:tcW w:w="2374" w:type="dxa"/>
          </w:tcPr>
          <w:p w:rsidR="00046FAF" w:rsidRDefault="00046FAF" w:rsidP="00931091">
            <w:r>
              <w:t>SDC</w:t>
            </w:r>
          </w:p>
        </w:tc>
        <w:tc>
          <w:tcPr>
            <w:tcW w:w="7254" w:type="dxa"/>
          </w:tcPr>
          <w:p w:rsidR="00046FAF" w:rsidRDefault="006422E0" w:rsidP="006422E0">
            <w:r>
              <w:t>Source d</w:t>
            </w:r>
            <w:r w:rsidR="00046FAF">
              <w:t xml:space="preserve">estination </w:t>
            </w:r>
            <w:r>
              <w:t>c</w:t>
            </w:r>
            <w:r w:rsidR="00046FAF">
              <w:t>ode</w:t>
            </w:r>
          </w:p>
        </w:tc>
      </w:tr>
      <w:tr w:rsidR="00DA458D" w:rsidRPr="006D3B70" w:rsidTr="00931091">
        <w:tc>
          <w:tcPr>
            <w:tcW w:w="2374" w:type="dxa"/>
          </w:tcPr>
          <w:p w:rsidR="00DA458D" w:rsidRDefault="00DA458D" w:rsidP="00931091">
            <w:r>
              <w:t>TAFR</w:t>
            </w:r>
          </w:p>
        </w:tc>
        <w:tc>
          <w:tcPr>
            <w:tcW w:w="7254" w:type="dxa"/>
          </w:tcPr>
          <w:p w:rsidR="00DA458D" w:rsidRDefault="00DA458D" w:rsidP="006422E0">
            <w:r>
              <w:t>Treasurer’s Annual Financial Report</w:t>
            </w:r>
          </w:p>
        </w:tc>
      </w:tr>
      <w:tr w:rsidR="003145BE" w:rsidRPr="006D3B70" w:rsidTr="00931091">
        <w:tc>
          <w:tcPr>
            <w:tcW w:w="2374" w:type="dxa"/>
          </w:tcPr>
          <w:p w:rsidR="003145BE" w:rsidRDefault="003145BE" w:rsidP="00931091">
            <w:r>
              <w:t>UPF</w:t>
            </w:r>
          </w:p>
        </w:tc>
        <w:tc>
          <w:tcPr>
            <w:tcW w:w="7254" w:type="dxa"/>
          </w:tcPr>
          <w:p w:rsidR="003145BE" w:rsidRDefault="003145BE" w:rsidP="006422E0">
            <w:r>
              <w:t xml:space="preserve">Uniform </w:t>
            </w:r>
            <w:r w:rsidR="00ED1609">
              <w:t>Presentation Framework</w:t>
            </w:r>
          </w:p>
        </w:tc>
      </w:tr>
    </w:tbl>
    <w:p w:rsidR="00CA45E4" w:rsidRDefault="00CA45E4" w:rsidP="00420C06"/>
    <w:p w:rsidR="00CA45E4" w:rsidRPr="006D3B70" w:rsidRDefault="00CA45E4" w:rsidP="00420C06">
      <w:pPr>
        <w:sectPr w:rsidR="00CA45E4" w:rsidRPr="006D3B70" w:rsidSect="00652E1F">
          <w:headerReference w:type="default" r:id="rId16"/>
          <w:headerReference w:type="first" r:id="rId17"/>
          <w:footerReference w:type="first" r:id="rId18"/>
          <w:pgSz w:w="11906" w:h="16838" w:code="9"/>
          <w:pgMar w:top="1134" w:right="1134" w:bottom="1134" w:left="1134" w:header="709" w:footer="0" w:gutter="0"/>
          <w:cols w:space="708"/>
          <w:docGrid w:linePitch="360"/>
        </w:sectPr>
      </w:pPr>
    </w:p>
    <w:sdt>
      <w:sdtPr>
        <w:rPr>
          <w:rFonts w:eastAsia="Calibri" w:cs="Times New Roman"/>
          <w:b w:val="0"/>
          <w:bCs w:val="0"/>
          <w:sz w:val="22"/>
          <w:szCs w:val="22"/>
          <w:lang w:eastAsia="en-US"/>
        </w:rPr>
        <w:id w:val="-8831822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3758FE" w:rsidRPr="006D3B70" w:rsidRDefault="003758FE" w:rsidP="00F56C92">
          <w:pPr>
            <w:pStyle w:val="TOCHeading"/>
          </w:pPr>
          <w:r w:rsidRPr="006D3B70">
            <w:t>Contents</w:t>
          </w:r>
        </w:p>
        <w:p w:rsidR="0064464B" w:rsidRDefault="003758FE">
          <w:pPr>
            <w:pStyle w:val="TOC1"/>
            <w:rPr>
              <w:rFonts w:asciiTheme="minorHAnsi" w:hAnsiTheme="minorHAnsi" w:cstheme="minorBidi"/>
              <w:b w:val="0"/>
            </w:rPr>
          </w:pPr>
          <w:r w:rsidRPr="006D3B70">
            <w:rPr>
              <w:noProof w:val="0"/>
            </w:rPr>
            <w:fldChar w:fldCharType="begin"/>
          </w:r>
          <w:r w:rsidRPr="006D3B70">
            <w:instrText xml:space="preserve"> TOC \o "1-</w:instrText>
          </w:r>
          <w:r w:rsidR="00EA3B1A" w:rsidRPr="006D3B70">
            <w:instrText>9</w:instrText>
          </w:r>
          <w:r w:rsidRPr="006D3B70">
            <w:instrText xml:space="preserve">" \h \z \u </w:instrText>
          </w:r>
          <w:r w:rsidRPr="006D3B70">
            <w:rPr>
              <w:noProof w:val="0"/>
            </w:rPr>
            <w:fldChar w:fldCharType="separate"/>
          </w:r>
          <w:hyperlink w:anchor="_Toc516756068" w:history="1">
            <w:r w:rsidR="0064464B" w:rsidRPr="003F035E">
              <w:rPr>
                <w:rStyle w:val="Hyperlink"/>
              </w:rPr>
              <w:t>1</w:t>
            </w:r>
            <w:r w:rsidR="0064464B">
              <w:rPr>
                <w:rFonts w:asciiTheme="minorHAnsi" w:hAnsiTheme="minorHAnsi" w:cstheme="minorBidi"/>
                <w:b w:val="0"/>
              </w:rPr>
              <w:tab/>
            </w:r>
            <w:r w:rsidR="0064464B" w:rsidRPr="003F035E">
              <w:rPr>
                <w:rStyle w:val="Hyperlink"/>
              </w:rPr>
              <w:t>Introduction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_Toc516756068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4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2"/>
            <w:rPr>
              <w:rFonts w:asciiTheme="minorHAnsi" w:hAnsiTheme="minorHAnsi" w:cstheme="minorBidi"/>
            </w:rPr>
          </w:pPr>
          <w:hyperlink w:anchor="_Toc516756069" w:history="1">
            <w:r w:rsidR="0064464B" w:rsidRPr="003F035E">
              <w:rPr>
                <w:rStyle w:val="Hyperlink"/>
              </w:rPr>
              <w:t>1.1</w:t>
            </w:r>
            <w:r w:rsidR="0064464B">
              <w:rPr>
                <w:rFonts w:asciiTheme="minorHAnsi" w:hAnsiTheme="minorHAnsi" w:cstheme="minorBidi"/>
              </w:rPr>
              <w:tab/>
            </w:r>
            <w:r w:rsidR="0064464B" w:rsidRPr="003F035E">
              <w:rPr>
                <w:rStyle w:val="Hyperlink"/>
              </w:rPr>
              <w:t>Purpose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_Toc516756069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4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2"/>
            <w:rPr>
              <w:rFonts w:asciiTheme="minorHAnsi" w:hAnsiTheme="minorHAnsi" w:cstheme="minorBidi"/>
            </w:rPr>
          </w:pPr>
          <w:hyperlink w:anchor="_Toc516756070" w:history="1">
            <w:r w:rsidR="0064464B" w:rsidRPr="003F035E">
              <w:rPr>
                <w:rStyle w:val="Hyperlink"/>
              </w:rPr>
              <w:t>1.2</w:t>
            </w:r>
            <w:r w:rsidR="0064464B">
              <w:rPr>
                <w:rFonts w:asciiTheme="minorHAnsi" w:hAnsiTheme="minorHAnsi" w:cstheme="minorBidi"/>
              </w:rPr>
              <w:tab/>
            </w:r>
            <w:r w:rsidR="0064464B" w:rsidRPr="003F035E">
              <w:rPr>
                <w:rStyle w:val="Hyperlink"/>
              </w:rPr>
              <w:t>Statement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_Toc516756070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4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2"/>
            <w:rPr>
              <w:rFonts w:asciiTheme="minorHAnsi" w:hAnsiTheme="minorHAnsi" w:cstheme="minorBidi"/>
            </w:rPr>
          </w:pPr>
          <w:hyperlink w:anchor="_Toc516756071" w:history="1">
            <w:r w:rsidR="0064464B" w:rsidRPr="003F035E">
              <w:rPr>
                <w:rStyle w:val="Hyperlink"/>
              </w:rPr>
              <w:t>1.3</w:t>
            </w:r>
            <w:r w:rsidR="0064464B">
              <w:rPr>
                <w:rFonts w:asciiTheme="minorHAnsi" w:hAnsiTheme="minorHAnsi" w:cstheme="minorBidi"/>
              </w:rPr>
              <w:tab/>
            </w:r>
            <w:r w:rsidR="0064464B" w:rsidRPr="003F035E">
              <w:rPr>
                <w:rStyle w:val="Hyperlink"/>
              </w:rPr>
              <w:t>Legislative basis and related documents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_Toc516756071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4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1"/>
            <w:rPr>
              <w:rFonts w:asciiTheme="minorHAnsi" w:hAnsiTheme="minorHAnsi" w:cstheme="minorBidi"/>
              <w:b w:val="0"/>
            </w:rPr>
          </w:pPr>
          <w:hyperlink w:anchor="_Toc516756072" w:history="1">
            <w:r w:rsidR="0064464B" w:rsidRPr="003F035E">
              <w:rPr>
                <w:rStyle w:val="Hyperlink"/>
              </w:rPr>
              <w:t>2</w:t>
            </w:r>
            <w:r w:rsidR="0064464B">
              <w:rPr>
                <w:rFonts w:asciiTheme="minorHAnsi" w:hAnsiTheme="minorHAnsi" w:cstheme="minorBidi"/>
                <w:b w:val="0"/>
              </w:rPr>
              <w:tab/>
            </w:r>
            <w:r w:rsidR="0064464B" w:rsidRPr="003F035E">
              <w:rPr>
                <w:rStyle w:val="Hyperlink"/>
              </w:rPr>
              <w:t>Classification of the functions of government – Australia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_Toc516756072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5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2"/>
            <w:rPr>
              <w:rFonts w:asciiTheme="minorHAnsi" w:hAnsiTheme="minorHAnsi" w:cstheme="minorBidi"/>
            </w:rPr>
          </w:pPr>
          <w:hyperlink w:anchor="_Toc516756073" w:history="1">
            <w:r w:rsidR="0064464B" w:rsidRPr="003F035E">
              <w:rPr>
                <w:rStyle w:val="Hyperlink"/>
              </w:rPr>
              <w:t>2.1</w:t>
            </w:r>
            <w:r w:rsidR="0064464B">
              <w:rPr>
                <w:rFonts w:asciiTheme="minorHAnsi" w:hAnsiTheme="minorHAnsi" w:cstheme="minorBidi"/>
              </w:rPr>
              <w:tab/>
            </w:r>
            <w:r w:rsidR="0064464B" w:rsidRPr="003F035E">
              <w:rPr>
                <w:rStyle w:val="Hyperlink"/>
              </w:rPr>
              <w:t>Government finance statistics framework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_Toc516756073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5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2"/>
            <w:rPr>
              <w:rFonts w:asciiTheme="minorHAnsi" w:hAnsiTheme="minorHAnsi" w:cstheme="minorBidi"/>
            </w:rPr>
          </w:pPr>
          <w:hyperlink w:anchor="_Toc516756074" w:history="1">
            <w:r w:rsidR="0064464B" w:rsidRPr="003F035E">
              <w:rPr>
                <w:rStyle w:val="Hyperlink"/>
              </w:rPr>
              <w:t>2.2</w:t>
            </w:r>
            <w:r w:rsidR="0064464B">
              <w:rPr>
                <w:rFonts w:asciiTheme="minorHAnsi" w:hAnsiTheme="minorHAnsi" w:cstheme="minorBidi"/>
              </w:rPr>
              <w:tab/>
            </w:r>
            <w:r w:rsidR="0064464B" w:rsidRPr="003F035E">
              <w:rPr>
                <w:rStyle w:val="Hyperlink"/>
              </w:rPr>
              <w:t>Why is COFOG-A and GFS important to the Territory?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_Toc516756074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5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2"/>
            <w:rPr>
              <w:rFonts w:asciiTheme="minorHAnsi" w:hAnsiTheme="minorHAnsi" w:cstheme="minorBidi"/>
            </w:rPr>
          </w:pPr>
          <w:hyperlink w:anchor="_Toc516756075" w:history="1">
            <w:r w:rsidR="0064464B" w:rsidRPr="003F035E">
              <w:rPr>
                <w:rStyle w:val="Hyperlink"/>
              </w:rPr>
              <w:t>2.3</w:t>
            </w:r>
            <w:r w:rsidR="0064464B">
              <w:rPr>
                <w:rFonts w:asciiTheme="minorHAnsi" w:hAnsiTheme="minorHAnsi" w:cstheme="minorBidi"/>
              </w:rPr>
              <w:tab/>
            </w:r>
            <w:r w:rsidR="0064464B" w:rsidRPr="003F035E">
              <w:rPr>
                <w:rStyle w:val="Hyperlink"/>
              </w:rPr>
              <w:t>Coding COFOG-A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_Toc516756075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6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3"/>
            <w:rPr>
              <w:rFonts w:asciiTheme="minorHAnsi" w:hAnsiTheme="minorHAnsi" w:cstheme="minorBidi"/>
            </w:rPr>
          </w:pPr>
          <w:hyperlink w:anchor="_Toc516756076" w:history="1">
            <w:r w:rsidR="0064464B" w:rsidRPr="003F035E">
              <w:rPr>
                <w:rStyle w:val="Hyperlink"/>
              </w:rPr>
              <w:t>2.3.1</w:t>
            </w:r>
            <w:r w:rsidR="0064464B">
              <w:rPr>
                <w:rFonts w:asciiTheme="minorHAnsi" w:hAnsiTheme="minorHAnsi" w:cstheme="minorBidi"/>
              </w:rPr>
              <w:tab/>
            </w:r>
            <w:r w:rsidR="0064464B" w:rsidRPr="003F035E">
              <w:rPr>
                <w:rStyle w:val="Hyperlink"/>
              </w:rPr>
              <w:t>COFOG-A structure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_Toc516756076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6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3"/>
            <w:rPr>
              <w:rFonts w:asciiTheme="minorHAnsi" w:hAnsiTheme="minorHAnsi" w:cstheme="minorBidi"/>
            </w:rPr>
          </w:pPr>
          <w:hyperlink w:anchor="_Toc516756077" w:history="1">
            <w:r w:rsidR="0064464B" w:rsidRPr="003F035E">
              <w:rPr>
                <w:rStyle w:val="Hyperlink"/>
              </w:rPr>
              <w:t>2.3.2</w:t>
            </w:r>
            <w:r w:rsidR="0064464B">
              <w:rPr>
                <w:rFonts w:asciiTheme="minorHAnsi" w:hAnsiTheme="minorHAnsi" w:cstheme="minorBidi"/>
              </w:rPr>
              <w:tab/>
            </w:r>
            <w:r w:rsidR="0064464B" w:rsidRPr="003F035E">
              <w:rPr>
                <w:rStyle w:val="Hyperlink"/>
              </w:rPr>
              <w:t>COFOG-A coding example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_Toc516756077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7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1"/>
            <w:rPr>
              <w:rFonts w:asciiTheme="minorHAnsi" w:hAnsiTheme="minorHAnsi" w:cstheme="minorBidi"/>
              <w:b w:val="0"/>
            </w:rPr>
          </w:pPr>
          <w:hyperlink w:anchor="_Toc516756078" w:history="1">
            <w:r w:rsidR="0064464B" w:rsidRPr="003F035E">
              <w:rPr>
                <w:rStyle w:val="Hyperlink"/>
              </w:rPr>
              <w:t>3</w:t>
            </w:r>
            <w:r w:rsidR="0064464B">
              <w:rPr>
                <w:rFonts w:asciiTheme="minorHAnsi" w:hAnsiTheme="minorHAnsi" w:cstheme="minorBidi"/>
                <w:b w:val="0"/>
              </w:rPr>
              <w:tab/>
            </w:r>
            <w:r w:rsidR="0064464B" w:rsidRPr="003F035E">
              <w:rPr>
                <w:rStyle w:val="Hyperlink"/>
              </w:rPr>
              <w:t>Reporting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_Toc516756078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8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2"/>
            <w:rPr>
              <w:rFonts w:asciiTheme="minorHAnsi" w:hAnsiTheme="minorHAnsi" w:cstheme="minorBidi"/>
            </w:rPr>
          </w:pPr>
          <w:hyperlink w:anchor="_Toc516756079" w:history="1">
            <w:r w:rsidR="0064464B" w:rsidRPr="003F035E">
              <w:rPr>
                <w:rStyle w:val="Hyperlink"/>
              </w:rPr>
              <w:t>3.1</w:t>
            </w:r>
            <w:r w:rsidR="0064464B">
              <w:rPr>
                <w:rFonts w:asciiTheme="minorHAnsi" w:hAnsiTheme="minorHAnsi" w:cstheme="minorBidi"/>
              </w:rPr>
              <w:tab/>
            </w:r>
            <w:r w:rsidR="0064464B" w:rsidRPr="003F035E">
              <w:rPr>
                <w:rStyle w:val="Hyperlink"/>
              </w:rPr>
              <w:t>Uniform Presentation Framework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_Toc516756079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8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2"/>
            <w:rPr>
              <w:rFonts w:asciiTheme="minorHAnsi" w:hAnsiTheme="minorHAnsi" w:cstheme="minorBidi"/>
            </w:rPr>
          </w:pPr>
          <w:hyperlink w:anchor="_Toc516756080" w:history="1">
            <w:r w:rsidR="0064464B" w:rsidRPr="003F035E">
              <w:rPr>
                <w:rStyle w:val="Hyperlink"/>
              </w:rPr>
              <w:t>3.2</w:t>
            </w:r>
            <w:r w:rsidR="0064464B">
              <w:rPr>
                <w:rFonts w:asciiTheme="minorHAnsi" w:hAnsiTheme="minorHAnsi" w:cstheme="minorBidi"/>
              </w:rPr>
              <w:tab/>
            </w:r>
            <w:r w:rsidR="0064464B" w:rsidRPr="003F035E">
              <w:rPr>
                <w:rStyle w:val="Hyperlink"/>
              </w:rPr>
              <w:t>Australian Bureau of Statistics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_Toc516756080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8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2"/>
            <w:rPr>
              <w:rFonts w:asciiTheme="minorHAnsi" w:hAnsiTheme="minorHAnsi" w:cstheme="minorBidi"/>
            </w:rPr>
          </w:pPr>
          <w:hyperlink w:anchor="_Toc516756081" w:history="1">
            <w:r w:rsidR="0064464B" w:rsidRPr="003F035E">
              <w:rPr>
                <w:rStyle w:val="Hyperlink"/>
              </w:rPr>
              <w:t>3.3</w:t>
            </w:r>
            <w:r w:rsidR="0064464B">
              <w:rPr>
                <w:rFonts w:asciiTheme="minorHAnsi" w:hAnsiTheme="minorHAnsi" w:cstheme="minorBidi"/>
              </w:rPr>
              <w:tab/>
            </w:r>
            <w:r w:rsidR="0064464B" w:rsidRPr="003F035E">
              <w:rPr>
                <w:rStyle w:val="Hyperlink"/>
              </w:rPr>
              <w:t>Agency reporting requirements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_Toc516756081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8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3"/>
            <w:rPr>
              <w:rFonts w:asciiTheme="minorHAnsi" w:hAnsiTheme="minorHAnsi" w:cstheme="minorBidi"/>
            </w:rPr>
          </w:pPr>
          <w:hyperlink w:anchor="_Toc516756082" w:history="1">
            <w:r w:rsidR="0064464B" w:rsidRPr="003F035E">
              <w:rPr>
                <w:rStyle w:val="Hyperlink"/>
              </w:rPr>
              <w:t>3.3.1</w:t>
            </w:r>
            <w:r w:rsidR="0064464B">
              <w:rPr>
                <w:rFonts w:asciiTheme="minorHAnsi" w:hAnsiTheme="minorHAnsi" w:cstheme="minorBidi"/>
              </w:rPr>
              <w:tab/>
            </w:r>
            <w:r w:rsidR="0064464B" w:rsidRPr="003F035E">
              <w:rPr>
                <w:rStyle w:val="Hyperlink"/>
              </w:rPr>
              <w:t>Reporting process for agencies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_Toc516756082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8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3"/>
            <w:rPr>
              <w:rFonts w:asciiTheme="minorHAnsi" w:hAnsiTheme="minorHAnsi" w:cstheme="minorBidi"/>
            </w:rPr>
          </w:pPr>
          <w:hyperlink w:anchor="_Toc516756083" w:history="1">
            <w:r w:rsidR="0064464B" w:rsidRPr="003F035E">
              <w:rPr>
                <w:rStyle w:val="Hyperlink"/>
              </w:rPr>
              <w:t>3.3.2</w:t>
            </w:r>
            <w:r w:rsidR="0064464B">
              <w:rPr>
                <w:rFonts w:asciiTheme="minorHAnsi" w:hAnsiTheme="minorHAnsi" w:cstheme="minorBidi"/>
              </w:rPr>
              <w:tab/>
            </w:r>
            <w:r w:rsidR="0064464B" w:rsidRPr="003F035E">
              <w:rPr>
                <w:rStyle w:val="Hyperlink"/>
              </w:rPr>
              <w:t>Reporting corporate and governance expenditure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_Toc516756083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9</w:t>
            </w:r>
            <w:r w:rsidR="0064464B">
              <w:rPr>
                <w:webHidden/>
              </w:rPr>
              <w:fldChar w:fldCharType="end"/>
            </w:r>
          </w:hyperlink>
        </w:p>
        <w:p w:rsidR="0064464B" w:rsidRDefault="00C63C5D">
          <w:pPr>
            <w:pStyle w:val="TOC3"/>
            <w:rPr>
              <w:rFonts w:asciiTheme="minorHAnsi" w:hAnsiTheme="minorHAnsi" w:cstheme="minorBidi"/>
            </w:rPr>
          </w:pPr>
          <w:hyperlink w:anchor="_Toc516756084" w:history="1">
            <w:r w:rsidR="0064464B" w:rsidRPr="003F035E">
              <w:rPr>
                <w:rStyle w:val="Hyperlink"/>
              </w:rPr>
              <w:t>3.3.3</w:t>
            </w:r>
            <w:r w:rsidR="0064464B">
              <w:rPr>
                <w:rFonts w:asciiTheme="minorHAnsi" w:hAnsiTheme="minorHAnsi" w:cstheme="minorBidi"/>
              </w:rPr>
              <w:tab/>
            </w:r>
            <w:r w:rsidR="0064464B" w:rsidRPr="003F035E">
              <w:rPr>
                <w:rStyle w:val="Hyperlink"/>
              </w:rPr>
              <w:t>Reporting timeline</w:t>
            </w:r>
            <w:r w:rsidR="0064464B">
              <w:rPr>
                <w:webHidden/>
              </w:rPr>
              <w:tab/>
            </w:r>
            <w:r w:rsidR="0064464B">
              <w:rPr>
                <w:webHidden/>
              </w:rPr>
              <w:fldChar w:fldCharType="begin"/>
            </w:r>
            <w:r w:rsidR="0064464B">
              <w:rPr>
                <w:webHidden/>
              </w:rPr>
              <w:instrText xml:space="preserve"> PAGEREF _Toc516756084 \h </w:instrText>
            </w:r>
            <w:r w:rsidR="0064464B">
              <w:rPr>
                <w:webHidden/>
              </w:rPr>
            </w:r>
            <w:r w:rsidR="0064464B">
              <w:rPr>
                <w:webHidden/>
              </w:rPr>
              <w:fldChar w:fldCharType="separate"/>
            </w:r>
            <w:r w:rsidR="0064464B">
              <w:rPr>
                <w:webHidden/>
              </w:rPr>
              <w:t>9</w:t>
            </w:r>
            <w:r w:rsidR="0064464B">
              <w:rPr>
                <w:webHidden/>
              </w:rPr>
              <w:fldChar w:fldCharType="end"/>
            </w:r>
          </w:hyperlink>
        </w:p>
        <w:p w:rsidR="003758FE" w:rsidRPr="007C5B13" w:rsidRDefault="003758FE">
          <w:pPr>
            <w:rPr>
              <w:b/>
              <w:bCs/>
              <w:noProof/>
            </w:rPr>
          </w:pPr>
          <w:r w:rsidRPr="006D3B70">
            <w:rPr>
              <w:b/>
              <w:bCs/>
              <w:noProof/>
            </w:rPr>
            <w:fldChar w:fldCharType="end"/>
          </w:r>
        </w:p>
      </w:sdtContent>
    </w:sdt>
    <w:p w:rsidR="00276583" w:rsidRPr="006D3B70" w:rsidRDefault="00276583" w:rsidP="00420C06">
      <w:pPr>
        <w:sectPr w:rsidR="00276583" w:rsidRPr="006D3B70" w:rsidSect="007D55DF">
          <w:headerReference w:type="default" r:id="rId19"/>
          <w:headerReference w:type="first" r:id="rId20"/>
          <w:pgSz w:w="11906" w:h="16838" w:code="9"/>
          <w:pgMar w:top="1134" w:right="1134" w:bottom="1134" w:left="1134" w:header="709" w:footer="0" w:gutter="0"/>
          <w:cols w:space="708"/>
          <w:docGrid w:linePitch="360"/>
        </w:sectPr>
      </w:pPr>
    </w:p>
    <w:p w:rsidR="002908B1" w:rsidRPr="00805151" w:rsidRDefault="00245F3E" w:rsidP="00805151">
      <w:pPr>
        <w:pStyle w:val="Heading1"/>
      </w:pPr>
      <w:bookmarkStart w:id="1" w:name="_Toc516756068"/>
      <w:r w:rsidRPr="00805151">
        <w:lastRenderedPageBreak/>
        <w:t>Introduction</w:t>
      </w:r>
      <w:bookmarkEnd w:id="1"/>
    </w:p>
    <w:p w:rsidR="00245F3E" w:rsidRPr="00805151" w:rsidRDefault="00245F3E" w:rsidP="00805151">
      <w:pPr>
        <w:pStyle w:val="Heading2"/>
      </w:pPr>
      <w:bookmarkStart w:id="2" w:name="_Toc516756069"/>
      <w:r w:rsidRPr="00805151">
        <w:t>P</w:t>
      </w:r>
      <w:r w:rsidR="005E3893">
        <w:t>urpose</w:t>
      </w:r>
      <w:bookmarkEnd w:id="2"/>
    </w:p>
    <w:p w:rsidR="00C61F0F" w:rsidRDefault="00C61F0F" w:rsidP="00202218">
      <w:r>
        <w:t xml:space="preserve">To provide best practice guidance to assist </w:t>
      </w:r>
      <w:r w:rsidR="00805151">
        <w:t>accountable officer</w:t>
      </w:r>
      <w:r>
        <w:t xml:space="preserve">s and agencies to meet their obligations under the </w:t>
      </w:r>
      <w:r w:rsidR="00F86F31">
        <w:t>Treasurer’s Direction</w:t>
      </w:r>
      <w:r w:rsidR="003E317B">
        <w:t xml:space="preserve"> on</w:t>
      </w:r>
      <w:r w:rsidR="000350A1">
        <w:t xml:space="preserve"> </w:t>
      </w:r>
      <w:r w:rsidR="004E3196">
        <w:t>COFOG-A</w:t>
      </w:r>
      <w:r w:rsidR="003145BE">
        <w:t xml:space="preserve"> and the Territory’s whole</w:t>
      </w:r>
      <w:r w:rsidR="0064464B">
        <w:t xml:space="preserve"> </w:t>
      </w:r>
      <w:r w:rsidR="003145BE">
        <w:t>of</w:t>
      </w:r>
      <w:r w:rsidR="0064464B">
        <w:t xml:space="preserve"> </w:t>
      </w:r>
      <w:r w:rsidR="00EA576E">
        <w:t>government reporting obligations</w:t>
      </w:r>
      <w:r w:rsidR="00202218">
        <w:t>,</w:t>
      </w:r>
      <w:r w:rsidR="00EA576E">
        <w:t xml:space="preserve"> in </w:t>
      </w:r>
      <w:r w:rsidR="00260DAE">
        <w:t xml:space="preserve">accordance with the Australian </w:t>
      </w:r>
      <w:r w:rsidR="001B5389">
        <w:t xml:space="preserve">System </w:t>
      </w:r>
      <w:r w:rsidR="00260DAE">
        <w:t xml:space="preserve">of </w:t>
      </w:r>
      <w:r w:rsidR="001B5389">
        <w:t>Government Finance Statistics</w:t>
      </w:r>
      <w:r w:rsidR="00260DAE">
        <w:t xml:space="preserve">: Concepts, </w:t>
      </w:r>
      <w:r w:rsidR="001B5389">
        <w:t xml:space="preserve">Sources </w:t>
      </w:r>
      <w:r w:rsidR="00EA576E">
        <w:t xml:space="preserve">and </w:t>
      </w:r>
      <w:r w:rsidR="00DE1514">
        <w:t>Methods </w:t>
      </w:r>
      <w:r w:rsidR="00983798">
        <w:t xml:space="preserve">– </w:t>
      </w:r>
      <w:r w:rsidR="00EA576E" w:rsidRPr="005D566C">
        <w:t>2015</w:t>
      </w:r>
      <w:r w:rsidR="00983798">
        <w:t xml:space="preserve"> (AGFS15)</w:t>
      </w:r>
      <w:r w:rsidR="005E3893">
        <w:t xml:space="preserve"> manual</w:t>
      </w:r>
      <w:r w:rsidR="003145BE">
        <w:t>.</w:t>
      </w:r>
    </w:p>
    <w:p w:rsidR="00C61F0F" w:rsidRDefault="00C61F0F" w:rsidP="00202218">
      <w:r>
        <w:t>Guidance material in this do</w:t>
      </w:r>
      <w:r w:rsidR="00B347B2">
        <w:t>cument is no</w:t>
      </w:r>
      <w:r w:rsidR="00521D4C">
        <w:t xml:space="preserve">t </w:t>
      </w:r>
      <w:r w:rsidR="00B347B2">
        <w:t>mandatory.</w:t>
      </w:r>
      <w:r>
        <w:t xml:space="preserve"> If a conflict arises between this guidance document and the </w:t>
      </w:r>
      <w:r w:rsidR="00F86F31">
        <w:t>Treasurer’s Direction</w:t>
      </w:r>
      <w:r>
        <w:t xml:space="preserve">s or other legislative requirements, the legislation takes precedence, followed by the </w:t>
      </w:r>
      <w:r w:rsidR="00F86F31">
        <w:t>Treasurer’s Direction</w:t>
      </w:r>
      <w:r>
        <w:t>s.</w:t>
      </w:r>
    </w:p>
    <w:p w:rsidR="00B16A56" w:rsidRDefault="00B16A56" w:rsidP="00202218">
      <w:r>
        <w:t xml:space="preserve">The </w:t>
      </w:r>
      <w:r w:rsidR="00F86F31">
        <w:t>Treasurer’s Direction</w:t>
      </w:r>
      <w:r>
        <w:t xml:space="preserve"> designates responsibility to the </w:t>
      </w:r>
      <w:r w:rsidR="00805151">
        <w:t>accountable officer</w:t>
      </w:r>
      <w:r w:rsidR="003E317B">
        <w:t xml:space="preserve">. </w:t>
      </w:r>
      <w:r w:rsidR="00BC55FB">
        <w:t xml:space="preserve">Unless specifically excluded by the </w:t>
      </w:r>
      <w:r w:rsidR="00BC55FB">
        <w:rPr>
          <w:i/>
        </w:rPr>
        <w:t>Financial Management Act</w:t>
      </w:r>
      <w:r w:rsidR="00BC55FB">
        <w:t xml:space="preserve"> </w:t>
      </w:r>
      <w:r w:rsidR="00C43D5D">
        <w:rPr>
          <w:i/>
        </w:rPr>
        <w:t xml:space="preserve">1995 </w:t>
      </w:r>
      <w:r w:rsidR="00BC55FB">
        <w:t xml:space="preserve">or Treasurer’s Directions, </w:t>
      </w:r>
      <w:r w:rsidR="00805151">
        <w:t>accountable officer</w:t>
      </w:r>
      <w:r>
        <w:t xml:space="preserve">s may choose to delegate certain responsibilities and functions to agency </w:t>
      </w:r>
      <w:r w:rsidR="00BC55FB">
        <w:t>employees</w:t>
      </w:r>
      <w:r>
        <w:t xml:space="preserve">. This can be done through a number of mechanisms, such as </w:t>
      </w:r>
      <w:r w:rsidR="00805151">
        <w:t>accountable officer</w:t>
      </w:r>
      <w:r>
        <w:t xml:space="preserve"> approved policies, procedures, and agency delegations.</w:t>
      </w:r>
    </w:p>
    <w:p w:rsidR="00A963F5" w:rsidRPr="00805151" w:rsidRDefault="00A963F5" w:rsidP="00805151">
      <w:pPr>
        <w:pStyle w:val="Heading2"/>
      </w:pPr>
      <w:bookmarkStart w:id="3" w:name="_Toc516756070"/>
      <w:r w:rsidRPr="00805151">
        <w:t>Statement</w:t>
      </w:r>
      <w:bookmarkEnd w:id="3"/>
    </w:p>
    <w:p w:rsidR="009C2A7A" w:rsidRDefault="00C61F0F" w:rsidP="009C2A7A">
      <w:r w:rsidRPr="00C61F0F">
        <w:t xml:space="preserve">The objectives of the </w:t>
      </w:r>
      <w:r w:rsidR="00F86F31">
        <w:t>Treasurer’s Direction</w:t>
      </w:r>
      <w:r w:rsidRPr="00C61F0F">
        <w:t xml:space="preserve"> on </w:t>
      </w:r>
      <w:r w:rsidR="0028151E">
        <w:t xml:space="preserve">COFOG-A </w:t>
      </w:r>
      <w:r w:rsidR="0028151E" w:rsidRPr="00C61F0F">
        <w:t>and</w:t>
      </w:r>
      <w:r w:rsidR="00785827">
        <w:t xml:space="preserve"> this guide are </w:t>
      </w:r>
      <w:r w:rsidR="00C94235">
        <w:t>to</w:t>
      </w:r>
      <w:r w:rsidR="009C2A7A">
        <w:t>:</w:t>
      </w:r>
    </w:p>
    <w:p w:rsidR="009C2A7A" w:rsidRDefault="009C2A7A" w:rsidP="000C3AAF">
      <w:pPr>
        <w:pStyle w:val="ListBullet"/>
        <w:numPr>
          <w:ilvl w:val="0"/>
          <w:numId w:val="17"/>
        </w:numPr>
      </w:pPr>
      <w:r>
        <w:t>assist</w:t>
      </w:r>
      <w:r w:rsidR="00915D52">
        <w:t xml:space="preserve"> agencies in </w:t>
      </w:r>
      <w:r>
        <w:t xml:space="preserve">preparing COFOG-A </w:t>
      </w:r>
      <w:r w:rsidR="00396F87">
        <w:t>returns in order to meet Australian Government reporting obligations</w:t>
      </w:r>
    </w:p>
    <w:p w:rsidR="00046FAF" w:rsidRDefault="00C94235" w:rsidP="000C3AAF">
      <w:pPr>
        <w:pStyle w:val="ListBullet"/>
        <w:numPr>
          <w:ilvl w:val="0"/>
          <w:numId w:val="17"/>
        </w:numPr>
      </w:pPr>
      <w:r>
        <w:t>emphasise</w:t>
      </w:r>
      <w:r w:rsidR="00785827">
        <w:t xml:space="preserve"> </w:t>
      </w:r>
      <w:r>
        <w:t xml:space="preserve">the </w:t>
      </w:r>
      <w:r w:rsidR="00785827">
        <w:t xml:space="preserve">importance of </w:t>
      </w:r>
      <w:r>
        <w:t>data integrity when preparing COFOG-A returns</w:t>
      </w:r>
      <w:r w:rsidR="00202218">
        <w:t xml:space="preserve"> </w:t>
      </w:r>
    </w:p>
    <w:p w:rsidR="009C2A7A" w:rsidRDefault="00046FAF" w:rsidP="000C3AAF">
      <w:pPr>
        <w:pStyle w:val="ListBullet"/>
        <w:numPr>
          <w:ilvl w:val="0"/>
          <w:numId w:val="17"/>
        </w:numPr>
      </w:pPr>
      <w:r>
        <w:t xml:space="preserve">explain </w:t>
      </w:r>
      <w:r w:rsidR="00396F87">
        <w:t>how</w:t>
      </w:r>
      <w:r w:rsidR="009C2A7A">
        <w:t xml:space="preserve"> </w:t>
      </w:r>
      <w:r>
        <w:t>the results</w:t>
      </w:r>
      <w:r w:rsidR="00202218">
        <w:t xml:space="preserve"> from COFOG-A returns</w:t>
      </w:r>
      <w:r w:rsidR="009C2A7A">
        <w:t xml:space="preserve"> can impact the </w:t>
      </w:r>
      <w:r>
        <w:t xml:space="preserve">Northern </w:t>
      </w:r>
      <w:r w:rsidR="009C2A7A">
        <w:t>Territory</w:t>
      </w:r>
      <w:r>
        <w:t xml:space="preserve"> Government’s</w:t>
      </w:r>
      <w:r w:rsidR="009C2A7A">
        <w:t xml:space="preserve"> future </w:t>
      </w:r>
      <w:r w:rsidR="00396F87">
        <w:t>revenue</w:t>
      </w:r>
      <w:r w:rsidR="009C2A7A">
        <w:t xml:space="preserve"> streams.</w:t>
      </w:r>
    </w:p>
    <w:p w:rsidR="00A963F5" w:rsidRPr="00805151" w:rsidRDefault="00A963F5" w:rsidP="009C2A7A">
      <w:pPr>
        <w:pStyle w:val="Heading2"/>
      </w:pPr>
      <w:bookmarkStart w:id="4" w:name="_Toc516756071"/>
      <w:r w:rsidRPr="00805151">
        <w:t xml:space="preserve">Legislative </w:t>
      </w:r>
      <w:r w:rsidR="00953F7D" w:rsidRPr="00805151">
        <w:t xml:space="preserve">basis </w:t>
      </w:r>
      <w:r w:rsidRPr="00805151">
        <w:t xml:space="preserve">and </w:t>
      </w:r>
      <w:r w:rsidR="00953F7D" w:rsidRPr="00805151">
        <w:t>related documents</w:t>
      </w:r>
      <w:bookmarkEnd w:id="4"/>
    </w:p>
    <w:p w:rsidR="00A963F5" w:rsidRPr="008F35D9" w:rsidRDefault="00A963F5" w:rsidP="000C3AAF">
      <w:pPr>
        <w:pStyle w:val="ListBullet"/>
        <w:numPr>
          <w:ilvl w:val="0"/>
          <w:numId w:val="18"/>
        </w:numPr>
      </w:pPr>
      <w:r w:rsidRPr="00202218">
        <w:rPr>
          <w:i/>
        </w:rPr>
        <w:t>Financial Management Act</w:t>
      </w:r>
      <w:r w:rsidR="00C43D5D">
        <w:rPr>
          <w:i/>
        </w:rPr>
        <w:t xml:space="preserve"> 1995</w:t>
      </w:r>
    </w:p>
    <w:p w:rsidR="00CB6F8C" w:rsidRDefault="00F86F31" w:rsidP="000C3AAF">
      <w:pPr>
        <w:pStyle w:val="ListBullet"/>
        <w:numPr>
          <w:ilvl w:val="0"/>
          <w:numId w:val="18"/>
        </w:numPr>
      </w:pPr>
      <w:r>
        <w:t>Treasurer’s Direction</w:t>
      </w:r>
      <w:r w:rsidR="00202218">
        <w:t> </w:t>
      </w:r>
      <w:r w:rsidR="008F35D9">
        <w:t xml:space="preserve">– </w:t>
      </w:r>
      <w:r w:rsidR="00FA30F1">
        <w:t xml:space="preserve">Classification of </w:t>
      </w:r>
      <w:r w:rsidR="00260DAE">
        <w:t>the f</w:t>
      </w:r>
      <w:r w:rsidR="003145BE">
        <w:t xml:space="preserve">unctions of </w:t>
      </w:r>
      <w:r w:rsidR="00260DAE">
        <w:t>g</w:t>
      </w:r>
      <w:r w:rsidR="003145BE">
        <w:t>overnment </w:t>
      </w:r>
      <w:r w:rsidR="00CB6F8C">
        <w:t>–</w:t>
      </w:r>
      <w:r w:rsidR="00FA30F1">
        <w:t xml:space="preserve"> Australia</w:t>
      </w:r>
      <w:r w:rsidR="003145BE">
        <w:t xml:space="preserve"> (COFOG-A)</w:t>
      </w:r>
    </w:p>
    <w:p w:rsidR="00F06DC5" w:rsidRDefault="00260DAE" w:rsidP="000C3AAF">
      <w:pPr>
        <w:pStyle w:val="ListBullet"/>
        <w:numPr>
          <w:ilvl w:val="0"/>
          <w:numId w:val="18"/>
        </w:numPr>
      </w:pPr>
      <w:r>
        <w:t>AASB 1049 – Whole of government and general government s</w:t>
      </w:r>
      <w:r w:rsidR="00F06DC5">
        <w:t xml:space="preserve">ector </w:t>
      </w:r>
      <w:r>
        <w:t>f</w:t>
      </w:r>
      <w:r w:rsidR="00F06DC5">
        <w:t xml:space="preserve">inancial </w:t>
      </w:r>
      <w:r>
        <w:t>r</w:t>
      </w:r>
      <w:r w:rsidR="00F06DC5">
        <w:t>eporting</w:t>
      </w:r>
    </w:p>
    <w:p w:rsidR="00BC55FB" w:rsidRDefault="00260DAE" w:rsidP="000C3AAF">
      <w:pPr>
        <w:pStyle w:val="ListBullet"/>
        <w:numPr>
          <w:ilvl w:val="0"/>
          <w:numId w:val="18"/>
        </w:numPr>
      </w:pPr>
      <w:r>
        <w:t xml:space="preserve">Australian </w:t>
      </w:r>
      <w:r w:rsidR="001B5389">
        <w:t xml:space="preserve">System </w:t>
      </w:r>
      <w:r w:rsidR="00785827">
        <w:t xml:space="preserve">of </w:t>
      </w:r>
      <w:r w:rsidR="001B5389">
        <w:t>Government Finance Statistics</w:t>
      </w:r>
      <w:r>
        <w:t xml:space="preserve">: Concepts, </w:t>
      </w:r>
      <w:r w:rsidR="001B5389">
        <w:t xml:space="preserve">Sources </w:t>
      </w:r>
      <w:r w:rsidR="00785827">
        <w:t xml:space="preserve">and </w:t>
      </w:r>
      <w:r w:rsidR="00BC55FB">
        <w:t>Methods </w:t>
      </w:r>
      <w:r w:rsidR="00983798">
        <w:t xml:space="preserve">– </w:t>
      </w:r>
      <w:r w:rsidR="00785827" w:rsidRPr="005D566C">
        <w:t>2015</w:t>
      </w:r>
      <w:r w:rsidR="00983798">
        <w:t xml:space="preserve"> (AGFS15)</w:t>
      </w:r>
      <w:bookmarkStart w:id="5" w:name="_Toc503182009"/>
      <w:r w:rsidR="00983798">
        <w:t xml:space="preserve"> manual</w:t>
      </w:r>
    </w:p>
    <w:p w:rsidR="00202218" w:rsidRPr="00E52ABE" w:rsidRDefault="00202218" w:rsidP="000C3AAF">
      <w:pPr>
        <w:pStyle w:val="ListBullet"/>
        <w:numPr>
          <w:ilvl w:val="0"/>
          <w:numId w:val="18"/>
        </w:numPr>
      </w:pPr>
      <w:r>
        <w:br w:type="page"/>
      </w:r>
    </w:p>
    <w:p w:rsidR="00CB6F8C" w:rsidRDefault="00260DAE" w:rsidP="00CB6F8C">
      <w:pPr>
        <w:pStyle w:val="Heading1"/>
      </w:pPr>
      <w:bookmarkStart w:id="6" w:name="_Toc516756072"/>
      <w:r>
        <w:lastRenderedPageBreak/>
        <w:t>Classification of the f</w:t>
      </w:r>
      <w:r w:rsidR="0028151E">
        <w:t xml:space="preserve">unctions of </w:t>
      </w:r>
      <w:r>
        <w:t>g</w:t>
      </w:r>
      <w:r w:rsidR="0028151E">
        <w:t>overnment</w:t>
      </w:r>
      <w:bookmarkEnd w:id="5"/>
      <w:r w:rsidR="00202218">
        <w:t> – Australia</w:t>
      </w:r>
      <w:bookmarkEnd w:id="6"/>
    </w:p>
    <w:p w:rsidR="00356D80" w:rsidRDefault="0028151E" w:rsidP="0028151E">
      <w:r>
        <w:t xml:space="preserve">The </w:t>
      </w:r>
      <w:r w:rsidR="00260DAE">
        <w:t>c</w:t>
      </w:r>
      <w:r>
        <w:t>lassification</w:t>
      </w:r>
      <w:r w:rsidR="00260DAE">
        <w:t xml:space="preserve"> of the functions of g</w:t>
      </w:r>
      <w:r w:rsidR="00356D80">
        <w:t>overnment </w:t>
      </w:r>
      <w:r>
        <w:t xml:space="preserve">– Australia (COFOG-A) </w:t>
      </w:r>
      <w:r w:rsidR="00356D80">
        <w:t>forms part of the Australian Gove</w:t>
      </w:r>
      <w:r w:rsidR="0095666E">
        <w:t xml:space="preserve">rnment </w:t>
      </w:r>
      <w:r w:rsidR="00260DAE">
        <w:t>finance s</w:t>
      </w:r>
      <w:r w:rsidR="0095666E">
        <w:t xml:space="preserve">tatistics </w:t>
      </w:r>
      <w:r w:rsidR="00356D80">
        <w:t>framework, which measures the fi</w:t>
      </w:r>
      <w:r w:rsidR="00046FAF">
        <w:t xml:space="preserve">nancial activity of </w:t>
      </w:r>
      <w:r w:rsidR="00DA4245">
        <w:t>Australian</w:t>
      </w:r>
      <w:r w:rsidR="00202218">
        <w:t xml:space="preserve">, state, </w:t>
      </w:r>
      <w:r w:rsidR="009440D9">
        <w:t>territory and local governments.</w:t>
      </w:r>
    </w:p>
    <w:p w:rsidR="0028151E" w:rsidRPr="00F03A2A" w:rsidRDefault="00356D80" w:rsidP="0028151E">
      <w:r>
        <w:t xml:space="preserve">COFOG-A classifies </w:t>
      </w:r>
      <w:r w:rsidR="0028151E">
        <w:t>and group</w:t>
      </w:r>
      <w:r>
        <w:t>s</w:t>
      </w:r>
      <w:r w:rsidR="00220F61">
        <w:t xml:space="preserve"> government expenditure</w:t>
      </w:r>
      <w:r w:rsidR="0028151E">
        <w:t xml:space="preserve"> according to type of government function or p</w:t>
      </w:r>
      <w:r w:rsidR="008E34B9">
        <w:t>urpose, and is</w:t>
      </w:r>
      <w:r w:rsidR="00DA4245">
        <w:t xml:space="preserve"> an important input in determining funding flows from the Australian Government</w:t>
      </w:r>
      <w:r w:rsidR="008E34B9">
        <w:t xml:space="preserve"> to state, territory and local governments.</w:t>
      </w:r>
    </w:p>
    <w:p w:rsidR="00F03A2A" w:rsidRPr="00953F7D" w:rsidRDefault="00260DAE" w:rsidP="00F64E1E">
      <w:pPr>
        <w:pStyle w:val="Heading2"/>
      </w:pPr>
      <w:bookmarkStart w:id="7" w:name="_Toc516756073"/>
      <w:r>
        <w:t>Government finance s</w:t>
      </w:r>
      <w:r w:rsidR="00F03A2A">
        <w:t>tatistics</w:t>
      </w:r>
      <w:r>
        <w:t xml:space="preserve"> f</w:t>
      </w:r>
      <w:r w:rsidR="00A2749C">
        <w:t>ramework</w:t>
      </w:r>
      <w:bookmarkEnd w:id="7"/>
    </w:p>
    <w:p w:rsidR="00F03A2A" w:rsidRDefault="00A2749C" w:rsidP="00F03A2A">
      <w:r>
        <w:t xml:space="preserve">The </w:t>
      </w:r>
      <w:r w:rsidR="00220F61">
        <w:t xml:space="preserve">Government </w:t>
      </w:r>
      <w:r w:rsidR="00260DAE">
        <w:t>finance s</w:t>
      </w:r>
      <w:r w:rsidR="00220F61">
        <w:t>tatistics</w:t>
      </w:r>
      <w:r w:rsidR="00F03A2A">
        <w:t xml:space="preserve"> </w:t>
      </w:r>
      <w:r w:rsidR="00220F61">
        <w:t>(GFS)</w:t>
      </w:r>
      <w:r>
        <w:t xml:space="preserve"> framework</w:t>
      </w:r>
      <w:r w:rsidR="00220F61">
        <w:t xml:space="preserve"> </w:t>
      </w:r>
      <w:r w:rsidR="00F03A2A">
        <w:t>measures the financial activities of governments</w:t>
      </w:r>
      <w:r>
        <w:t>.</w:t>
      </w:r>
      <w:r w:rsidR="00260DAE">
        <w:t xml:space="preserve"> </w:t>
      </w:r>
      <w:r>
        <w:t xml:space="preserve">It </w:t>
      </w:r>
      <w:r w:rsidR="00F03A2A">
        <w:t>is used by policy makers and analysts to understand how government affects the economic and social wellbeing of Australians.</w:t>
      </w:r>
    </w:p>
    <w:p w:rsidR="00F03A2A" w:rsidRDefault="00F03A2A" w:rsidP="00F03A2A">
      <w:r>
        <w:t>GFS data is derived from government accounting systems and is collected by the Australian Bureau of Statistics (ABS) from all levels of government, including public corporations.</w:t>
      </w:r>
    </w:p>
    <w:p w:rsidR="00F03A2A" w:rsidRDefault="00F03A2A" w:rsidP="00864988">
      <w:pPr>
        <w:pStyle w:val="Heading2"/>
      </w:pPr>
      <w:bookmarkStart w:id="8" w:name="_Toc503182010"/>
      <w:bookmarkStart w:id="9" w:name="_Toc516756074"/>
      <w:r w:rsidRPr="00220F61">
        <w:t>Why</w:t>
      </w:r>
      <w:r>
        <w:t xml:space="preserve"> is COFOG-A and GFS important to the Territory?</w:t>
      </w:r>
      <w:bookmarkEnd w:id="8"/>
      <w:bookmarkEnd w:id="9"/>
    </w:p>
    <w:p w:rsidR="001B5389" w:rsidRDefault="001B5389" w:rsidP="00F03A2A">
      <w:r>
        <w:t>The Australian, state and territory governments use the statistics collected by the ABS to compare data nationally for policy development and informed decision-making.</w:t>
      </w:r>
    </w:p>
    <w:p w:rsidR="00F03A2A" w:rsidRDefault="00F03A2A" w:rsidP="00F03A2A">
      <w:r>
        <w:t xml:space="preserve">How agencies classify their expenditure using COFOG-A can affect the </w:t>
      </w:r>
      <w:r w:rsidR="00823873">
        <w:t>Northern Territory Government’s</w:t>
      </w:r>
      <w:r w:rsidR="008E34B9">
        <w:t xml:space="preserve"> future revenue streams.</w:t>
      </w:r>
      <w:r w:rsidR="001B5389">
        <w:t xml:space="preserve"> </w:t>
      </w:r>
      <w:r w:rsidR="008E34B9">
        <w:t xml:space="preserve">For </w:t>
      </w:r>
      <w:r>
        <w:t>example:</w:t>
      </w:r>
    </w:p>
    <w:p w:rsidR="00F03A2A" w:rsidRDefault="00F03A2A" w:rsidP="000C3AAF">
      <w:pPr>
        <w:pStyle w:val="ListBullet"/>
        <w:numPr>
          <w:ilvl w:val="0"/>
          <w:numId w:val="16"/>
        </w:numPr>
      </w:pPr>
      <w:r>
        <w:t xml:space="preserve">Commonwealth Grants Commission </w:t>
      </w:r>
      <w:r w:rsidR="0017419F">
        <w:t xml:space="preserve">(CGC) – </w:t>
      </w:r>
      <w:r>
        <w:t>uses GFS as one of its main data sources when providing advi</w:t>
      </w:r>
      <w:r w:rsidR="00356D80">
        <w:t xml:space="preserve">ce on the distribution of </w:t>
      </w:r>
      <w:r w:rsidR="00260DAE">
        <w:t>goods and s</w:t>
      </w:r>
      <w:r w:rsidR="00864988">
        <w:t xml:space="preserve">ervices </w:t>
      </w:r>
      <w:r w:rsidR="00260DAE">
        <w:t>t</w:t>
      </w:r>
      <w:r w:rsidR="00864988">
        <w:t>ax (GST)</w:t>
      </w:r>
    </w:p>
    <w:p w:rsidR="00F03A2A" w:rsidRDefault="00470AB0" w:rsidP="000C3AAF">
      <w:pPr>
        <w:pStyle w:val="ListBullet"/>
        <w:numPr>
          <w:ilvl w:val="0"/>
          <w:numId w:val="16"/>
        </w:numPr>
      </w:pPr>
      <w:r>
        <w:t>Indigenous E</w:t>
      </w:r>
      <w:r w:rsidR="0017419F">
        <w:t xml:space="preserve">xpenditure </w:t>
      </w:r>
      <w:r>
        <w:t>R</w:t>
      </w:r>
      <w:r w:rsidR="0017419F">
        <w:t>eport – COFOG</w:t>
      </w:r>
      <w:r w:rsidR="00F03A2A">
        <w:t>-A data is the starting point for determining the level of expenditu</w:t>
      </w:r>
      <w:r w:rsidR="00356D80">
        <w:t xml:space="preserve">re </w:t>
      </w:r>
      <w:r>
        <w:t>for Aboriginal and</w:t>
      </w:r>
      <w:r w:rsidR="006D749F">
        <w:t xml:space="preserve"> Torres Strait Islander people</w:t>
      </w:r>
    </w:p>
    <w:p w:rsidR="00F03A2A" w:rsidRDefault="00F03A2A" w:rsidP="000C3AAF">
      <w:pPr>
        <w:pStyle w:val="ListBullet"/>
        <w:numPr>
          <w:ilvl w:val="0"/>
          <w:numId w:val="16"/>
        </w:numPr>
      </w:pPr>
      <w:r>
        <w:t xml:space="preserve">Australian </w:t>
      </w:r>
      <w:r w:rsidR="0017419F">
        <w:t xml:space="preserve">Institute of Health and Welfare – uses </w:t>
      </w:r>
      <w:r>
        <w:t>GFS data in its reports on expenditure in the health, soci</w:t>
      </w:r>
      <w:r w:rsidR="00356D80">
        <w:t>al security</w:t>
      </w:r>
      <w:r w:rsidR="0017419F">
        <w:t>,</w:t>
      </w:r>
      <w:r w:rsidR="00356D80">
        <w:t xml:space="preserve"> and welfare sectors</w:t>
      </w:r>
    </w:p>
    <w:p w:rsidR="00F03A2A" w:rsidRDefault="00F87AA1" w:rsidP="000C3AAF">
      <w:pPr>
        <w:pStyle w:val="ListBullet"/>
        <w:numPr>
          <w:ilvl w:val="0"/>
          <w:numId w:val="16"/>
        </w:numPr>
      </w:pPr>
      <w:r>
        <w:t>Productivity Commission </w:t>
      </w:r>
      <w:r w:rsidR="0017419F">
        <w:t xml:space="preserve">– uses </w:t>
      </w:r>
      <w:r w:rsidR="00F03A2A">
        <w:t>GFS data in its reports on government services, for example expenditure on education.</w:t>
      </w:r>
    </w:p>
    <w:p w:rsidR="00494E65" w:rsidRDefault="0017419F" w:rsidP="00494E65">
      <w:r>
        <w:t xml:space="preserve">A high-level overview of </w:t>
      </w:r>
      <w:r w:rsidR="00494E65">
        <w:t xml:space="preserve">how government finance statistics contribute to state and territory funding and the importance of </w:t>
      </w:r>
      <w:r w:rsidR="009154C0">
        <w:t>agencies</w:t>
      </w:r>
      <w:r w:rsidR="00494E65">
        <w:t xml:space="preserve"> role in providing quality </w:t>
      </w:r>
      <w:r>
        <w:t xml:space="preserve">financial data, is illustrated in </w:t>
      </w:r>
      <w:r>
        <w:fldChar w:fldCharType="begin"/>
      </w:r>
      <w:r>
        <w:instrText xml:space="preserve"> REF _Ref504571994 \h </w:instrText>
      </w:r>
      <w:r>
        <w:fldChar w:fldCharType="separate"/>
      </w:r>
      <w:r w:rsidR="00927C4A">
        <w:rPr>
          <w:b/>
        </w:rPr>
        <w:t>Figure </w:t>
      </w:r>
      <w:r w:rsidR="00927C4A">
        <w:rPr>
          <w:b/>
          <w:noProof/>
        </w:rPr>
        <w:t>1</w:t>
      </w:r>
      <w:r>
        <w:fldChar w:fldCharType="end"/>
      </w:r>
      <w:r>
        <w:t>.</w:t>
      </w:r>
    </w:p>
    <w:p w:rsidR="00494E65" w:rsidRDefault="00494E65" w:rsidP="00762D23">
      <w:pPr>
        <w:pStyle w:val="ListBullet"/>
        <w:spacing w:after="360"/>
        <w:ind w:left="357"/>
      </w:pPr>
      <w:r w:rsidRPr="006D2056">
        <w:rPr>
          <w:noProof/>
          <w:lang w:eastAsia="en-AU"/>
        </w:rPr>
        <w:drawing>
          <wp:inline distT="0" distB="0" distL="0" distR="0" wp14:anchorId="08B7CB27" wp14:editId="7B4F65F4">
            <wp:extent cx="6120130" cy="1172845"/>
            <wp:effectExtent l="0" t="0" r="0" b="8255"/>
            <wp:docPr id="2" name="Picture 2" descr="Impact of GFS data on government funding flows, as described in the text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7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EBD" w:rsidRPr="00F87AA1" w:rsidRDefault="009154C0" w:rsidP="00D57EBD">
      <w:bookmarkStart w:id="10" w:name="_Ref504571994"/>
      <w:r>
        <w:rPr>
          <w:b/>
        </w:rPr>
        <w:t>Figure </w:t>
      </w:r>
      <w:r w:rsidR="00D57EBD" w:rsidRPr="00F87AA1">
        <w:rPr>
          <w:b/>
        </w:rPr>
        <w:fldChar w:fldCharType="begin"/>
      </w:r>
      <w:r w:rsidR="00D57EBD" w:rsidRPr="00F87AA1">
        <w:rPr>
          <w:b/>
        </w:rPr>
        <w:instrText xml:space="preserve"> SEQ Figure \* ARABIC </w:instrText>
      </w:r>
      <w:r w:rsidR="00D57EBD" w:rsidRPr="00F87AA1">
        <w:rPr>
          <w:b/>
        </w:rPr>
        <w:fldChar w:fldCharType="separate"/>
      </w:r>
      <w:r w:rsidR="00927C4A">
        <w:rPr>
          <w:b/>
          <w:noProof/>
        </w:rPr>
        <w:t>1</w:t>
      </w:r>
      <w:r w:rsidR="00D57EBD" w:rsidRPr="00F87AA1">
        <w:rPr>
          <w:b/>
        </w:rPr>
        <w:fldChar w:fldCharType="end"/>
      </w:r>
      <w:bookmarkEnd w:id="10"/>
      <w:r w:rsidR="00D57EBD" w:rsidRPr="00F87AA1">
        <w:rPr>
          <w:b/>
        </w:rPr>
        <w:t xml:space="preserve">. </w:t>
      </w:r>
      <w:r w:rsidR="00D57EBD" w:rsidRPr="00F87AA1">
        <w:t>Impact of GFS data on government funding flows</w:t>
      </w:r>
    </w:p>
    <w:p w:rsidR="003973F9" w:rsidRDefault="003973F9" w:rsidP="000C3AAF">
      <w:pPr>
        <w:pStyle w:val="ListBullet"/>
        <w:numPr>
          <w:ilvl w:val="0"/>
          <w:numId w:val="15"/>
        </w:numPr>
      </w:pPr>
      <w:r w:rsidRPr="00F87AA1">
        <w:t>Line agencies</w:t>
      </w:r>
      <w:r w:rsidR="00F87AA1">
        <w:t> </w:t>
      </w:r>
      <w:r>
        <w:t xml:space="preserve">– record </w:t>
      </w:r>
      <w:r w:rsidR="00494E65">
        <w:t xml:space="preserve">expenditure related to program delivery and classify </w:t>
      </w:r>
      <w:r w:rsidR="00EA1DBB">
        <w:t xml:space="preserve">it </w:t>
      </w:r>
      <w:r>
        <w:t>using COFOG-A</w:t>
      </w:r>
    </w:p>
    <w:p w:rsidR="003973F9" w:rsidRDefault="003973F9" w:rsidP="000C3AAF">
      <w:pPr>
        <w:pStyle w:val="ListBullet"/>
        <w:numPr>
          <w:ilvl w:val="0"/>
          <w:numId w:val="15"/>
        </w:numPr>
      </w:pPr>
      <w:r w:rsidRPr="00F87AA1">
        <w:t xml:space="preserve">State </w:t>
      </w:r>
      <w:r w:rsidR="00F87AA1">
        <w:t>and territory treasuries </w:t>
      </w:r>
      <w:r w:rsidRPr="00F87AA1">
        <w:t>–</w:t>
      </w:r>
      <w:r>
        <w:t xml:space="preserve"> collate </w:t>
      </w:r>
      <w:r w:rsidR="00696939">
        <w:t>line agencies expenditure</w:t>
      </w:r>
      <w:r>
        <w:t xml:space="preserve"> and submit </w:t>
      </w:r>
      <w:r w:rsidR="00696939">
        <w:t xml:space="preserve">the data </w:t>
      </w:r>
      <w:r>
        <w:t xml:space="preserve">to the </w:t>
      </w:r>
      <w:r w:rsidR="00F87AA1">
        <w:t>ABS</w:t>
      </w:r>
    </w:p>
    <w:p w:rsidR="003973F9" w:rsidRDefault="00F87AA1" w:rsidP="000C3AAF">
      <w:pPr>
        <w:pStyle w:val="ListBullet"/>
        <w:numPr>
          <w:ilvl w:val="0"/>
          <w:numId w:val="15"/>
        </w:numPr>
      </w:pPr>
      <w:r>
        <w:t>ABS </w:t>
      </w:r>
      <w:r w:rsidR="00696939" w:rsidRPr="00F87AA1">
        <w:t>–</w:t>
      </w:r>
      <w:r w:rsidR="00696939">
        <w:t xml:space="preserve"> </w:t>
      </w:r>
      <w:r w:rsidR="00494E65">
        <w:t>convert</w:t>
      </w:r>
      <w:r w:rsidR="003973F9">
        <w:t>s</w:t>
      </w:r>
      <w:r w:rsidR="00494E65">
        <w:t xml:space="preserve"> </w:t>
      </w:r>
      <w:r w:rsidR="003973F9">
        <w:t>the data to the GFS framework</w:t>
      </w:r>
    </w:p>
    <w:p w:rsidR="00696939" w:rsidRDefault="00696939" w:rsidP="000C3AAF">
      <w:pPr>
        <w:pStyle w:val="ListBullet"/>
        <w:numPr>
          <w:ilvl w:val="0"/>
          <w:numId w:val="15"/>
        </w:numPr>
      </w:pPr>
      <w:r w:rsidRPr="00F87AA1">
        <w:lastRenderedPageBreak/>
        <w:t>CGC</w:t>
      </w:r>
      <w:r w:rsidR="00F87AA1">
        <w:t> </w:t>
      </w:r>
      <w:r w:rsidRPr="00F87AA1">
        <w:t>–</w:t>
      </w:r>
      <w:r>
        <w:t xml:space="preserve"> analyses the converted GFS data and makes recommendations to the Australian Government on </w:t>
      </w:r>
      <w:r w:rsidR="00DF3BBC">
        <w:t>distribution of</w:t>
      </w:r>
      <w:r>
        <w:t xml:space="preserve"> GST revenue</w:t>
      </w:r>
    </w:p>
    <w:p w:rsidR="00494E65" w:rsidRDefault="00696939" w:rsidP="000C3AAF">
      <w:pPr>
        <w:pStyle w:val="ListBullet"/>
        <w:numPr>
          <w:ilvl w:val="0"/>
          <w:numId w:val="15"/>
        </w:numPr>
      </w:pPr>
      <w:r w:rsidRPr="00F87AA1">
        <w:t>Commonwealth Treasury</w:t>
      </w:r>
      <w:r w:rsidR="00F87AA1">
        <w:t> </w:t>
      </w:r>
      <w:r>
        <w:t xml:space="preserve">– </w:t>
      </w:r>
      <w:r w:rsidR="0053304F">
        <w:t xml:space="preserve">taking into consideration </w:t>
      </w:r>
      <w:r w:rsidR="00494E65">
        <w:t xml:space="preserve">CGC </w:t>
      </w:r>
      <w:r>
        <w:t>recommendations</w:t>
      </w:r>
      <w:r w:rsidR="0053304F">
        <w:t>, distributes GST and other funds to the states and territories</w:t>
      </w:r>
    </w:p>
    <w:p w:rsidR="0053304F" w:rsidRDefault="0095666E" w:rsidP="00696939">
      <w:pPr>
        <w:pStyle w:val="ListBullet"/>
        <w:numPr>
          <w:ilvl w:val="0"/>
          <w:numId w:val="14"/>
        </w:numPr>
      </w:pPr>
      <w:r>
        <w:t>Funding</w:t>
      </w:r>
      <w:r w:rsidR="0053304F">
        <w:t xml:space="preserve"> flows from the Commonwealth Treasury to the states and ter</w:t>
      </w:r>
      <w:r>
        <w:t>ritories, through to line agencies.</w:t>
      </w:r>
    </w:p>
    <w:p w:rsidR="000B3420" w:rsidRPr="00953F7D" w:rsidRDefault="0010751B" w:rsidP="00F64E1E">
      <w:pPr>
        <w:pStyle w:val="Heading2"/>
      </w:pPr>
      <w:bookmarkStart w:id="11" w:name="_Toc516756075"/>
      <w:r>
        <w:t>Coding COFOG-A</w:t>
      </w:r>
      <w:bookmarkEnd w:id="11"/>
    </w:p>
    <w:p w:rsidR="00DF3BBC" w:rsidRDefault="00470AB0" w:rsidP="00220F61">
      <w:r>
        <w:t>The Australian S</w:t>
      </w:r>
      <w:r w:rsidR="00220F61">
        <w:t xml:space="preserve">ystem of </w:t>
      </w:r>
      <w:r>
        <w:t xml:space="preserve">Government Finance </w:t>
      </w:r>
      <w:r w:rsidR="006A518D">
        <w:t>Statistics</w:t>
      </w:r>
      <w:r w:rsidR="00260DAE">
        <w:t xml:space="preserve">: Concepts, </w:t>
      </w:r>
      <w:r w:rsidR="006A518D">
        <w:t>S</w:t>
      </w:r>
      <w:r w:rsidR="00260DAE">
        <w:t xml:space="preserve">ources and </w:t>
      </w:r>
      <w:r w:rsidR="006A518D">
        <w:t>M</w:t>
      </w:r>
      <w:r w:rsidR="009154C0">
        <w:t xml:space="preserve">ethods – 2015 </w:t>
      </w:r>
      <w:r w:rsidR="0001291F">
        <w:t>(</w:t>
      </w:r>
      <w:r w:rsidR="006A518D">
        <w:t>AGFS15</w:t>
      </w:r>
      <w:r>
        <w:t>)</w:t>
      </w:r>
      <w:r w:rsidR="00983798">
        <w:t xml:space="preserve"> manual </w:t>
      </w:r>
      <w:r w:rsidR="0095666E">
        <w:t>is</w:t>
      </w:r>
      <w:r w:rsidR="00220F61">
        <w:t xml:space="preserve"> produced by the ABS</w:t>
      </w:r>
      <w:r w:rsidR="00823873">
        <w:t xml:space="preserve">. </w:t>
      </w:r>
      <w:r w:rsidR="0095666E">
        <w:t>It</w:t>
      </w:r>
      <w:r w:rsidR="00220F61">
        <w:t xml:space="preserve"> </w:t>
      </w:r>
      <w:r w:rsidR="00383815">
        <w:t>outlines</w:t>
      </w:r>
      <w:r w:rsidR="00220F61">
        <w:t xml:space="preserve"> the </w:t>
      </w:r>
      <w:r w:rsidR="00AC35E9">
        <w:t xml:space="preserve">GFS framework, including </w:t>
      </w:r>
      <w:r w:rsidR="00220F61">
        <w:t xml:space="preserve">the structure and definitions for </w:t>
      </w:r>
      <w:r w:rsidR="00356D80">
        <w:t>COFOG-A</w:t>
      </w:r>
      <w:r w:rsidR="00DF3BBC">
        <w:t>.</w:t>
      </w:r>
    </w:p>
    <w:p w:rsidR="00260DAE" w:rsidRPr="00383815" w:rsidRDefault="00260DAE" w:rsidP="00383815">
      <w:pPr>
        <w:pStyle w:val="Ochrebold"/>
        <w:pBdr>
          <w:top w:val="single" w:sz="4" w:space="1" w:color="BD472A"/>
          <w:left w:val="single" w:sz="4" w:space="4" w:color="BD472A"/>
          <w:bottom w:val="single" w:sz="4" w:space="1" w:color="BD472A"/>
          <w:right w:val="single" w:sz="4" w:space="4" w:color="BD472A"/>
        </w:pBdr>
        <w:rPr>
          <w:color w:val="BD472A"/>
        </w:rPr>
      </w:pPr>
      <w:r w:rsidRPr="00383815">
        <w:rPr>
          <w:color w:val="BD472A"/>
        </w:rPr>
        <w:t>Recommendation</w:t>
      </w:r>
    </w:p>
    <w:p w:rsidR="00220F61" w:rsidRDefault="00260DAE" w:rsidP="00383815">
      <w:pPr>
        <w:pBdr>
          <w:top w:val="single" w:sz="4" w:space="1" w:color="BD472A"/>
          <w:left w:val="single" w:sz="4" w:space="4" w:color="BD472A"/>
          <w:bottom w:val="single" w:sz="4" w:space="1" w:color="BD472A"/>
          <w:right w:val="single" w:sz="4" w:space="4" w:color="BD472A"/>
        </w:pBdr>
      </w:pPr>
      <w:r>
        <w:t xml:space="preserve">To comply </w:t>
      </w:r>
      <w:r w:rsidRPr="00DF3BBC">
        <w:t>with</w:t>
      </w:r>
      <w:r>
        <w:t xml:space="preserve"> COFOG-A reporting requirements, Appendix 1 Part </w:t>
      </w:r>
      <w:r w:rsidR="00470AB0">
        <w:t>C of the</w:t>
      </w:r>
      <w:r w:rsidR="006A518D">
        <w:t xml:space="preserve"> AGFS15 manual</w:t>
      </w:r>
      <w:r w:rsidRPr="00DF3BBC">
        <w:t xml:space="preserve"> </w:t>
      </w:r>
      <w:r>
        <w:t>should</w:t>
      </w:r>
      <w:r w:rsidRPr="00DF3BBC">
        <w:t xml:space="preserve"> be referred to when classifying agency expenditure</w:t>
      </w:r>
      <w:r>
        <w:t>.</w:t>
      </w:r>
    </w:p>
    <w:p w:rsidR="0010751B" w:rsidRDefault="0010751B" w:rsidP="0010751B">
      <w:pPr>
        <w:pStyle w:val="Heading3"/>
      </w:pPr>
      <w:bookmarkStart w:id="12" w:name="_Toc516756076"/>
      <w:r>
        <w:t>COFOG-A structure</w:t>
      </w:r>
      <w:bookmarkEnd w:id="12"/>
    </w:p>
    <w:p w:rsidR="00D053DC" w:rsidRDefault="00220F61" w:rsidP="00220F61">
      <w:r>
        <w:t xml:space="preserve">The </w:t>
      </w:r>
      <w:r w:rsidR="00C65ADC">
        <w:t xml:space="preserve">COFOG-A </w:t>
      </w:r>
      <w:r>
        <w:t>struct</w:t>
      </w:r>
      <w:r w:rsidR="00AC35E9">
        <w:t>ure</w:t>
      </w:r>
      <w:r w:rsidR="00C65ADC">
        <w:t xml:space="preserve"> outlined in </w:t>
      </w:r>
      <w:r w:rsidR="00B05C69">
        <w:fldChar w:fldCharType="begin"/>
      </w:r>
      <w:r w:rsidR="00B05C69">
        <w:instrText xml:space="preserve"> REF _Ref504988129 \h </w:instrText>
      </w:r>
      <w:r w:rsidR="00B05C69">
        <w:fldChar w:fldCharType="separate"/>
      </w:r>
      <w:r w:rsidR="00927C4A">
        <w:rPr>
          <w:b/>
        </w:rPr>
        <w:t>Table </w:t>
      </w:r>
      <w:r w:rsidR="00927C4A">
        <w:rPr>
          <w:b/>
          <w:noProof/>
        </w:rPr>
        <w:t>1</w:t>
      </w:r>
      <w:r w:rsidR="00B05C69">
        <w:fldChar w:fldCharType="end"/>
      </w:r>
      <w:r w:rsidR="00AC35E9">
        <w:t xml:space="preserve"> is hierarchical</w:t>
      </w:r>
      <w:r>
        <w:t xml:space="preserve"> and consists of a </w:t>
      </w:r>
      <w:r w:rsidR="00260DAE">
        <w:t>two</w:t>
      </w:r>
      <w:r>
        <w:t xml:space="preserve">-digit level (division), a </w:t>
      </w:r>
      <w:r w:rsidR="00260DAE">
        <w:t>three-digit level (group) and a four</w:t>
      </w:r>
      <w:r>
        <w:t xml:space="preserve">-digit level (class). The divisions reflect the </w:t>
      </w:r>
      <w:r w:rsidR="00D053DC">
        <w:t xml:space="preserve">broad objectives of government, and </w:t>
      </w:r>
      <w:r>
        <w:t>the groups and classes</w:t>
      </w:r>
      <w:r w:rsidR="00036B7F">
        <w:t xml:space="preserve"> </w:t>
      </w:r>
      <w:r>
        <w:t>detail the means by which these</w:t>
      </w:r>
      <w:r w:rsidR="00D053DC">
        <w:t xml:space="preserve"> broad objectives are achieved.</w:t>
      </w:r>
    </w:p>
    <w:p w:rsidR="00AC35E9" w:rsidRDefault="00383815" w:rsidP="00AC35E9">
      <w:bookmarkStart w:id="13" w:name="_Ref504988129"/>
      <w:r>
        <w:rPr>
          <w:b/>
        </w:rPr>
        <w:t>Table </w:t>
      </w:r>
      <w:r w:rsidR="00AC35E9" w:rsidRPr="00AC35E9">
        <w:rPr>
          <w:b/>
        </w:rPr>
        <w:fldChar w:fldCharType="begin"/>
      </w:r>
      <w:r w:rsidR="00AC35E9" w:rsidRPr="00AC35E9">
        <w:rPr>
          <w:b/>
        </w:rPr>
        <w:instrText xml:space="preserve"> SEQ Table \* ARABIC </w:instrText>
      </w:r>
      <w:r w:rsidR="00AC35E9" w:rsidRPr="00AC35E9">
        <w:rPr>
          <w:b/>
        </w:rPr>
        <w:fldChar w:fldCharType="separate"/>
      </w:r>
      <w:r w:rsidR="00927C4A">
        <w:rPr>
          <w:b/>
          <w:noProof/>
        </w:rPr>
        <w:t>1</w:t>
      </w:r>
      <w:r w:rsidR="00AC35E9" w:rsidRPr="00AC35E9">
        <w:rPr>
          <w:b/>
          <w:noProof/>
        </w:rPr>
        <w:fldChar w:fldCharType="end"/>
      </w:r>
      <w:bookmarkEnd w:id="13"/>
      <w:r w:rsidR="00823873" w:rsidRPr="00823873">
        <w:rPr>
          <w:b/>
          <w:noProof/>
        </w:rPr>
        <w:t>.</w:t>
      </w:r>
      <w:r w:rsidR="00AC35E9">
        <w:rPr>
          <w:noProof/>
        </w:rPr>
        <w:t xml:space="preserve"> COFOG-A </w:t>
      </w:r>
      <w:r w:rsidR="00D57EBD">
        <w:rPr>
          <w:noProof/>
        </w:rPr>
        <w:t>structure</w:t>
      </w:r>
    </w:p>
    <w:tbl>
      <w:tblPr>
        <w:tblStyle w:val="NTGTable"/>
        <w:tblW w:w="0" w:type="auto"/>
        <w:tblLook w:val="0620" w:firstRow="1" w:lastRow="0" w:firstColumn="0" w:lastColumn="0" w:noHBand="1" w:noVBand="1"/>
        <w:tblCaption w:val="COFOG-A structure"/>
        <w:tblDescription w:val="COFOG-A descriptors, divisional, group and class codes as described in the paragraph above."/>
      </w:tblPr>
      <w:tblGrid>
        <w:gridCol w:w="3579"/>
        <w:gridCol w:w="1358"/>
        <w:gridCol w:w="1358"/>
        <w:gridCol w:w="1358"/>
      </w:tblGrid>
      <w:tr w:rsidR="00220F61" w:rsidRPr="00220F61" w:rsidTr="00260D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:rsidR="00220F61" w:rsidRPr="00383815" w:rsidRDefault="00220F61" w:rsidP="00D053DC">
            <w:pPr>
              <w:spacing w:before="0" w:after="0"/>
            </w:pPr>
            <w:r w:rsidRPr="00383815">
              <w:t>Descriptor</w:t>
            </w:r>
          </w:p>
        </w:tc>
        <w:tc>
          <w:tcPr>
            <w:tcW w:w="1358" w:type="dxa"/>
          </w:tcPr>
          <w:p w:rsidR="00220F61" w:rsidRPr="00383815" w:rsidRDefault="00220F61" w:rsidP="00D053DC">
            <w:pPr>
              <w:spacing w:before="0" w:after="0"/>
              <w:jc w:val="center"/>
            </w:pPr>
            <w:r w:rsidRPr="00383815">
              <w:t>COFOG-A (division)</w:t>
            </w:r>
          </w:p>
        </w:tc>
        <w:tc>
          <w:tcPr>
            <w:tcW w:w="1358" w:type="dxa"/>
          </w:tcPr>
          <w:p w:rsidR="00220F61" w:rsidRPr="00383815" w:rsidRDefault="00220F61" w:rsidP="00D053DC">
            <w:pPr>
              <w:spacing w:before="0" w:after="0"/>
              <w:jc w:val="center"/>
            </w:pPr>
            <w:r w:rsidRPr="00383815">
              <w:t>COFOG-A (group)</w:t>
            </w:r>
          </w:p>
        </w:tc>
        <w:tc>
          <w:tcPr>
            <w:tcW w:w="1358" w:type="dxa"/>
          </w:tcPr>
          <w:p w:rsidR="00220F61" w:rsidRPr="00383815" w:rsidRDefault="00220F61" w:rsidP="00D053DC">
            <w:pPr>
              <w:spacing w:before="0" w:after="0"/>
              <w:jc w:val="center"/>
            </w:pPr>
            <w:r w:rsidRPr="00383815">
              <w:t>COFOG-A (class)</w:t>
            </w:r>
          </w:p>
        </w:tc>
      </w:tr>
      <w:tr w:rsidR="00220F61" w:rsidRPr="00220F61" w:rsidTr="00260DAE">
        <w:tc>
          <w:tcPr>
            <w:tcW w:w="0" w:type="auto"/>
          </w:tcPr>
          <w:p w:rsidR="00220F61" w:rsidRPr="00383815" w:rsidRDefault="00220F61" w:rsidP="00D053DC">
            <w:pPr>
              <w:spacing w:after="0"/>
            </w:pPr>
            <w:r w:rsidRPr="00383815">
              <w:t>General public services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01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011-019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0111-0199</w:t>
            </w:r>
          </w:p>
        </w:tc>
      </w:tr>
      <w:tr w:rsidR="00220F61" w:rsidRPr="00220F61" w:rsidTr="00260DAE">
        <w:tc>
          <w:tcPr>
            <w:tcW w:w="0" w:type="auto"/>
          </w:tcPr>
          <w:p w:rsidR="00220F61" w:rsidRPr="00383815" w:rsidRDefault="00220F61" w:rsidP="00D053DC">
            <w:pPr>
              <w:spacing w:after="0"/>
            </w:pPr>
            <w:r w:rsidRPr="00383815">
              <w:t>Defence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02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021-029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0211-0299</w:t>
            </w:r>
          </w:p>
        </w:tc>
      </w:tr>
      <w:tr w:rsidR="00220F61" w:rsidRPr="00220F61" w:rsidTr="00260DAE">
        <w:tc>
          <w:tcPr>
            <w:tcW w:w="0" w:type="auto"/>
          </w:tcPr>
          <w:p w:rsidR="00220F61" w:rsidRPr="00383815" w:rsidRDefault="00220F61" w:rsidP="00D053DC">
            <w:pPr>
              <w:spacing w:after="0"/>
            </w:pPr>
            <w:r w:rsidRPr="00383815">
              <w:t>Public order and safety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03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031-039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0311-0399</w:t>
            </w:r>
          </w:p>
        </w:tc>
      </w:tr>
      <w:tr w:rsidR="00220F61" w:rsidRPr="00220F61" w:rsidTr="00260DAE">
        <w:tc>
          <w:tcPr>
            <w:tcW w:w="0" w:type="auto"/>
          </w:tcPr>
          <w:p w:rsidR="00220F61" w:rsidRPr="00383815" w:rsidRDefault="00220F61" w:rsidP="00D053DC">
            <w:pPr>
              <w:spacing w:after="0"/>
            </w:pPr>
            <w:r w:rsidRPr="00383815">
              <w:t>Economic affairs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04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041-049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0411-0499</w:t>
            </w:r>
          </w:p>
        </w:tc>
      </w:tr>
      <w:tr w:rsidR="00220F61" w:rsidRPr="00220F61" w:rsidTr="00260DAE">
        <w:tc>
          <w:tcPr>
            <w:tcW w:w="0" w:type="auto"/>
          </w:tcPr>
          <w:p w:rsidR="00220F61" w:rsidRPr="00383815" w:rsidRDefault="00220F61" w:rsidP="00D053DC">
            <w:pPr>
              <w:spacing w:after="0"/>
            </w:pPr>
            <w:r w:rsidRPr="00383815">
              <w:t>Environmental protection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05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051-059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0511-0599</w:t>
            </w:r>
          </w:p>
        </w:tc>
      </w:tr>
      <w:tr w:rsidR="00220F61" w:rsidRPr="00220F61" w:rsidTr="00260DAE">
        <w:tc>
          <w:tcPr>
            <w:tcW w:w="0" w:type="auto"/>
          </w:tcPr>
          <w:p w:rsidR="00220F61" w:rsidRPr="00383815" w:rsidRDefault="00220F61" w:rsidP="00D053DC">
            <w:pPr>
              <w:spacing w:after="0"/>
            </w:pPr>
            <w:r w:rsidRPr="00383815">
              <w:t>Housing and community amenities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06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061-069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0611-0699</w:t>
            </w:r>
          </w:p>
        </w:tc>
      </w:tr>
      <w:tr w:rsidR="00220F61" w:rsidRPr="00220F61" w:rsidTr="00260DAE">
        <w:tc>
          <w:tcPr>
            <w:tcW w:w="0" w:type="auto"/>
          </w:tcPr>
          <w:p w:rsidR="00220F61" w:rsidRPr="00383815" w:rsidRDefault="00220F61" w:rsidP="00D053DC">
            <w:pPr>
              <w:spacing w:after="0"/>
            </w:pPr>
            <w:r w:rsidRPr="00383815">
              <w:t>Health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07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071-079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0711-0799</w:t>
            </w:r>
          </w:p>
        </w:tc>
      </w:tr>
      <w:tr w:rsidR="00220F61" w:rsidRPr="00220F61" w:rsidTr="00260DAE">
        <w:tc>
          <w:tcPr>
            <w:tcW w:w="0" w:type="auto"/>
          </w:tcPr>
          <w:p w:rsidR="00220F61" w:rsidRPr="00383815" w:rsidRDefault="00220F61" w:rsidP="00D053DC">
            <w:pPr>
              <w:spacing w:after="0"/>
            </w:pPr>
            <w:r w:rsidRPr="00383815">
              <w:t>Recreation, culture and religion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08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081-089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0811-0899</w:t>
            </w:r>
          </w:p>
        </w:tc>
      </w:tr>
      <w:tr w:rsidR="00220F61" w:rsidRPr="00220F61" w:rsidTr="00260DAE">
        <w:tc>
          <w:tcPr>
            <w:tcW w:w="0" w:type="auto"/>
          </w:tcPr>
          <w:p w:rsidR="00220F61" w:rsidRPr="00383815" w:rsidRDefault="00220F61" w:rsidP="00D053DC">
            <w:pPr>
              <w:spacing w:after="0"/>
            </w:pPr>
            <w:r w:rsidRPr="00383815">
              <w:t>Education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09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091-099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0911-0999</w:t>
            </w:r>
          </w:p>
        </w:tc>
      </w:tr>
      <w:tr w:rsidR="00220F61" w:rsidRPr="00220F61" w:rsidTr="00260DAE">
        <w:tc>
          <w:tcPr>
            <w:tcW w:w="0" w:type="auto"/>
          </w:tcPr>
          <w:p w:rsidR="00220F61" w:rsidRPr="00383815" w:rsidRDefault="00220F61" w:rsidP="00D053DC">
            <w:pPr>
              <w:spacing w:after="0"/>
            </w:pPr>
            <w:r w:rsidRPr="00383815">
              <w:t>Social protection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10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100-109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1001-1099</w:t>
            </w:r>
          </w:p>
        </w:tc>
      </w:tr>
      <w:tr w:rsidR="00220F61" w:rsidRPr="00220F61" w:rsidTr="00260DAE">
        <w:tc>
          <w:tcPr>
            <w:tcW w:w="0" w:type="auto"/>
          </w:tcPr>
          <w:p w:rsidR="00220F61" w:rsidRPr="00383815" w:rsidRDefault="00220F61" w:rsidP="00D053DC">
            <w:pPr>
              <w:spacing w:after="0"/>
            </w:pPr>
            <w:r w:rsidRPr="00383815">
              <w:t>Transport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11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111-119</w:t>
            </w:r>
          </w:p>
        </w:tc>
        <w:tc>
          <w:tcPr>
            <w:tcW w:w="1358" w:type="dxa"/>
          </w:tcPr>
          <w:p w:rsidR="00220F61" w:rsidRPr="00220F61" w:rsidRDefault="00220F61" w:rsidP="00D053DC">
            <w:pPr>
              <w:spacing w:after="0"/>
              <w:jc w:val="center"/>
            </w:pPr>
            <w:r w:rsidRPr="00220F61">
              <w:t>1111-1199</w:t>
            </w:r>
          </w:p>
        </w:tc>
      </w:tr>
    </w:tbl>
    <w:p w:rsidR="00AC35E9" w:rsidRDefault="00AC35E9" w:rsidP="0010751B"/>
    <w:p w:rsidR="00260DAE" w:rsidRPr="00383815" w:rsidRDefault="00260DAE" w:rsidP="00383815">
      <w:pPr>
        <w:pStyle w:val="Ochrebold"/>
        <w:pBdr>
          <w:top w:val="single" w:sz="4" w:space="1" w:color="BD472A"/>
          <w:left w:val="single" w:sz="4" w:space="4" w:color="BD472A"/>
          <w:bottom w:val="single" w:sz="4" w:space="1" w:color="BD472A"/>
          <w:right w:val="single" w:sz="4" w:space="4" w:color="BD472A"/>
        </w:pBdr>
        <w:rPr>
          <w:color w:val="BD472A"/>
        </w:rPr>
      </w:pPr>
      <w:r w:rsidRPr="00383815">
        <w:rPr>
          <w:color w:val="BD472A"/>
        </w:rPr>
        <w:t>Recommendation</w:t>
      </w:r>
    </w:p>
    <w:p w:rsidR="00260DAE" w:rsidRDefault="00260DAE" w:rsidP="00383815">
      <w:pPr>
        <w:pStyle w:val="Ochrebold"/>
        <w:pBdr>
          <w:top w:val="single" w:sz="4" w:space="1" w:color="BD472A"/>
          <w:left w:val="single" w:sz="4" w:space="4" w:color="BD472A"/>
          <w:bottom w:val="single" w:sz="4" w:space="1" w:color="BD472A"/>
          <w:right w:val="single" w:sz="4" w:space="4" w:color="BD472A"/>
        </w:pBdr>
        <w:rPr>
          <w:b w:val="0"/>
          <w:color w:val="auto"/>
        </w:rPr>
      </w:pPr>
      <w:r w:rsidRPr="00260DAE">
        <w:rPr>
          <w:b w:val="0"/>
          <w:color w:val="auto"/>
        </w:rPr>
        <w:t>Agencies are required to</w:t>
      </w:r>
      <w:r>
        <w:rPr>
          <w:b w:val="0"/>
          <w:color w:val="auto"/>
        </w:rPr>
        <w:t xml:space="preserve"> code their expenditure at the four</w:t>
      </w:r>
      <w:r w:rsidRPr="00260DAE">
        <w:rPr>
          <w:b w:val="0"/>
          <w:color w:val="auto"/>
        </w:rPr>
        <w:t>-digit class level. To facilitate the coding process, it is recommended agencies</w:t>
      </w:r>
      <w:r w:rsidR="00ED1609">
        <w:rPr>
          <w:b w:val="0"/>
          <w:color w:val="auto"/>
        </w:rPr>
        <w:t>’</w:t>
      </w:r>
      <w:r w:rsidRPr="00260DAE">
        <w:rPr>
          <w:b w:val="0"/>
          <w:color w:val="auto"/>
        </w:rPr>
        <w:t xml:space="preserve"> internal systems support assigning COFOG-A codes to cost centres.</w:t>
      </w:r>
    </w:p>
    <w:p w:rsidR="001B5389" w:rsidRPr="00260DAE" w:rsidRDefault="00CD7B9F" w:rsidP="00383815">
      <w:pPr>
        <w:pStyle w:val="Ochrebold"/>
        <w:pBdr>
          <w:top w:val="single" w:sz="4" w:space="1" w:color="BD472A"/>
          <w:left w:val="single" w:sz="4" w:space="4" w:color="BD472A"/>
          <w:bottom w:val="single" w:sz="4" w:space="1" w:color="BD472A"/>
          <w:right w:val="single" w:sz="4" w:space="4" w:color="BD472A"/>
        </w:pBdr>
        <w:rPr>
          <w:b w:val="0"/>
          <w:color w:val="auto"/>
        </w:rPr>
      </w:pPr>
      <w:r>
        <w:rPr>
          <w:b w:val="0"/>
          <w:color w:val="auto"/>
        </w:rPr>
        <w:t xml:space="preserve">It is also recommended that agencies review their </w:t>
      </w:r>
      <w:r w:rsidR="001B5389" w:rsidRPr="001B5389">
        <w:rPr>
          <w:b w:val="0"/>
          <w:color w:val="auto"/>
        </w:rPr>
        <w:t>COFOG-A code allocations on a regular basis to ensure outputs are appropriately captured.</w:t>
      </w:r>
    </w:p>
    <w:p w:rsidR="00260DAE" w:rsidRDefault="00260DAE" w:rsidP="00260DAE">
      <w:pPr>
        <w:rPr>
          <w:rFonts w:cs="Arial"/>
          <w:sz w:val="24"/>
          <w:szCs w:val="26"/>
        </w:rPr>
      </w:pPr>
      <w:bookmarkStart w:id="14" w:name="_Toc503182013"/>
      <w:r>
        <w:br w:type="page"/>
      </w:r>
    </w:p>
    <w:p w:rsidR="0010751B" w:rsidRPr="0017477E" w:rsidRDefault="0010751B" w:rsidP="0010751B">
      <w:pPr>
        <w:pStyle w:val="Heading3"/>
      </w:pPr>
      <w:bookmarkStart w:id="15" w:name="_Toc516756077"/>
      <w:r w:rsidRPr="0017477E">
        <w:t>COFOG-A coding example</w:t>
      </w:r>
      <w:bookmarkEnd w:id="14"/>
      <w:bookmarkEnd w:id="15"/>
    </w:p>
    <w:p w:rsidR="00ED1609" w:rsidRDefault="00220F61" w:rsidP="00220F61">
      <w:r>
        <w:t>Expenditure is to be classified based on the primary purpose of the outlay. Agencies must consider the main objective of the government work unit before determining the prima</w:t>
      </w:r>
      <w:r w:rsidR="00ED1609">
        <w:t>ry purpose of the expenditure.</w:t>
      </w:r>
    </w:p>
    <w:p w:rsidR="00220F61" w:rsidRDefault="00220F61" w:rsidP="00220F61">
      <w:r>
        <w:t>Where there is more than one function, the government work unit must determine which function is the most dominant.</w:t>
      </w:r>
    </w:p>
    <w:p w:rsidR="00762D23" w:rsidRDefault="00762D23" w:rsidP="00220F61">
      <w:r>
        <w:fldChar w:fldCharType="begin"/>
      </w:r>
      <w:r>
        <w:instrText xml:space="preserve"> REF _Ref504572226 \h </w:instrText>
      </w:r>
      <w:r>
        <w:fldChar w:fldCharType="separate"/>
      </w:r>
      <w:r w:rsidR="00927C4A">
        <w:rPr>
          <w:rFonts w:cs="Arial"/>
        </w:rPr>
        <w:t>Figure </w:t>
      </w:r>
      <w:r w:rsidR="00927C4A">
        <w:rPr>
          <w:rFonts w:cs="Arial"/>
          <w:noProof/>
        </w:rPr>
        <w:t>2</w:t>
      </w:r>
      <w:r>
        <w:fldChar w:fldCharType="end"/>
      </w:r>
      <w:r w:rsidR="00C65ADC">
        <w:t xml:space="preserve"> </w:t>
      </w:r>
      <w:r>
        <w:t>demonstrates how to det</w:t>
      </w:r>
      <w:r w:rsidR="00D57EBD">
        <w:t>ermine the correct COFOG-A code.</w:t>
      </w:r>
    </w:p>
    <w:p w:rsidR="00220F61" w:rsidRDefault="006D2056" w:rsidP="00220F61">
      <w:r w:rsidRPr="006D2056">
        <w:rPr>
          <w:rFonts w:ascii="Calibri" w:hAnsi="Calibri"/>
          <w:noProof/>
          <w:lang w:eastAsia="en-AU"/>
        </w:rPr>
        <w:drawing>
          <wp:inline distT="0" distB="0" distL="0" distR="0" wp14:anchorId="3B9AB655" wp14:editId="7D0E2CAF">
            <wp:extent cx="6120130" cy="2208561"/>
            <wp:effectExtent l="0" t="0" r="0" b="1270"/>
            <wp:docPr id="1" name="Picture 1" descr="Example of how to classify expenditure in accordance with COFOG-A, as described below." title="COFOG-A coding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0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7EBD" w:rsidRPr="00D57EBD" w:rsidRDefault="00260DAE" w:rsidP="00D57EBD">
      <w:pPr>
        <w:pStyle w:val="Caption"/>
        <w:rPr>
          <w:rFonts w:ascii="Arial" w:hAnsi="Arial" w:cs="Arial"/>
          <w:b w:val="0"/>
        </w:rPr>
      </w:pPr>
      <w:bookmarkStart w:id="16" w:name="_Ref504572226"/>
      <w:r>
        <w:rPr>
          <w:rFonts w:ascii="Arial" w:hAnsi="Arial" w:cs="Arial"/>
        </w:rPr>
        <w:t>Figur</w:t>
      </w:r>
      <w:r w:rsidR="004464F4">
        <w:rPr>
          <w:rFonts w:ascii="Arial" w:hAnsi="Arial" w:cs="Arial"/>
        </w:rPr>
        <w:t>e</w:t>
      </w:r>
      <w:r>
        <w:rPr>
          <w:rFonts w:ascii="Arial" w:hAnsi="Arial" w:cs="Arial"/>
        </w:rPr>
        <w:t> </w:t>
      </w:r>
      <w:r w:rsidR="00D57EBD" w:rsidRPr="00D57EBD">
        <w:rPr>
          <w:rFonts w:ascii="Arial" w:hAnsi="Arial" w:cs="Arial"/>
        </w:rPr>
        <w:fldChar w:fldCharType="begin"/>
      </w:r>
      <w:r w:rsidR="00D57EBD" w:rsidRPr="00D57EBD">
        <w:rPr>
          <w:rFonts w:ascii="Arial" w:hAnsi="Arial" w:cs="Arial"/>
        </w:rPr>
        <w:instrText xml:space="preserve"> SEQ Figure \* ARABIC </w:instrText>
      </w:r>
      <w:r w:rsidR="00D57EBD" w:rsidRPr="00D57EBD">
        <w:rPr>
          <w:rFonts w:ascii="Arial" w:hAnsi="Arial" w:cs="Arial"/>
        </w:rPr>
        <w:fldChar w:fldCharType="separate"/>
      </w:r>
      <w:r w:rsidR="00927C4A">
        <w:rPr>
          <w:rFonts w:ascii="Arial" w:hAnsi="Arial" w:cs="Arial"/>
          <w:noProof/>
        </w:rPr>
        <w:t>2</w:t>
      </w:r>
      <w:r w:rsidR="00D57EBD" w:rsidRPr="00D57EBD">
        <w:rPr>
          <w:rFonts w:ascii="Arial" w:hAnsi="Arial" w:cs="Arial"/>
          <w:noProof/>
        </w:rPr>
        <w:fldChar w:fldCharType="end"/>
      </w:r>
      <w:bookmarkEnd w:id="16"/>
      <w:r w:rsidR="00D57EBD" w:rsidRPr="00D57EBD">
        <w:rPr>
          <w:rFonts w:ascii="Arial" w:hAnsi="Arial" w:cs="Arial"/>
          <w:noProof/>
        </w:rPr>
        <w:t xml:space="preserve">. </w:t>
      </w:r>
      <w:r w:rsidR="00D57EBD">
        <w:rPr>
          <w:rFonts w:ascii="Arial" w:hAnsi="Arial" w:cs="Arial"/>
          <w:b w:val="0"/>
          <w:noProof/>
        </w:rPr>
        <w:t>COFOG-A coding example</w:t>
      </w:r>
    </w:p>
    <w:p w:rsidR="004A7022" w:rsidRDefault="00D57EBD" w:rsidP="00D57EBD">
      <w:r>
        <w:t xml:space="preserve">An </w:t>
      </w:r>
      <w:r w:rsidR="000352DD">
        <w:t xml:space="preserve">agency has recorded expenditure </w:t>
      </w:r>
      <w:r w:rsidR="00C25B33">
        <w:t xml:space="preserve">related to </w:t>
      </w:r>
      <w:r w:rsidR="000352DD">
        <w:t xml:space="preserve">the construction of houses for doctors in remote </w:t>
      </w:r>
      <w:r w:rsidR="001C42BA">
        <w:t>areas.</w:t>
      </w:r>
      <w:r w:rsidR="000352DD">
        <w:t xml:space="preserve"> </w:t>
      </w:r>
      <w:r w:rsidR="00EF332C">
        <w:t xml:space="preserve">Should the expenditure </w:t>
      </w:r>
      <w:r w:rsidR="000352DD">
        <w:t>be coded to health (COFOG-A 07) or hou</w:t>
      </w:r>
      <w:r w:rsidR="001C42BA">
        <w:t>sing development (COFOG-A 061</w:t>
      </w:r>
      <w:r w:rsidR="00E52ABE">
        <w:t>1</w:t>
      </w:r>
      <w:r w:rsidR="001C42BA">
        <w:t>)</w:t>
      </w:r>
      <w:r w:rsidR="00EF332C">
        <w:t>?</w:t>
      </w:r>
    </w:p>
    <w:p w:rsidR="00EF332C" w:rsidRDefault="000352DD" w:rsidP="00D57EBD">
      <w:r>
        <w:t>In order to classify</w:t>
      </w:r>
      <w:r w:rsidR="00EF332C">
        <w:t xml:space="preserve"> correctly</w:t>
      </w:r>
      <w:r>
        <w:t xml:space="preserve">, the agency must consider </w:t>
      </w:r>
      <w:r w:rsidR="00EF332C">
        <w:t>if</w:t>
      </w:r>
      <w:r>
        <w:t xml:space="preserve"> the government’s </w:t>
      </w:r>
      <w:r w:rsidR="00EF332C">
        <w:t>primary purpose</w:t>
      </w:r>
      <w:r>
        <w:t xml:space="preserve"> is</w:t>
      </w:r>
      <w:r w:rsidR="007C5B13">
        <w:t xml:space="preserve"> to</w:t>
      </w:r>
      <w:r w:rsidR="00EF332C">
        <w:t>:</w:t>
      </w:r>
    </w:p>
    <w:p w:rsidR="00EF332C" w:rsidRDefault="00EF332C" w:rsidP="00EF332C">
      <w:pPr>
        <w:pStyle w:val="ListParagraph"/>
        <w:numPr>
          <w:ilvl w:val="0"/>
          <w:numId w:val="14"/>
        </w:numPr>
      </w:pPr>
      <w:r>
        <w:t>make</w:t>
      </w:r>
      <w:r w:rsidR="000352DD">
        <w:t xml:space="preserve"> h</w:t>
      </w:r>
      <w:r>
        <w:t>ousing available for doctors</w:t>
      </w:r>
      <w:r w:rsidR="00C65ADC">
        <w:t xml:space="preserve"> in remote communities</w:t>
      </w:r>
    </w:p>
    <w:p w:rsidR="00EF332C" w:rsidRDefault="005E02C0" w:rsidP="00EF332C">
      <w:pPr>
        <w:pStyle w:val="ListParagraph"/>
        <w:numPr>
          <w:ilvl w:val="0"/>
          <w:numId w:val="14"/>
        </w:numPr>
      </w:pPr>
      <w:r>
        <w:t xml:space="preserve">or </w:t>
      </w:r>
      <w:r w:rsidR="00EF332C">
        <w:t xml:space="preserve">enable </w:t>
      </w:r>
      <w:r w:rsidR="004A7022">
        <w:t>doctors</w:t>
      </w:r>
      <w:r w:rsidR="00EF332C">
        <w:t xml:space="preserve"> to </w:t>
      </w:r>
      <w:r w:rsidR="000352DD">
        <w:t xml:space="preserve">deliver health </w:t>
      </w:r>
      <w:r w:rsidR="001C42BA">
        <w:t xml:space="preserve">services </w:t>
      </w:r>
      <w:r w:rsidR="004A7022">
        <w:t>in</w:t>
      </w:r>
      <w:r w:rsidR="001C42BA">
        <w:t xml:space="preserve"> remote communities.</w:t>
      </w:r>
    </w:p>
    <w:p w:rsidR="00ED1609" w:rsidRDefault="00E52ABE">
      <w:r>
        <w:rPr>
          <w:b/>
        </w:rPr>
        <w:t>Answer –</w:t>
      </w:r>
      <w:r w:rsidRPr="00E52ABE">
        <w:t xml:space="preserve"> the </w:t>
      </w:r>
      <w:r w:rsidR="004A7022">
        <w:t xml:space="preserve">primary purpose is the delivery of health services to remote communities. Making </w:t>
      </w:r>
      <w:r w:rsidR="000352DD">
        <w:t xml:space="preserve">housing available for doctors </w:t>
      </w:r>
      <w:r>
        <w:t>(</w:t>
      </w:r>
      <w:r w:rsidR="00EF332C">
        <w:t>as</w:t>
      </w:r>
      <w:r w:rsidR="000352DD">
        <w:t xml:space="preserve"> an incentive to work in remote locations</w:t>
      </w:r>
      <w:r>
        <w:t>)</w:t>
      </w:r>
      <w:r w:rsidR="000352DD">
        <w:t xml:space="preserve"> </w:t>
      </w:r>
      <w:r w:rsidR="004A7022">
        <w:t>is</w:t>
      </w:r>
      <w:r w:rsidR="000352DD">
        <w:t xml:space="preserve"> considered a secondary </w:t>
      </w:r>
      <w:r w:rsidR="004A7022">
        <w:t>purpose.</w:t>
      </w:r>
      <w:r w:rsidR="000352DD">
        <w:t xml:space="preserve"> </w:t>
      </w:r>
      <w:r w:rsidR="00A87351">
        <w:t xml:space="preserve">The </w:t>
      </w:r>
      <w:r w:rsidR="000352DD">
        <w:t>expenditure should be coded to Health (COFOG-A 07).</w:t>
      </w:r>
    </w:p>
    <w:p w:rsidR="00E52ABE" w:rsidRPr="00E52ABE" w:rsidRDefault="00E52ABE">
      <w:pPr>
        <w:rPr>
          <w:b/>
        </w:rPr>
      </w:pPr>
      <w:r>
        <w:br w:type="page"/>
      </w:r>
    </w:p>
    <w:p w:rsidR="006275AA" w:rsidRDefault="0010751B" w:rsidP="00953F7D">
      <w:pPr>
        <w:pStyle w:val="Heading1"/>
      </w:pPr>
      <w:bookmarkStart w:id="17" w:name="_Toc516756078"/>
      <w:r>
        <w:t>Reporting</w:t>
      </w:r>
      <w:bookmarkEnd w:id="17"/>
    </w:p>
    <w:p w:rsidR="0010751B" w:rsidRDefault="0010751B" w:rsidP="0010751B">
      <w:pPr>
        <w:pStyle w:val="Heading2"/>
      </w:pPr>
      <w:bookmarkStart w:id="18" w:name="_Toc516756079"/>
      <w:r>
        <w:t xml:space="preserve">Uniform </w:t>
      </w:r>
      <w:r w:rsidR="00ED1609">
        <w:t>Presentation Framework</w:t>
      </w:r>
      <w:bookmarkEnd w:id="18"/>
    </w:p>
    <w:p w:rsidR="0010751B" w:rsidRDefault="00ED1609" w:rsidP="0010751B">
      <w:r w:rsidRPr="001020DA">
        <w:t xml:space="preserve">Reporting </w:t>
      </w:r>
      <w:r w:rsidR="0010751B" w:rsidRPr="001020DA">
        <w:t>of government expenditure by COFOG-A is a</w:t>
      </w:r>
      <w:r w:rsidR="00260DAE">
        <w:t xml:space="preserve"> requirement under the Uniform </w:t>
      </w:r>
      <w:r>
        <w:t>P</w:t>
      </w:r>
      <w:r w:rsidRPr="001020DA">
        <w:t>res</w:t>
      </w:r>
      <w:r>
        <w:t>entation F</w:t>
      </w:r>
      <w:r w:rsidRPr="001020DA">
        <w:t xml:space="preserve">ramework </w:t>
      </w:r>
      <w:r w:rsidR="0010751B" w:rsidRPr="001020DA">
        <w:t xml:space="preserve">(UPF). UPF is the standard format agreed by the </w:t>
      </w:r>
      <w:r w:rsidR="00CC094C">
        <w:t>Australian Government</w:t>
      </w:r>
      <w:r w:rsidR="0010751B" w:rsidRPr="001020DA">
        <w:t xml:space="preserve">, states and territories for publishing </w:t>
      </w:r>
      <w:r w:rsidR="009B5558">
        <w:t xml:space="preserve">financial information in </w:t>
      </w:r>
      <w:r w:rsidR="0010751B" w:rsidRPr="001020DA">
        <w:t>budget papers and financial reports.</w:t>
      </w:r>
    </w:p>
    <w:p w:rsidR="0010751B" w:rsidRDefault="0010751B" w:rsidP="0010751B">
      <w:pPr>
        <w:pStyle w:val="Heading2"/>
      </w:pPr>
      <w:bookmarkStart w:id="19" w:name="_Toc516756080"/>
      <w:r>
        <w:t>Australian Bureau of Statistics</w:t>
      </w:r>
      <w:bookmarkEnd w:id="19"/>
    </w:p>
    <w:p w:rsidR="0010751B" w:rsidRDefault="0010751B" w:rsidP="0010751B">
      <w:r>
        <w:t xml:space="preserve">The Australian Bureau of Statistics (ABS) requires all jurisdictions to submit </w:t>
      </w:r>
      <w:r w:rsidRPr="00B05C69">
        <w:rPr>
          <w:b/>
        </w:rPr>
        <w:t>actual</w:t>
      </w:r>
      <w:r>
        <w:t xml:space="preserve"> expenditure data categorised using COFOG-A, </w:t>
      </w:r>
      <w:r w:rsidR="00ED1609">
        <w:t xml:space="preserve">both </w:t>
      </w:r>
      <w:r>
        <w:t>quarterly and annually.</w:t>
      </w:r>
      <w:r w:rsidR="00ED1609">
        <w:t xml:space="preserve"> </w:t>
      </w:r>
      <w:r w:rsidR="00036B7F">
        <w:t xml:space="preserve">The </w:t>
      </w:r>
      <w:r w:rsidR="00ED1609">
        <w:t xml:space="preserve">Department of Treasury and Finance (DTF) </w:t>
      </w:r>
      <w:r w:rsidR="00AF7D40">
        <w:t>coordinate</w:t>
      </w:r>
      <w:r w:rsidR="00036B7F">
        <w:t>s</w:t>
      </w:r>
      <w:r w:rsidR="00AF7D40">
        <w:t xml:space="preserve"> and manage</w:t>
      </w:r>
      <w:r w:rsidR="00036B7F">
        <w:t>s</w:t>
      </w:r>
      <w:r w:rsidR="00AF7D40">
        <w:t xml:space="preserve"> this function on behalf of the Northern Territory Government.</w:t>
      </w:r>
    </w:p>
    <w:p w:rsidR="0010751B" w:rsidRPr="001020DA" w:rsidRDefault="0010751B" w:rsidP="0010751B">
      <w:pPr>
        <w:pStyle w:val="Heading2"/>
      </w:pPr>
      <w:bookmarkStart w:id="20" w:name="_Toc516756081"/>
      <w:r>
        <w:t>Agency reporting requirements</w:t>
      </w:r>
      <w:bookmarkEnd w:id="20"/>
    </w:p>
    <w:p w:rsidR="00AF7D40" w:rsidRDefault="0010751B" w:rsidP="0010751B">
      <w:r>
        <w:t xml:space="preserve">Agencies must submit </w:t>
      </w:r>
      <w:r w:rsidR="00A87351">
        <w:t xml:space="preserve">annual </w:t>
      </w:r>
      <w:r>
        <w:t xml:space="preserve">COFOG-A returns </w:t>
      </w:r>
      <w:r w:rsidR="00AF7D40">
        <w:t xml:space="preserve">(both budget and actual) to enable DTF to collate COFOG-A expenditure data at </w:t>
      </w:r>
      <w:r w:rsidR="005E02C0">
        <w:t xml:space="preserve">the </w:t>
      </w:r>
      <w:r w:rsidR="00AF7D40">
        <w:t>whole</w:t>
      </w:r>
      <w:r w:rsidR="005E02C0">
        <w:t xml:space="preserve"> </w:t>
      </w:r>
      <w:r w:rsidR="00AF7D40">
        <w:t>of</w:t>
      </w:r>
      <w:r w:rsidR="005E02C0">
        <w:t xml:space="preserve"> </w:t>
      </w:r>
      <w:r w:rsidR="00AF7D40">
        <w:t>government level. This data is then used to</w:t>
      </w:r>
      <w:r w:rsidR="001B0D2D">
        <w:t xml:space="preserve"> prepare</w:t>
      </w:r>
      <w:r w:rsidR="00AF7D40">
        <w:t>:</w:t>
      </w:r>
    </w:p>
    <w:p w:rsidR="00586714" w:rsidRDefault="00036B7F" w:rsidP="00F3568D">
      <w:pPr>
        <w:pStyle w:val="ListParagraph"/>
        <w:numPr>
          <w:ilvl w:val="0"/>
          <w:numId w:val="21"/>
        </w:numPr>
      </w:pPr>
      <w:r>
        <w:t xml:space="preserve">annual </w:t>
      </w:r>
      <w:r w:rsidR="00586714">
        <w:t>expenditure reports for the ABS, in accordance with the GFS framework</w:t>
      </w:r>
    </w:p>
    <w:p w:rsidR="00F3568D" w:rsidRDefault="00F3568D" w:rsidP="00F3568D">
      <w:pPr>
        <w:pStyle w:val="ListParagraph"/>
        <w:numPr>
          <w:ilvl w:val="0"/>
          <w:numId w:val="21"/>
        </w:numPr>
      </w:pPr>
      <w:r>
        <w:t>quarterly expenditure reports for the ABS, in accordance with the GFS framework, using agencies</w:t>
      </w:r>
      <w:r w:rsidR="00036B7F">
        <w:t>’</w:t>
      </w:r>
      <w:r>
        <w:t xml:space="preserve"> annual returns as a basis for apportioning actual expenditure</w:t>
      </w:r>
      <w:r w:rsidR="00036B7F">
        <w:t>,</w:t>
      </w:r>
      <w:r>
        <w:t xml:space="preserve"> and</w:t>
      </w:r>
    </w:p>
    <w:p w:rsidR="00AF7D40" w:rsidRDefault="00AF7D40" w:rsidP="00AF7D40">
      <w:pPr>
        <w:pStyle w:val="ListParagraph"/>
        <w:numPr>
          <w:ilvl w:val="0"/>
          <w:numId w:val="21"/>
        </w:numPr>
      </w:pPr>
      <w:r>
        <w:t xml:space="preserve">high level reports on government expenditure by function, for publishing in the Treasurer’s Annual Financial Report </w:t>
      </w:r>
      <w:r w:rsidR="00DA458D">
        <w:t xml:space="preserve">(TAFR) </w:t>
      </w:r>
      <w:r>
        <w:t>and Budget Paper No. 2</w:t>
      </w:r>
      <w:r w:rsidR="00F3568D">
        <w:t>,</w:t>
      </w:r>
      <w:r>
        <w:t xml:space="preserve"> </w:t>
      </w:r>
      <w:r w:rsidR="00F3568D">
        <w:t>in accordance with the UPF.</w:t>
      </w:r>
    </w:p>
    <w:p w:rsidR="009B48CA" w:rsidRDefault="009B48CA" w:rsidP="009B48CA">
      <w:pPr>
        <w:pStyle w:val="Heading3"/>
      </w:pPr>
      <w:bookmarkStart w:id="21" w:name="_Toc516756082"/>
      <w:r>
        <w:t>Reporting process for agencies</w:t>
      </w:r>
      <w:bookmarkEnd w:id="21"/>
    </w:p>
    <w:p w:rsidR="005D42BC" w:rsidRPr="005D42BC" w:rsidRDefault="005D42BC" w:rsidP="0010751B">
      <w:pPr>
        <w:rPr>
          <w:b/>
        </w:rPr>
      </w:pPr>
      <w:r>
        <w:rPr>
          <w:b/>
        </w:rPr>
        <w:t>Actual return</w:t>
      </w:r>
    </w:p>
    <w:p w:rsidR="0010751B" w:rsidRDefault="009B48CA" w:rsidP="0010751B">
      <w:r>
        <w:t xml:space="preserve">To prepare a COFOG-A </w:t>
      </w:r>
      <w:r w:rsidR="005D42BC">
        <w:t xml:space="preserve">actual </w:t>
      </w:r>
      <w:r>
        <w:t xml:space="preserve">return, </w:t>
      </w:r>
      <w:r w:rsidR="00470AB0">
        <w:t>ag</w:t>
      </w:r>
      <w:r w:rsidR="00F11A35">
        <w:t>encies should</w:t>
      </w:r>
      <w:r>
        <w:t>:</w:t>
      </w:r>
    </w:p>
    <w:p w:rsidR="0010751B" w:rsidRDefault="00036B7F" w:rsidP="005B346A">
      <w:pPr>
        <w:pStyle w:val="ListNumber"/>
        <w:numPr>
          <w:ilvl w:val="0"/>
          <w:numId w:val="30"/>
        </w:numPr>
      </w:pPr>
      <w:r>
        <w:t xml:space="preserve">use </w:t>
      </w:r>
      <w:r w:rsidR="0010751B">
        <w:t xml:space="preserve">the prescribed template </w:t>
      </w:r>
      <w:r w:rsidR="000E41C6">
        <w:t>provided by DTF</w:t>
      </w:r>
    </w:p>
    <w:p w:rsidR="00C16B75" w:rsidRDefault="00036B7F" w:rsidP="005B346A">
      <w:pPr>
        <w:pStyle w:val="ListNumber"/>
        <w:numPr>
          <w:ilvl w:val="0"/>
          <w:numId w:val="30"/>
        </w:numPr>
      </w:pPr>
      <w:r>
        <w:t xml:space="preserve">note </w:t>
      </w:r>
      <w:r w:rsidR="006D749F">
        <w:t xml:space="preserve">that each output and </w:t>
      </w:r>
      <w:r w:rsidR="00F11A35">
        <w:t>or program may have multiple COFOG-A codes</w:t>
      </w:r>
    </w:p>
    <w:p w:rsidR="00E30A96" w:rsidRDefault="00036B7F" w:rsidP="005B346A">
      <w:pPr>
        <w:pStyle w:val="ListNumber"/>
        <w:numPr>
          <w:ilvl w:val="0"/>
          <w:numId w:val="30"/>
        </w:numPr>
      </w:pPr>
      <w:r>
        <w:t>i</w:t>
      </w:r>
      <w:r w:rsidRPr="005D566C">
        <w:t xml:space="preserve">dentify </w:t>
      </w:r>
      <w:r w:rsidR="0010751B" w:rsidRPr="005D566C">
        <w:t>and explain</w:t>
      </w:r>
      <w:r w:rsidR="00F75E76">
        <w:t xml:space="preserve"> significant changes between</w:t>
      </w:r>
      <w:r w:rsidR="00E30A96">
        <w:t>:</w:t>
      </w:r>
    </w:p>
    <w:p w:rsidR="00E30A96" w:rsidRPr="00E30A96" w:rsidRDefault="008B6581" w:rsidP="005B346A">
      <w:pPr>
        <w:pStyle w:val="ListNumber"/>
        <w:numPr>
          <w:ilvl w:val="0"/>
          <w:numId w:val="31"/>
        </w:numPr>
        <w:spacing w:after="0"/>
      </w:pPr>
      <w:r w:rsidRPr="00E30A96">
        <w:t>COFOG-A code allocations</w:t>
      </w:r>
      <w:r w:rsidR="0010751B" w:rsidRPr="00E30A96">
        <w:t xml:space="preserve"> from previous returns</w:t>
      </w:r>
    </w:p>
    <w:p w:rsidR="00CD7B9F" w:rsidRDefault="00F75E76" w:rsidP="005B346A">
      <w:pPr>
        <w:pStyle w:val="ListNumber"/>
        <w:numPr>
          <w:ilvl w:val="0"/>
          <w:numId w:val="31"/>
        </w:numPr>
        <w:spacing w:after="0"/>
      </w:pPr>
      <w:r>
        <w:t>actual variations between years</w:t>
      </w:r>
    </w:p>
    <w:p w:rsidR="00F75E76" w:rsidRDefault="00F75E76" w:rsidP="005B346A">
      <w:pPr>
        <w:pStyle w:val="ListNumber"/>
        <w:numPr>
          <w:ilvl w:val="0"/>
          <w:numId w:val="31"/>
        </w:numPr>
      </w:pPr>
      <w:r>
        <w:t xml:space="preserve">current year actuals and </w:t>
      </w:r>
      <w:r w:rsidR="000E41C6">
        <w:t>revised budget</w:t>
      </w:r>
      <w:r w:rsidR="00927C4A">
        <w:t>.</w:t>
      </w:r>
    </w:p>
    <w:p w:rsidR="00F11A35" w:rsidRPr="00011EC1" w:rsidRDefault="00F11A35" w:rsidP="005B346A">
      <w:pPr>
        <w:pStyle w:val="ListNumber"/>
        <w:numPr>
          <w:ilvl w:val="0"/>
          <w:numId w:val="0"/>
        </w:numPr>
      </w:pPr>
      <w:r>
        <w:t>The level of information should be sufficient to enable agencies to answer queries from DTF about changes in COFOG-A code allocations, budget versus actuals analysis</w:t>
      </w:r>
      <w:r w:rsidR="005E02C0">
        <w:t>,</w:t>
      </w:r>
      <w:r w:rsidR="00C8249C">
        <w:t xml:space="preserve"> or both</w:t>
      </w:r>
      <w:r>
        <w:t>.</w:t>
      </w:r>
    </w:p>
    <w:p w:rsidR="005D42BC" w:rsidRPr="005D42BC" w:rsidRDefault="005D42BC" w:rsidP="005D42BC">
      <w:pPr>
        <w:rPr>
          <w:b/>
        </w:rPr>
      </w:pPr>
      <w:r>
        <w:rPr>
          <w:b/>
        </w:rPr>
        <w:t>Budget return</w:t>
      </w:r>
    </w:p>
    <w:p w:rsidR="005D42BC" w:rsidRDefault="005D42BC" w:rsidP="005D42BC">
      <w:r>
        <w:t xml:space="preserve">To prepare a COFOG-A budget return, </w:t>
      </w:r>
      <w:r w:rsidR="00470AB0">
        <w:t>ag</w:t>
      </w:r>
      <w:r w:rsidR="00F11A35">
        <w:t>encies should</w:t>
      </w:r>
      <w:r>
        <w:t>:</w:t>
      </w:r>
    </w:p>
    <w:p w:rsidR="005D42BC" w:rsidRDefault="00036B7F" w:rsidP="005B346A">
      <w:pPr>
        <w:pStyle w:val="ListNumber"/>
        <w:numPr>
          <w:ilvl w:val="0"/>
          <w:numId w:val="33"/>
        </w:numPr>
      </w:pPr>
      <w:r>
        <w:t xml:space="preserve">use </w:t>
      </w:r>
      <w:r w:rsidR="005D42BC">
        <w:t xml:space="preserve">the prescribed template </w:t>
      </w:r>
      <w:r w:rsidR="000E41C6">
        <w:t>provided by DTF</w:t>
      </w:r>
    </w:p>
    <w:p w:rsidR="00F11A35" w:rsidRDefault="00036B7F" w:rsidP="005B346A">
      <w:pPr>
        <w:pStyle w:val="ListNumber"/>
        <w:numPr>
          <w:ilvl w:val="0"/>
          <w:numId w:val="33"/>
        </w:numPr>
      </w:pPr>
      <w:r>
        <w:t xml:space="preserve">note </w:t>
      </w:r>
      <w:r w:rsidR="00F11A35">
        <w:t>that each outpu</w:t>
      </w:r>
      <w:r w:rsidR="006D749F">
        <w:t xml:space="preserve">t and </w:t>
      </w:r>
      <w:r w:rsidR="00F11A35">
        <w:t>or program may have multiple COFOG-A codes</w:t>
      </w:r>
    </w:p>
    <w:p w:rsidR="00E30A96" w:rsidRDefault="00036B7F" w:rsidP="005B346A">
      <w:pPr>
        <w:pStyle w:val="ListNumber"/>
        <w:numPr>
          <w:ilvl w:val="0"/>
          <w:numId w:val="33"/>
        </w:numPr>
      </w:pPr>
      <w:r>
        <w:t>i</w:t>
      </w:r>
      <w:r w:rsidRPr="00AE4823">
        <w:t xml:space="preserve">dentify </w:t>
      </w:r>
      <w:r w:rsidR="005D42BC" w:rsidRPr="00AE4823">
        <w:t>and explain significant changes between</w:t>
      </w:r>
      <w:r w:rsidR="00E30A96">
        <w:t>:</w:t>
      </w:r>
    </w:p>
    <w:p w:rsidR="005D42BC" w:rsidRDefault="005D42BC" w:rsidP="005B346A">
      <w:pPr>
        <w:pStyle w:val="ListNumber"/>
        <w:numPr>
          <w:ilvl w:val="0"/>
          <w:numId w:val="34"/>
        </w:numPr>
        <w:spacing w:after="0"/>
      </w:pPr>
      <w:r w:rsidRPr="00AE4823">
        <w:t>COFOG-A code allocations</w:t>
      </w:r>
      <w:r w:rsidR="00411AEA" w:rsidRPr="00AE4823">
        <w:t xml:space="preserve"> from previous returns </w:t>
      </w:r>
    </w:p>
    <w:p w:rsidR="00E30A96" w:rsidRDefault="00E30A96" w:rsidP="005B346A">
      <w:pPr>
        <w:pStyle w:val="ListNumber"/>
        <w:numPr>
          <w:ilvl w:val="0"/>
          <w:numId w:val="34"/>
        </w:numPr>
        <w:spacing w:after="0"/>
      </w:pPr>
      <w:r>
        <w:t xml:space="preserve">actuals and </w:t>
      </w:r>
      <w:r w:rsidR="000E41C6">
        <w:t>revised budget</w:t>
      </w:r>
    </w:p>
    <w:p w:rsidR="00E30A96" w:rsidRDefault="000E41C6" w:rsidP="005B346A">
      <w:pPr>
        <w:pStyle w:val="ListNumber"/>
        <w:numPr>
          <w:ilvl w:val="0"/>
          <w:numId w:val="34"/>
        </w:numPr>
      </w:pPr>
      <w:r>
        <w:t xml:space="preserve">revised budget </w:t>
      </w:r>
      <w:r w:rsidR="00E30A96">
        <w:t>and budget</w:t>
      </w:r>
      <w:r w:rsidR="00927C4A">
        <w:t>.</w:t>
      </w:r>
    </w:p>
    <w:p w:rsidR="00F11A35" w:rsidRPr="00AE4823" w:rsidRDefault="00F11A35" w:rsidP="006D749F">
      <w:pPr>
        <w:pStyle w:val="ListNumber"/>
        <w:numPr>
          <w:ilvl w:val="0"/>
          <w:numId w:val="0"/>
        </w:numPr>
        <w:ind w:left="284"/>
      </w:pPr>
      <w:r>
        <w:t>The level of information should be sufficient to enable agencies to answer queries from DTF about changes in COFOG-A code allocations, budget versus actuals analysis</w:t>
      </w:r>
      <w:r w:rsidR="005E02C0">
        <w:t>, or both</w:t>
      </w:r>
      <w:r>
        <w:t>.</w:t>
      </w:r>
    </w:p>
    <w:p w:rsidR="00166DF2" w:rsidRDefault="00166DF2" w:rsidP="00166DF2">
      <w:pPr>
        <w:pStyle w:val="Heading3"/>
      </w:pPr>
      <w:bookmarkStart w:id="22" w:name="_Toc516756083"/>
      <w:r>
        <w:t>Reporting corporate and governance expenditure</w:t>
      </w:r>
      <w:bookmarkEnd w:id="22"/>
    </w:p>
    <w:p w:rsidR="002E3EFB" w:rsidRPr="002E3EFB" w:rsidRDefault="002E3EFB" w:rsidP="00166DF2">
      <w:pPr>
        <w:rPr>
          <w:b/>
        </w:rPr>
      </w:pPr>
      <w:r>
        <w:rPr>
          <w:b/>
        </w:rPr>
        <w:t>Shared services received output</w:t>
      </w:r>
    </w:p>
    <w:p w:rsidR="00166DF2" w:rsidRDefault="00F75908" w:rsidP="00166DF2">
      <w:r>
        <w:t xml:space="preserve">The </w:t>
      </w:r>
      <w:r w:rsidR="006E40C4">
        <w:t xml:space="preserve">Shared Services Received </w:t>
      </w:r>
      <w:r w:rsidR="00C0627C">
        <w:t>output</w:t>
      </w:r>
      <w:r w:rsidR="000E41C6">
        <w:t xml:space="preserve"> </w:t>
      </w:r>
      <w:r w:rsidR="00C0627C">
        <w:t xml:space="preserve">consolidates Department of Corporate and </w:t>
      </w:r>
      <w:r w:rsidR="000E41C6">
        <w:t>Digital Development</w:t>
      </w:r>
      <w:r w:rsidR="00C0627C">
        <w:t xml:space="preserve"> (</w:t>
      </w:r>
      <w:r w:rsidR="000E41C6">
        <w:t>DCDD</w:t>
      </w:r>
      <w:r w:rsidR="00C0627C">
        <w:t>)</w:t>
      </w:r>
      <w:r w:rsidR="009759DF">
        <w:t xml:space="preserve"> and Department of Infrastructure, Planning and Logistics (DIPL)</w:t>
      </w:r>
      <w:r w:rsidR="00C0627C">
        <w:t xml:space="preserve"> services free of charge into the one output.</w:t>
      </w:r>
    </w:p>
    <w:p w:rsidR="002E3EFB" w:rsidRDefault="002E3EFB" w:rsidP="00166DF2">
      <w:r>
        <w:t>Agencies do not need to allocate expenditure in this output by COFOG-A. This</w:t>
      </w:r>
      <w:r w:rsidR="006E40C4">
        <w:t xml:space="preserve"> function</w:t>
      </w:r>
      <w:r>
        <w:t xml:space="preserve"> will be performed by DTF on agencies’ behalf.</w:t>
      </w:r>
    </w:p>
    <w:p w:rsidR="002E3EFB" w:rsidRPr="002E3EFB" w:rsidRDefault="002E3EFB" w:rsidP="00166DF2">
      <w:pPr>
        <w:rPr>
          <w:b/>
        </w:rPr>
      </w:pPr>
      <w:r>
        <w:rPr>
          <w:b/>
        </w:rPr>
        <w:t>Corporate and governance output (excluding shared services received)</w:t>
      </w:r>
    </w:p>
    <w:p w:rsidR="00B6187C" w:rsidRPr="00B523FF" w:rsidRDefault="00D83F6C" w:rsidP="005B346A">
      <w:r w:rsidRPr="00B523FF">
        <w:t xml:space="preserve">Agencies do not need to allocate expenditure in this output by COFOG-A. This function will be performed by DTF on agencies’ behalf </w:t>
      </w:r>
      <w:r w:rsidR="00E30A96" w:rsidRPr="00B523FF">
        <w:t xml:space="preserve">using </w:t>
      </w:r>
      <w:r w:rsidR="000E41C6">
        <w:t>the</w:t>
      </w:r>
      <w:r w:rsidR="000E41C6" w:rsidRPr="00B523FF">
        <w:t xml:space="preserve"> </w:t>
      </w:r>
      <w:r w:rsidR="00E30A96" w:rsidRPr="00B523FF">
        <w:t>methodology</w:t>
      </w:r>
      <w:r w:rsidR="00B73043">
        <w:t>: c</w:t>
      </w:r>
      <w:r w:rsidRPr="00B523FF">
        <w:t>orporate and governance expenditure allocated</w:t>
      </w:r>
      <w:r w:rsidR="00104224">
        <w:t xml:space="preserve"> to COFOG-A codes</w:t>
      </w:r>
      <w:r w:rsidRPr="00B523FF">
        <w:t xml:space="preserve"> in proportion to total </w:t>
      </w:r>
      <w:r w:rsidR="00104224">
        <w:t xml:space="preserve">COFOG-A </w:t>
      </w:r>
      <w:r w:rsidRPr="00B523FF">
        <w:t>e</w:t>
      </w:r>
      <w:r w:rsidR="006D749F">
        <w:t>xpenditure in the other outputs</w:t>
      </w:r>
      <w:r w:rsidR="0008308A">
        <w:t>,</w:t>
      </w:r>
      <w:r w:rsidR="00E30A96" w:rsidRPr="00B523FF">
        <w:t xml:space="preserve"> based on the assumption the greater the expenditure by COFOG-A, the greater the level of corporate</w:t>
      </w:r>
      <w:r w:rsidR="00B523FF" w:rsidRPr="00B523FF">
        <w:t xml:space="preserve"> expenditure is required to support that function.</w:t>
      </w:r>
    </w:p>
    <w:p w:rsidR="00B6187C" w:rsidRPr="00B523FF" w:rsidRDefault="00B6187C">
      <w:r w:rsidRPr="00B523FF">
        <w:t>If an agency has a more appropriate methodology to allocate their corporate and governance expenditure,</w:t>
      </w:r>
      <w:r w:rsidR="00B523FF" w:rsidRPr="00B523FF">
        <w:t xml:space="preserve"> the agency</w:t>
      </w:r>
      <w:r w:rsidR="006D749F">
        <w:t xml:space="preserve"> </w:t>
      </w:r>
      <w:r w:rsidRPr="00B523FF">
        <w:t>should</w:t>
      </w:r>
      <w:r w:rsidR="00B523FF" w:rsidRPr="00B523FF">
        <w:t xml:space="preserve"> contact DTF</w:t>
      </w:r>
      <w:r w:rsidRPr="00B523FF">
        <w:t xml:space="preserve"> to discuss further.</w:t>
      </w:r>
    </w:p>
    <w:p w:rsidR="0010751B" w:rsidRPr="00B523FF" w:rsidRDefault="0010751B" w:rsidP="008B6581">
      <w:pPr>
        <w:pStyle w:val="Heading3"/>
      </w:pPr>
      <w:bookmarkStart w:id="23" w:name="_Toc516756084"/>
      <w:r w:rsidRPr="00B523FF">
        <w:t>Reporting timeline</w:t>
      </w:r>
      <w:bookmarkEnd w:id="23"/>
    </w:p>
    <w:p w:rsidR="008B6581" w:rsidRDefault="00DA458D" w:rsidP="008B6581">
      <w:r>
        <w:t xml:space="preserve">An example of the </w:t>
      </w:r>
      <w:r w:rsidR="009B48CA">
        <w:t xml:space="preserve">COFOG-A </w:t>
      </w:r>
      <w:r w:rsidR="000C3AAF">
        <w:t>reporting</w:t>
      </w:r>
      <w:r>
        <w:t xml:space="preserve"> timeline</w:t>
      </w:r>
      <w:r w:rsidR="000C3AAF">
        <w:t xml:space="preserve">, including requests and </w:t>
      </w:r>
      <w:r w:rsidR="00AF7D40">
        <w:t>data submissions</w:t>
      </w:r>
      <w:r w:rsidR="006C536E">
        <w:t>,</w:t>
      </w:r>
      <w:r w:rsidR="008B6581">
        <w:t xml:space="preserve"> is outlined in </w:t>
      </w:r>
      <w:r w:rsidR="001C42BA">
        <w:fldChar w:fldCharType="begin"/>
      </w:r>
      <w:r w:rsidR="001C42BA">
        <w:instrText xml:space="preserve"> REF _Ref504572427 \h </w:instrText>
      </w:r>
      <w:r w:rsidR="001C42BA">
        <w:fldChar w:fldCharType="separate"/>
      </w:r>
      <w:r w:rsidR="00927C4A">
        <w:rPr>
          <w:rFonts w:cs="Arial"/>
        </w:rPr>
        <w:t>Figure </w:t>
      </w:r>
      <w:r w:rsidR="00927C4A">
        <w:rPr>
          <w:rFonts w:cs="Arial"/>
          <w:noProof/>
        </w:rPr>
        <w:t>3</w:t>
      </w:r>
      <w:r w:rsidR="001C42BA">
        <w:fldChar w:fldCharType="end"/>
      </w:r>
      <w:r w:rsidR="000C3AAF">
        <w:t>.</w:t>
      </w:r>
      <w:r>
        <w:t xml:space="preserve"> These times are indicative only and may be subject to change.</w:t>
      </w:r>
    </w:p>
    <w:p w:rsidR="0010751B" w:rsidRDefault="006D2056" w:rsidP="001C42BA">
      <w:pPr>
        <w:spacing w:after="360"/>
      </w:pPr>
      <w:r w:rsidRPr="006D2056">
        <w:rPr>
          <w:rFonts w:ascii="Calibri" w:hAnsi="Calibri"/>
          <w:noProof/>
          <w:lang w:eastAsia="en-AU"/>
        </w:rPr>
        <w:drawing>
          <wp:inline distT="0" distB="0" distL="0" distR="0" wp14:anchorId="7FF3086E" wp14:editId="1706B89C">
            <wp:extent cx="6120130" cy="2249777"/>
            <wp:effectExtent l="0" t="0" r="0" b="0"/>
            <wp:docPr id="6" name="Picture 6" descr="Outlines due dates for requests and submissions of COFOG-A data as described below." title="COFOG-A reporting tim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49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AAF" w:rsidRPr="000C3AAF" w:rsidRDefault="006C536E" w:rsidP="000C3AAF">
      <w:pPr>
        <w:pStyle w:val="Caption"/>
        <w:rPr>
          <w:rFonts w:ascii="Arial" w:hAnsi="Arial" w:cs="Arial"/>
          <w:b w:val="0"/>
        </w:rPr>
      </w:pPr>
      <w:bookmarkStart w:id="24" w:name="_Ref504572427"/>
      <w:r>
        <w:rPr>
          <w:rFonts w:ascii="Arial" w:hAnsi="Arial" w:cs="Arial"/>
        </w:rPr>
        <w:t>Figure </w:t>
      </w:r>
      <w:r w:rsidR="000C3AAF" w:rsidRPr="000C3AAF">
        <w:rPr>
          <w:rFonts w:ascii="Arial" w:hAnsi="Arial" w:cs="Arial"/>
        </w:rPr>
        <w:fldChar w:fldCharType="begin"/>
      </w:r>
      <w:r w:rsidR="000C3AAF" w:rsidRPr="000C3AAF">
        <w:rPr>
          <w:rFonts w:ascii="Arial" w:hAnsi="Arial" w:cs="Arial"/>
        </w:rPr>
        <w:instrText xml:space="preserve"> SEQ Figure \* ARABIC </w:instrText>
      </w:r>
      <w:r w:rsidR="000C3AAF" w:rsidRPr="000C3AAF">
        <w:rPr>
          <w:rFonts w:ascii="Arial" w:hAnsi="Arial" w:cs="Arial"/>
        </w:rPr>
        <w:fldChar w:fldCharType="separate"/>
      </w:r>
      <w:r w:rsidR="00927C4A">
        <w:rPr>
          <w:rFonts w:ascii="Arial" w:hAnsi="Arial" w:cs="Arial"/>
          <w:noProof/>
        </w:rPr>
        <w:t>3</w:t>
      </w:r>
      <w:r w:rsidR="000C3AAF" w:rsidRPr="000C3AAF">
        <w:rPr>
          <w:rFonts w:ascii="Arial" w:hAnsi="Arial" w:cs="Arial"/>
          <w:noProof/>
        </w:rPr>
        <w:fldChar w:fldCharType="end"/>
      </w:r>
      <w:bookmarkEnd w:id="24"/>
      <w:r w:rsidR="000C3AAF">
        <w:rPr>
          <w:rFonts w:ascii="Arial" w:hAnsi="Arial" w:cs="Arial"/>
          <w:noProof/>
        </w:rPr>
        <w:t>.</w:t>
      </w:r>
      <w:r w:rsidR="000C3AAF">
        <w:rPr>
          <w:rFonts w:ascii="Arial" w:hAnsi="Arial" w:cs="Arial"/>
          <w:b w:val="0"/>
          <w:noProof/>
        </w:rPr>
        <w:t xml:space="preserve"> COFOG-A reporting timeline</w:t>
      </w:r>
    </w:p>
    <w:p w:rsidR="000C3AAF" w:rsidRDefault="000C3AAF" w:rsidP="000C3AAF">
      <w:r>
        <w:t xml:space="preserve">In </w:t>
      </w:r>
      <w:r w:rsidR="00783990">
        <w:t>February each year</w:t>
      </w:r>
      <w:r w:rsidR="00963ED7">
        <w:t>,</w:t>
      </w:r>
      <w:r w:rsidR="00783990">
        <w:t xml:space="preserve"> a</w:t>
      </w:r>
      <w:r w:rsidR="00702437">
        <w:t>gencies are</w:t>
      </w:r>
      <w:r w:rsidR="002D0A57">
        <w:t xml:space="preserve"> requested to submit a COFOG-A </w:t>
      </w:r>
      <w:r w:rsidR="002D0A57" w:rsidRPr="000C3AAF">
        <w:rPr>
          <w:b/>
        </w:rPr>
        <w:t>budget</w:t>
      </w:r>
      <w:r w:rsidR="002D0A57">
        <w:t xml:space="preserve"> </w:t>
      </w:r>
      <w:r w:rsidR="00702437">
        <w:t>return,</w:t>
      </w:r>
      <w:r w:rsidR="00783990">
        <w:t xml:space="preserve"> </w:t>
      </w:r>
      <w:r w:rsidR="002D0A57">
        <w:t xml:space="preserve">due </w:t>
      </w:r>
      <w:r w:rsidR="00DA458D">
        <w:t>around</w:t>
      </w:r>
      <w:r>
        <w:t xml:space="preserve"> March</w:t>
      </w:r>
      <w:r w:rsidR="00DA458D">
        <w:t xml:space="preserve"> or April</w:t>
      </w:r>
      <w:r>
        <w:t xml:space="preserve">. The </w:t>
      </w:r>
      <w:r w:rsidR="00963ED7">
        <w:t xml:space="preserve">outcome </w:t>
      </w:r>
      <w:r w:rsidR="00DA458D">
        <w:t>will be</w:t>
      </w:r>
      <w:r w:rsidR="002D0A57">
        <w:t xml:space="preserve"> published </w:t>
      </w:r>
      <w:r w:rsidR="007F0500">
        <w:t xml:space="preserve">in the </w:t>
      </w:r>
      <w:r w:rsidR="00DA458D">
        <w:t>Budget </w:t>
      </w:r>
      <w:r w:rsidR="007F0500">
        <w:t>Papers</w:t>
      </w:r>
      <w:r w:rsidR="007C25AD">
        <w:t xml:space="preserve"> </w:t>
      </w:r>
      <w:r w:rsidR="00DA458D">
        <w:t>(</w:t>
      </w:r>
      <w:r>
        <w:t xml:space="preserve">handed down </w:t>
      </w:r>
      <w:r w:rsidR="00DA458D">
        <w:t>around</w:t>
      </w:r>
      <w:r>
        <w:t xml:space="preserve"> May</w:t>
      </w:r>
      <w:r w:rsidR="00DA458D">
        <w:t>)</w:t>
      </w:r>
      <w:r>
        <w:t>.</w:t>
      </w:r>
    </w:p>
    <w:p w:rsidR="00F06DC5" w:rsidRDefault="000C3AAF" w:rsidP="000C3AAF">
      <w:r>
        <w:t xml:space="preserve">In </w:t>
      </w:r>
      <w:r w:rsidR="002D0A57">
        <w:t>June, agencies receive a further request for a COFOG-</w:t>
      </w:r>
      <w:r w:rsidR="007F0500">
        <w:t>A</w:t>
      </w:r>
      <w:r w:rsidR="002D0A57">
        <w:t xml:space="preserve"> </w:t>
      </w:r>
      <w:r w:rsidR="002D0A57" w:rsidRPr="000C3AAF">
        <w:rPr>
          <w:b/>
        </w:rPr>
        <w:t>actual</w:t>
      </w:r>
      <w:r w:rsidR="002D0A57">
        <w:t xml:space="preserve"> return</w:t>
      </w:r>
      <w:r w:rsidR="00963ED7">
        <w:t>,</w:t>
      </w:r>
      <w:r w:rsidR="001C42BA">
        <w:t xml:space="preserve"> due </w:t>
      </w:r>
      <w:r w:rsidR="00DA458D">
        <w:t>around</w:t>
      </w:r>
      <w:r w:rsidR="001C42BA">
        <w:t xml:space="preserve"> July</w:t>
      </w:r>
      <w:r w:rsidR="000E41C6">
        <w:t xml:space="preserve"> or August</w:t>
      </w:r>
      <w:r w:rsidR="001C42BA">
        <w:t xml:space="preserve">. </w:t>
      </w:r>
      <w:r w:rsidR="002D0A57">
        <w:t xml:space="preserve">The </w:t>
      </w:r>
      <w:r w:rsidR="00702437">
        <w:t>result</w:t>
      </w:r>
      <w:r w:rsidR="002D0A57">
        <w:t xml:space="preserve"> </w:t>
      </w:r>
      <w:r w:rsidR="00702437">
        <w:t xml:space="preserve">is </w:t>
      </w:r>
      <w:r w:rsidR="00260DAE">
        <w:t xml:space="preserve">published in the </w:t>
      </w:r>
      <w:r w:rsidR="00DA458D">
        <w:t xml:space="preserve">TAFR </w:t>
      </w:r>
      <w:r w:rsidR="00F06DC5">
        <w:t>in October</w:t>
      </w:r>
      <w:r w:rsidR="000E41C6">
        <w:t xml:space="preserve"> or November</w:t>
      </w:r>
      <w:r w:rsidR="00F06DC5">
        <w:t>.</w:t>
      </w:r>
    </w:p>
    <w:p w:rsidR="00963ED7" w:rsidRPr="00963ED7" w:rsidRDefault="006D749F" w:rsidP="000C3AAF">
      <w:r>
        <w:t>DTF will send quarterly data (based on actual expenditure)</w:t>
      </w:r>
      <w:r w:rsidR="00DA458D">
        <w:t xml:space="preserve"> to </w:t>
      </w:r>
      <w:r w:rsidR="007F0500">
        <w:t>the ABS in January, April, July</w:t>
      </w:r>
      <w:r w:rsidR="007C5B13">
        <w:t>,</w:t>
      </w:r>
      <w:r w:rsidR="007F0500">
        <w:t xml:space="preserve"> and October.</w:t>
      </w:r>
    </w:p>
    <w:sectPr w:rsidR="00963ED7" w:rsidRPr="00963ED7" w:rsidSect="00ED1609">
      <w:headerReference w:type="default" r:id="rId24"/>
      <w:headerReference w:type="first" r:id="rId25"/>
      <w:footerReference w:type="first" r:id="rId26"/>
      <w:pgSz w:w="11906" w:h="16838" w:code="9"/>
      <w:pgMar w:top="1134" w:right="1134" w:bottom="1134" w:left="1134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267" w:rsidRDefault="00406267" w:rsidP="00293A72">
      <w:r>
        <w:separator/>
      </w:r>
    </w:p>
  </w:endnote>
  <w:endnote w:type="continuationSeparator" w:id="0">
    <w:p w:rsidR="00406267" w:rsidRDefault="00406267" w:rsidP="0029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4B" w:rsidRPr="009A7587" w:rsidRDefault="00C63C5D" w:rsidP="00434174">
    <w:pPr>
      <w:tabs>
        <w:tab w:val="right" w:pos="10206"/>
      </w:tabs>
      <w:spacing w:after="120"/>
      <w:ind w:left="-567" w:right="-568"/>
      <w:rPr>
        <w:sz w:val="16"/>
        <w:szCs w:val="16"/>
      </w:rPr>
    </w:pPr>
    <w:r>
      <w:pict w14:anchorId="34C18935">
        <v:rect id="_x0000_i1025" style="width:481.9pt;height:.5pt" o:hralign="center" o:hrstd="t" o:hrnoshade="t" o:hr="t" fillcolor="black [3213]" stroked="f"/>
      </w:pict>
    </w:r>
  </w:p>
  <w:p w:rsidR="0064464B" w:rsidRPr="009568B9" w:rsidRDefault="0064464B" w:rsidP="00652E1F">
    <w:pPr>
      <w:pStyle w:val="NTGFooterDepartmentandPagenumber"/>
      <w:tabs>
        <w:tab w:val="clear" w:pos="9026"/>
        <w:tab w:val="right" w:pos="10206"/>
      </w:tabs>
      <w:ind w:left="-567" w:right="-568"/>
    </w:pPr>
    <w:r w:rsidRPr="009568B9">
      <w:rPr>
        <w:rStyle w:val="NTGFooterDepartmentofChar"/>
      </w:rPr>
      <w:fldChar w:fldCharType="begin"/>
    </w:r>
    <w:r w:rsidRPr="009568B9">
      <w:rPr>
        <w:rStyle w:val="NTGFooterDepartmentofChar"/>
      </w:rPr>
      <w:instrText xml:space="preserve"> DOCPROPERTY  DepartmentOf  \* MERGEFORMAT </w:instrText>
    </w:r>
    <w:r w:rsidRPr="009568B9">
      <w:rPr>
        <w:rStyle w:val="NTGFooterDepartmentofChar"/>
      </w:rPr>
      <w:fldChar w:fldCharType="separate"/>
    </w:r>
    <w:r>
      <w:rPr>
        <w:rStyle w:val="NTGFooterDepartmentofChar"/>
      </w:rPr>
      <w:t xml:space="preserve">Department of </w:t>
    </w:r>
    <w:r w:rsidRPr="009568B9">
      <w:rPr>
        <w:rStyle w:val="NTGFooterDepartmentofChar"/>
      </w:rPr>
      <w:fldChar w:fldCharType="end"/>
    </w:r>
    <w:r w:rsidRPr="009568B9">
      <w:rPr>
        <w:rStyle w:val="NTGFooterDepartmentNameChar"/>
      </w:rPr>
      <w:fldChar w:fldCharType="begin"/>
    </w:r>
    <w:r w:rsidRPr="009568B9">
      <w:rPr>
        <w:rStyle w:val="NTGFooterDepartmentNameChar"/>
      </w:rPr>
      <w:instrText xml:space="preserve"> DOCPROPERTY  DepartmentName  \* MERGEFORMAT </w:instrText>
    </w:r>
    <w:r w:rsidRPr="009568B9">
      <w:rPr>
        <w:rStyle w:val="NTGFooterDepartmentNameChar"/>
      </w:rPr>
      <w:fldChar w:fldCharType="separate"/>
    </w:r>
    <w:r>
      <w:rPr>
        <w:rStyle w:val="NTGFooterDepartmentNameChar"/>
      </w:rPr>
      <w:t>Treasury and Finance</w:t>
    </w:r>
    <w:r w:rsidRPr="009568B9">
      <w:rPr>
        <w:rStyle w:val="NTGFooterDepartmentNameChar"/>
      </w:rPr>
      <w:fldChar w:fldCharType="end"/>
    </w:r>
    <w:r w:rsidRPr="009568B9">
      <w:tab/>
      <w:t xml:space="preserve">Page </w:t>
    </w:r>
    <w:r w:rsidRPr="009568B9">
      <w:fldChar w:fldCharType="begin"/>
    </w:r>
    <w:r w:rsidRPr="009568B9">
      <w:instrText xml:space="preserve"> PAGE  \* Arabic  \* MERGEFORMAT </w:instrText>
    </w:r>
    <w:r w:rsidRPr="009568B9">
      <w:fldChar w:fldCharType="separate"/>
    </w:r>
    <w:r w:rsidR="00C63C5D">
      <w:rPr>
        <w:noProof/>
      </w:rPr>
      <w:t>2</w:t>
    </w:r>
    <w:r w:rsidRPr="009568B9">
      <w:fldChar w:fldCharType="end"/>
    </w:r>
    <w:r w:rsidRPr="009568B9">
      <w:t xml:space="preserve"> of </w:t>
    </w:r>
    <w:fldSimple w:instr=" NUMPAGES  \* Arabic  \* MERGEFORMAT ">
      <w:r w:rsidR="00C63C5D">
        <w:rPr>
          <w:noProof/>
        </w:rPr>
        <w:t>9</w:t>
      </w:r>
    </w:fldSimple>
  </w:p>
  <w:p w:rsidR="0064464B" w:rsidRPr="009568B9" w:rsidRDefault="000E41C6" w:rsidP="00434174">
    <w:pPr>
      <w:pStyle w:val="NTGFooterDateVersion"/>
      <w:ind w:left="-567"/>
    </w:pPr>
    <w:r>
      <w:t>21 July 2023</w:t>
    </w:r>
    <w:r w:rsidR="0064464B" w:rsidRPr="009568B9">
      <w:t>, Version </w:t>
    </w:r>
    <w:fldSimple w:instr=" DOCPROPERTY  VersionNo  \* MERGEFORMAT ">
      <w:r w:rsidR="0064464B">
        <w:t>1.</w:t>
      </w:r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773" w:type="dxa"/>
      <w:tblInd w:w="-567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505"/>
      <w:gridCol w:w="2268"/>
    </w:tblGrid>
    <w:tr w:rsidR="0064464B" w:rsidRPr="002C6633" w:rsidTr="00B61936">
      <w:trPr>
        <w:cantSplit/>
        <w:trHeight w:hRule="exact" w:val="1400"/>
        <w:tblHeader/>
      </w:trPr>
      <w:tc>
        <w:tcPr>
          <w:tcW w:w="8505" w:type="dxa"/>
          <w:vAlign w:val="center"/>
        </w:tcPr>
        <w:p w:rsidR="0064464B" w:rsidRPr="002C6633" w:rsidRDefault="0064464B" w:rsidP="00B61936">
          <w:pPr>
            <w:pStyle w:val="Footer"/>
            <w:spacing w:before="280"/>
            <w:ind w:right="0"/>
          </w:pPr>
          <w:r>
            <w:rPr>
              <w:rStyle w:val="NTGFooterDepartmentofChar"/>
            </w:rPr>
            <w:fldChar w:fldCharType="begin"/>
          </w:r>
          <w:r>
            <w:rPr>
              <w:rStyle w:val="NTGFooterDepartmentofChar"/>
            </w:rPr>
            <w:instrText xml:space="preserve"> DOCPROPERTY  DepartmentOf  \* MERGEFORMAT </w:instrText>
          </w:r>
          <w:r>
            <w:rPr>
              <w:rStyle w:val="NTGFooterDepartmentofChar"/>
            </w:rPr>
            <w:fldChar w:fldCharType="separate"/>
          </w:r>
          <w:r>
            <w:rPr>
              <w:rStyle w:val="NTGFooterDepartmentofChar"/>
            </w:rPr>
            <w:t xml:space="preserve">Department of </w:t>
          </w:r>
          <w:r>
            <w:rPr>
              <w:rStyle w:val="NTGFooterDepartmentofChar"/>
            </w:rPr>
            <w:fldChar w:fldCharType="end"/>
          </w:r>
          <w:r>
            <w:rPr>
              <w:rStyle w:val="NTGFooterDepartmentNameChar"/>
            </w:rPr>
            <w:fldChar w:fldCharType="begin"/>
          </w:r>
          <w:r>
            <w:rPr>
              <w:rStyle w:val="NTGFooterDepartmentNameChar"/>
            </w:rPr>
            <w:instrText xml:space="preserve"> DOCPROPERTY  DepartmentName  \* MERGEFORMAT </w:instrText>
          </w:r>
          <w:r>
            <w:rPr>
              <w:rStyle w:val="NTGFooterDepartmentNameChar"/>
            </w:rPr>
            <w:fldChar w:fldCharType="separate"/>
          </w:r>
          <w:r>
            <w:rPr>
              <w:rStyle w:val="NTGFooterDepartmentNameChar"/>
            </w:rPr>
            <w:t>Treasury and Finance</w:t>
          </w:r>
          <w:r>
            <w:rPr>
              <w:rStyle w:val="NTGFooterDepartmentNameChar"/>
            </w:rPr>
            <w:fldChar w:fldCharType="end"/>
          </w:r>
          <w:r w:rsidRPr="002C6633">
            <w:br/>
          </w:r>
        </w:p>
      </w:tc>
      <w:tc>
        <w:tcPr>
          <w:tcW w:w="2268" w:type="dxa"/>
          <w:vAlign w:val="center"/>
        </w:tcPr>
        <w:p w:rsidR="0064464B" w:rsidRPr="002C6633" w:rsidRDefault="0064464B" w:rsidP="00B61936">
          <w:pPr>
            <w:spacing w:after="0" w:line="252" w:lineRule="auto"/>
            <w:ind w:left="4"/>
            <w:jc w:val="right"/>
            <w:rPr>
              <w:rFonts w:cs="Arial"/>
              <w:sz w:val="20"/>
            </w:rPr>
          </w:pPr>
          <w:r w:rsidRPr="002C6633">
            <w:rPr>
              <w:rFonts w:cs="Arial"/>
              <w:noProof/>
              <w:sz w:val="20"/>
              <w:lang w:eastAsia="en-AU"/>
            </w:rPr>
            <w:drawing>
              <wp:inline distT="0" distB="0" distL="0" distR="0" wp14:anchorId="7FB98932" wp14:editId="0BD1464B">
                <wp:extent cx="1347470" cy="481330"/>
                <wp:effectExtent l="0" t="0" r="5080" b="0"/>
                <wp:docPr id="12" name="Picture 1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64464B" w:rsidRPr="002C6633" w:rsidRDefault="0064464B" w:rsidP="00410CF8">
    <w:pPr>
      <w:pStyle w:val="Footerspaci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4B" w:rsidRPr="009A7587" w:rsidRDefault="00C63C5D" w:rsidP="00A1061C">
    <w:pPr>
      <w:tabs>
        <w:tab w:val="right" w:pos="10206"/>
      </w:tabs>
      <w:spacing w:after="120"/>
      <w:ind w:left="-567" w:right="-568"/>
      <w:rPr>
        <w:sz w:val="16"/>
        <w:szCs w:val="16"/>
      </w:rPr>
    </w:pPr>
    <w:r>
      <w:pict w14:anchorId="768259EC">
        <v:rect id="_x0000_i1026" style="width:481.9pt;height:.5pt" o:hralign="center" o:hrstd="t" o:hrnoshade="t" o:hr="t" fillcolor="black [3213]" stroked="f"/>
      </w:pict>
    </w:r>
  </w:p>
  <w:p w:rsidR="0064464B" w:rsidRPr="009568B9" w:rsidRDefault="0064464B" w:rsidP="00A1061C">
    <w:pPr>
      <w:pStyle w:val="NTGFooterDepartmentandPagenumber"/>
      <w:tabs>
        <w:tab w:val="clear" w:pos="9026"/>
        <w:tab w:val="right" w:pos="10206"/>
      </w:tabs>
      <w:ind w:left="-567"/>
    </w:pPr>
    <w:r w:rsidRPr="009568B9">
      <w:rPr>
        <w:rStyle w:val="NTGFooterDepartmentofChar"/>
      </w:rPr>
      <w:fldChar w:fldCharType="begin"/>
    </w:r>
    <w:r w:rsidRPr="009568B9">
      <w:rPr>
        <w:rStyle w:val="NTGFooterDepartmentofChar"/>
      </w:rPr>
      <w:instrText xml:space="preserve"> DOCPROPERTY  DepartmentOf  \* MERGEFORMAT </w:instrText>
    </w:r>
    <w:r w:rsidRPr="009568B9">
      <w:rPr>
        <w:rStyle w:val="NTGFooterDepartmentofChar"/>
      </w:rPr>
      <w:fldChar w:fldCharType="separate"/>
    </w:r>
    <w:r>
      <w:rPr>
        <w:rStyle w:val="NTGFooterDepartmentofChar"/>
      </w:rPr>
      <w:t xml:space="preserve">Department of </w:t>
    </w:r>
    <w:r w:rsidRPr="009568B9">
      <w:rPr>
        <w:rStyle w:val="NTGFooterDepartmentofChar"/>
      </w:rPr>
      <w:fldChar w:fldCharType="end"/>
    </w:r>
    <w:r w:rsidRPr="009568B9">
      <w:rPr>
        <w:rStyle w:val="NTGFooterDepartmentNameChar"/>
      </w:rPr>
      <w:fldChar w:fldCharType="begin"/>
    </w:r>
    <w:r w:rsidRPr="009568B9">
      <w:rPr>
        <w:rStyle w:val="NTGFooterDepartmentNameChar"/>
      </w:rPr>
      <w:instrText xml:space="preserve"> DOCPROPERTY  DepartmentName  \* MERGEFORMAT </w:instrText>
    </w:r>
    <w:r w:rsidRPr="009568B9">
      <w:rPr>
        <w:rStyle w:val="NTGFooterDepartmentNameChar"/>
      </w:rPr>
      <w:fldChar w:fldCharType="separate"/>
    </w:r>
    <w:r>
      <w:rPr>
        <w:rStyle w:val="NTGFooterDepartmentNameChar"/>
      </w:rPr>
      <w:t>Treasury and Finance</w:t>
    </w:r>
    <w:r w:rsidRPr="009568B9">
      <w:rPr>
        <w:rStyle w:val="NTGFooterDepartmentNameChar"/>
      </w:rPr>
      <w:fldChar w:fldCharType="end"/>
    </w:r>
    <w:r w:rsidRPr="009568B9">
      <w:tab/>
      <w:t xml:space="preserve">Page </w:t>
    </w:r>
    <w:r w:rsidRPr="009568B9">
      <w:fldChar w:fldCharType="begin"/>
    </w:r>
    <w:r w:rsidRPr="009568B9">
      <w:instrText xml:space="preserve"> PAGE  \* Arabic  \* MERGEFORMAT </w:instrText>
    </w:r>
    <w:r w:rsidRPr="009568B9">
      <w:fldChar w:fldCharType="separate"/>
    </w:r>
    <w:r>
      <w:rPr>
        <w:noProof/>
      </w:rPr>
      <w:t>4</w:t>
    </w:r>
    <w:r w:rsidRPr="009568B9">
      <w:fldChar w:fldCharType="end"/>
    </w:r>
    <w:r w:rsidRPr="009568B9">
      <w:t xml:space="preserve"> of </w:t>
    </w:r>
    <w:fldSimple w:instr=" NUMPAGES  \* Arabic  \* MERGEFORMAT ">
      <w:r>
        <w:rPr>
          <w:noProof/>
        </w:rPr>
        <w:t>2</w:t>
      </w:r>
    </w:fldSimple>
  </w:p>
  <w:p w:rsidR="0064464B" w:rsidRPr="009568B9" w:rsidRDefault="00406267" w:rsidP="00A1061C">
    <w:pPr>
      <w:pStyle w:val="NTGFooterDateVersion"/>
      <w:ind w:left="-567"/>
    </w:pPr>
    <w:fldSimple w:instr=" DOCPROPERTY  DocumentDate  \* MERGEFORMAT ">
      <w:r w:rsidR="0064464B">
        <w:t>22 February 2018</w:t>
      </w:r>
    </w:fldSimple>
    <w:r w:rsidR="0064464B" w:rsidRPr="009568B9">
      <w:t>, Version </w:t>
    </w:r>
    <w:fldSimple w:instr=" DOCPROPERTY  VersionNo  \* MERGEFORMAT ">
      <w:r w:rsidR="0064464B">
        <w:t>1.0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4B" w:rsidRPr="00F6368A" w:rsidRDefault="0064464B" w:rsidP="00A24C50">
    <w:pPr>
      <w:pStyle w:val="Footer"/>
    </w:pPr>
  </w:p>
  <w:p w:rsidR="0064464B" w:rsidRPr="00F6368A" w:rsidRDefault="0064464B" w:rsidP="009616DF">
    <w:pPr>
      <w:tabs>
        <w:tab w:val="right" w:pos="9639"/>
        <w:tab w:val="right" w:pos="14459"/>
      </w:tabs>
      <w:ind w:left="-709" w:right="-341"/>
      <w:rPr>
        <w:rFonts w:cs="Arial"/>
      </w:rPr>
    </w:pPr>
    <w:r w:rsidRPr="00F6368A">
      <w:rPr>
        <w:rFonts w:cs="Arial"/>
      </w:rPr>
      <w:t xml:space="preserve">DEPARTMENT OF </w:t>
    </w:r>
    <w:r>
      <w:rPr>
        <w:rFonts w:cs="Arial"/>
        <w:b/>
      </w:rPr>
      <w:t>BUSINESS AND EMPLOYMENT</w:t>
    </w:r>
    <w:r>
      <w:rPr>
        <w:rFonts w:cs="Arial"/>
        <w:b/>
      </w:rPr>
      <w:tab/>
    </w:r>
    <w:r w:rsidRPr="00F6368A">
      <w:rPr>
        <w:rStyle w:val="PageNumber"/>
        <w:rFonts w:cs="Arial"/>
      </w:rPr>
      <w:fldChar w:fldCharType="begin"/>
    </w:r>
    <w:r w:rsidRPr="00F6368A">
      <w:rPr>
        <w:rStyle w:val="PageNumber"/>
        <w:rFonts w:cs="Arial"/>
      </w:rPr>
      <w:instrText xml:space="preserve"> PAGE </w:instrText>
    </w:r>
    <w:r w:rsidRPr="00F6368A"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23</w:t>
    </w:r>
    <w:r w:rsidRPr="00F6368A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267" w:rsidRDefault="00406267" w:rsidP="00293A72">
      <w:r>
        <w:separator/>
      </w:r>
    </w:p>
  </w:footnote>
  <w:footnote w:type="continuationSeparator" w:id="0">
    <w:p w:rsidR="00406267" w:rsidRDefault="00406267" w:rsidP="00293A72">
      <w:r>
        <w:continuationSeparator/>
      </w:r>
    </w:p>
  </w:footnote>
  <w:footnote w:type="continuationNotice" w:id="1">
    <w:p w:rsidR="00406267" w:rsidRPr="00FB5692" w:rsidRDefault="00406267" w:rsidP="00FB5692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4B" w:rsidRDefault="0064464B" w:rsidP="007D55DF">
    <w:pPr>
      <w:pStyle w:val="Header"/>
      <w:tabs>
        <w:tab w:val="clear" w:pos="9026"/>
        <w:tab w:val="right" w:pos="10206"/>
      </w:tabs>
    </w:pPr>
    <w:r>
      <w:t>Document control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4B" w:rsidRDefault="0064464B" w:rsidP="009616DF">
    <w:pPr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4B" w:rsidRDefault="0064464B" w:rsidP="00652E1F">
    <w:pPr>
      <w:pStyle w:val="Header"/>
      <w:tabs>
        <w:tab w:val="clear" w:pos="9026"/>
        <w:tab w:val="right" w:pos="10206"/>
      </w:tabs>
      <w:ind w:right="-568"/>
    </w:pPr>
    <w:r>
      <w:t>Document control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4B" w:rsidRDefault="0064464B" w:rsidP="009568B9">
    <w:pPr>
      <w:pStyle w:val="Header"/>
      <w:tabs>
        <w:tab w:val="clear" w:pos="9026"/>
        <w:tab w:val="right" w:pos="10206"/>
      </w:tabs>
    </w:pPr>
    <w:r>
      <w:t>Document control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4B" w:rsidRDefault="0064464B" w:rsidP="00652E1F">
    <w:pPr>
      <w:pStyle w:val="Header"/>
      <w:tabs>
        <w:tab w:val="clear" w:pos="9026"/>
        <w:tab w:val="right" w:pos="10206"/>
      </w:tabs>
      <w:ind w:right="-568"/>
    </w:pPr>
    <w:r>
      <w:t>Table of contents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4B" w:rsidRPr="00274F1C" w:rsidRDefault="0064464B" w:rsidP="009568B9">
    <w:pPr>
      <w:pStyle w:val="Header"/>
      <w:tabs>
        <w:tab w:val="clear" w:pos="4513"/>
        <w:tab w:val="clear" w:pos="9026"/>
      </w:tabs>
      <w:ind w:right="-568"/>
    </w:pPr>
    <w:r w:rsidRPr="00274F1C">
      <w:t>Table of Contents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4B" w:rsidRPr="00274F1C" w:rsidRDefault="00406267" w:rsidP="009568B9">
    <w:pPr>
      <w:pStyle w:val="Header"/>
      <w:tabs>
        <w:tab w:val="clear" w:pos="4513"/>
        <w:tab w:val="clear" w:pos="9026"/>
      </w:tabs>
      <w:ind w:right="-568"/>
    </w:pPr>
    <w:fldSimple w:instr=" TITLE   \* MERGEFORMAT ">
      <w:r w:rsidR="0064464B">
        <w:t>Guidance document: Classification of the functions of government – Australia (COFOG-A)</w:t>
      </w:r>
    </w:fldSimple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64B" w:rsidRPr="00861DC3" w:rsidRDefault="0064464B" w:rsidP="00354E47">
    <w:pPr>
      <w:pStyle w:val="Header"/>
      <w:tabs>
        <w:tab w:val="clear" w:pos="4513"/>
        <w:tab w:val="clear" w:pos="9026"/>
      </w:tabs>
      <w:ind w:right="-285"/>
    </w:pPr>
    <w:r>
      <w:t>Policy</w:t>
    </w:r>
    <w:r w:rsidRPr="00861DC3">
      <w:t xml:space="preserve"> Name</w:t>
    </w:r>
  </w:p>
  <w:p w:rsidR="0064464B" w:rsidRDefault="0064464B" w:rsidP="00354E47"/>
  <w:p w:rsidR="0064464B" w:rsidRDefault="0064464B" w:rsidP="00354E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DC8693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40F33"/>
    <w:multiLevelType w:val="hybridMultilevel"/>
    <w:tmpl w:val="77EAD8F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30F0990"/>
    <w:multiLevelType w:val="multilevel"/>
    <w:tmpl w:val="0C78A7AC"/>
    <w:styleLink w:val="NTGTableList"/>
    <w:lvl w:ilvl="0">
      <w:start w:val="1"/>
      <w:numFmt w:val="bullet"/>
      <w:pStyle w:val="NTGTableBulletList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NTGTableBulletList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NTGTableBulletList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NTGTableBulletList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NTGTableBulletList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NTGTableBulletList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NTGTableBulletList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NTGTableBulletList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NTGTableBulletList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" w15:restartNumberingAfterBreak="0">
    <w:nsid w:val="03686631"/>
    <w:multiLevelType w:val="multilevel"/>
    <w:tmpl w:val="BD7A8414"/>
    <w:numStyleLink w:val="NTGStandardList"/>
  </w:abstractNum>
  <w:abstractNum w:abstractNumId="4" w15:restartNumberingAfterBreak="0">
    <w:nsid w:val="071732C8"/>
    <w:multiLevelType w:val="multilevel"/>
    <w:tmpl w:val="CA1E8416"/>
    <w:lvl w:ilvl="0">
      <w:start w:val="1"/>
      <w:numFmt w:val="bullet"/>
      <w:lvlText w:val="o"/>
      <w:lvlJc w:val="left"/>
      <w:pPr>
        <w:ind w:left="357" w:hanging="357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" w15:restartNumberingAfterBreak="0">
    <w:nsid w:val="13AD76A3"/>
    <w:multiLevelType w:val="multilevel"/>
    <w:tmpl w:val="BD7A8414"/>
    <w:numStyleLink w:val="NTGStandardList"/>
  </w:abstractNum>
  <w:abstractNum w:abstractNumId="6" w15:restartNumberingAfterBreak="0">
    <w:nsid w:val="13C652DE"/>
    <w:multiLevelType w:val="hybridMultilevel"/>
    <w:tmpl w:val="90DE2374"/>
    <w:lvl w:ilvl="0" w:tplc="0C090019">
      <w:start w:val="1"/>
      <w:numFmt w:val="lowerLetter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190213D5"/>
    <w:multiLevelType w:val="multilevel"/>
    <w:tmpl w:val="BD7A8414"/>
    <w:numStyleLink w:val="NTGStandardList"/>
  </w:abstractNum>
  <w:abstractNum w:abstractNumId="8" w15:restartNumberingAfterBreak="0">
    <w:nsid w:val="24E93944"/>
    <w:multiLevelType w:val="multilevel"/>
    <w:tmpl w:val="BD7A8414"/>
    <w:styleLink w:val="NTGStandardList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9" w15:restartNumberingAfterBreak="0">
    <w:nsid w:val="28545CCB"/>
    <w:multiLevelType w:val="multilevel"/>
    <w:tmpl w:val="0C78A7AC"/>
    <w:numStyleLink w:val="NTGTableList"/>
  </w:abstractNum>
  <w:abstractNum w:abstractNumId="10" w15:restartNumberingAfterBreak="0">
    <w:nsid w:val="2B1B5C49"/>
    <w:multiLevelType w:val="hybridMultilevel"/>
    <w:tmpl w:val="20B63362"/>
    <w:lvl w:ilvl="0" w:tplc="D79E596C">
      <w:numFmt w:val="bullet"/>
      <w:lvlText w:val="–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D997BC5"/>
    <w:multiLevelType w:val="hybridMultilevel"/>
    <w:tmpl w:val="14346932"/>
    <w:lvl w:ilvl="0" w:tplc="0C090019">
      <w:start w:val="1"/>
      <w:numFmt w:val="lowerLetter"/>
      <w:lvlText w:val="%1."/>
      <w:lvlJc w:val="left"/>
      <w:pPr>
        <w:ind w:left="1140" w:hanging="360"/>
      </w:p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FE75D76"/>
    <w:multiLevelType w:val="hybridMultilevel"/>
    <w:tmpl w:val="61987E54"/>
    <w:lvl w:ilvl="0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33AC0BD5"/>
    <w:multiLevelType w:val="multilevel"/>
    <w:tmpl w:val="39746A98"/>
    <w:styleLink w:val="NTGTableNumList"/>
    <w:lvl w:ilvl="0">
      <w:start w:val="1"/>
      <w:numFmt w:val="decimal"/>
      <w:pStyle w:val="NTGTableNumLis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NTGTableNumList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NTGTableNumList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NTGTableNumList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NTGTableNumList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NTGTableNumList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NTGTableNumList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NTGTableNumList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NTGTableNumList9"/>
      <w:lvlText w:val="%9.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34544056"/>
    <w:multiLevelType w:val="hybridMultilevel"/>
    <w:tmpl w:val="C478DE5E"/>
    <w:lvl w:ilvl="0" w:tplc="0C090019">
      <w:start w:val="1"/>
      <w:numFmt w:val="lowerLetter"/>
      <w:lvlText w:val="%1."/>
      <w:lvlJc w:val="left"/>
      <w:pPr>
        <w:ind w:left="1140" w:hanging="360"/>
      </w:p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703314A"/>
    <w:multiLevelType w:val="multilevel"/>
    <w:tmpl w:val="BD7A8414"/>
    <w:numStyleLink w:val="NTGStandardList"/>
  </w:abstractNum>
  <w:abstractNum w:abstractNumId="16" w15:restartNumberingAfterBreak="0">
    <w:nsid w:val="3C4026D9"/>
    <w:multiLevelType w:val="multilevel"/>
    <w:tmpl w:val="BD7A8414"/>
    <w:numStyleLink w:val="NTGStandardList"/>
  </w:abstractNum>
  <w:abstractNum w:abstractNumId="17" w15:restartNumberingAfterBreak="0">
    <w:nsid w:val="3FFA172F"/>
    <w:multiLevelType w:val="hybridMultilevel"/>
    <w:tmpl w:val="4E7E949A"/>
    <w:lvl w:ilvl="0" w:tplc="0C090019">
      <w:start w:val="1"/>
      <w:numFmt w:val="lowerLetter"/>
      <w:lvlText w:val="%1."/>
      <w:lvlJc w:val="left"/>
      <w:pPr>
        <w:ind w:left="1077" w:hanging="360"/>
      </w:pPr>
    </w:lvl>
    <w:lvl w:ilvl="1" w:tplc="0C090019" w:tentative="1">
      <w:start w:val="1"/>
      <w:numFmt w:val="lowerLetter"/>
      <w:lvlText w:val="%2."/>
      <w:lvlJc w:val="left"/>
      <w:pPr>
        <w:ind w:left="1797" w:hanging="360"/>
      </w:pPr>
    </w:lvl>
    <w:lvl w:ilvl="2" w:tplc="0C09001B" w:tentative="1">
      <w:start w:val="1"/>
      <w:numFmt w:val="lowerRoman"/>
      <w:lvlText w:val="%3."/>
      <w:lvlJc w:val="right"/>
      <w:pPr>
        <w:ind w:left="2517" w:hanging="180"/>
      </w:pPr>
    </w:lvl>
    <w:lvl w:ilvl="3" w:tplc="0C09000F" w:tentative="1">
      <w:start w:val="1"/>
      <w:numFmt w:val="decimal"/>
      <w:lvlText w:val="%4."/>
      <w:lvlJc w:val="left"/>
      <w:pPr>
        <w:ind w:left="3237" w:hanging="360"/>
      </w:pPr>
    </w:lvl>
    <w:lvl w:ilvl="4" w:tplc="0C090019" w:tentative="1">
      <w:start w:val="1"/>
      <w:numFmt w:val="lowerLetter"/>
      <w:lvlText w:val="%5."/>
      <w:lvlJc w:val="left"/>
      <w:pPr>
        <w:ind w:left="3957" w:hanging="360"/>
      </w:pPr>
    </w:lvl>
    <w:lvl w:ilvl="5" w:tplc="0C09001B" w:tentative="1">
      <w:start w:val="1"/>
      <w:numFmt w:val="lowerRoman"/>
      <w:lvlText w:val="%6."/>
      <w:lvlJc w:val="right"/>
      <w:pPr>
        <w:ind w:left="4677" w:hanging="180"/>
      </w:pPr>
    </w:lvl>
    <w:lvl w:ilvl="6" w:tplc="0C09000F" w:tentative="1">
      <w:start w:val="1"/>
      <w:numFmt w:val="decimal"/>
      <w:lvlText w:val="%7."/>
      <w:lvlJc w:val="left"/>
      <w:pPr>
        <w:ind w:left="5397" w:hanging="360"/>
      </w:pPr>
    </w:lvl>
    <w:lvl w:ilvl="7" w:tplc="0C090019" w:tentative="1">
      <w:start w:val="1"/>
      <w:numFmt w:val="lowerLetter"/>
      <w:lvlText w:val="%8."/>
      <w:lvlJc w:val="left"/>
      <w:pPr>
        <w:ind w:left="6117" w:hanging="360"/>
      </w:pPr>
    </w:lvl>
    <w:lvl w:ilvl="8" w:tplc="0C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1080A01"/>
    <w:multiLevelType w:val="hybridMultilevel"/>
    <w:tmpl w:val="F31AE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F70CC"/>
    <w:multiLevelType w:val="multilevel"/>
    <w:tmpl w:val="39746A98"/>
    <w:numStyleLink w:val="NTGTableNumList"/>
  </w:abstractNum>
  <w:abstractNum w:abstractNumId="20" w15:restartNumberingAfterBreak="0">
    <w:nsid w:val="450C11DC"/>
    <w:multiLevelType w:val="hybridMultilevel"/>
    <w:tmpl w:val="A3C088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9C4B56"/>
    <w:multiLevelType w:val="hybridMultilevel"/>
    <w:tmpl w:val="C31A555C"/>
    <w:lvl w:ilvl="0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860" w:hanging="360"/>
      </w:pPr>
    </w:lvl>
    <w:lvl w:ilvl="2" w:tplc="0C09001B" w:tentative="1">
      <w:start w:val="1"/>
      <w:numFmt w:val="lowerRoman"/>
      <w:lvlText w:val="%3."/>
      <w:lvlJc w:val="right"/>
      <w:pPr>
        <w:ind w:left="2580" w:hanging="180"/>
      </w:pPr>
    </w:lvl>
    <w:lvl w:ilvl="3" w:tplc="0C09000F" w:tentative="1">
      <w:start w:val="1"/>
      <w:numFmt w:val="decimal"/>
      <w:lvlText w:val="%4."/>
      <w:lvlJc w:val="left"/>
      <w:pPr>
        <w:ind w:left="3300" w:hanging="360"/>
      </w:pPr>
    </w:lvl>
    <w:lvl w:ilvl="4" w:tplc="0C090019" w:tentative="1">
      <w:start w:val="1"/>
      <w:numFmt w:val="lowerLetter"/>
      <w:lvlText w:val="%5."/>
      <w:lvlJc w:val="left"/>
      <w:pPr>
        <w:ind w:left="4020" w:hanging="360"/>
      </w:pPr>
    </w:lvl>
    <w:lvl w:ilvl="5" w:tplc="0C09001B" w:tentative="1">
      <w:start w:val="1"/>
      <w:numFmt w:val="lowerRoman"/>
      <w:lvlText w:val="%6."/>
      <w:lvlJc w:val="right"/>
      <w:pPr>
        <w:ind w:left="4740" w:hanging="180"/>
      </w:pPr>
    </w:lvl>
    <w:lvl w:ilvl="6" w:tplc="0C09000F" w:tentative="1">
      <w:start w:val="1"/>
      <w:numFmt w:val="decimal"/>
      <w:lvlText w:val="%7."/>
      <w:lvlJc w:val="left"/>
      <w:pPr>
        <w:ind w:left="5460" w:hanging="360"/>
      </w:pPr>
    </w:lvl>
    <w:lvl w:ilvl="7" w:tplc="0C090019" w:tentative="1">
      <w:start w:val="1"/>
      <w:numFmt w:val="lowerLetter"/>
      <w:lvlText w:val="%8."/>
      <w:lvlJc w:val="left"/>
      <w:pPr>
        <w:ind w:left="6180" w:hanging="360"/>
      </w:pPr>
    </w:lvl>
    <w:lvl w:ilvl="8" w:tplc="0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9156E4B"/>
    <w:multiLevelType w:val="multilevel"/>
    <w:tmpl w:val="150CBEAE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3" w15:restartNumberingAfterBreak="0">
    <w:nsid w:val="4A960F42"/>
    <w:multiLevelType w:val="multilevel"/>
    <w:tmpl w:val="4E6AC8F6"/>
    <w:numStyleLink w:val="NTGStandardNumList"/>
  </w:abstractNum>
  <w:abstractNum w:abstractNumId="24" w15:restartNumberingAfterBreak="0">
    <w:nsid w:val="4D90555D"/>
    <w:multiLevelType w:val="multilevel"/>
    <w:tmpl w:val="4E6AC8F6"/>
    <w:styleLink w:val="NTGStandardNumList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5" w15:restartNumberingAfterBreak="0">
    <w:nsid w:val="4FAF2B20"/>
    <w:multiLevelType w:val="multilevel"/>
    <w:tmpl w:val="BD7A8414"/>
    <w:numStyleLink w:val="NTGStandardList"/>
  </w:abstractNum>
  <w:abstractNum w:abstractNumId="26" w15:restartNumberingAfterBreak="0">
    <w:nsid w:val="52362CFF"/>
    <w:multiLevelType w:val="multilevel"/>
    <w:tmpl w:val="F6A247F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7" w15:restartNumberingAfterBreak="0">
    <w:nsid w:val="56012FCD"/>
    <w:multiLevelType w:val="multilevel"/>
    <w:tmpl w:val="BD7A8414"/>
    <w:numStyleLink w:val="NTGStandardList"/>
  </w:abstractNum>
  <w:abstractNum w:abstractNumId="28" w15:restartNumberingAfterBreak="0">
    <w:nsid w:val="649B6C53"/>
    <w:multiLevelType w:val="multilevel"/>
    <w:tmpl w:val="BD7A8414"/>
    <w:numStyleLink w:val="NTGStandardList"/>
  </w:abstractNum>
  <w:abstractNum w:abstractNumId="29" w15:restartNumberingAfterBreak="0">
    <w:nsid w:val="79CC6470"/>
    <w:multiLevelType w:val="multilevel"/>
    <w:tmpl w:val="B386C48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E3A481E"/>
    <w:multiLevelType w:val="multilevel"/>
    <w:tmpl w:val="BD7A8414"/>
    <w:numStyleLink w:val="NTGStandardList"/>
  </w:abstractNum>
  <w:num w:numId="1">
    <w:abstractNumId w:val="29"/>
  </w:num>
  <w:num w:numId="2">
    <w:abstractNumId w:val="8"/>
  </w:num>
  <w:num w:numId="3">
    <w:abstractNumId w:val="24"/>
  </w:num>
  <w:num w:numId="4">
    <w:abstractNumId w:val="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27"/>
  </w:num>
  <w:num w:numId="10">
    <w:abstractNumId w:val="20"/>
  </w:num>
  <w:num w:numId="11">
    <w:abstractNumId w:val="1"/>
  </w:num>
  <w:num w:numId="12">
    <w:abstractNumId w:val="23"/>
  </w:num>
  <w:num w:numId="13">
    <w:abstractNumId w:val="15"/>
  </w:num>
  <w:num w:numId="14">
    <w:abstractNumId w:val="25"/>
  </w:num>
  <w:num w:numId="15">
    <w:abstractNumId w:val="7"/>
  </w:num>
  <w:num w:numId="16">
    <w:abstractNumId w:val="30"/>
  </w:num>
  <w:num w:numId="17">
    <w:abstractNumId w:val="28"/>
  </w:num>
  <w:num w:numId="18">
    <w:abstractNumId w:val="3"/>
  </w:num>
  <w:num w:numId="19">
    <w:abstractNumId w:val="16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1"/>
  </w:num>
  <w:num w:numId="23">
    <w:abstractNumId w:val="14"/>
  </w:num>
  <w:num w:numId="24">
    <w:abstractNumId w:val="6"/>
  </w:num>
  <w:num w:numId="25">
    <w:abstractNumId w:val="10"/>
  </w:num>
  <w:num w:numId="26">
    <w:abstractNumId w:val="0"/>
  </w:num>
  <w:num w:numId="27">
    <w:abstractNumId w:val="17"/>
  </w:num>
  <w:num w:numId="28">
    <w:abstractNumId w:val="23"/>
  </w:num>
  <w:num w:numId="29">
    <w:abstractNumId w:val="18"/>
  </w:num>
  <w:num w:numId="30">
    <w:abstractNumId w:val="26"/>
  </w:num>
  <w:num w:numId="31">
    <w:abstractNumId w:val="21"/>
  </w:num>
  <w:num w:numId="32">
    <w:abstractNumId w:val="4"/>
  </w:num>
  <w:num w:numId="33">
    <w:abstractNumId w:val="22"/>
  </w:num>
  <w:num w:numId="3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trackRevisions/>
  <w:defaultTabStop w:val="284"/>
  <w:defaultTableStyle w:val="NTGTable"/>
  <w:drawingGridHorizontalSpacing w:val="110"/>
  <w:displayHorizontalDrawingGridEvery w:val="2"/>
  <w:displayVerticalDrawingGridEvery w:val="2"/>
  <w:characterSpacingControl w:val="doNotCompress"/>
  <w:hdrShapeDefaults>
    <o:shapedefaults v:ext="edit" spidmax="409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F94"/>
    <w:rsid w:val="000102B4"/>
    <w:rsid w:val="00010839"/>
    <w:rsid w:val="00010B68"/>
    <w:rsid w:val="0001291F"/>
    <w:rsid w:val="0001749F"/>
    <w:rsid w:val="00020249"/>
    <w:rsid w:val="00021422"/>
    <w:rsid w:val="00025728"/>
    <w:rsid w:val="00027D9F"/>
    <w:rsid w:val="00030C95"/>
    <w:rsid w:val="00031544"/>
    <w:rsid w:val="00031593"/>
    <w:rsid w:val="000350A1"/>
    <w:rsid w:val="000352DD"/>
    <w:rsid w:val="00036B7F"/>
    <w:rsid w:val="00037C36"/>
    <w:rsid w:val="00037FC6"/>
    <w:rsid w:val="00042F6B"/>
    <w:rsid w:val="00043E30"/>
    <w:rsid w:val="000442F8"/>
    <w:rsid w:val="00046FAF"/>
    <w:rsid w:val="00053A16"/>
    <w:rsid w:val="0005581E"/>
    <w:rsid w:val="000579A7"/>
    <w:rsid w:val="00064E03"/>
    <w:rsid w:val="000659AD"/>
    <w:rsid w:val="00067F54"/>
    <w:rsid w:val="0007076E"/>
    <w:rsid w:val="00071689"/>
    <w:rsid w:val="00071BCA"/>
    <w:rsid w:val="00071D36"/>
    <w:rsid w:val="0007259C"/>
    <w:rsid w:val="0008308A"/>
    <w:rsid w:val="000869B5"/>
    <w:rsid w:val="000A0C61"/>
    <w:rsid w:val="000A55BC"/>
    <w:rsid w:val="000B1DFF"/>
    <w:rsid w:val="000B2A36"/>
    <w:rsid w:val="000B3420"/>
    <w:rsid w:val="000B580E"/>
    <w:rsid w:val="000C21B3"/>
    <w:rsid w:val="000C3AAF"/>
    <w:rsid w:val="000D601D"/>
    <w:rsid w:val="000D6D9E"/>
    <w:rsid w:val="000E3A0B"/>
    <w:rsid w:val="000E41C6"/>
    <w:rsid w:val="000E4DA4"/>
    <w:rsid w:val="000E538B"/>
    <w:rsid w:val="000E64AE"/>
    <w:rsid w:val="000E651C"/>
    <w:rsid w:val="000E749B"/>
    <w:rsid w:val="000F0145"/>
    <w:rsid w:val="000F1CDB"/>
    <w:rsid w:val="000F2F48"/>
    <w:rsid w:val="000F2F9E"/>
    <w:rsid w:val="0010364F"/>
    <w:rsid w:val="00104224"/>
    <w:rsid w:val="0010751B"/>
    <w:rsid w:val="00107717"/>
    <w:rsid w:val="001101AE"/>
    <w:rsid w:val="001131C9"/>
    <w:rsid w:val="00117743"/>
    <w:rsid w:val="00117F5B"/>
    <w:rsid w:val="00122FDD"/>
    <w:rsid w:val="00126ADB"/>
    <w:rsid w:val="00126E8C"/>
    <w:rsid w:val="001324D8"/>
    <w:rsid w:val="00133DCC"/>
    <w:rsid w:val="00133F92"/>
    <w:rsid w:val="0013540A"/>
    <w:rsid w:val="00146905"/>
    <w:rsid w:val="00150B00"/>
    <w:rsid w:val="001517D8"/>
    <w:rsid w:val="00161118"/>
    <w:rsid w:val="001621A8"/>
    <w:rsid w:val="001636FF"/>
    <w:rsid w:val="001638F6"/>
    <w:rsid w:val="0016402C"/>
    <w:rsid w:val="00166DF2"/>
    <w:rsid w:val="001675E1"/>
    <w:rsid w:val="0017419F"/>
    <w:rsid w:val="00174A2C"/>
    <w:rsid w:val="0017512B"/>
    <w:rsid w:val="0017601D"/>
    <w:rsid w:val="00177144"/>
    <w:rsid w:val="0017745B"/>
    <w:rsid w:val="00184F9F"/>
    <w:rsid w:val="001908CB"/>
    <w:rsid w:val="001A2B7F"/>
    <w:rsid w:val="001B00E6"/>
    <w:rsid w:val="001B0D2D"/>
    <w:rsid w:val="001B2BB8"/>
    <w:rsid w:val="001B5389"/>
    <w:rsid w:val="001B62F7"/>
    <w:rsid w:val="001C207A"/>
    <w:rsid w:val="001C269D"/>
    <w:rsid w:val="001C40CB"/>
    <w:rsid w:val="001C42BA"/>
    <w:rsid w:val="001D1F24"/>
    <w:rsid w:val="001D2E8A"/>
    <w:rsid w:val="001D3862"/>
    <w:rsid w:val="001D49FA"/>
    <w:rsid w:val="001D634D"/>
    <w:rsid w:val="001D6766"/>
    <w:rsid w:val="001D705C"/>
    <w:rsid w:val="001E210A"/>
    <w:rsid w:val="001E2953"/>
    <w:rsid w:val="001E2F4C"/>
    <w:rsid w:val="001E56E7"/>
    <w:rsid w:val="001E5ECE"/>
    <w:rsid w:val="001F139B"/>
    <w:rsid w:val="001F2613"/>
    <w:rsid w:val="00202218"/>
    <w:rsid w:val="00210858"/>
    <w:rsid w:val="00220F61"/>
    <w:rsid w:val="002213F4"/>
    <w:rsid w:val="002229A7"/>
    <w:rsid w:val="002235AC"/>
    <w:rsid w:val="002258B7"/>
    <w:rsid w:val="0022771E"/>
    <w:rsid w:val="002346FA"/>
    <w:rsid w:val="002375B0"/>
    <w:rsid w:val="00237F86"/>
    <w:rsid w:val="00240304"/>
    <w:rsid w:val="002418FE"/>
    <w:rsid w:val="00245F3E"/>
    <w:rsid w:val="00246A27"/>
    <w:rsid w:val="00250E2B"/>
    <w:rsid w:val="00252C5D"/>
    <w:rsid w:val="00254570"/>
    <w:rsid w:val="00255F0F"/>
    <w:rsid w:val="00260DAE"/>
    <w:rsid w:val="00265121"/>
    <w:rsid w:val="0026593F"/>
    <w:rsid w:val="00267AD3"/>
    <w:rsid w:val="00272D80"/>
    <w:rsid w:val="0027411A"/>
    <w:rsid w:val="00274F1C"/>
    <w:rsid w:val="00275213"/>
    <w:rsid w:val="0027611F"/>
    <w:rsid w:val="00276583"/>
    <w:rsid w:val="0027738B"/>
    <w:rsid w:val="0028151E"/>
    <w:rsid w:val="00287CA3"/>
    <w:rsid w:val="002908B1"/>
    <w:rsid w:val="00293A72"/>
    <w:rsid w:val="00296617"/>
    <w:rsid w:val="00297A55"/>
    <w:rsid w:val="00297D97"/>
    <w:rsid w:val="002A061A"/>
    <w:rsid w:val="002A57F2"/>
    <w:rsid w:val="002B5AF3"/>
    <w:rsid w:val="002B5C32"/>
    <w:rsid w:val="002C3C6A"/>
    <w:rsid w:val="002C4BC3"/>
    <w:rsid w:val="002C4C59"/>
    <w:rsid w:val="002C6633"/>
    <w:rsid w:val="002D0A57"/>
    <w:rsid w:val="002D1DC9"/>
    <w:rsid w:val="002D348C"/>
    <w:rsid w:val="002D385E"/>
    <w:rsid w:val="002E1818"/>
    <w:rsid w:val="002E3B83"/>
    <w:rsid w:val="002E3EFB"/>
    <w:rsid w:val="002E4182"/>
    <w:rsid w:val="002E6C40"/>
    <w:rsid w:val="002F2885"/>
    <w:rsid w:val="002F3431"/>
    <w:rsid w:val="00300680"/>
    <w:rsid w:val="003041B9"/>
    <w:rsid w:val="00310B65"/>
    <w:rsid w:val="00311DF6"/>
    <w:rsid w:val="003145BE"/>
    <w:rsid w:val="003207F8"/>
    <w:rsid w:val="00323EE7"/>
    <w:rsid w:val="0032424B"/>
    <w:rsid w:val="003366A7"/>
    <w:rsid w:val="00342283"/>
    <w:rsid w:val="0034463B"/>
    <w:rsid w:val="0034713C"/>
    <w:rsid w:val="00347245"/>
    <w:rsid w:val="00347CBD"/>
    <w:rsid w:val="00353631"/>
    <w:rsid w:val="00354E47"/>
    <w:rsid w:val="00356D80"/>
    <w:rsid w:val="00362D35"/>
    <w:rsid w:val="0036601D"/>
    <w:rsid w:val="003758FE"/>
    <w:rsid w:val="00375DE4"/>
    <w:rsid w:val="003825D3"/>
    <w:rsid w:val="00383815"/>
    <w:rsid w:val="00387390"/>
    <w:rsid w:val="00394AAF"/>
    <w:rsid w:val="00396F87"/>
    <w:rsid w:val="00397194"/>
    <w:rsid w:val="003973F9"/>
    <w:rsid w:val="003B0A8E"/>
    <w:rsid w:val="003B2E21"/>
    <w:rsid w:val="003B78AD"/>
    <w:rsid w:val="003B7AD5"/>
    <w:rsid w:val="003C28E8"/>
    <w:rsid w:val="003C2B69"/>
    <w:rsid w:val="003C5418"/>
    <w:rsid w:val="003D1543"/>
    <w:rsid w:val="003D2E72"/>
    <w:rsid w:val="003D5DCE"/>
    <w:rsid w:val="003E317B"/>
    <w:rsid w:val="003E36E9"/>
    <w:rsid w:val="003E609D"/>
    <w:rsid w:val="003F0015"/>
    <w:rsid w:val="003F0BAA"/>
    <w:rsid w:val="003F7670"/>
    <w:rsid w:val="003F7E04"/>
    <w:rsid w:val="00400524"/>
    <w:rsid w:val="0040077F"/>
    <w:rsid w:val="0040222A"/>
    <w:rsid w:val="00404201"/>
    <w:rsid w:val="004047BC"/>
    <w:rsid w:val="00404B85"/>
    <w:rsid w:val="00406267"/>
    <w:rsid w:val="00406F6D"/>
    <w:rsid w:val="00407CDD"/>
    <w:rsid w:val="00410CF8"/>
    <w:rsid w:val="00411AEA"/>
    <w:rsid w:val="00412C0B"/>
    <w:rsid w:val="00414931"/>
    <w:rsid w:val="0041607F"/>
    <w:rsid w:val="00420C06"/>
    <w:rsid w:val="0042197E"/>
    <w:rsid w:val="0042205C"/>
    <w:rsid w:val="00426E25"/>
    <w:rsid w:val="00431373"/>
    <w:rsid w:val="00431A45"/>
    <w:rsid w:val="00431EDD"/>
    <w:rsid w:val="00434174"/>
    <w:rsid w:val="00437812"/>
    <w:rsid w:val="00437A33"/>
    <w:rsid w:val="00445BD5"/>
    <w:rsid w:val="004464F4"/>
    <w:rsid w:val="00452631"/>
    <w:rsid w:val="004569A0"/>
    <w:rsid w:val="004611EE"/>
    <w:rsid w:val="00462EFE"/>
    <w:rsid w:val="00463FFC"/>
    <w:rsid w:val="004672E8"/>
    <w:rsid w:val="00470AB0"/>
    <w:rsid w:val="00473871"/>
    <w:rsid w:val="00474F76"/>
    <w:rsid w:val="00483567"/>
    <w:rsid w:val="004876CA"/>
    <w:rsid w:val="00487AD0"/>
    <w:rsid w:val="004917A2"/>
    <w:rsid w:val="00494B8B"/>
    <w:rsid w:val="00494E65"/>
    <w:rsid w:val="0049776E"/>
    <w:rsid w:val="004979B7"/>
    <w:rsid w:val="004A077E"/>
    <w:rsid w:val="004A097C"/>
    <w:rsid w:val="004A1318"/>
    <w:rsid w:val="004A5828"/>
    <w:rsid w:val="004A5AC6"/>
    <w:rsid w:val="004A7022"/>
    <w:rsid w:val="004B1434"/>
    <w:rsid w:val="004B2208"/>
    <w:rsid w:val="004B56D0"/>
    <w:rsid w:val="004C1022"/>
    <w:rsid w:val="004C12EE"/>
    <w:rsid w:val="004C4F80"/>
    <w:rsid w:val="004C7007"/>
    <w:rsid w:val="004D4F55"/>
    <w:rsid w:val="004D538E"/>
    <w:rsid w:val="004D720D"/>
    <w:rsid w:val="004D7858"/>
    <w:rsid w:val="004E0FBA"/>
    <w:rsid w:val="004E3196"/>
    <w:rsid w:val="004F1EA5"/>
    <w:rsid w:val="004F3A84"/>
    <w:rsid w:val="004F5154"/>
    <w:rsid w:val="004F652B"/>
    <w:rsid w:val="0050585D"/>
    <w:rsid w:val="00506F94"/>
    <w:rsid w:val="00507782"/>
    <w:rsid w:val="00511F72"/>
    <w:rsid w:val="00512A04"/>
    <w:rsid w:val="00512A7D"/>
    <w:rsid w:val="005130C6"/>
    <w:rsid w:val="0051339D"/>
    <w:rsid w:val="00513D5B"/>
    <w:rsid w:val="00516AB3"/>
    <w:rsid w:val="00516B26"/>
    <w:rsid w:val="00517D7A"/>
    <w:rsid w:val="00521D4C"/>
    <w:rsid w:val="00521F21"/>
    <w:rsid w:val="00522C01"/>
    <w:rsid w:val="005232A3"/>
    <w:rsid w:val="0052441C"/>
    <w:rsid w:val="00525EB8"/>
    <w:rsid w:val="00525EB9"/>
    <w:rsid w:val="0053304F"/>
    <w:rsid w:val="00534091"/>
    <w:rsid w:val="005427A9"/>
    <w:rsid w:val="005462A7"/>
    <w:rsid w:val="00550AF5"/>
    <w:rsid w:val="00550F98"/>
    <w:rsid w:val="005518B2"/>
    <w:rsid w:val="00551D26"/>
    <w:rsid w:val="00552DC3"/>
    <w:rsid w:val="005570C9"/>
    <w:rsid w:val="00561D35"/>
    <w:rsid w:val="0056302E"/>
    <w:rsid w:val="00563B18"/>
    <w:rsid w:val="005654B8"/>
    <w:rsid w:val="005666BC"/>
    <w:rsid w:val="0056691F"/>
    <w:rsid w:val="00567444"/>
    <w:rsid w:val="00574E3D"/>
    <w:rsid w:val="00576A68"/>
    <w:rsid w:val="005801A9"/>
    <w:rsid w:val="00580505"/>
    <w:rsid w:val="00584AC1"/>
    <w:rsid w:val="00584F5C"/>
    <w:rsid w:val="00586714"/>
    <w:rsid w:val="00592014"/>
    <w:rsid w:val="00592AC6"/>
    <w:rsid w:val="00592F52"/>
    <w:rsid w:val="00594956"/>
    <w:rsid w:val="00597C89"/>
    <w:rsid w:val="005A1BB1"/>
    <w:rsid w:val="005A5846"/>
    <w:rsid w:val="005A7A8F"/>
    <w:rsid w:val="005B0818"/>
    <w:rsid w:val="005B346A"/>
    <w:rsid w:val="005B46D4"/>
    <w:rsid w:val="005B4B80"/>
    <w:rsid w:val="005B5AC2"/>
    <w:rsid w:val="005B77FD"/>
    <w:rsid w:val="005C1413"/>
    <w:rsid w:val="005C57DE"/>
    <w:rsid w:val="005D1B93"/>
    <w:rsid w:val="005D269A"/>
    <w:rsid w:val="005D42BC"/>
    <w:rsid w:val="005E02C0"/>
    <w:rsid w:val="005E1E0F"/>
    <w:rsid w:val="005E2F53"/>
    <w:rsid w:val="005E3893"/>
    <w:rsid w:val="005E540C"/>
    <w:rsid w:val="005E6AF0"/>
    <w:rsid w:val="005F175A"/>
    <w:rsid w:val="005F764E"/>
    <w:rsid w:val="005F7C4C"/>
    <w:rsid w:val="006005D1"/>
    <w:rsid w:val="0060545C"/>
    <w:rsid w:val="00606A3F"/>
    <w:rsid w:val="00611486"/>
    <w:rsid w:val="0062147A"/>
    <w:rsid w:val="0062572E"/>
    <w:rsid w:val="00625C16"/>
    <w:rsid w:val="006260E5"/>
    <w:rsid w:val="006275AA"/>
    <w:rsid w:val="006279A6"/>
    <w:rsid w:val="006304B7"/>
    <w:rsid w:val="00630CB2"/>
    <w:rsid w:val="00631509"/>
    <w:rsid w:val="00631EB0"/>
    <w:rsid w:val="006324C4"/>
    <w:rsid w:val="00634329"/>
    <w:rsid w:val="00640A84"/>
    <w:rsid w:val="00640FC1"/>
    <w:rsid w:val="006422E0"/>
    <w:rsid w:val="006436BA"/>
    <w:rsid w:val="0064464B"/>
    <w:rsid w:val="00645DA5"/>
    <w:rsid w:val="006471CC"/>
    <w:rsid w:val="00647786"/>
    <w:rsid w:val="00650B6E"/>
    <w:rsid w:val="00650F5B"/>
    <w:rsid w:val="00652E1F"/>
    <w:rsid w:val="00654717"/>
    <w:rsid w:val="00655CA7"/>
    <w:rsid w:val="0065784C"/>
    <w:rsid w:val="006621DD"/>
    <w:rsid w:val="00664D41"/>
    <w:rsid w:val="006702FB"/>
    <w:rsid w:val="00671027"/>
    <w:rsid w:val="006719EA"/>
    <w:rsid w:val="0068187F"/>
    <w:rsid w:val="006833F8"/>
    <w:rsid w:val="0068384D"/>
    <w:rsid w:val="00687540"/>
    <w:rsid w:val="006925EF"/>
    <w:rsid w:val="006927B6"/>
    <w:rsid w:val="00694D69"/>
    <w:rsid w:val="006958D1"/>
    <w:rsid w:val="0069598C"/>
    <w:rsid w:val="00696939"/>
    <w:rsid w:val="006A1065"/>
    <w:rsid w:val="006A3BA4"/>
    <w:rsid w:val="006A518D"/>
    <w:rsid w:val="006A769B"/>
    <w:rsid w:val="006B382E"/>
    <w:rsid w:val="006B3D31"/>
    <w:rsid w:val="006B7A4C"/>
    <w:rsid w:val="006C391B"/>
    <w:rsid w:val="006C536E"/>
    <w:rsid w:val="006D2056"/>
    <w:rsid w:val="006D3A99"/>
    <w:rsid w:val="006D3B70"/>
    <w:rsid w:val="006D420E"/>
    <w:rsid w:val="006D4508"/>
    <w:rsid w:val="006D475B"/>
    <w:rsid w:val="006D47EC"/>
    <w:rsid w:val="006D4B85"/>
    <w:rsid w:val="006D5C21"/>
    <w:rsid w:val="006D6C8C"/>
    <w:rsid w:val="006D749F"/>
    <w:rsid w:val="006E2015"/>
    <w:rsid w:val="006E40C4"/>
    <w:rsid w:val="006F18EB"/>
    <w:rsid w:val="006F5626"/>
    <w:rsid w:val="0070148C"/>
    <w:rsid w:val="00702437"/>
    <w:rsid w:val="00704304"/>
    <w:rsid w:val="00704FDF"/>
    <w:rsid w:val="00705033"/>
    <w:rsid w:val="007207AB"/>
    <w:rsid w:val="00722DDB"/>
    <w:rsid w:val="007256BE"/>
    <w:rsid w:val="00734655"/>
    <w:rsid w:val="007347F9"/>
    <w:rsid w:val="007369AC"/>
    <w:rsid w:val="00736E66"/>
    <w:rsid w:val="0073786A"/>
    <w:rsid w:val="007408F5"/>
    <w:rsid w:val="00742D33"/>
    <w:rsid w:val="0074517A"/>
    <w:rsid w:val="00751BE4"/>
    <w:rsid w:val="0075632B"/>
    <w:rsid w:val="00757E9E"/>
    <w:rsid w:val="00762C0F"/>
    <w:rsid w:val="00762D23"/>
    <w:rsid w:val="0076350D"/>
    <w:rsid w:val="00763ECE"/>
    <w:rsid w:val="0076484E"/>
    <w:rsid w:val="00764C50"/>
    <w:rsid w:val="00775AA2"/>
    <w:rsid w:val="007766EF"/>
    <w:rsid w:val="00783990"/>
    <w:rsid w:val="00785827"/>
    <w:rsid w:val="00791080"/>
    <w:rsid w:val="0079238B"/>
    <w:rsid w:val="00792CC2"/>
    <w:rsid w:val="00793F72"/>
    <w:rsid w:val="00795399"/>
    <w:rsid w:val="007A3E91"/>
    <w:rsid w:val="007A4E58"/>
    <w:rsid w:val="007A5DB7"/>
    <w:rsid w:val="007A6554"/>
    <w:rsid w:val="007B2A4D"/>
    <w:rsid w:val="007B419B"/>
    <w:rsid w:val="007B5415"/>
    <w:rsid w:val="007C25AD"/>
    <w:rsid w:val="007C5B13"/>
    <w:rsid w:val="007C7788"/>
    <w:rsid w:val="007C7ECC"/>
    <w:rsid w:val="007D15AD"/>
    <w:rsid w:val="007D1A0C"/>
    <w:rsid w:val="007D304A"/>
    <w:rsid w:val="007D42E6"/>
    <w:rsid w:val="007D461E"/>
    <w:rsid w:val="007D4D6E"/>
    <w:rsid w:val="007D55DF"/>
    <w:rsid w:val="007D69F6"/>
    <w:rsid w:val="007D7594"/>
    <w:rsid w:val="007D7D16"/>
    <w:rsid w:val="007D7E7C"/>
    <w:rsid w:val="007E1AB8"/>
    <w:rsid w:val="007E3A16"/>
    <w:rsid w:val="007E4A26"/>
    <w:rsid w:val="007E7E3A"/>
    <w:rsid w:val="007F0500"/>
    <w:rsid w:val="007F332F"/>
    <w:rsid w:val="00800CDB"/>
    <w:rsid w:val="00805151"/>
    <w:rsid w:val="008054B6"/>
    <w:rsid w:val="00806388"/>
    <w:rsid w:val="00806800"/>
    <w:rsid w:val="00821EA2"/>
    <w:rsid w:val="0082325A"/>
    <w:rsid w:val="00823873"/>
    <w:rsid w:val="008241F6"/>
    <w:rsid w:val="008249DC"/>
    <w:rsid w:val="0082601D"/>
    <w:rsid w:val="0082717D"/>
    <w:rsid w:val="008313C4"/>
    <w:rsid w:val="00834F58"/>
    <w:rsid w:val="00835AF2"/>
    <w:rsid w:val="00835CB5"/>
    <w:rsid w:val="00835D1C"/>
    <w:rsid w:val="00840B05"/>
    <w:rsid w:val="00844732"/>
    <w:rsid w:val="00845863"/>
    <w:rsid w:val="0084657A"/>
    <w:rsid w:val="00850AA7"/>
    <w:rsid w:val="00855D46"/>
    <w:rsid w:val="008575BE"/>
    <w:rsid w:val="00861DC3"/>
    <w:rsid w:val="00862018"/>
    <w:rsid w:val="00864988"/>
    <w:rsid w:val="00864CBF"/>
    <w:rsid w:val="00865F2C"/>
    <w:rsid w:val="00870C10"/>
    <w:rsid w:val="00874771"/>
    <w:rsid w:val="00875B49"/>
    <w:rsid w:val="0087782D"/>
    <w:rsid w:val="00877C1A"/>
    <w:rsid w:val="00892CF2"/>
    <w:rsid w:val="0089705F"/>
    <w:rsid w:val="008A4564"/>
    <w:rsid w:val="008A5871"/>
    <w:rsid w:val="008B3842"/>
    <w:rsid w:val="008B6581"/>
    <w:rsid w:val="008C1A71"/>
    <w:rsid w:val="008C1FC0"/>
    <w:rsid w:val="008D442A"/>
    <w:rsid w:val="008D4775"/>
    <w:rsid w:val="008E34B9"/>
    <w:rsid w:val="008E60BF"/>
    <w:rsid w:val="008F1983"/>
    <w:rsid w:val="008F3330"/>
    <w:rsid w:val="008F35D9"/>
    <w:rsid w:val="008F3628"/>
    <w:rsid w:val="008F38F0"/>
    <w:rsid w:val="008F7F52"/>
    <w:rsid w:val="009010B1"/>
    <w:rsid w:val="009036A6"/>
    <w:rsid w:val="00907139"/>
    <w:rsid w:val="009138C5"/>
    <w:rsid w:val="00915310"/>
    <w:rsid w:val="009154C0"/>
    <w:rsid w:val="00915D52"/>
    <w:rsid w:val="00923708"/>
    <w:rsid w:val="00927C4A"/>
    <w:rsid w:val="00931091"/>
    <w:rsid w:val="00933F01"/>
    <w:rsid w:val="0093401B"/>
    <w:rsid w:val="00934489"/>
    <w:rsid w:val="009440D9"/>
    <w:rsid w:val="0094747D"/>
    <w:rsid w:val="00950B1F"/>
    <w:rsid w:val="009538A9"/>
    <w:rsid w:val="009538CF"/>
    <w:rsid w:val="00953F7D"/>
    <w:rsid w:val="0095666E"/>
    <w:rsid w:val="009568B9"/>
    <w:rsid w:val="009616DF"/>
    <w:rsid w:val="00963911"/>
    <w:rsid w:val="00963ED7"/>
    <w:rsid w:val="00964F84"/>
    <w:rsid w:val="0096514E"/>
    <w:rsid w:val="0096528F"/>
    <w:rsid w:val="00965661"/>
    <w:rsid w:val="00971B34"/>
    <w:rsid w:val="009759DF"/>
    <w:rsid w:val="009763AB"/>
    <w:rsid w:val="00977214"/>
    <w:rsid w:val="00983798"/>
    <w:rsid w:val="00990EDF"/>
    <w:rsid w:val="009912D0"/>
    <w:rsid w:val="00993C8E"/>
    <w:rsid w:val="009957DB"/>
    <w:rsid w:val="0099757D"/>
    <w:rsid w:val="009A25A1"/>
    <w:rsid w:val="009A58FE"/>
    <w:rsid w:val="009A7587"/>
    <w:rsid w:val="009B48CA"/>
    <w:rsid w:val="009B5558"/>
    <w:rsid w:val="009B7DBD"/>
    <w:rsid w:val="009C2A7A"/>
    <w:rsid w:val="009D0EF7"/>
    <w:rsid w:val="009D3051"/>
    <w:rsid w:val="009D3B80"/>
    <w:rsid w:val="009D5986"/>
    <w:rsid w:val="009D6559"/>
    <w:rsid w:val="009D78AA"/>
    <w:rsid w:val="009E175D"/>
    <w:rsid w:val="009E392B"/>
    <w:rsid w:val="009F349A"/>
    <w:rsid w:val="00A06744"/>
    <w:rsid w:val="00A06F2A"/>
    <w:rsid w:val="00A07ABD"/>
    <w:rsid w:val="00A1061C"/>
    <w:rsid w:val="00A1236D"/>
    <w:rsid w:val="00A2042D"/>
    <w:rsid w:val="00A23E25"/>
    <w:rsid w:val="00A24C50"/>
    <w:rsid w:val="00A2555B"/>
    <w:rsid w:val="00A2573A"/>
    <w:rsid w:val="00A2749C"/>
    <w:rsid w:val="00A3739D"/>
    <w:rsid w:val="00A374A4"/>
    <w:rsid w:val="00A37DDA"/>
    <w:rsid w:val="00A420F3"/>
    <w:rsid w:val="00A42BEE"/>
    <w:rsid w:val="00A42C19"/>
    <w:rsid w:val="00A42D4E"/>
    <w:rsid w:val="00A45F95"/>
    <w:rsid w:val="00A46F78"/>
    <w:rsid w:val="00A50834"/>
    <w:rsid w:val="00A53808"/>
    <w:rsid w:val="00A7746C"/>
    <w:rsid w:val="00A80DD2"/>
    <w:rsid w:val="00A80DE3"/>
    <w:rsid w:val="00A833B4"/>
    <w:rsid w:val="00A87351"/>
    <w:rsid w:val="00A925EC"/>
    <w:rsid w:val="00A935D9"/>
    <w:rsid w:val="00A9508D"/>
    <w:rsid w:val="00A95BEF"/>
    <w:rsid w:val="00A963F5"/>
    <w:rsid w:val="00AA4961"/>
    <w:rsid w:val="00AB1C6A"/>
    <w:rsid w:val="00AC279B"/>
    <w:rsid w:val="00AC3139"/>
    <w:rsid w:val="00AC35E9"/>
    <w:rsid w:val="00AC710E"/>
    <w:rsid w:val="00AD36F6"/>
    <w:rsid w:val="00AD55EA"/>
    <w:rsid w:val="00AE0E74"/>
    <w:rsid w:val="00AE4823"/>
    <w:rsid w:val="00AE6260"/>
    <w:rsid w:val="00AF113B"/>
    <w:rsid w:val="00AF2DE6"/>
    <w:rsid w:val="00AF2EE7"/>
    <w:rsid w:val="00AF337E"/>
    <w:rsid w:val="00AF3FDB"/>
    <w:rsid w:val="00AF4C76"/>
    <w:rsid w:val="00AF6F42"/>
    <w:rsid w:val="00AF7BB4"/>
    <w:rsid w:val="00AF7D40"/>
    <w:rsid w:val="00B00EFA"/>
    <w:rsid w:val="00B023A1"/>
    <w:rsid w:val="00B0265B"/>
    <w:rsid w:val="00B04D22"/>
    <w:rsid w:val="00B05C69"/>
    <w:rsid w:val="00B06005"/>
    <w:rsid w:val="00B10664"/>
    <w:rsid w:val="00B13EFC"/>
    <w:rsid w:val="00B144FA"/>
    <w:rsid w:val="00B16A56"/>
    <w:rsid w:val="00B17B25"/>
    <w:rsid w:val="00B17BCA"/>
    <w:rsid w:val="00B2231E"/>
    <w:rsid w:val="00B27C36"/>
    <w:rsid w:val="00B31014"/>
    <w:rsid w:val="00B343CC"/>
    <w:rsid w:val="00B347B2"/>
    <w:rsid w:val="00B36316"/>
    <w:rsid w:val="00B3730C"/>
    <w:rsid w:val="00B4014C"/>
    <w:rsid w:val="00B42873"/>
    <w:rsid w:val="00B4337D"/>
    <w:rsid w:val="00B523FF"/>
    <w:rsid w:val="00B52FFB"/>
    <w:rsid w:val="00B548F1"/>
    <w:rsid w:val="00B611F9"/>
    <w:rsid w:val="00B6187C"/>
    <w:rsid w:val="00B61936"/>
    <w:rsid w:val="00B61B26"/>
    <w:rsid w:val="00B63068"/>
    <w:rsid w:val="00B63916"/>
    <w:rsid w:val="00B63BB8"/>
    <w:rsid w:val="00B709F3"/>
    <w:rsid w:val="00B7250C"/>
    <w:rsid w:val="00B73043"/>
    <w:rsid w:val="00B7558F"/>
    <w:rsid w:val="00B75C45"/>
    <w:rsid w:val="00B8120F"/>
    <w:rsid w:val="00B81365"/>
    <w:rsid w:val="00B8229A"/>
    <w:rsid w:val="00B826FE"/>
    <w:rsid w:val="00B8544B"/>
    <w:rsid w:val="00B87EFE"/>
    <w:rsid w:val="00B87F51"/>
    <w:rsid w:val="00B93D1C"/>
    <w:rsid w:val="00BA6801"/>
    <w:rsid w:val="00BA7675"/>
    <w:rsid w:val="00BB0AC8"/>
    <w:rsid w:val="00BB18BB"/>
    <w:rsid w:val="00BB2406"/>
    <w:rsid w:val="00BB2440"/>
    <w:rsid w:val="00BB548E"/>
    <w:rsid w:val="00BB6464"/>
    <w:rsid w:val="00BC55D0"/>
    <w:rsid w:val="00BC55FB"/>
    <w:rsid w:val="00BC6955"/>
    <w:rsid w:val="00BD03DA"/>
    <w:rsid w:val="00BD14CE"/>
    <w:rsid w:val="00BE347F"/>
    <w:rsid w:val="00BE57AE"/>
    <w:rsid w:val="00BE5EDF"/>
    <w:rsid w:val="00BE6CB5"/>
    <w:rsid w:val="00BF59FC"/>
    <w:rsid w:val="00BF5EB6"/>
    <w:rsid w:val="00C0627C"/>
    <w:rsid w:val="00C11249"/>
    <w:rsid w:val="00C13505"/>
    <w:rsid w:val="00C16B75"/>
    <w:rsid w:val="00C21F80"/>
    <w:rsid w:val="00C21FB5"/>
    <w:rsid w:val="00C23B4F"/>
    <w:rsid w:val="00C25B33"/>
    <w:rsid w:val="00C355CB"/>
    <w:rsid w:val="00C40DBF"/>
    <w:rsid w:val="00C42979"/>
    <w:rsid w:val="00C43455"/>
    <w:rsid w:val="00C43D5D"/>
    <w:rsid w:val="00C470A9"/>
    <w:rsid w:val="00C50DF1"/>
    <w:rsid w:val="00C54170"/>
    <w:rsid w:val="00C61F0F"/>
    <w:rsid w:val="00C62099"/>
    <w:rsid w:val="00C63C5D"/>
    <w:rsid w:val="00C65ADC"/>
    <w:rsid w:val="00C7006E"/>
    <w:rsid w:val="00C704A9"/>
    <w:rsid w:val="00C70932"/>
    <w:rsid w:val="00C71BE1"/>
    <w:rsid w:val="00C73826"/>
    <w:rsid w:val="00C74C2C"/>
    <w:rsid w:val="00C756B9"/>
    <w:rsid w:val="00C75E81"/>
    <w:rsid w:val="00C8249C"/>
    <w:rsid w:val="00C8351E"/>
    <w:rsid w:val="00C83B4F"/>
    <w:rsid w:val="00C93767"/>
    <w:rsid w:val="00C93956"/>
    <w:rsid w:val="00C93DBA"/>
    <w:rsid w:val="00C94235"/>
    <w:rsid w:val="00C96F4B"/>
    <w:rsid w:val="00CA3B32"/>
    <w:rsid w:val="00CA45E4"/>
    <w:rsid w:val="00CA5D48"/>
    <w:rsid w:val="00CB36E0"/>
    <w:rsid w:val="00CB54D9"/>
    <w:rsid w:val="00CB56CD"/>
    <w:rsid w:val="00CB6F8C"/>
    <w:rsid w:val="00CC094C"/>
    <w:rsid w:val="00CC7DEB"/>
    <w:rsid w:val="00CD2253"/>
    <w:rsid w:val="00CD3B9F"/>
    <w:rsid w:val="00CD4A6E"/>
    <w:rsid w:val="00CD7B9F"/>
    <w:rsid w:val="00CE1FB1"/>
    <w:rsid w:val="00D00FE1"/>
    <w:rsid w:val="00D019B6"/>
    <w:rsid w:val="00D053DC"/>
    <w:rsid w:val="00D118D0"/>
    <w:rsid w:val="00D12B4B"/>
    <w:rsid w:val="00D1341E"/>
    <w:rsid w:val="00D168C1"/>
    <w:rsid w:val="00D211FA"/>
    <w:rsid w:val="00D23DDD"/>
    <w:rsid w:val="00D248DD"/>
    <w:rsid w:val="00D31094"/>
    <w:rsid w:val="00D440C7"/>
    <w:rsid w:val="00D50356"/>
    <w:rsid w:val="00D57EBD"/>
    <w:rsid w:val="00D60A3D"/>
    <w:rsid w:val="00D63E7D"/>
    <w:rsid w:val="00D67441"/>
    <w:rsid w:val="00D73613"/>
    <w:rsid w:val="00D750FA"/>
    <w:rsid w:val="00D77D62"/>
    <w:rsid w:val="00D82806"/>
    <w:rsid w:val="00D83F6C"/>
    <w:rsid w:val="00D92457"/>
    <w:rsid w:val="00D92A16"/>
    <w:rsid w:val="00D92BAE"/>
    <w:rsid w:val="00D93700"/>
    <w:rsid w:val="00D975C0"/>
    <w:rsid w:val="00DA0997"/>
    <w:rsid w:val="00DA2056"/>
    <w:rsid w:val="00DA38D9"/>
    <w:rsid w:val="00DA3ACE"/>
    <w:rsid w:val="00DA4245"/>
    <w:rsid w:val="00DA458D"/>
    <w:rsid w:val="00DA5D93"/>
    <w:rsid w:val="00DB08B4"/>
    <w:rsid w:val="00DB152C"/>
    <w:rsid w:val="00DC24DD"/>
    <w:rsid w:val="00DC2D9A"/>
    <w:rsid w:val="00DC42E6"/>
    <w:rsid w:val="00DC5DD9"/>
    <w:rsid w:val="00DD090F"/>
    <w:rsid w:val="00DD2A20"/>
    <w:rsid w:val="00DD36D1"/>
    <w:rsid w:val="00DD4952"/>
    <w:rsid w:val="00DD7C68"/>
    <w:rsid w:val="00DE1514"/>
    <w:rsid w:val="00DE41BD"/>
    <w:rsid w:val="00DF0487"/>
    <w:rsid w:val="00DF1E6E"/>
    <w:rsid w:val="00DF2E69"/>
    <w:rsid w:val="00DF3B22"/>
    <w:rsid w:val="00DF3BBC"/>
    <w:rsid w:val="00DF43E8"/>
    <w:rsid w:val="00E0047C"/>
    <w:rsid w:val="00E025B3"/>
    <w:rsid w:val="00E04EE5"/>
    <w:rsid w:val="00E06EB2"/>
    <w:rsid w:val="00E15DAF"/>
    <w:rsid w:val="00E218F2"/>
    <w:rsid w:val="00E26295"/>
    <w:rsid w:val="00E2785C"/>
    <w:rsid w:val="00E30A96"/>
    <w:rsid w:val="00E31501"/>
    <w:rsid w:val="00E33EE4"/>
    <w:rsid w:val="00E3622C"/>
    <w:rsid w:val="00E36A00"/>
    <w:rsid w:val="00E42353"/>
    <w:rsid w:val="00E42488"/>
    <w:rsid w:val="00E52ABE"/>
    <w:rsid w:val="00E54130"/>
    <w:rsid w:val="00E566A9"/>
    <w:rsid w:val="00E600B5"/>
    <w:rsid w:val="00E6045E"/>
    <w:rsid w:val="00E61144"/>
    <w:rsid w:val="00E62BAF"/>
    <w:rsid w:val="00E67D0E"/>
    <w:rsid w:val="00E745F5"/>
    <w:rsid w:val="00E74939"/>
    <w:rsid w:val="00E74BF9"/>
    <w:rsid w:val="00E76D70"/>
    <w:rsid w:val="00E809A8"/>
    <w:rsid w:val="00E839C9"/>
    <w:rsid w:val="00E910F9"/>
    <w:rsid w:val="00E9635F"/>
    <w:rsid w:val="00EA1DBB"/>
    <w:rsid w:val="00EA1F58"/>
    <w:rsid w:val="00EA2B27"/>
    <w:rsid w:val="00EA3B1A"/>
    <w:rsid w:val="00EA3D0F"/>
    <w:rsid w:val="00EA522A"/>
    <w:rsid w:val="00EA576E"/>
    <w:rsid w:val="00EB3C98"/>
    <w:rsid w:val="00EB59A5"/>
    <w:rsid w:val="00EB79D1"/>
    <w:rsid w:val="00EC30C1"/>
    <w:rsid w:val="00EC35AB"/>
    <w:rsid w:val="00EC48C4"/>
    <w:rsid w:val="00EC59E3"/>
    <w:rsid w:val="00ED081D"/>
    <w:rsid w:val="00ED1609"/>
    <w:rsid w:val="00ED1E49"/>
    <w:rsid w:val="00ED2A9D"/>
    <w:rsid w:val="00ED5D0D"/>
    <w:rsid w:val="00ED744E"/>
    <w:rsid w:val="00EE3AC1"/>
    <w:rsid w:val="00EE4419"/>
    <w:rsid w:val="00EE4FB5"/>
    <w:rsid w:val="00EF2BE0"/>
    <w:rsid w:val="00EF31EE"/>
    <w:rsid w:val="00EF332C"/>
    <w:rsid w:val="00EF61D4"/>
    <w:rsid w:val="00EF66AC"/>
    <w:rsid w:val="00EF69C4"/>
    <w:rsid w:val="00F016FB"/>
    <w:rsid w:val="00F0343D"/>
    <w:rsid w:val="00F03A2A"/>
    <w:rsid w:val="00F04113"/>
    <w:rsid w:val="00F04768"/>
    <w:rsid w:val="00F06DC5"/>
    <w:rsid w:val="00F07F40"/>
    <w:rsid w:val="00F11A35"/>
    <w:rsid w:val="00F1645A"/>
    <w:rsid w:val="00F31DE3"/>
    <w:rsid w:val="00F32A67"/>
    <w:rsid w:val="00F3568D"/>
    <w:rsid w:val="00F42106"/>
    <w:rsid w:val="00F44C03"/>
    <w:rsid w:val="00F515F5"/>
    <w:rsid w:val="00F525E6"/>
    <w:rsid w:val="00F5344D"/>
    <w:rsid w:val="00F53607"/>
    <w:rsid w:val="00F56C92"/>
    <w:rsid w:val="00F57D11"/>
    <w:rsid w:val="00F60011"/>
    <w:rsid w:val="00F6492F"/>
    <w:rsid w:val="00F64E1E"/>
    <w:rsid w:val="00F64EC8"/>
    <w:rsid w:val="00F706A9"/>
    <w:rsid w:val="00F73B8A"/>
    <w:rsid w:val="00F75908"/>
    <w:rsid w:val="00F75E76"/>
    <w:rsid w:val="00F8007B"/>
    <w:rsid w:val="00F85A8E"/>
    <w:rsid w:val="00F86F31"/>
    <w:rsid w:val="00F87AA1"/>
    <w:rsid w:val="00F905F4"/>
    <w:rsid w:val="00F922E3"/>
    <w:rsid w:val="00F967DC"/>
    <w:rsid w:val="00FA19E4"/>
    <w:rsid w:val="00FA2EAB"/>
    <w:rsid w:val="00FA30F1"/>
    <w:rsid w:val="00FA3270"/>
    <w:rsid w:val="00FA4AE3"/>
    <w:rsid w:val="00FA6D3D"/>
    <w:rsid w:val="00FB17F3"/>
    <w:rsid w:val="00FB3109"/>
    <w:rsid w:val="00FB5006"/>
    <w:rsid w:val="00FB5692"/>
    <w:rsid w:val="00FC27B0"/>
    <w:rsid w:val="00FC5A80"/>
    <w:rsid w:val="00FC6C12"/>
    <w:rsid w:val="00FD77DB"/>
    <w:rsid w:val="00FD79D4"/>
    <w:rsid w:val="00FE26F3"/>
    <w:rsid w:val="00FE3C44"/>
    <w:rsid w:val="00FE3C62"/>
    <w:rsid w:val="00FE6996"/>
    <w:rsid w:val="00FF0315"/>
    <w:rsid w:val="00FF0562"/>
    <w:rsid w:val="00FF6CE7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5:docId w15:val="{456376F2-AC53-460A-8F69-77A08378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86A"/>
  </w:style>
  <w:style w:type="paragraph" w:styleId="Heading1">
    <w:name w:val="heading 1"/>
    <w:basedOn w:val="Normal"/>
    <w:next w:val="Normal"/>
    <w:link w:val="Heading1Char"/>
    <w:uiPriority w:val="1"/>
    <w:qFormat/>
    <w:rsid w:val="00CB6F8C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93401B"/>
    <w:pPr>
      <w:keepNext/>
      <w:keepLines/>
      <w:numPr>
        <w:ilvl w:val="1"/>
        <w:numId w:val="1"/>
      </w:numPr>
      <w:spacing w:before="240"/>
      <w:outlineLvl w:val="1"/>
    </w:pPr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93401B"/>
    <w:pPr>
      <w:keepNext/>
      <w:keepLines/>
      <w:numPr>
        <w:ilvl w:val="2"/>
        <w:numId w:val="1"/>
      </w:numPr>
      <w:spacing w:before="240"/>
      <w:outlineLvl w:val="2"/>
    </w:pPr>
    <w:rPr>
      <w:rFonts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93401B"/>
    <w:pPr>
      <w:keepNext/>
      <w:keepLines/>
      <w:numPr>
        <w:ilvl w:val="3"/>
        <w:numId w:val="1"/>
      </w:numPr>
      <w:spacing w:before="240"/>
      <w:ind w:left="1276" w:hanging="1276"/>
      <w:outlineLvl w:val="3"/>
    </w:pPr>
    <w:rPr>
      <w:rFonts w:eastAsiaTheme="majorEastAsia" w:cstheme="majorBidi"/>
      <w:b/>
      <w:bCs/>
      <w:iCs/>
      <w:color w:val="606060"/>
    </w:rPr>
  </w:style>
  <w:style w:type="paragraph" w:styleId="Heading5">
    <w:name w:val="heading 5"/>
    <w:basedOn w:val="Normal"/>
    <w:next w:val="Normal"/>
    <w:link w:val="Heading5Char"/>
    <w:uiPriority w:val="9"/>
    <w:rsid w:val="0093401B"/>
    <w:pPr>
      <w:keepNext/>
      <w:keepLines/>
      <w:numPr>
        <w:ilvl w:val="4"/>
        <w:numId w:val="1"/>
      </w:numPr>
      <w:ind w:left="1276" w:hanging="1276"/>
      <w:outlineLvl w:val="4"/>
    </w:pPr>
    <w:rPr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rsid w:val="0093401B"/>
    <w:pPr>
      <w:keepNext/>
      <w:keepLines/>
      <w:numPr>
        <w:ilvl w:val="5"/>
        <w:numId w:val="1"/>
      </w:numPr>
      <w:ind w:left="1701" w:hanging="1701"/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9"/>
    <w:rsid w:val="0093401B"/>
    <w:pPr>
      <w:keepNext/>
      <w:keepLines/>
      <w:numPr>
        <w:ilvl w:val="6"/>
        <w:numId w:val="1"/>
      </w:numPr>
      <w:ind w:left="1701" w:hanging="1701"/>
      <w:outlineLvl w:val="6"/>
    </w:pPr>
    <w:rPr>
      <w:b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rsid w:val="0093401B"/>
    <w:pPr>
      <w:keepNext/>
      <w:keepLines/>
      <w:numPr>
        <w:ilvl w:val="7"/>
        <w:numId w:val="1"/>
      </w:numPr>
      <w:ind w:left="2126" w:hanging="2126"/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9"/>
    <w:rsid w:val="0093401B"/>
    <w:pPr>
      <w:keepNext/>
      <w:keepLines/>
      <w:numPr>
        <w:ilvl w:val="8"/>
        <w:numId w:val="1"/>
      </w:numPr>
      <w:ind w:left="2126" w:hanging="2126"/>
      <w:outlineLvl w:val="8"/>
    </w:pPr>
    <w:rPr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B6F8C"/>
    <w:rPr>
      <w:rFonts w:eastAsiaTheme="majorEastAsia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3401B"/>
    <w:rPr>
      <w:rFonts w:eastAsiaTheme="majorEastAsia" w:cstheme="majorBidi"/>
      <w:b/>
      <w:bCs/>
      <w:iCs/>
      <w:color w:val="60606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76350D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6350D"/>
    <w:rPr>
      <w:rFonts w:eastAsiaTheme="majorEastAsia" w:cstheme="majorBidi"/>
      <w:b/>
      <w:bCs/>
      <w:kern w:val="28"/>
      <w:sz w:val="32"/>
      <w:szCs w:val="32"/>
    </w:rPr>
  </w:style>
  <w:style w:type="paragraph" w:styleId="Subtitle">
    <w:name w:val="Subtitle"/>
    <w:basedOn w:val="SubTitle0"/>
    <w:next w:val="Normal"/>
    <w:link w:val="SubtitleChar"/>
    <w:uiPriority w:val="11"/>
    <w:semiHidden/>
    <w:qFormat/>
    <w:rsid w:val="0076350D"/>
  </w:style>
  <w:style w:type="character" w:customStyle="1" w:styleId="SubtitleChar">
    <w:name w:val="Subtitle Char"/>
    <w:basedOn w:val="DefaultParagraphFont"/>
    <w:link w:val="Subtitle"/>
    <w:uiPriority w:val="11"/>
    <w:semiHidden/>
    <w:rsid w:val="0076350D"/>
    <w:rPr>
      <w:rFonts w:cs="Arial"/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1"/>
    <w:rsid w:val="0093401B"/>
    <w:rPr>
      <w:rFonts w:cs="Arial"/>
      <w:b/>
      <w:bCs/>
      <w:sz w:val="24"/>
      <w:szCs w:val="26"/>
    </w:rPr>
  </w:style>
  <w:style w:type="paragraph" w:styleId="ListParagraph">
    <w:name w:val="List Paragraph"/>
    <w:basedOn w:val="BlockText"/>
    <w:uiPriority w:val="99"/>
    <w:qFormat/>
    <w:rsid w:val="00950B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120"/>
      <w:ind w:left="0" w:right="0"/>
    </w:pPr>
    <w:rPr>
      <w:rFonts w:ascii="Arial" w:hAnsi="Arial" w:cs="Times New Roman"/>
      <w:i w:val="0"/>
      <w:color w:val="auto"/>
    </w:rPr>
  </w:style>
  <w:style w:type="numbering" w:customStyle="1" w:styleId="NTGStandardList">
    <w:name w:val="NTG Standard List"/>
    <w:basedOn w:val="NoList"/>
    <w:rsid w:val="00F86F31"/>
    <w:pPr>
      <w:numPr>
        <w:numId w:val="2"/>
      </w:numPr>
    </w:pPr>
  </w:style>
  <w:style w:type="paragraph" w:styleId="Header">
    <w:name w:val="header"/>
    <w:aliases w:val="NTG Page Header"/>
    <w:basedOn w:val="Normal"/>
    <w:next w:val="Normal"/>
    <w:link w:val="HeaderChar"/>
    <w:uiPriority w:val="99"/>
    <w:rsid w:val="0076350D"/>
    <w:pPr>
      <w:tabs>
        <w:tab w:val="center" w:pos="4513"/>
        <w:tab w:val="right" w:pos="9026"/>
      </w:tabs>
      <w:jc w:val="right"/>
    </w:pPr>
    <w:rPr>
      <w:b/>
    </w:rPr>
  </w:style>
  <w:style w:type="character" w:customStyle="1" w:styleId="HeaderChar">
    <w:name w:val="Header Char"/>
    <w:aliases w:val="NTG Page Header Char"/>
    <w:basedOn w:val="DefaultParagraphFont"/>
    <w:link w:val="Header"/>
    <w:uiPriority w:val="99"/>
    <w:rsid w:val="0076350D"/>
    <w:rPr>
      <w:b/>
    </w:rPr>
  </w:style>
  <w:style w:type="paragraph" w:styleId="Footer">
    <w:name w:val="footer"/>
    <w:next w:val="Normal"/>
    <w:link w:val="FooterChar"/>
    <w:uiPriority w:val="99"/>
    <w:semiHidden/>
    <w:rsid w:val="0076350D"/>
    <w:pPr>
      <w:tabs>
        <w:tab w:val="right" w:pos="9639"/>
        <w:tab w:val="right" w:pos="14459"/>
      </w:tabs>
      <w:ind w:right="-284"/>
    </w:pPr>
    <w:rPr>
      <w:rFonts w:eastAsia="Times New Roman" w:cs="Arial"/>
      <w:noProof/>
      <w:sz w:val="16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6350D"/>
    <w:rPr>
      <w:rFonts w:eastAsia="Times New Roman" w:cs="Arial"/>
      <w:noProof/>
      <w:sz w:val="16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93401B"/>
    <w:rPr>
      <w:b/>
      <w:color w:val="000000" w:themeColor="text1"/>
    </w:rPr>
  </w:style>
  <w:style w:type="paragraph" w:customStyle="1" w:styleId="SubTitle0">
    <w:name w:val="Sub Title"/>
    <w:basedOn w:val="Normal"/>
    <w:uiPriority w:val="99"/>
    <w:rsid w:val="0076350D"/>
    <w:pPr>
      <w:spacing w:after="0"/>
    </w:pPr>
    <w:rPr>
      <w:rFonts w:cs="Arial"/>
      <w:b/>
      <w:bCs/>
      <w:sz w:val="3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3401B"/>
    <w:rPr>
      <w:b/>
      <w:color w:val="606060"/>
    </w:rPr>
  </w:style>
  <w:style w:type="character" w:styleId="PageNumber">
    <w:name w:val="page number"/>
    <w:basedOn w:val="DefaultParagraphFont"/>
    <w:semiHidden/>
    <w:rsid w:val="0076350D"/>
  </w:style>
  <w:style w:type="character" w:customStyle="1" w:styleId="Heading4Char">
    <w:name w:val="Heading 4 Char"/>
    <w:basedOn w:val="DefaultParagraphFont"/>
    <w:link w:val="Heading4"/>
    <w:uiPriority w:val="1"/>
    <w:rsid w:val="0093401B"/>
    <w:rPr>
      <w:rFonts w:eastAsiaTheme="majorEastAsia" w:cstheme="majorBidi"/>
      <w:b/>
      <w:bCs/>
      <w:iCs/>
      <w:color w:val="606060"/>
    </w:rPr>
  </w:style>
  <w:style w:type="paragraph" w:styleId="NormalWeb">
    <w:name w:val="Normal (Web)"/>
    <w:basedOn w:val="Normal"/>
    <w:uiPriority w:val="99"/>
    <w:semiHidden/>
    <w:rsid w:val="0076350D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76350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350D"/>
  </w:style>
  <w:style w:type="paragraph" w:customStyle="1" w:styleId="NTGCoverPageDate">
    <w:name w:val="NTG Cover Page Date"/>
    <w:next w:val="Normal"/>
    <w:rsid w:val="0076350D"/>
    <w:pPr>
      <w:spacing w:before="1400"/>
    </w:pPr>
    <w:rPr>
      <w:rFonts w:eastAsia="Times New Roman"/>
      <w:sz w:val="28"/>
      <w:lang w:eastAsia="en-AU"/>
    </w:rPr>
  </w:style>
  <w:style w:type="paragraph" w:styleId="TOC2">
    <w:name w:val="toc 2"/>
    <w:basedOn w:val="Normal"/>
    <w:next w:val="Normal"/>
    <w:uiPriority w:val="39"/>
    <w:rsid w:val="00652E1F"/>
    <w:pPr>
      <w:tabs>
        <w:tab w:val="left" w:pos="1134"/>
        <w:tab w:val="right" w:leader="dot" w:pos="9639"/>
      </w:tabs>
      <w:spacing w:after="60"/>
      <w:ind w:left="1134" w:hanging="709"/>
      <w:contextualSpacing/>
    </w:pPr>
    <w:rPr>
      <w:rFonts w:eastAsiaTheme="minorEastAsia" w:cs="Arial"/>
      <w:noProof/>
      <w:lang w:eastAsia="en-AU"/>
    </w:rPr>
  </w:style>
  <w:style w:type="paragraph" w:styleId="TOC1">
    <w:name w:val="toc 1"/>
    <w:basedOn w:val="Normal"/>
    <w:next w:val="Normal"/>
    <w:uiPriority w:val="39"/>
    <w:rsid w:val="00844732"/>
    <w:pPr>
      <w:tabs>
        <w:tab w:val="left" w:pos="426"/>
        <w:tab w:val="right" w:leader="dot" w:pos="9639"/>
      </w:tabs>
      <w:spacing w:before="120" w:after="60"/>
      <w:ind w:left="425" w:hanging="425"/>
    </w:pPr>
    <w:rPr>
      <w:rFonts w:eastAsiaTheme="minorEastAsia" w:cs="Arial"/>
      <w:b/>
      <w:noProof/>
      <w:lang w:eastAsia="en-AU"/>
    </w:rPr>
  </w:style>
  <w:style w:type="paragraph" w:styleId="TOC3">
    <w:name w:val="toc 3"/>
    <w:basedOn w:val="Normal"/>
    <w:next w:val="Normal"/>
    <w:uiPriority w:val="39"/>
    <w:rsid w:val="00652E1F"/>
    <w:pPr>
      <w:tabs>
        <w:tab w:val="left" w:pos="1559"/>
        <w:tab w:val="right" w:leader="dot" w:pos="9639"/>
      </w:tabs>
      <w:spacing w:after="60"/>
      <w:ind w:left="1559" w:hanging="992"/>
      <w:contextualSpacing/>
    </w:pPr>
    <w:rPr>
      <w:rFonts w:eastAsiaTheme="minorEastAsia" w:cs="Arial"/>
      <w:noProof/>
      <w:lang w:eastAsia="en-AU"/>
    </w:rPr>
  </w:style>
  <w:style w:type="paragraph" w:styleId="TOC5">
    <w:name w:val="toc 5"/>
    <w:basedOn w:val="Normal"/>
    <w:next w:val="Normal"/>
    <w:uiPriority w:val="39"/>
    <w:rsid w:val="00652E1F"/>
    <w:pPr>
      <w:tabs>
        <w:tab w:val="left" w:pos="2126"/>
        <w:tab w:val="right" w:leader="dot" w:pos="9638"/>
      </w:tabs>
      <w:spacing w:after="60"/>
      <w:ind w:left="2127" w:hanging="1276"/>
      <w:contextualSpacing/>
    </w:pPr>
    <w:rPr>
      <w:noProof/>
      <w:szCs w:val="24"/>
    </w:rPr>
  </w:style>
  <w:style w:type="character" w:styleId="Hyperlink">
    <w:name w:val="Hyperlink"/>
    <w:uiPriority w:val="99"/>
    <w:rsid w:val="0076350D"/>
    <w:rPr>
      <w:color w:val="0000FF"/>
      <w:u w:val="single"/>
    </w:rPr>
  </w:style>
  <w:style w:type="paragraph" w:customStyle="1" w:styleId="Appendix">
    <w:name w:val="Appendix"/>
    <w:basedOn w:val="Heading1"/>
    <w:next w:val="Normal"/>
    <w:uiPriority w:val="6"/>
    <w:qFormat/>
    <w:rsid w:val="0076350D"/>
    <w:pPr>
      <w:numPr>
        <w:numId w:val="0"/>
      </w:numPr>
    </w:pPr>
  </w:style>
  <w:style w:type="paragraph" w:styleId="TOC4">
    <w:name w:val="toc 4"/>
    <w:basedOn w:val="Normal"/>
    <w:next w:val="Normal"/>
    <w:uiPriority w:val="39"/>
    <w:rsid w:val="00652E1F"/>
    <w:pPr>
      <w:tabs>
        <w:tab w:val="left" w:pos="1843"/>
        <w:tab w:val="right" w:leader="dot" w:pos="9639"/>
      </w:tabs>
      <w:spacing w:after="60"/>
      <w:ind w:left="1843" w:hanging="1134"/>
      <w:contextualSpacing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76350D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rsid w:val="0076350D"/>
    <w:pPr>
      <w:numPr>
        <w:numId w:val="0"/>
      </w:numPr>
      <w:spacing w:before="480" w:after="0" w:line="276" w:lineRule="auto"/>
      <w:outlineLvl w:val="9"/>
    </w:pPr>
    <w:rPr>
      <w:kern w:val="0"/>
      <w:szCs w:val="28"/>
      <w:lang w:eastAsia="ja-JP"/>
    </w:rPr>
  </w:style>
  <w:style w:type="numbering" w:customStyle="1" w:styleId="NTGTableNumList">
    <w:name w:val="NTG Table Num List"/>
    <w:uiPriority w:val="99"/>
    <w:rsid w:val="00F86F31"/>
    <w:pPr>
      <w:numPr>
        <w:numId w:val="5"/>
      </w:numPr>
    </w:pPr>
  </w:style>
  <w:style w:type="table" w:styleId="TableGrid">
    <w:name w:val="Table Grid"/>
    <w:basedOn w:val="TableNormal"/>
    <w:uiPriority w:val="59"/>
    <w:rsid w:val="0076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GCoverPageTitle">
    <w:name w:val="NTG Cover Page Title"/>
    <w:basedOn w:val="Normal"/>
    <w:uiPriority w:val="99"/>
    <w:rsid w:val="0076350D"/>
    <w:pPr>
      <w:tabs>
        <w:tab w:val="left" w:pos="2805"/>
      </w:tabs>
      <w:autoSpaceDE w:val="0"/>
      <w:autoSpaceDN w:val="0"/>
      <w:adjustRightInd w:val="0"/>
      <w:spacing w:before="1000" w:line="700" w:lineRule="atLeast"/>
      <w:textAlignment w:val="center"/>
    </w:pPr>
    <w:rPr>
      <w:rFonts w:ascii="Arial Black" w:eastAsiaTheme="minorHAnsi" w:hAnsi="Arial Black" w:cs="Lato Black"/>
      <w:color w:val="CB6015"/>
      <w:sz w:val="66"/>
      <w:szCs w:val="66"/>
      <w:lang w:val="en-GB"/>
    </w:rPr>
  </w:style>
  <w:style w:type="paragraph" w:customStyle="1" w:styleId="Footerspacing">
    <w:name w:val="Footer spacing"/>
    <w:semiHidden/>
    <w:rsid w:val="0076350D"/>
    <w:rPr>
      <w:rFonts w:cs="Arial"/>
      <w:sz w:val="6"/>
      <w:szCs w:val="6"/>
    </w:rPr>
  </w:style>
  <w:style w:type="paragraph" w:customStyle="1" w:styleId="NTGCoverPageVersion">
    <w:name w:val="NTG Cover Page Version"/>
    <w:rsid w:val="0076350D"/>
    <w:rPr>
      <w:rFonts w:eastAsia="Times New Roman"/>
      <w:sz w:val="28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rsid w:val="0093401B"/>
    <w:rPr>
      <w:b/>
      <w:color w:val="000000" w:themeColor="text1"/>
    </w:rPr>
  </w:style>
  <w:style w:type="paragraph" w:customStyle="1" w:styleId="NTGFooterDateVersion">
    <w:name w:val="NTG Footer Date &amp; Version"/>
    <w:basedOn w:val="Normal"/>
    <w:link w:val="NTGFooterDateVersionChar"/>
    <w:rsid w:val="0076350D"/>
    <w:pPr>
      <w:widowControl w:val="0"/>
      <w:tabs>
        <w:tab w:val="right" w:pos="9026"/>
      </w:tabs>
      <w:spacing w:after="240"/>
    </w:pPr>
    <w:rPr>
      <w:rFonts w:cs="Arial"/>
      <w:sz w:val="20"/>
      <w:szCs w:val="16"/>
    </w:rPr>
  </w:style>
  <w:style w:type="paragraph" w:customStyle="1" w:styleId="NTGFooterDepartmentandPagenumber">
    <w:name w:val="NTG Footer Department and Page number"/>
    <w:basedOn w:val="Normal"/>
    <w:link w:val="NTGFooterDepartmentandPagenumberChar"/>
    <w:rsid w:val="0076350D"/>
    <w:pPr>
      <w:widowControl w:val="0"/>
      <w:tabs>
        <w:tab w:val="right" w:pos="9026"/>
      </w:tabs>
      <w:spacing w:after="0"/>
    </w:pPr>
    <w:rPr>
      <w:rFonts w:cs="Arial"/>
      <w:sz w:val="20"/>
      <w:szCs w:val="16"/>
    </w:rPr>
  </w:style>
  <w:style w:type="paragraph" w:customStyle="1" w:styleId="NTGFooterDepartmentof">
    <w:name w:val="NTG Footer Department of"/>
    <w:basedOn w:val="Normal"/>
    <w:link w:val="NTGFooterDepartmentofChar"/>
    <w:rsid w:val="0076350D"/>
    <w:pPr>
      <w:widowControl w:val="0"/>
      <w:tabs>
        <w:tab w:val="right" w:pos="9026"/>
      </w:tabs>
      <w:spacing w:after="0"/>
    </w:pPr>
    <w:rPr>
      <w:rFonts w:cs="Arial"/>
      <w:caps/>
      <w:sz w:val="20"/>
      <w:szCs w:val="16"/>
    </w:rPr>
  </w:style>
  <w:style w:type="paragraph" w:customStyle="1" w:styleId="NTGFooterDepartmentName">
    <w:name w:val="NTG Footer Department Name"/>
    <w:basedOn w:val="Normal"/>
    <w:link w:val="NTGFooterDepartmentNameChar"/>
    <w:uiPriority w:val="1"/>
    <w:rsid w:val="0076350D"/>
    <w:pPr>
      <w:widowControl w:val="0"/>
      <w:tabs>
        <w:tab w:val="right" w:pos="9026"/>
      </w:tabs>
      <w:spacing w:after="0"/>
    </w:pPr>
    <w:rPr>
      <w:rFonts w:ascii="Arial Black" w:hAnsi="Arial Black" w:cs="Arial"/>
      <w:caps/>
      <w:sz w:val="20"/>
      <w:szCs w:val="16"/>
    </w:rPr>
  </w:style>
  <w:style w:type="character" w:customStyle="1" w:styleId="NTGFooterDateVersionChar">
    <w:name w:val="NTG Footer Date &amp; Version Char"/>
    <w:basedOn w:val="DefaultParagraphFont"/>
    <w:link w:val="NTGFooterDateVersion"/>
    <w:rsid w:val="0076350D"/>
    <w:rPr>
      <w:rFonts w:cs="Arial"/>
      <w:sz w:val="20"/>
      <w:szCs w:val="16"/>
    </w:rPr>
  </w:style>
  <w:style w:type="character" w:customStyle="1" w:styleId="NTGFooterDepartmentofChar">
    <w:name w:val="NTG Footer Department of Char"/>
    <w:basedOn w:val="DefaultParagraphFont"/>
    <w:link w:val="NTGFooterDepartmentof"/>
    <w:rsid w:val="0076350D"/>
    <w:rPr>
      <w:rFonts w:cs="Arial"/>
      <w:caps/>
      <w:sz w:val="20"/>
      <w:szCs w:val="16"/>
    </w:rPr>
  </w:style>
  <w:style w:type="character" w:customStyle="1" w:styleId="NTGFooterDepartmentandPagenumberChar">
    <w:name w:val="NTG Footer Department and Page number Char"/>
    <w:basedOn w:val="DefaultParagraphFont"/>
    <w:link w:val="NTGFooterDepartmentandPagenumber"/>
    <w:rsid w:val="0076350D"/>
    <w:rPr>
      <w:rFonts w:cs="Arial"/>
      <w:sz w:val="20"/>
      <w:szCs w:val="16"/>
    </w:rPr>
  </w:style>
  <w:style w:type="character" w:customStyle="1" w:styleId="NTGFooterDepartmentNameChar">
    <w:name w:val="NTG Footer Department Name Char"/>
    <w:basedOn w:val="NTGFooterDepartmentofChar"/>
    <w:link w:val="NTGFooterDepartmentName"/>
    <w:uiPriority w:val="1"/>
    <w:rsid w:val="0076350D"/>
    <w:rPr>
      <w:rFonts w:ascii="Arial Black" w:hAnsi="Arial Black" w:cs="Arial"/>
      <w:caps/>
      <w:sz w:val="20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76350D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350D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76350D"/>
    <w:rPr>
      <w:vertAlign w:val="superscript"/>
    </w:rPr>
  </w:style>
  <w:style w:type="paragraph" w:styleId="ListBullet2">
    <w:name w:val="List Bullet 2"/>
    <w:basedOn w:val="Normal"/>
    <w:uiPriority w:val="99"/>
    <w:rsid w:val="00F86F31"/>
    <w:pPr>
      <w:spacing w:after="120"/>
    </w:pPr>
  </w:style>
  <w:style w:type="paragraph" w:styleId="ListBullet">
    <w:name w:val="List Bullet"/>
    <w:basedOn w:val="Normal"/>
    <w:uiPriority w:val="99"/>
    <w:rsid w:val="00F86F31"/>
    <w:pPr>
      <w:spacing w:after="120"/>
    </w:pPr>
  </w:style>
  <w:style w:type="paragraph" w:styleId="ListBullet3">
    <w:name w:val="List Bullet 3"/>
    <w:basedOn w:val="Normal"/>
    <w:uiPriority w:val="99"/>
    <w:rsid w:val="00F86F31"/>
    <w:pPr>
      <w:spacing w:after="120"/>
    </w:pPr>
  </w:style>
  <w:style w:type="table" w:customStyle="1" w:styleId="NTGTable">
    <w:name w:val="NTG Table"/>
    <w:basedOn w:val="TableGrid"/>
    <w:uiPriority w:val="99"/>
    <w:rsid w:val="006D47EC"/>
    <w:pPr>
      <w:spacing w:after="40"/>
    </w:p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  <w:tblPr/>
      <w:tcPr>
        <w:shd w:val="clear" w:color="auto" w:fill="BFBFBF" w:themeFill="background1" w:themeFillShade="BF"/>
      </w:tc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Heading8Char">
    <w:name w:val="Heading 8 Char"/>
    <w:basedOn w:val="DefaultParagraphFont"/>
    <w:link w:val="Heading8"/>
    <w:uiPriority w:val="9"/>
    <w:rsid w:val="0093401B"/>
    <w:rPr>
      <w:b/>
      <w:color w:val="606060"/>
    </w:rPr>
  </w:style>
  <w:style w:type="table" w:styleId="TableTheme">
    <w:name w:val="Table Theme"/>
    <w:basedOn w:val="TableNormal"/>
    <w:uiPriority w:val="99"/>
    <w:semiHidden/>
    <w:unhideWhenUsed/>
    <w:rsid w:val="0076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uiPriority w:val="9"/>
    <w:rsid w:val="0093401B"/>
    <w:rPr>
      <w:b/>
      <w:color w:val="000000" w:themeColor="text1"/>
    </w:rPr>
  </w:style>
  <w:style w:type="numbering" w:customStyle="1" w:styleId="NTGTableList">
    <w:name w:val="NTG Table List"/>
    <w:uiPriority w:val="99"/>
    <w:rsid w:val="00F86F31"/>
    <w:pPr>
      <w:numPr>
        <w:numId w:val="4"/>
      </w:numPr>
    </w:pPr>
  </w:style>
  <w:style w:type="numbering" w:customStyle="1" w:styleId="NTGStandardNumList">
    <w:name w:val="NTG Standard Num List"/>
    <w:uiPriority w:val="99"/>
    <w:rsid w:val="00F86F31"/>
    <w:pPr>
      <w:numPr>
        <w:numId w:val="3"/>
      </w:numPr>
    </w:pPr>
  </w:style>
  <w:style w:type="paragraph" w:styleId="ListBullet4">
    <w:name w:val="List Bullet 4"/>
    <w:basedOn w:val="Normal"/>
    <w:uiPriority w:val="99"/>
    <w:rsid w:val="00F86F31"/>
    <w:pPr>
      <w:spacing w:after="120"/>
    </w:pPr>
  </w:style>
  <w:style w:type="paragraph" w:styleId="ListBullet5">
    <w:name w:val="List Bullet 5"/>
    <w:basedOn w:val="Normal"/>
    <w:uiPriority w:val="99"/>
    <w:rsid w:val="00F86F31"/>
  </w:style>
  <w:style w:type="paragraph" w:styleId="ListNumber">
    <w:name w:val="List Number"/>
    <w:basedOn w:val="Normal"/>
    <w:uiPriority w:val="99"/>
    <w:qFormat/>
    <w:rsid w:val="00F86F31"/>
    <w:pPr>
      <w:numPr>
        <w:numId w:val="12"/>
      </w:numPr>
      <w:spacing w:after="120"/>
    </w:pPr>
  </w:style>
  <w:style w:type="paragraph" w:styleId="ListNumber2">
    <w:name w:val="List Number 2"/>
    <w:basedOn w:val="Normal"/>
    <w:uiPriority w:val="99"/>
    <w:rsid w:val="00F86F31"/>
    <w:pPr>
      <w:numPr>
        <w:ilvl w:val="1"/>
        <w:numId w:val="12"/>
      </w:numPr>
      <w:spacing w:after="120"/>
    </w:pPr>
  </w:style>
  <w:style w:type="paragraph" w:styleId="ListNumber3">
    <w:name w:val="List Number 3"/>
    <w:basedOn w:val="Normal"/>
    <w:uiPriority w:val="99"/>
    <w:rsid w:val="00F86F31"/>
    <w:pPr>
      <w:numPr>
        <w:ilvl w:val="2"/>
        <w:numId w:val="12"/>
      </w:numPr>
      <w:spacing w:after="120"/>
    </w:pPr>
  </w:style>
  <w:style w:type="paragraph" w:styleId="ListNumber4">
    <w:name w:val="List Number 4"/>
    <w:basedOn w:val="Normal"/>
    <w:uiPriority w:val="99"/>
    <w:rsid w:val="00F86F31"/>
    <w:pPr>
      <w:numPr>
        <w:ilvl w:val="3"/>
        <w:numId w:val="12"/>
      </w:numPr>
      <w:spacing w:after="120"/>
    </w:pPr>
  </w:style>
  <w:style w:type="paragraph" w:styleId="ListNumber5">
    <w:name w:val="List Number 5"/>
    <w:basedOn w:val="Normal"/>
    <w:uiPriority w:val="99"/>
    <w:rsid w:val="00F86F31"/>
    <w:pPr>
      <w:numPr>
        <w:ilvl w:val="4"/>
        <w:numId w:val="12"/>
      </w:numPr>
      <w:spacing w:after="120"/>
    </w:pPr>
  </w:style>
  <w:style w:type="paragraph" w:styleId="TOC6">
    <w:name w:val="toc 6"/>
    <w:basedOn w:val="Normal"/>
    <w:next w:val="Normal"/>
    <w:uiPriority w:val="39"/>
    <w:rsid w:val="00652E1F"/>
    <w:pPr>
      <w:tabs>
        <w:tab w:val="left" w:pos="2410"/>
        <w:tab w:val="right" w:leader="dot" w:pos="9639"/>
      </w:tabs>
      <w:spacing w:after="60"/>
      <w:ind w:left="2410" w:hanging="1418"/>
      <w:contextualSpacing/>
    </w:pPr>
    <w:rPr>
      <w:noProof/>
    </w:rPr>
  </w:style>
  <w:style w:type="paragraph" w:styleId="TOC7">
    <w:name w:val="toc 7"/>
    <w:basedOn w:val="Normal"/>
    <w:next w:val="Normal"/>
    <w:uiPriority w:val="39"/>
    <w:rsid w:val="00652E1F"/>
    <w:pPr>
      <w:tabs>
        <w:tab w:val="left" w:pos="2693"/>
        <w:tab w:val="right" w:leader="dot" w:pos="9639"/>
      </w:tabs>
      <w:spacing w:after="60"/>
      <w:ind w:left="2693" w:hanging="1559"/>
      <w:contextualSpacing/>
    </w:pPr>
    <w:rPr>
      <w:noProof/>
    </w:rPr>
  </w:style>
  <w:style w:type="paragraph" w:styleId="TOC8">
    <w:name w:val="toc 8"/>
    <w:basedOn w:val="Normal"/>
    <w:next w:val="Normal"/>
    <w:uiPriority w:val="39"/>
    <w:rsid w:val="00652E1F"/>
    <w:pPr>
      <w:tabs>
        <w:tab w:val="left" w:pos="3119"/>
        <w:tab w:val="right" w:leader="dot" w:pos="9639"/>
      </w:tabs>
      <w:spacing w:after="60"/>
      <w:ind w:left="3119" w:hanging="1843"/>
      <w:contextualSpacing/>
    </w:pPr>
    <w:rPr>
      <w:noProof/>
    </w:rPr>
  </w:style>
  <w:style w:type="paragraph" w:styleId="TOC9">
    <w:name w:val="toc 9"/>
    <w:basedOn w:val="Normal"/>
    <w:next w:val="Normal"/>
    <w:uiPriority w:val="39"/>
    <w:rsid w:val="00652E1F"/>
    <w:pPr>
      <w:tabs>
        <w:tab w:val="left" w:pos="3402"/>
        <w:tab w:val="right" w:leader="dot" w:pos="9639"/>
      </w:tabs>
      <w:spacing w:after="100"/>
      <w:ind w:left="3403" w:hanging="1985"/>
    </w:pPr>
    <w:rPr>
      <w:noProof/>
    </w:rPr>
  </w:style>
  <w:style w:type="paragraph" w:styleId="BlockText">
    <w:name w:val="Block Text"/>
    <w:basedOn w:val="Normal"/>
    <w:semiHidden/>
    <w:unhideWhenUsed/>
    <w:qFormat/>
    <w:rsid w:val="0027738B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NTGTableBulletList1">
    <w:name w:val="NTG Table Bullet List 1"/>
    <w:semiHidden/>
    <w:qFormat/>
    <w:rsid w:val="00F86F31"/>
    <w:pPr>
      <w:numPr>
        <w:numId w:val="8"/>
      </w:numPr>
      <w:spacing w:after="20"/>
    </w:pPr>
  </w:style>
  <w:style w:type="paragraph" w:customStyle="1" w:styleId="NTGTableBulletList2">
    <w:name w:val="NTG Table Bullet List 2"/>
    <w:basedOn w:val="NTGTableBulletList1"/>
    <w:semiHidden/>
    <w:qFormat/>
    <w:rsid w:val="00F86F31"/>
    <w:pPr>
      <w:numPr>
        <w:ilvl w:val="1"/>
      </w:numPr>
    </w:pPr>
  </w:style>
  <w:style w:type="paragraph" w:customStyle="1" w:styleId="NTGTableBulletList3">
    <w:name w:val="NTG Table Bullet List 3"/>
    <w:basedOn w:val="NTGTableBulletList2"/>
    <w:semiHidden/>
    <w:qFormat/>
    <w:rsid w:val="00F86F31"/>
    <w:pPr>
      <w:numPr>
        <w:ilvl w:val="2"/>
      </w:numPr>
    </w:pPr>
  </w:style>
  <w:style w:type="paragraph" w:customStyle="1" w:styleId="NTGTableBulletList4">
    <w:name w:val="NTG Table Bullet List 4"/>
    <w:basedOn w:val="NTGTableBulletList3"/>
    <w:semiHidden/>
    <w:qFormat/>
    <w:rsid w:val="00F86F31"/>
    <w:pPr>
      <w:numPr>
        <w:ilvl w:val="3"/>
      </w:numPr>
    </w:pPr>
  </w:style>
  <w:style w:type="paragraph" w:customStyle="1" w:styleId="NTGTableBulletList5">
    <w:name w:val="NTG Table Bullet List 5"/>
    <w:basedOn w:val="NTGTableBulletList4"/>
    <w:semiHidden/>
    <w:qFormat/>
    <w:rsid w:val="00F86F31"/>
    <w:pPr>
      <w:numPr>
        <w:ilvl w:val="4"/>
      </w:numPr>
    </w:pPr>
  </w:style>
  <w:style w:type="paragraph" w:customStyle="1" w:styleId="NTGTableBulletList6">
    <w:name w:val="NTG Table Bullet List 6"/>
    <w:basedOn w:val="NTGTableBulletList5"/>
    <w:semiHidden/>
    <w:qFormat/>
    <w:rsid w:val="00F86F31"/>
    <w:pPr>
      <w:numPr>
        <w:ilvl w:val="5"/>
      </w:numPr>
    </w:pPr>
  </w:style>
  <w:style w:type="paragraph" w:customStyle="1" w:styleId="NTGTableBulletList7">
    <w:name w:val="NTG Table Bullet List 7"/>
    <w:basedOn w:val="NTGTableBulletList6"/>
    <w:semiHidden/>
    <w:qFormat/>
    <w:rsid w:val="00F86F31"/>
    <w:pPr>
      <w:numPr>
        <w:ilvl w:val="6"/>
      </w:numPr>
    </w:pPr>
  </w:style>
  <w:style w:type="paragraph" w:customStyle="1" w:styleId="NTGTableBulletList8">
    <w:name w:val="NTG Table Bullet List 8"/>
    <w:basedOn w:val="NTGTableBulletList7"/>
    <w:semiHidden/>
    <w:qFormat/>
    <w:rsid w:val="00F86F31"/>
    <w:pPr>
      <w:numPr>
        <w:ilvl w:val="7"/>
      </w:numPr>
    </w:pPr>
  </w:style>
  <w:style w:type="paragraph" w:customStyle="1" w:styleId="NTGTableBulletList9">
    <w:name w:val="NTG Table Bullet List 9"/>
    <w:basedOn w:val="NTGTableBulletList8"/>
    <w:semiHidden/>
    <w:qFormat/>
    <w:rsid w:val="00F86F31"/>
    <w:pPr>
      <w:numPr>
        <w:ilvl w:val="8"/>
      </w:numPr>
    </w:pPr>
  </w:style>
  <w:style w:type="paragraph" w:customStyle="1" w:styleId="NTGTableNumList1">
    <w:name w:val="NTG Table Num List 1"/>
    <w:semiHidden/>
    <w:qFormat/>
    <w:rsid w:val="00F86F31"/>
    <w:pPr>
      <w:numPr>
        <w:numId w:val="7"/>
      </w:numPr>
      <w:spacing w:after="20"/>
    </w:pPr>
  </w:style>
  <w:style w:type="paragraph" w:customStyle="1" w:styleId="NTGTableNumList2">
    <w:name w:val="NTG Table Num List 2"/>
    <w:basedOn w:val="NTGTableNumList1"/>
    <w:semiHidden/>
    <w:qFormat/>
    <w:rsid w:val="00F86F31"/>
    <w:pPr>
      <w:numPr>
        <w:ilvl w:val="1"/>
      </w:numPr>
    </w:pPr>
  </w:style>
  <w:style w:type="paragraph" w:customStyle="1" w:styleId="NTGTableNumList3">
    <w:name w:val="NTG Table Num List 3"/>
    <w:basedOn w:val="NTGTableNumList2"/>
    <w:semiHidden/>
    <w:qFormat/>
    <w:rsid w:val="00F86F31"/>
    <w:pPr>
      <w:numPr>
        <w:ilvl w:val="2"/>
      </w:numPr>
    </w:pPr>
  </w:style>
  <w:style w:type="paragraph" w:customStyle="1" w:styleId="NTGTableNumList4">
    <w:name w:val="NTG Table Num List 4"/>
    <w:basedOn w:val="NTGTableNumList3"/>
    <w:semiHidden/>
    <w:qFormat/>
    <w:rsid w:val="00F86F31"/>
    <w:pPr>
      <w:numPr>
        <w:ilvl w:val="3"/>
      </w:numPr>
    </w:pPr>
  </w:style>
  <w:style w:type="paragraph" w:customStyle="1" w:styleId="NTGTableNumList5">
    <w:name w:val="NTG Table Num List 5"/>
    <w:basedOn w:val="NTGTableNumList4"/>
    <w:semiHidden/>
    <w:qFormat/>
    <w:rsid w:val="00F86F31"/>
    <w:pPr>
      <w:numPr>
        <w:ilvl w:val="4"/>
      </w:numPr>
    </w:pPr>
  </w:style>
  <w:style w:type="paragraph" w:customStyle="1" w:styleId="NTGTableNumList6">
    <w:name w:val="NTG Table Num List 6"/>
    <w:basedOn w:val="NTGTableNumList5"/>
    <w:semiHidden/>
    <w:qFormat/>
    <w:rsid w:val="00F86F31"/>
    <w:pPr>
      <w:numPr>
        <w:ilvl w:val="5"/>
      </w:numPr>
    </w:pPr>
  </w:style>
  <w:style w:type="paragraph" w:customStyle="1" w:styleId="NTGTableNumList7">
    <w:name w:val="NTG Table Num List 7"/>
    <w:basedOn w:val="NTGTableNumList6"/>
    <w:semiHidden/>
    <w:qFormat/>
    <w:rsid w:val="00F86F31"/>
    <w:pPr>
      <w:numPr>
        <w:ilvl w:val="6"/>
      </w:numPr>
    </w:pPr>
  </w:style>
  <w:style w:type="paragraph" w:customStyle="1" w:styleId="NTGTableNumList8">
    <w:name w:val="NTG Table Num List 8"/>
    <w:basedOn w:val="NTGTableNumList7"/>
    <w:semiHidden/>
    <w:qFormat/>
    <w:rsid w:val="00F86F31"/>
    <w:pPr>
      <w:numPr>
        <w:ilvl w:val="7"/>
      </w:numPr>
    </w:pPr>
  </w:style>
  <w:style w:type="paragraph" w:customStyle="1" w:styleId="NTGTableNumList9">
    <w:name w:val="NTG Table Num List 9"/>
    <w:basedOn w:val="NTGTableNumList8"/>
    <w:semiHidden/>
    <w:qFormat/>
    <w:rsid w:val="00F86F31"/>
    <w:pPr>
      <w:numPr>
        <w:ilvl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AF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AF5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1C207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3F7E04"/>
    <w:pPr>
      <w:spacing w:after="80"/>
    </w:pPr>
    <w:rPr>
      <w:rFonts w:ascii="Arial Bold" w:hAnsi="Arial Bold"/>
      <w:b/>
      <w:iCs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70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02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0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2FB"/>
    <w:rPr>
      <w:b/>
      <w:bCs/>
      <w:sz w:val="20"/>
      <w:szCs w:val="20"/>
    </w:rPr>
  </w:style>
  <w:style w:type="table" w:customStyle="1" w:styleId="NTGTable1">
    <w:name w:val="NTG Table1"/>
    <w:basedOn w:val="TableGrid"/>
    <w:uiPriority w:val="99"/>
    <w:rsid w:val="00220F61"/>
    <w:pPr>
      <w:spacing w:after="40"/>
    </w:p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 w:val="0"/>
        <w:keepLines w:val="0"/>
        <w:pageBreakBefore w:val="0"/>
        <w:widowControl/>
        <w:suppressLineNumbers w:val="0"/>
        <w:suppressAutoHyphens w:val="0"/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BFBFBF" w:themeFill="background1" w:themeFillShade="BF"/>
        <w:vAlign w:val="center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  <w:tblPr/>
      <w:tcPr>
        <w:shd w:val="clear" w:color="auto" w:fill="BFBFBF" w:themeFill="background1" w:themeFillShade="BF"/>
      </w:tc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customStyle="1" w:styleId="Ochrebold">
    <w:name w:val="Ochre bold"/>
    <w:basedOn w:val="Normal"/>
    <w:link w:val="OchreboldChar"/>
    <w:qFormat/>
    <w:rsid w:val="00260DAE"/>
    <w:pPr>
      <w:pBdr>
        <w:top w:val="single" w:sz="4" w:space="1" w:color="BC5915"/>
        <w:left w:val="single" w:sz="4" w:space="4" w:color="BC5915"/>
        <w:bottom w:val="single" w:sz="4" w:space="1" w:color="BC5915"/>
        <w:right w:val="single" w:sz="4" w:space="4" w:color="BC5915"/>
      </w:pBdr>
      <w:spacing w:after="60"/>
    </w:pPr>
    <w:rPr>
      <w:b/>
      <w:color w:val="BC5915"/>
    </w:rPr>
  </w:style>
  <w:style w:type="character" w:customStyle="1" w:styleId="OchreboldChar">
    <w:name w:val="Ochre bold Char"/>
    <w:basedOn w:val="DefaultParagraphFont"/>
    <w:link w:val="Ochrebold"/>
    <w:rsid w:val="00260DAE"/>
    <w:rPr>
      <w:b/>
      <w:color w:val="BC59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numbering" Target="numbering.xml"/><Relationship Id="rId15" Type="http://schemas.openxmlformats.org/officeDocument/2006/relationships/hyperlink" Target="mailto:DTF.FinancialPolicy@nt.gov.au" TargetMode="External"/><Relationship Id="rId23" Type="http://schemas.openxmlformats.org/officeDocument/2006/relationships/image" Target="media/image4.png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3.png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D64CB21D3E4B58A886A15B16906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367C7-DED2-4952-8820-2F6F18DA072C}"/>
      </w:docPartPr>
      <w:docPartBody>
        <w:p w:rsidR="00F55471" w:rsidRDefault="00F55471" w:rsidP="00F55471">
          <w:pPr>
            <w:pStyle w:val="0ED64CB21D3E4B58A886A15B169062B1"/>
          </w:pPr>
          <w:r w:rsidRPr="000C7A6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71"/>
    <w:rsid w:val="000330DA"/>
    <w:rsid w:val="0003588C"/>
    <w:rsid w:val="00081D09"/>
    <w:rsid w:val="00091ACC"/>
    <w:rsid w:val="000B629B"/>
    <w:rsid w:val="000C6B2C"/>
    <w:rsid w:val="000E603B"/>
    <w:rsid w:val="00120B6E"/>
    <w:rsid w:val="001561F5"/>
    <w:rsid w:val="001902AD"/>
    <w:rsid w:val="001A4542"/>
    <w:rsid w:val="001C3043"/>
    <w:rsid w:val="001D2F88"/>
    <w:rsid w:val="001E423B"/>
    <w:rsid w:val="001E75D6"/>
    <w:rsid w:val="00223DBA"/>
    <w:rsid w:val="00225886"/>
    <w:rsid w:val="00243539"/>
    <w:rsid w:val="00245E4C"/>
    <w:rsid w:val="002A7800"/>
    <w:rsid w:val="002D7044"/>
    <w:rsid w:val="003061E8"/>
    <w:rsid w:val="00333B6F"/>
    <w:rsid w:val="0034385B"/>
    <w:rsid w:val="003B7F6C"/>
    <w:rsid w:val="003D74C8"/>
    <w:rsid w:val="00404FCF"/>
    <w:rsid w:val="00436D1B"/>
    <w:rsid w:val="00474B40"/>
    <w:rsid w:val="004B70B6"/>
    <w:rsid w:val="004C0C5C"/>
    <w:rsid w:val="004F53AD"/>
    <w:rsid w:val="00562551"/>
    <w:rsid w:val="00582D6A"/>
    <w:rsid w:val="005D2A19"/>
    <w:rsid w:val="005E0A72"/>
    <w:rsid w:val="005E507E"/>
    <w:rsid w:val="005E7450"/>
    <w:rsid w:val="00620B5F"/>
    <w:rsid w:val="006321C5"/>
    <w:rsid w:val="00717806"/>
    <w:rsid w:val="00756835"/>
    <w:rsid w:val="00765AC8"/>
    <w:rsid w:val="00790143"/>
    <w:rsid w:val="007A77DD"/>
    <w:rsid w:val="007C07E5"/>
    <w:rsid w:val="007C6260"/>
    <w:rsid w:val="0085734E"/>
    <w:rsid w:val="008710FD"/>
    <w:rsid w:val="0087723B"/>
    <w:rsid w:val="00884374"/>
    <w:rsid w:val="008B5EA2"/>
    <w:rsid w:val="008C0018"/>
    <w:rsid w:val="009F34B9"/>
    <w:rsid w:val="00A07133"/>
    <w:rsid w:val="00B12B64"/>
    <w:rsid w:val="00B2466A"/>
    <w:rsid w:val="00B3287C"/>
    <w:rsid w:val="00B338F0"/>
    <w:rsid w:val="00B33E59"/>
    <w:rsid w:val="00B44EA2"/>
    <w:rsid w:val="00B45D7E"/>
    <w:rsid w:val="00B803C6"/>
    <w:rsid w:val="00B94933"/>
    <w:rsid w:val="00BF5314"/>
    <w:rsid w:val="00BF5539"/>
    <w:rsid w:val="00C205AB"/>
    <w:rsid w:val="00C23BDD"/>
    <w:rsid w:val="00C3149E"/>
    <w:rsid w:val="00CB0E58"/>
    <w:rsid w:val="00CB119D"/>
    <w:rsid w:val="00CD02CF"/>
    <w:rsid w:val="00D23927"/>
    <w:rsid w:val="00D460F1"/>
    <w:rsid w:val="00D577D1"/>
    <w:rsid w:val="00D57D5F"/>
    <w:rsid w:val="00DC286C"/>
    <w:rsid w:val="00DC7E2F"/>
    <w:rsid w:val="00E019AD"/>
    <w:rsid w:val="00E25218"/>
    <w:rsid w:val="00E804F8"/>
    <w:rsid w:val="00EE284C"/>
    <w:rsid w:val="00F10375"/>
    <w:rsid w:val="00F231EC"/>
    <w:rsid w:val="00F55471"/>
    <w:rsid w:val="00FE4B59"/>
    <w:rsid w:val="00FE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47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04F8"/>
    <w:rPr>
      <w:color w:val="808080"/>
    </w:rPr>
  </w:style>
  <w:style w:type="paragraph" w:customStyle="1" w:styleId="0ED64CB21D3E4B58A886A15B169062B1">
    <w:name w:val="0ED64CB21D3E4B58A886A15B169062B1"/>
    <w:rsid w:val="00F55471"/>
  </w:style>
  <w:style w:type="paragraph" w:customStyle="1" w:styleId="638DE3220EC34360A1843E68C5DE8FDE">
    <w:name w:val="638DE3220EC34360A1843E68C5DE8FDE"/>
    <w:rsid w:val="00E80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_x0020_Type xmlns="378e824e-6e02-4c0d-8321-dd86fba681ee" xsi:nil="true"/>
    <Release_x0020_Date xmlns="378e824e-6e02-4c0d-8321-dd86fba681ee">2018-02-25T14:30:00+00:00</Release_x0020_Date>
    <Publication_x0020_Title xmlns="378e824e-6e02-4c0d-8321-dd86fba681ee">Guidance document: Classification of the functions of government – Australia (COFOG-A)</Publication_x0020_Title>
    <Sub_x0020_Sub_x0020_Category xmlns="378e824e-6e02-4c0d-8321-dd86fba681ee" xsi:nil="true"/>
    <Details xmlns="378e824e-6e02-4c0d-8321-dd86fba681ee" xsi:nil="true"/>
    <Main_x0020_Category xmlns="378e824e-6e02-4c0d-8321-dd86fba681ee">3</Main_x0020_Category>
    <Tax_x0020_Type_x0020_Topic xmlns="378e824e-6e02-4c0d-8321-dd86fba681ee" xsi:nil="true"/>
    <Sub_x0020_Category xmlns="378e824e-6e02-4c0d-8321-dd86fba681ee">12</Sub_x0020_Category>
    <Identifier xmlns="378e824e-6e02-4c0d-8321-dd86fba681ee">TD-RS-COFOGA-guidance</Identifier>
    <Notify xmlns="378e824e-6e02-4c0d-8321-dd86fba681ee">false</Notify>
    <Publication_x0020_Type xmlns="378e824e-6e02-4c0d-8321-dd86fba681e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D68356F7FB54A917EB6B48522F7AB" ma:contentTypeVersion="18" ma:contentTypeDescription="Create a new document." ma:contentTypeScope="" ma:versionID="5968df1a67298019036e2d468f0f57eb">
  <xsd:schema xmlns:xsd="http://www.w3.org/2001/XMLSchema" xmlns:xs="http://www.w3.org/2001/XMLSchema" xmlns:p="http://schemas.microsoft.com/office/2006/metadata/properties" xmlns:ns2="378e824e-6e02-4c0d-8321-dd86fba681ee" targetNamespace="http://schemas.microsoft.com/office/2006/metadata/properties" ma:root="true" ma:fieldsID="016a859d0580dde8c3c2ff3f02387ef4" ns2:_="">
    <xsd:import namespace="378e824e-6e02-4c0d-8321-dd86fba681ee"/>
    <xsd:element name="properties">
      <xsd:complexType>
        <xsd:sequence>
          <xsd:element name="documentManagement">
            <xsd:complexType>
              <xsd:all>
                <xsd:element ref="ns2:Main_x0020_Category"/>
                <xsd:element ref="ns2:Sub_x0020_Category"/>
                <xsd:element ref="ns2:Sub_x0020_Sub_x0020_Category" minOccurs="0"/>
                <xsd:element ref="ns2:Notify" minOccurs="0"/>
                <xsd:element ref="ns2:Details" minOccurs="0"/>
                <xsd:element ref="ns2:Identifier" minOccurs="0"/>
                <xsd:element ref="ns2:Release_x0020_Date" minOccurs="0"/>
                <xsd:element ref="ns2:Publication_x0020_Title" minOccurs="0"/>
                <xsd:element ref="ns2:Publication_x0020_Type" minOccurs="0"/>
                <xsd:element ref="ns2:Tax_x0020_Type" minOccurs="0"/>
                <xsd:element ref="ns2:Tax_x0020_Type_x0020_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e824e-6e02-4c0d-8321-dd86fba681ee" elementFormDefault="qualified">
    <xsd:import namespace="http://schemas.microsoft.com/office/2006/documentManagement/types"/>
    <xsd:import namespace="http://schemas.microsoft.com/office/infopath/2007/PartnerControls"/>
    <xsd:element name="Main_x0020_Category" ma:index="8" ma:displayName="Main Category" ma:list="{b3b53843-a8d9-4b92-b7ee-c4efc7605b88}" ma:internalName="Main_x0020_Category" ma:showField="Title" ma:web="ea3f2675-7e45-4831-bae2-8579175e0c68">
      <xsd:simpleType>
        <xsd:restriction base="dms:Lookup"/>
      </xsd:simpleType>
    </xsd:element>
    <xsd:element name="Sub_x0020_Category" ma:index="9" ma:displayName="Sub Category" ma:list="{edf90873-dc2d-4c00-9444-d26c07edafe2}" ma:internalName="Sub_x0020_Category" ma:showField="Title" ma:web="ea3f2675-7e45-4831-bae2-8579175e0c68">
      <xsd:simpleType>
        <xsd:restriction base="dms:Lookup"/>
      </xsd:simpleType>
    </xsd:element>
    <xsd:element name="Sub_x0020_Sub_x0020_Category" ma:index="10" nillable="true" ma:displayName="Sub Sub Category" ma:list="{0fe7fff1-af8b-412b-8409-b42850d3ea63}" ma:internalName="Sub_x0020_Sub_x0020_Category" ma:readOnly="false" ma:showField="Title" ma:web="ea3f2675-7e45-4831-bae2-8579175e0c68">
      <xsd:simpleType>
        <xsd:restriction base="dms:Lookup"/>
      </xsd:simpleType>
    </xsd:element>
    <xsd:element name="Notify" ma:index="11" nillable="true" ma:displayName="Notify On Check In" ma:default="0" ma:description="Check this box if you would like to notify all subscribers about this document once you check it in." ma:internalName="Notify">
      <xsd:simpleType>
        <xsd:restriction base="dms:Boolean"/>
      </xsd:simpleType>
    </xsd:element>
    <xsd:element name="Details" ma:index="12" nillable="true" ma:displayName="Details" ma:internalName="Details">
      <xsd:simpleType>
        <xsd:restriction base="dms:Text">
          <xsd:maxLength value="255"/>
        </xsd:restriction>
      </xsd:simpleType>
    </xsd:element>
    <xsd:element name="Identifier" ma:index="13" nillable="true" ma:displayName="Identifier" ma:internalName="Identifier">
      <xsd:simpleType>
        <xsd:restriction base="dms:Text">
          <xsd:maxLength value="255"/>
        </xsd:restriction>
      </xsd:simpleType>
    </xsd:element>
    <xsd:element name="Release_x0020_Date" ma:index="14" nillable="true" ma:displayName="Release Date" ma:format="DateOnly" ma:internalName="Release_x0020_Date">
      <xsd:simpleType>
        <xsd:restriction base="dms:DateTime"/>
      </xsd:simpleType>
    </xsd:element>
    <xsd:element name="Publication_x0020_Title" ma:index="15" nillable="true" ma:displayName="Publication Name" ma:description="Use for Taxes, Royalties and Grants publications." ma:internalName="Publication_x0020_Title">
      <xsd:simpleType>
        <xsd:restriction base="dms:Text">
          <xsd:maxLength value="255"/>
        </xsd:restriction>
      </xsd:simpleType>
    </xsd:element>
    <xsd:element name="Publication_x0020_Type" ma:index="16" nillable="true" ma:displayName="Publication Type" ma:description="Use for Taxes, Royalties and Grants publications." ma:format="Dropdown" ma:internalName="Publication_x0020_Type">
      <xsd:simpleType>
        <xsd:restriction base="dms:Choice">
          <xsd:enumeration value="Form (F)"/>
          <xsd:enumeration value="Information (I)"/>
          <xsd:enumeration value="Electronic Returns (RET)"/>
          <xsd:enumeration value="Revenue Circulars (RC)"/>
          <xsd:enumeration value="Payroll Tax Rulings (PTA)"/>
          <xsd:enumeration value="Commissioner's Guidelines (CG)"/>
          <xsd:enumeration value="Royalty Guideline (RG)"/>
          <xsd:enumeration value="Mineral Royalty Forms and Returns (RF)"/>
        </xsd:restriction>
      </xsd:simpleType>
    </xsd:element>
    <xsd:element name="Tax_x0020_Type" ma:index="17" nillable="true" ma:displayName="Tax Type" ma:description="Use for Taxes, Royalties and Grants publications." ma:format="Dropdown" ma:internalName="Tax_x0020_Type">
      <xsd:simpleType>
        <xsd:restriction base="dms:Choice">
          <xsd:enumeration value="General (G)"/>
          <xsd:enumeration value="Home Incentives (HI)"/>
          <xsd:enumeration value="Income Tax Equivalent (IT)"/>
          <xsd:enumeration value="Mineral Royalties"/>
          <xsd:enumeration value="Payroll Tax (PRT)"/>
          <xsd:enumeration value="Stamp Duty (SD)"/>
          <xsd:enumeration value="Unclaimed Money (UM)"/>
        </xsd:restriction>
      </xsd:simpleType>
    </xsd:element>
    <xsd:element name="Tax_x0020_Type_x0020_Topic" ma:index="18" nillable="true" ma:displayName="Tax Type Topic" ma:description="Use for Taxes, Royalties and Grants publications." ma:format="Dropdown" ma:internalName="Tax_x0020_Type_x0020_Topic">
      <xsd:simpleType>
        <xsd:restriction base="dms:Choice">
          <xsd:enumeration value="Allowances"/>
          <xsd:enumeration value="Contractors"/>
          <xsd:enumeration value="Employment Agencies"/>
          <xsd:enumeration value="Exemptions"/>
          <xsd:enumeration value="Fringe Benefits"/>
          <xsd:enumeration value="General"/>
          <xsd:enumeration value="Grouping"/>
          <xsd:enumeration value="NT Payroll Tax Liability"/>
          <xsd:enumeration value="Termination Payments"/>
          <xsd:enumeration value="Wages"/>
          <xsd:enumeration value="Conveyance"/>
          <xsd:enumeration value="Insurance"/>
          <xsd:enumeration value="Leases"/>
          <xsd:enumeration value="Motor Vehic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A865F-674E-46AB-92BF-F56AD202916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78e824e-6e02-4c0d-8321-dd86fba681ee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946007-AB20-4F47-B4E3-35F9322C2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137C00-5A8B-458E-B2D2-D9468046D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e824e-6e02-4c0d-8321-dd86fba681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8D954E-5B1B-4DD5-A607-C08C298C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2239</Words>
  <Characters>12768</Characters>
  <Application>Microsoft Office Word</Application>
  <DocSecurity>4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document: Classification of the functions of government – Australia (COFOG-A)</vt:lpstr>
    </vt:vector>
  </TitlesOfParts>
  <Company>Northern Territory Government</Company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document: Classification of the functions of government – Australia (COFOG-A)</dc:title>
  <dc:subject/>
  <dc:creator>Northern Territory Government</dc:creator>
  <cp:keywords/>
  <dc:description/>
  <cp:lastModifiedBy>Rebecca Murray</cp:lastModifiedBy>
  <cp:revision>2</cp:revision>
  <cp:lastPrinted>2018-05-21T04:03:00Z</cp:lastPrinted>
  <dcterms:created xsi:type="dcterms:W3CDTF">2023-07-21T06:08:00Z</dcterms:created>
  <dcterms:modified xsi:type="dcterms:W3CDTF">2023-07-21T06:08:00Z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29 May 2018</vt:lpwstr>
  </property>
  <property fmtid="{D5CDD505-2E9C-101B-9397-08002B2CF9AE}" pid="3" name="VersionNo">
    <vt:lpwstr>1.1</vt:lpwstr>
  </property>
  <property fmtid="{D5CDD505-2E9C-101B-9397-08002B2CF9AE}" pid="4" name="DocumentAuthor">
    <vt:lpwstr>DTF Financial Policy</vt:lpwstr>
  </property>
  <property fmtid="{D5CDD505-2E9C-101B-9397-08002B2CF9AE}" pid="5" name="DepartmentName">
    <vt:lpwstr>Treasury and Finance</vt:lpwstr>
  </property>
  <property fmtid="{D5CDD505-2E9C-101B-9397-08002B2CF9AE}" pid="6" name="DepartmentOf">
    <vt:lpwstr>Department of </vt:lpwstr>
  </property>
  <property fmtid="{D5CDD505-2E9C-101B-9397-08002B2CF9AE}" pid="7" name="ContentTypeId">
    <vt:lpwstr>0x010100AE1D68356F7FB54A917EB6B48522F7AB</vt:lpwstr>
  </property>
</Properties>
</file>