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NTGTable"/>
        <w:tblW w:w="0" w:type="auto"/>
        <w:tblLook w:val="06A0" w:firstRow="1" w:lastRow="0" w:firstColumn="1" w:lastColumn="0" w:noHBand="1" w:noVBand="1"/>
        <w:tblDescription w:val="Document details showing row labels: purpose, last reviewed, operative date and references."/>
      </w:tblPr>
      <w:tblGrid>
        <w:gridCol w:w="1838"/>
        <w:gridCol w:w="6883"/>
      </w:tblGrid>
      <w:tr w:rsidR="00720493" w:rsidRPr="00720493" w14:paraId="0BCC1A72" w14:textId="77777777" w:rsidTr="00DC1B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721" w:type="dxa"/>
            <w:gridSpan w:val="2"/>
          </w:tcPr>
          <w:p w14:paraId="2487E0E9" w14:textId="77777777" w:rsidR="00720493" w:rsidRPr="00720493" w:rsidRDefault="00F15130" w:rsidP="00890275">
            <w:pPr>
              <w:spacing w:before="0" w:after="0" w:line="276" w:lineRule="auto"/>
              <w:rPr>
                <w:bCs/>
              </w:rPr>
            </w:pPr>
            <w:bookmarkStart w:id="0" w:name="_GoBack"/>
            <w:bookmarkEnd w:id="0"/>
            <w:r>
              <w:rPr>
                <w:bCs/>
              </w:rPr>
              <w:t xml:space="preserve">Treasurer’s </w:t>
            </w:r>
            <w:r w:rsidR="00ED769A">
              <w:rPr>
                <w:bCs/>
              </w:rPr>
              <w:t>D</w:t>
            </w:r>
            <w:r>
              <w:rPr>
                <w:bCs/>
              </w:rPr>
              <w:t>irection (mandatory)</w:t>
            </w:r>
          </w:p>
        </w:tc>
      </w:tr>
      <w:tr w:rsidR="00720493" w:rsidRPr="00720493" w14:paraId="35ECD6DA" w14:textId="77777777" w:rsidTr="00076B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01F4C0D" w14:textId="77777777" w:rsidR="00720493" w:rsidRPr="00720493" w:rsidRDefault="00720493" w:rsidP="00890275">
            <w:pPr>
              <w:spacing w:after="0" w:line="276" w:lineRule="auto"/>
              <w:rPr>
                <w:b/>
                <w:bCs/>
              </w:rPr>
            </w:pPr>
            <w:r w:rsidRPr="00720493">
              <w:rPr>
                <w:b/>
                <w:bCs/>
              </w:rPr>
              <w:t>Purpose</w:t>
            </w:r>
          </w:p>
        </w:tc>
        <w:tc>
          <w:tcPr>
            <w:tcW w:w="6883" w:type="dxa"/>
          </w:tcPr>
          <w:p w14:paraId="3BB550E3" w14:textId="23AE8669" w:rsidR="00720493" w:rsidRPr="002633CC" w:rsidRDefault="00B62252" w:rsidP="00890275">
            <w:pPr>
              <w:autoSpaceDE w:val="0"/>
              <w:autoSpaceDN w:val="0"/>
              <w:adjustRightInd w:val="0"/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Cs/>
              </w:rPr>
              <w:t xml:space="preserve">To provide a framework and minimum control </w:t>
            </w:r>
            <w:r w:rsidR="00CE15DD">
              <w:rPr>
                <w:bCs/>
              </w:rPr>
              <w:t xml:space="preserve">requirements </w:t>
            </w:r>
            <w:r w:rsidR="00955CDE">
              <w:rPr>
                <w:bCs/>
              </w:rPr>
              <w:t xml:space="preserve">for the application of the </w:t>
            </w:r>
            <w:r w:rsidR="00215A79">
              <w:rPr>
                <w:bCs/>
              </w:rPr>
              <w:t>Northern Territory tax equivalent r</w:t>
            </w:r>
            <w:r w:rsidR="00EC7FDA">
              <w:rPr>
                <w:bCs/>
              </w:rPr>
              <w:t>egime</w:t>
            </w:r>
            <w:r w:rsidR="00AA376C">
              <w:rPr>
                <w:bCs/>
              </w:rPr>
              <w:t xml:space="preserve"> and dividend policy </w:t>
            </w:r>
            <w:r w:rsidR="00955CDE">
              <w:rPr>
                <w:bCs/>
              </w:rPr>
              <w:t xml:space="preserve">for </w:t>
            </w:r>
            <w:r w:rsidR="0072618A">
              <w:rPr>
                <w:bCs/>
              </w:rPr>
              <w:t>government business divisions</w:t>
            </w:r>
          </w:p>
        </w:tc>
      </w:tr>
      <w:tr w:rsidR="00720493" w:rsidRPr="00720493" w14:paraId="07F6C3A9" w14:textId="77777777" w:rsidTr="00076B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59FB407C" w14:textId="77777777" w:rsidR="00720493" w:rsidRPr="00720493" w:rsidRDefault="00720493" w:rsidP="00890275">
            <w:pPr>
              <w:spacing w:after="0" w:line="276" w:lineRule="auto"/>
              <w:rPr>
                <w:b/>
                <w:bCs/>
              </w:rPr>
            </w:pPr>
            <w:r w:rsidRPr="00720493">
              <w:rPr>
                <w:b/>
                <w:bCs/>
              </w:rPr>
              <w:t>Last reviewed</w:t>
            </w:r>
          </w:p>
        </w:tc>
        <w:tc>
          <w:tcPr>
            <w:tcW w:w="6883" w:type="dxa"/>
          </w:tcPr>
          <w:p w14:paraId="16E5C657" w14:textId="3CC1BFB3" w:rsidR="00720493" w:rsidRPr="00720493" w:rsidRDefault="0072618A" w:rsidP="00890275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Not applicable</w:t>
            </w:r>
          </w:p>
        </w:tc>
      </w:tr>
      <w:tr w:rsidR="00720493" w:rsidRPr="00720493" w14:paraId="6BBCBD84" w14:textId="77777777" w:rsidTr="00076B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0BCEBE2" w14:textId="77777777" w:rsidR="00720493" w:rsidRPr="00720493" w:rsidRDefault="00720493" w:rsidP="00890275">
            <w:pPr>
              <w:spacing w:after="0" w:line="276" w:lineRule="auto"/>
              <w:rPr>
                <w:b/>
                <w:bCs/>
              </w:rPr>
            </w:pPr>
            <w:r w:rsidRPr="00720493">
              <w:rPr>
                <w:b/>
                <w:bCs/>
              </w:rPr>
              <w:t>Operative date</w:t>
            </w:r>
          </w:p>
        </w:tc>
        <w:tc>
          <w:tcPr>
            <w:tcW w:w="6883" w:type="dxa"/>
          </w:tcPr>
          <w:p w14:paraId="0AB20D81" w14:textId="216304A3" w:rsidR="0072618A" w:rsidRPr="00A22768" w:rsidRDefault="0072618A" w:rsidP="00890275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Commencing from </w:t>
            </w:r>
            <w:r w:rsidR="006E0CFE">
              <w:t>1 July 2018</w:t>
            </w:r>
          </w:p>
        </w:tc>
      </w:tr>
      <w:tr w:rsidR="00720493" w:rsidRPr="00720493" w14:paraId="043CA339" w14:textId="77777777" w:rsidTr="00076B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2BF5EE0" w14:textId="77777777" w:rsidR="00720493" w:rsidRPr="003278D6" w:rsidRDefault="00720493" w:rsidP="00890275">
            <w:pPr>
              <w:spacing w:after="0" w:line="276" w:lineRule="auto"/>
              <w:rPr>
                <w:b/>
                <w:bCs/>
              </w:rPr>
            </w:pPr>
            <w:r w:rsidRPr="003278D6">
              <w:rPr>
                <w:b/>
                <w:bCs/>
              </w:rPr>
              <w:t>References</w:t>
            </w:r>
          </w:p>
        </w:tc>
        <w:tc>
          <w:tcPr>
            <w:tcW w:w="6883" w:type="dxa"/>
          </w:tcPr>
          <w:p w14:paraId="5ABF88A1" w14:textId="1ADD1333" w:rsidR="008550AD" w:rsidRPr="0072618A" w:rsidRDefault="008550AD" w:rsidP="00890275">
            <w:pPr>
              <w:pStyle w:val="NTGTableBulletList1"/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3278D6">
              <w:t>Guidance doc</w:t>
            </w:r>
            <w:r w:rsidR="0072618A">
              <w:t>ument – Northern Territory t</w:t>
            </w:r>
            <w:r>
              <w:t xml:space="preserve">ax equivalent regime and dividend policy </w:t>
            </w:r>
            <w:r w:rsidR="0072618A" w:rsidRPr="00A22768">
              <w:rPr>
                <w:b/>
              </w:rPr>
              <w:t>(</w:t>
            </w:r>
            <w:r w:rsidRPr="0072618A">
              <w:rPr>
                <w:b/>
              </w:rPr>
              <w:t>recommended to be read in conjunction with this Treasurer’s Direction</w:t>
            </w:r>
            <w:r w:rsidR="0072618A">
              <w:rPr>
                <w:b/>
              </w:rPr>
              <w:t>)</w:t>
            </w:r>
          </w:p>
          <w:p w14:paraId="2ACBBDC2" w14:textId="00E97045" w:rsidR="00085A78" w:rsidRDefault="00B62252" w:rsidP="00890275">
            <w:pPr>
              <w:pStyle w:val="NTGTableBulletList1"/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3278D6">
              <w:rPr>
                <w:i/>
              </w:rPr>
              <w:t>Financial Management Act</w:t>
            </w:r>
            <w:r w:rsidR="00C95C60">
              <w:rPr>
                <w:i/>
              </w:rPr>
              <w:t xml:space="preserve"> 1995</w:t>
            </w:r>
          </w:p>
          <w:p w14:paraId="032231E8" w14:textId="4877BF98" w:rsidR="00DB7E16" w:rsidRPr="00771920" w:rsidRDefault="00DB7E16" w:rsidP="00890275">
            <w:pPr>
              <w:pStyle w:val="NTGTableBulletList1"/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3EF1">
              <w:rPr>
                <w:rFonts w:cs="Arial"/>
                <w:i/>
              </w:rPr>
              <w:t>Income Tax Rates Act 1986</w:t>
            </w:r>
            <w:r w:rsidR="00741610">
              <w:rPr>
                <w:rFonts w:cs="Arial"/>
                <w:i/>
              </w:rPr>
              <w:t xml:space="preserve"> </w:t>
            </w:r>
            <w:r w:rsidR="00741610" w:rsidRPr="00771920">
              <w:rPr>
                <w:rFonts w:cs="Arial"/>
              </w:rPr>
              <w:t>(as amended)</w:t>
            </w:r>
          </w:p>
          <w:p w14:paraId="7E5E5700" w14:textId="3CAFB915" w:rsidR="00EC7FDA" w:rsidRPr="002633CC" w:rsidRDefault="00741610" w:rsidP="00890275">
            <w:pPr>
              <w:pStyle w:val="NTGTableBulletList1"/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Northern Territory Government </w:t>
            </w:r>
            <w:r w:rsidR="0072618A" w:rsidRPr="003E16DF">
              <w:t xml:space="preserve">policy </w:t>
            </w:r>
            <w:r w:rsidR="003E16DF">
              <w:t>statement on competitive n</w:t>
            </w:r>
            <w:r w:rsidR="003E16DF" w:rsidRPr="003E16DF">
              <w:t>eutrality</w:t>
            </w:r>
          </w:p>
        </w:tc>
      </w:tr>
    </w:tbl>
    <w:p w14:paraId="43C4C84C" w14:textId="35B54DA2" w:rsidR="002633CC" w:rsidRDefault="002633CC" w:rsidP="00450733">
      <w:pPr>
        <w:pStyle w:val="Heading1"/>
        <w:ind w:left="432" w:hanging="432"/>
      </w:pPr>
      <w:bookmarkStart w:id="1" w:name="_Ref501034890"/>
      <w:r>
        <w:t>Overview</w:t>
      </w:r>
      <w:bookmarkEnd w:id="1"/>
    </w:p>
    <w:p w14:paraId="51F60624" w14:textId="3C5C348B" w:rsidR="00FE0293" w:rsidRDefault="00215A79" w:rsidP="00450733">
      <w:pPr>
        <w:pStyle w:val="Heading2"/>
      </w:pPr>
      <w:r>
        <w:t>Northern Territory t</w:t>
      </w:r>
      <w:r w:rsidR="003E16DF">
        <w:t>ax equivalent r</w:t>
      </w:r>
      <w:r w:rsidR="00FE0293" w:rsidRPr="00FE0293">
        <w:t>egime</w:t>
      </w:r>
    </w:p>
    <w:p w14:paraId="4C8BAB7B" w14:textId="56DB37F5" w:rsidR="00955CDE" w:rsidRPr="000B401F" w:rsidRDefault="00955CDE" w:rsidP="00210770">
      <w:pPr>
        <w:pStyle w:val="ListNumber"/>
        <w:numPr>
          <w:ilvl w:val="0"/>
          <w:numId w:val="9"/>
        </w:numPr>
        <w:spacing w:line="276" w:lineRule="auto"/>
        <w:rPr>
          <w:rFonts w:cs="Arial"/>
        </w:rPr>
      </w:pPr>
      <w:r w:rsidRPr="000B401F">
        <w:rPr>
          <w:rFonts w:cs="Arial"/>
        </w:rPr>
        <w:t xml:space="preserve">The </w:t>
      </w:r>
      <w:r w:rsidRPr="000262F9">
        <w:rPr>
          <w:rFonts w:cs="Arial"/>
        </w:rPr>
        <w:t xml:space="preserve">Northern Territory </w:t>
      </w:r>
      <w:r w:rsidR="00CC0EDC" w:rsidRPr="000262F9">
        <w:rPr>
          <w:rFonts w:cs="Arial"/>
        </w:rPr>
        <w:t>tax equivalent regime</w:t>
      </w:r>
      <w:r w:rsidR="00CC0EDC" w:rsidRPr="000B401F">
        <w:rPr>
          <w:rFonts w:cs="Arial"/>
        </w:rPr>
        <w:t xml:space="preserve"> </w:t>
      </w:r>
      <w:r w:rsidRPr="000B401F">
        <w:rPr>
          <w:rFonts w:cs="Arial"/>
        </w:rPr>
        <w:t xml:space="preserve">(TER) subjects </w:t>
      </w:r>
      <w:r w:rsidR="00CC0EDC" w:rsidRPr="000B401F">
        <w:rPr>
          <w:rFonts w:cs="Arial"/>
        </w:rPr>
        <w:t>government business division</w:t>
      </w:r>
      <w:r w:rsidR="00CC0EDC">
        <w:rPr>
          <w:rFonts w:cs="Arial"/>
        </w:rPr>
        <w:t>s</w:t>
      </w:r>
      <w:r w:rsidR="00CC0EDC" w:rsidRPr="000B401F">
        <w:rPr>
          <w:rFonts w:cs="Arial"/>
        </w:rPr>
        <w:t xml:space="preserve"> </w:t>
      </w:r>
      <w:r w:rsidRPr="000B401F">
        <w:rPr>
          <w:rFonts w:cs="Arial"/>
        </w:rPr>
        <w:t>(GBD</w:t>
      </w:r>
      <w:r w:rsidR="008F2122">
        <w:rPr>
          <w:rFonts w:cs="Arial"/>
        </w:rPr>
        <w:t>s</w:t>
      </w:r>
      <w:r w:rsidRPr="000B401F">
        <w:rPr>
          <w:rFonts w:cs="Arial"/>
        </w:rPr>
        <w:t>) to income tax equivalent payments</w:t>
      </w:r>
      <w:r w:rsidR="00CC0EDC">
        <w:rPr>
          <w:rFonts w:cs="Arial"/>
        </w:rPr>
        <w:t xml:space="preserve">, </w:t>
      </w:r>
      <w:r w:rsidRPr="000B401F">
        <w:rPr>
          <w:rFonts w:cs="Arial"/>
        </w:rPr>
        <w:t xml:space="preserve">which approximate </w:t>
      </w:r>
      <w:r w:rsidR="000B4739">
        <w:rPr>
          <w:rFonts w:cs="Arial"/>
        </w:rPr>
        <w:t>Commonwealth</w:t>
      </w:r>
      <w:r w:rsidRPr="000B401F">
        <w:rPr>
          <w:rFonts w:cs="Arial"/>
        </w:rPr>
        <w:t xml:space="preserve"> </w:t>
      </w:r>
      <w:r w:rsidR="000B4739">
        <w:rPr>
          <w:rFonts w:cs="Arial"/>
        </w:rPr>
        <w:t xml:space="preserve">income </w:t>
      </w:r>
      <w:r w:rsidRPr="000B401F">
        <w:rPr>
          <w:rFonts w:cs="Arial"/>
        </w:rPr>
        <w:t>taxes that would be payable if the business were privately owned.</w:t>
      </w:r>
    </w:p>
    <w:p w14:paraId="656AE1B5" w14:textId="511C6614" w:rsidR="00955CDE" w:rsidRDefault="00955CDE" w:rsidP="00450733">
      <w:pPr>
        <w:pStyle w:val="Heading2"/>
      </w:pPr>
      <w:r>
        <w:t>National tax equivalent r</w:t>
      </w:r>
      <w:r w:rsidRPr="00FE0293">
        <w:t>egime</w:t>
      </w:r>
    </w:p>
    <w:p w14:paraId="3889E171" w14:textId="20218B4C" w:rsidR="00955CDE" w:rsidRDefault="00955CDE" w:rsidP="00210770">
      <w:pPr>
        <w:pStyle w:val="ListParagraph"/>
        <w:numPr>
          <w:ilvl w:val="0"/>
          <w:numId w:val="9"/>
        </w:numPr>
      </w:pPr>
      <w:r>
        <w:t xml:space="preserve">The </w:t>
      </w:r>
      <w:r w:rsidR="001513D9">
        <w:t>N</w:t>
      </w:r>
      <w:r w:rsidR="00CC0EDC" w:rsidRPr="000262F9">
        <w:t>ational tax equivalent regime</w:t>
      </w:r>
      <w:r w:rsidR="00CC0EDC">
        <w:rPr>
          <w:i/>
        </w:rPr>
        <w:t xml:space="preserve"> </w:t>
      </w:r>
      <w:r>
        <w:t>(NTER) is an administrative</w:t>
      </w:r>
      <w:r w:rsidR="00741610">
        <w:t xml:space="preserve"> arrangement under which Commonwealth</w:t>
      </w:r>
      <w:r>
        <w:t xml:space="preserve"> income tax legislation</w:t>
      </w:r>
      <w:r w:rsidR="000B401F">
        <w:t xml:space="preserve"> is notionally applied to </w:t>
      </w:r>
      <w:r w:rsidR="00CC0EDC">
        <w:t xml:space="preserve">government </w:t>
      </w:r>
      <w:r w:rsidR="000B401F">
        <w:t>trading entities.</w:t>
      </w:r>
    </w:p>
    <w:p w14:paraId="160653D1" w14:textId="54CB5EE3" w:rsidR="000B401F" w:rsidRPr="00955CDE" w:rsidRDefault="000B401F" w:rsidP="00210770">
      <w:pPr>
        <w:pStyle w:val="ListParagraph"/>
        <w:numPr>
          <w:ilvl w:val="0"/>
          <w:numId w:val="9"/>
        </w:numPr>
      </w:pPr>
      <w:r>
        <w:t>Entities subject to the NTER are listed in the NTER entity register</w:t>
      </w:r>
      <w:r w:rsidR="00D82C40">
        <w:t xml:space="preserve"> maintained by the Australian Taxation Office </w:t>
      </w:r>
      <w:r w:rsidR="000C5C93">
        <w:t xml:space="preserve">on </w:t>
      </w:r>
      <w:r w:rsidR="00D82C40">
        <w:t xml:space="preserve">behalf </w:t>
      </w:r>
      <w:r w:rsidR="000C5C93">
        <w:t xml:space="preserve">of the </w:t>
      </w:r>
      <w:r w:rsidR="00D82C40">
        <w:t>states and territories.</w:t>
      </w:r>
    </w:p>
    <w:p w14:paraId="36F8DEB1" w14:textId="3415324A" w:rsidR="00955CDE" w:rsidRDefault="00955CDE" w:rsidP="00450733">
      <w:pPr>
        <w:pStyle w:val="Heading2"/>
      </w:pPr>
      <w:r w:rsidRPr="000B401F">
        <w:t>Scope</w:t>
      </w:r>
    </w:p>
    <w:p w14:paraId="763C7E5E" w14:textId="77777777" w:rsidR="00E07713" w:rsidRDefault="00955CDE" w:rsidP="00E07713">
      <w:pPr>
        <w:pStyle w:val="ListParagraph"/>
        <w:numPr>
          <w:ilvl w:val="0"/>
          <w:numId w:val="9"/>
        </w:numPr>
      </w:pPr>
      <w:r>
        <w:t>The TER</w:t>
      </w:r>
      <w:r w:rsidR="0012104E">
        <w:t xml:space="preserve"> </w:t>
      </w:r>
      <w:r w:rsidR="00E07713">
        <w:t>applies</w:t>
      </w:r>
      <w:r w:rsidR="00CC0EDC">
        <w:t xml:space="preserve"> to </w:t>
      </w:r>
      <w:r>
        <w:t>GBD</w:t>
      </w:r>
      <w:r w:rsidR="002633CC">
        <w:t>s</w:t>
      </w:r>
      <w:r w:rsidR="00E34EE5">
        <w:t xml:space="preserve"> identified in the </w:t>
      </w:r>
      <w:r w:rsidR="00E34EE5" w:rsidRPr="000262F9">
        <w:t>Treasurer’s Revocation of Determination and Determination of Government Business Divisions</w:t>
      </w:r>
      <w:r w:rsidR="00E07713">
        <w:t>.</w:t>
      </w:r>
    </w:p>
    <w:p w14:paraId="134E0B53" w14:textId="38DEB7F3" w:rsidR="00955CDE" w:rsidRDefault="00E07713" w:rsidP="00E07713">
      <w:pPr>
        <w:pStyle w:val="ListParagraph"/>
        <w:numPr>
          <w:ilvl w:val="0"/>
          <w:numId w:val="9"/>
        </w:numPr>
      </w:pPr>
      <w:r>
        <w:t xml:space="preserve">Entities </w:t>
      </w:r>
      <w:r w:rsidR="00CC0EDC">
        <w:t xml:space="preserve">which are </w:t>
      </w:r>
      <w:r w:rsidR="000B401F">
        <w:t>registered under the</w:t>
      </w:r>
      <w:r w:rsidR="00955CDE">
        <w:t xml:space="preserve"> NTER</w:t>
      </w:r>
      <w:r>
        <w:t xml:space="preserve"> are excluded from the scope of this Treasurer’s Direction.</w:t>
      </w:r>
    </w:p>
    <w:p w14:paraId="775E99FB" w14:textId="77777777" w:rsidR="002B1375" w:rsidRDefault="002B1375" w:rsidP="006E0CFE">
      <w:pPr>
        <w:pStyle w:val="Appendix"/>
      </w:pPr>
      <w:r>
        <w:br w:type="page"/>
      </w:r>
    </w:p>
    <w:p w14:paraId="4D5BF17C" w14:textId="465F327F" w:rsidR="004E3479" w:rsidRDefault="00CE69F9" w:rsidP="00AA376C">
      <w:pPr>
        <w:pStyle w:val="Heading1"/>
        <w:spacing w:line="276" w:lineRule="auto"/>
        <w:ind w:left="432" w:hanging="432"/>
      </w:pPr>
      <w:r>
        <w:lastRenderedPageBreak/>
        <w:t>TER</w:t>
      </w:r>
      <w:r w:rsidR="008550AD">
        <w:t xml:space="preserve"> application</w:t>
      </w:r>
    </w:p>
    <w:p w14:paraId="7E9212DF" w14:textId="18288CA5" w:rsidR="00680E5C" w:rsidRDefault="00235F1A" w:rsidP="00680E5C">
      <w:pPr>
        <w:pStyle w:val="Heading2"/>
        <w:ind w:left="576" w:hanging="576"/>
      </w:pPr>
      <w:r>
        <w:t>Calculation of</w:t>
      </w:r>
      <w:r w:rsidR="00F31EB9">
        <w:t xml:space="preserve"> </w:t>
      </w:r>
      <w:r w:rsidR="00680E5C">
        <w:t>income tax equivalent payments</w:t>
      </w:r>
    </w:p>
    <w:p w14:paraId="489B9995" w14:textId="695E8C8E" w:rsidR="00D14035" w:rsidRDefault="00680E5C" w:rsidP="00210770">
      <w:pPr>
        <w:pStyle w:val="ListNumber"/>
        <w:numPr>
          <w:ilvl w:val="0"/>
          <w:numId w:val="9"/>
        </w:numPr>
        <w:spacing w:line="276" w:lineRule="auto"/>
      </w:pPr>
      <w:r>
        <w:t>A</w:t>
      </w:r>
      <w:r w:rsidR="00F31EB9">
        <w:t xml:space="preserve"> GBD must apply the accounting p</w:t>
      </w:r>
      <w:r>
        <w:t>rofit</w:t>
      </w:r>
      <w:r w:rsidR="00F87933">
        <w:t>s</w:t>
      </w:r>
      <w:r w:rsidR="00F31EB9">
        <w:t xml:space="preserve"> m</w:t>
      </w:r>
      <w:r>
        <w:t>odel</w:t>
      </w:r>
      <w:r w:rsidR="00F31EB9">
        <w:t xml:space="preserve"> to calculate income tax equivalent payments.</w:t>
      </w:r>
    </w:p>
    <w:p w14:paraId="29546BB4" w14:textId="7D35A8AB" w:rsidR="00F31EB9" w:rsidRPr="00F31EB9" w:rsidRDefault="00E07713" w:rsidP="00210770">
      <w:pPr>
        <w:pStyle w:val="ListNumber"/>
        <w:numPr>
          <w:ilvl w:val="0"/>
          <w:numId w:val="9"/>
        </w:numPr>
        <w:spacing w:line="276" w:lineRule="auto"/>
      </w:pPr>
      <w:r>
        <w:rPr>
          <w:rFonts w:cs="Arial"/>
        </w:rPr>
        <w:t>To calculate the income tax equivalent liabilities, t</w:t>
      </w:r>
      <w:r w:rsidR="00235F1A">
        <w:rPr>
          <w:rFonts w:cs="Arial"/>
        </w:rPr>
        <w:t xml:space="preserve">he prevailing company tax rate </w:t>
      </w:r>
      <w:r w:rsidR="00235F1A">
        <w:t xml:space="preserve">published in the </w:t>
      </w:r>
      <w:r w:rsidR="00235F1A" w:rsidRPr="00B93EF1">
        <w:rPr>
          <w:rFonts w:cs="Arial"/>
          <w:i/>
        </w:rPr>
        <w:t>Income Tax Rates Act 1986</w:t>
      </w:r>
      <w:r w:rsidR="00246948">
        <w:rPr>
          <w:rFonts w:cs="Arial"/>
          <w:i/>
        </w:rPr>
        <w:t xml:space="preserve"> </w:t>
      </w:r>
      <w:r w:rsidR="00246948" w:rsidRPr="00246948">
        <w:rPr>
          <w:rFonts w:cs="Arial"/>
        </w:rPr>
        <w:t>(as amended)</w:t>
      </w:r>
      <w:r w:rsidR="00CE407C">
        <w:rPr>
          <w:rFonts w:cs="Arial"/>
        </w:rPr>
        <w:t>,</w:t>
      </w:r>
      <w:r w:rsidR="00246948">
        <w:rPr>
          <w:rFonts w:cs="Arial"/>
          <w:i/>
        </w:rPr>
        <w:t xml:space="preserve"> </w:t>
      </w:r>
      <w:r>
        <w:rPr>
          <w:rFonts w:cs="Arial"/>
        </w:rPr>
        <w:t>must</w:t>
      </w:r>
      <w:r w:rsidR="00235F1A">
        <w:rPr>
          <w:rFonts w:cs="Arial"/>
        </w:rPr>
        <w:t xml:space="preserve"> be</w:t>
      </w:r>
      <w:r w:rsidR="00F31EB9">
        <w:rPr>
          <w:rFonts w:cs="Arial"/>
        </w:rPr>
        <w:t xml:space="preserve"> applied to the audited accounting</w:t>
      </w:r>
      <w:r w:rsidR="00235F1A">
        <w:rPr>
          <w:rFonts w:cs="Arial"/>
        </w:rPr>
        <w:t xml:space="preserve"> profit </w:t>
      </w:r>
      <w:r w:rsidR="00DB7E16">
        <w:rPr>
          <w:rFonts w:cs="Arial"/>
        </w:rPr>
        <w:t xml:space="preserve">of </w:t>
      </w:r>
      <w:r w:rsidR="00235F1A">
        <w:rPr>
          <w:rFonts w:cs="Arial"/>
        </w:rPr>
        <w:t xml:space="preserve">a </w:t>
      </w:r>
      <w:r w:rsidR="00DB7E16">
        <w:rPr>
          <w:rFonts w:cs="Arial"/>
        </w:rPr>
        <w:t>GBD</w:t>
      </w:r>
      <w:r w:rsidR="00F31EB9">
        <w:rPr>
          <w:rFonts w:cs="Arial"/>
        </w:rPr>
        <w:t xml:space="preserve"> </w:t>
      </w:r>
      <w:r w:rsidR="00C3467B">
        <w:rPr>
          <w:rFonts w:cs="Arial"/>
        </w:rPr>
        <w:t>for each financial year</w:t>
      </w:r>
      <w:r w:rsidR="00F31EB9">
        <w:rPr>
          <w:rFonts w:cs="Arial"/>
        </w:rPr>
        <w:t>.</w:t>
      </w:r>
    </w:p>
    <w:p w14:paraId="2F86D47B" w14:textId="269C9F4B" w:rsidR="00DB7E16" w:rsidRDefault="00DB7E16" w:rsidP="00210770">
      <w:pPr>
        <w:pStyle w:val="ListNumber"/>
        <w:numPr>
          <w:ilvl w:val="0"/>
          <w:numId w:val="9"/>
        </w:numPr>
        <w:spacing w:line="276" w:lineRule="auto"/>
      </w:pPr>
      <w:bookmarkStart w:id="2" w:name="_Ref2859437"/>
      <w:r>
        <w:t>A GBD may apply prior year accounting losses to reduce all or part of the taxable income for</w:t>
      </w:r>
      <w:r w:rsidR="00235F1A">
        <w:t xml:space="preserve"> a particular</w:t>
      </w:r>
      <w:r w:rsidR="00E07713">
        <w:t xml:space="preserve"> financial</w:t>
      </w:r>
      <w:r w:rsidR="00235F1A">
        <w:t xml:space="preserve"> year</w:t>
      </w:r>
      <w:r w:rsidR="00E07713">
        <w:t>,</w:t>
      </w:r>
      <w:r w:rsidR="00235F1A">
        <w:t xml:space="preserve"> provided </w:t>
      </w:r>
      <w:r w:rsidRPr="00DB7E16">
        <w:t>the prior year accounting loss has not previously been used to reduce taxable income</w:t>
      </w:r>
      <w:r w:rsidR="00CB7869">
        <w:t>.</w:t>
      </w:r>
      <w:bookmarkEnd w:id="2"/>
    </w:p>
    <w:p w14:paraId="1B6F5A95" w14:textId="31D68654" w:rsidR="00771920" w:rsidRDefault="00E14024" w:rsidP="00210770">
      <w:pPr>
        <w:pStyle w:val="ListNumber"/>
        <w:numPr>
          <w:ilvl w:val="0"/>
          <w:numId w:val="9"/>
        </w:numPr>
        <w:spacing w:line="276" w:lineRule="auto"/>
      </w:pPr>
      <w:bookmarkStart w:id="3" w:name="_Ref2859444"/>
      <w:r>
        <w:t xml:space="preserve">Unrealised gains or losses </w:t>
      </w:r>
      <w:r w:rsidR="00317EA0">
        <w:t xml:space="preserve">resulting from a valuation adjustment </w:t>
      </w:r>
      <w:r w:rsidR="00C475E9" w:rsidRPr="00CA6379">
        <w:t>must</w:t>
      </w:r>
      <w:r w:rsidR="00C475E9">
        <w:t xml:space="preserve"> </w:t>
      </w:r>
      <w:r>
        <w:t xml:space="preserve">be excluded </w:t>
      </w:r>
      <w:r w:rsidR="00210770">
        <w:t xml:space="preserve">from a GBD’s </w:t>
      </w:r>
      <w:r w:rsidR="00317EA0">
        <w:t>audited accounting profit</w:t>
      </w:r>
      <w:r w:rsidR="00C97E19">
        <w:t xml:space="preserve"> and </w:t>
      </w:r>
      <w:r w:rsidR="00210770">
        <w:t xml:space="preserve">the </w:t>
      </w:r>
      <w:r w:rsidR="00C97E19">
        <w:t>calculation of tax.</w:t>
      </w:r>
      <w:bookmarkEnd w:id="3"/>
    </w:p>
    <w:p w14:paraId="73B92BAC" w14:textId="77777777" w:rsidR="00771920" w:rsidRDefault="008523CF" w:rsidP="00210770">
      <w:pPr>
        <w:pStyle w:val="ListNumber"/>
        <w:numPr>
          <w:ilvl w:val="0"/>
          <w:numId w:val="9"/>
        </w:numPr>
        <w:spacing w:line="276" w:lineRule="auto"/>
      </w:pPr>
      <w:r>
        <w:t>Tax will be due and payable</w:t>
      </w:r>
      <w:r w:rsidR="00771920">
        <w:t xml:space="preserve"> on a valuation adjustment when a gain or loss has been realised through a sale.</w:t>
      </w:r>
    </w:p>
    <w:p w14:paraId="7F65D6EA" w14:textId="386A7451" w:rsidR="00680E5C" w:rsidRPr="00292D7D" w:rsidRDefault="00A8735F" w:rsidP="008523CF">
      <w:pPr>
        <w:pStyle w:val="Heading2"/>
        <w:ind w:left="576" w:hanging="576"/>
      </w:pPr>
      <w:r>
        <w:t>Payment</w:t>
      </w:r>
      <w:r w:rsidR="00680E5C">
        <w:t xml:space="preserve"> of income tax equivalent</w:t>
      </w:r>
      <w:r w:rsidR="00E07713">
        <w:t>s</w:t>
      </w:r>
    </w:p>
    <w:p w14:paraId="5FA9643A" w14:textId="1BEA7A5F" w:rsidR="00D27DF7" w:rsidRPr="00D27DF7" w:rsidRDefault="00F87933" w:rsidP="00210770">
      <w:pPr>
        <w:pStyle w:val="ListNumber"/>
        <w:numPr>
          <w:ilvl w:val="0"/>
          <w:numId w:val="9"/>
        </w:numPr>
        <w:spacing w:line="276" w:lineRule="auto"/>
      </w:pPr>
      <w:r w:rsidRPr="00D27DF7">
        <w:t xml:space="preserve">A </w:t>
      </w:r>
      <w:r w:rsidR="00FC13D8" w:rsidRPr="00D27DF7">
        <w:t xml:space="preserve">GBD must </w:t>
      </w:r>
      <w:r w:rsidR="00D27DF7" w:rsidRPr="00D27DF7">
        <w:t>pay its income tax equivalent liability</w:t>
      </w:r>
      <w:r w:rsidR="00E07713" w:rsidRPr="00CA6379">
        <w:t>,</w:t>
      </w:r>
      <w:r w:rsidR="00C3467B" w:rsidRPr="00CA6379">
        <w:t xml:space="preserve"> as reported in the annual audited financial statement</w:t>
      </w:r>
      <w:r w:rsidR="000B4739" w:rsidRPr="00CA6379">
        <w:t>s</w:t>
      </w:r>
      <w:r w:rsidR="00E07713" w:rsidRPr="00CA6379">
        <w:t>,</w:t>
      </w:r>
      <w:r w:rsidR="00D27DF7" w:rsidRPr="00D27DF7">
        <w:t xml:space="preserve"> within six months af</w:t>
      </w:r>
      <w:r w:rsidR="00EE5482">
        <w:t>ter the end of</w:t>
      </w:r>
      <w:r w:rsidR="00E07713">
        <w:t xml:space="preserve"> the</w:t>
      </w:r>
      <w:r w:rsidR="00EE5482">
        <w:t xml:space="preserve"> financial year or another period </w:t>
      </w:r>
      <w:r w:rsidR="00D27DF7" w:rsidRPr="00D27DF7">
        <w:t>approved by the Treasurer.</w:t>
      </w:r>
    </w:p>
    <w:p w14:paraId="15C45FD1" w14:textId="22334B65" w:rsidR="00FE51B3" w:rsidRDefault="00D27DF7" w:rsidP="00210770">
      <w:pPr>
        <w:pStyle w:val="ListNumber"/>
        <w:numPr>
          <w:ilvl w:val="0"/>
          <w:numId w:val="9"/>
        </w:numPr>
        <w:spacing w:line="276" w:lineRule="auto"/>
      </w:pPr>
      <w:r w:rsidRPr="00A8735F">
        <w:t>P</w:t>
      </w:r>
      <w:r w:rsidR="00E02F58" w:rsidRPr="00A8735F">
        <w:t xml:space="preserve">ayments of </w:t>
      </w:r>
      <w:r w:rsidR="00CA6379">
        <w:t xml:space="preserve">income tax equivalent liability </w:t>
      </w:r>
      <w:r w:rsidR="00C475E9">
        <w:t xml:space="preserve">must </w:t>
      </w:r>
      <w:r w:rsidR="00FE51B3" w:rsidRPr="00A8735F">
        <w:t>be remitted to the</w:t>
      </w:r>
      <w:r w:rsidR="00C3467B">
        <w:t xml:space="preserve"> Department of Treasury and Finance (DTF)</w:t>
      </w:r>
      <w:r w:rsidR="0093385A" w:rsidRPr="00A8735F">
        <w:t>.</w:t>
      </w:r>
    </w:p>
    <w:p w14:paraId="170997A7" w14:textId="77777777" w:rsidR="00827BBC" w:rsidRPr="00827BBC" w:rsidRDefault="00827BBC" w:rsidP="008A7A69">
      <w:pPr>
        <w:pStyle w:val="Heading2"/>
        <w:ind w:left="576" w:hanging="576"/>
      </w:pPr>
      <w:r w:rsidRPr="00827BBC">
        <w:t>Role of the tax assessor</w:t>
      </w:r>
    </w:p>
    <w:p w14:paraId="44AADA93" w14:textId="5ADBC8B0" w:rsidR="00827BBC" w:rsidRDefault="0093385A" w:rsidP="00210770">
      <w:pPr>
        <w:pStyle w:val="ListNumber"/>
        <w:numPr>
          <w:ilvl w:val="0"/>
          <w:numId w:val="9"/>
        </w:numPr>
        <w:spacing w:line="276" w:lineRule="auto"/>
      </w:pPr>
      <w:r>
        <w:t>The t</w:t>
      </w:r>
      <w:r w:rsidR="00827BBC" w:rsidRPr="00827BBC">
        <w:t>ax assessor is charged with the authority of administering the</w:t>
      </w:r>
      <w:r w:rsidR="00A007D7">
        <w:t xml:space="preserve"> TER</w:t>
      </w:r>
      <w:r w:rsidR="00CE407C">
        <w:t>.</w:t>
      </w:r>
    </w:p>
    <w:p w14:paraId="0281D3C3" w14:textId="1FA7A36F" w:rsidR="00827BBC" w:rsidRDefault="00827BBC" w:rsidP="00210770">
      <w:pPr>
        <w:pStyle w:val="ListNumber"/>
        <w:numPr>
          <w:ilvl w:val="0"/>
          <w:numId w:val="9"/>
        </w:numPr>
        <w:spacing w:line="276" w:lineRule="auto"/>
      </w:pPr>
      <w:r>
        <w:t xml:space="preserve">For the purposes of the TER, </w:t>
      </w:r>
      <w:r w:rsidR="008550AD">
        <w:t xml:space="preserve">the role and </w:t>
      </w:r>
      <w:r>
        <w:t>power</w:t>
      </w:r>
      <w:r w:rsidR="008550AD">
        <w:t xml:space="preserve"> of </w:t>
      </w:r>
      <w:r w:rsidR="00CE407C">
        <w:t xml:space="preserve">the </w:t>
      </w:r>
      <w:r w:rsidR="008550AD">
        <w:t>tax assessor</w:t>
      </w:r>
      <w:r>
        <w:t xml:space="preserve"> rests with the Treasurer</w:t>
      </w:r>
      <w:r w:rsidR="00CE407C">
        <w:t>,</w:t>
      </w:r>
      <w:r>
        <w:t xml:space="preserve"> and is carried out through appointed officers within </w:t>
      </w:r>
      <w:r w:rsidR="00C3467B">
        <w:t>DTF</w:t>
      </w:r>
      <w:r w:rsidR="00A8735F">
        <w:t>.</w:t>
      </w:r>
    </w:p>
    <w:p w14:paraId="6558C227" w14:textId="68B56B2C" w:rsidR="00B124CB" w:rsidRDefault="008B2EFD" w:rsidP="00B124CB">
      <w:pPr>
        <w:pStyle w:val="Heading1"/>
        <w:spacing w:line="276" w:lineRule="auto"/>
        <w:ind w:left="432" w:hanging="432"/>
      </w:pPr>
      <w:r>
        <w:t>Dividend policy</w:t>
      </w:r>
    </w:p>
    <w:p w14:paraId="665DE5CD" w14:textId="77777777" w:rsidR="00490659" w:rsidRDefault="00490659" w:rsidP="00210770">
      <w:pPr>
        <w:pStyle w:val="ListNumber"/>
        <w:numPr>
          <w:ilvl w:val="0"/>
          <w:numId w:val="9"/>
        </w:numPr>
        <w:spacing w:line="276" w:lineRule="auto"/>
      </w:pPr>
      <w:r>
        <w:t>A GBD is subject to:</w:t>
      </w:r>
    </w:p>
    <w:p w14:paraId="43A736B5" w14:textId="41E3B4BE" w:rsidR="00490659" w:rsidRDefault="00FD6BEA" w:rsidP="00490659">
      <w:pPr>
        <w:pStyle w:val="ListNumber"/>
        <w:numPr>
          <w:ilvl w:val="1"/>
          <w:numId w:val="9"/>
        </w:numPr>
        <w:spacing w:line="276" w:lineRule="auto"/>
        <w:ind w:left="924" w:hanging="357"/>
      </w:pPr>
      <w:r w:rsidRPr="007829B9">
        <w:t xml:space="preserve">an ordinary dividend on an annual basis </w:t>
      </w:r>
      <w:r w:rsidR="00490659">
        <w:t>(see paragraphs </w:t>
      </w:r>
      <w:r w:rsidR="00490659">
        <w:fldChar w:fldCharType="begin"/>
      </w:r>
      <w:r w:rsidR="00490659">
        <w:instrText xml:space="preserve"> REF _Ref6993367 \r \h </w:instrText>
      </w:r>
      <w:r w:rsidR="00490659">
        <w:fldChar w:fldCharType="separate"/>
      </w:r>
      <w:r w:rsidR="00890275">
        <w:t>16</w:t>
      </w:r>
      <w:r w:rsidR="00490659">
        <w:fldChar w:fldCharType="end"/>
      </w:r>
      <w:r w:rsidR="00490659">
        <w:t xml:space="preserve"> to </w:t>
      </w:r>
      <w:r w:rsidR="00490659">
        <w:fldChar w:fldCharType="begin"/>
      </w:r>
      <w:r w:rsidR="00490659">
        <w:instrText xml:space="preserve"> REF _Ref6993377 \r \h </w:instrText>
      </w:r>
      <w:r w:rsidR="00490659">
        <w:fldChar w:fldCharType="separate"/>
      </w:r>
      <w:r w:rsidR="00890275">
        <w:t>17</w:t>
      </w:r>
      <w:r w:rsidR="00490659">
        <w:fldChar w:fldCharType="end"/>
      </w:r>
      <w:r w:rsidR="00490659">
        <w:t xml:space="preserve">) </w:t>
      </w:r>
      <w:r w:rsidRPr="007829B9">
        <w:t>and</w:t>
      </w:r>
      <w:r w:rsidR="00490659">
        <w:t xml:space="preserve"> or</w:t>
      </w:r>
    </w:p>
    <w:p w14:paraId="069D10CC" w14:textId="0AEE2CE4" w:rsidR="007B5882" w:rsidRPr="007829B9" w:rsidRDefault="00FD6BEA" w:rsidP="00490659">
      <w:pPr>
        <w:pStyle w:val="ListNumber"/>
        <w:numPr>
          <w:ilvl w:val="1"/>
          <w:numId w:val="9"/>
        </w:numPr>
        <w:spacing w:line="276" w:lineRule="auto"/>
        <w:ind w:left="924" w:hanging="357"/>
      </w:pPr>
      <w:proofErr w:type="gramStart"/>
      <w:r w:rsidRPr="007829B9">
        <w:t>a</w:t>
      </w:r>
      <w:proofErr w:type="gramEnd"/>
      <w:r w:rsidRPr="007829B9">
        <w:t xml:space="preserve"> special dividend in certain circumstances</w:t>
      </w:r>
      <w:r w:rsidR="00490659">
        <w:t xml:space="preserve"> (see paragraphs </w:t>
      </w:r>
      <w:r w:rsidR="00490659">
        <w:fldChar w:fldCharType="begin"/>
      </w:r>
      <w:r w:rsidR="00490659">
        <w:instrText xml:space="preserve"> REF _Ref8286413 \r \h </w:instrText>
      </w:r>
      <w:r w:rsidR="00490659">
        <w:fldChar w:fldCharType="separate"/>
      </w:r>
      <w:r w:rsidR="00890275">
        <w:t>18</w:t>
      </w:r>
      <w:r w:rsidR="00490659">
        <w:fldChar w:fldCharType="end"/>
      </w:r>
      <w:r w:rsidR="00490659">
        <w:t xml:space="preserve"> to </w:t>
      </w:r>
      <w:r w:rsidR="00490659">
        <w:fldChar w:fldCharType="begin"/>
      </w:r>
      <w:r w:rsidR="00490659">
        <w:instrText xml:space="preserve"> REF _Ref8286424 \r \h </w:instrText>
      </w:r>
      <w:r w:rsidR="00490659">
        <w:fldChar w:fldCharType="separate"/>
      </w:r>
      <w:r w:rsidR="00890275">
        <w:t>19</w:t>
      </w:r>
      <w:r w:rsidR="00490659">
        <w:fldChar w:fldCharType="end"/>
      </w:r>
      <w:r w:rsidR="00490659">
        <w:t>).</w:t>
      </w:r>
    </w:p>
    <w:p w14:paraId="5B7DEDC0" w14:textId="408C54FA" w:rsidR="00DA3032" w:rsidRPr="008F3CD5" w:rsidRDefault="00DA3032" w:rsidP="00DA3032">
      <w:pPr>
        <w:pStyle w:val="Heading2"/>
      </w:pPr>
      <w:r>
        <w:t>Types of dividend</w:t>
      </w:r>
      <w:r w:rsidR="008550AD">
        <w:t>s</w:t>
      </w:r>
    </w:p>
    <w:p w14:paraId="0056C7EE" w14:textId="62A4C7EB" w:rsidR="007B5882" w:rsidRDefault="00B55154" w:rsidP="00DA3032">
      <w:pPr>
        <w:pStyle w:val="Heading3"/>
        <w:ind w:left="720" w:hanging="720"/>
      </w:pPr>
      <w:r>
        <w:t>Ordinary d</w:t>
      </w:r>
      <w:r w:rsidR="00FB3713">
        <w:t>ividend</w:t>
      </w:r>
      <w:r w:rsidR="008550AD">
        <w:t>s</w:t>
      </w:r>
    </w:p>
    <w:p w14:paraId="6E955985" w14:textId="7A18524E" w:rsidR="0098018B" w:rsidRPr="00655361" w:rsidRDefault="0098018B" w:rsidP="00655361">
      <w:pPr>
        <w:pStyle w:val="ListNumber"/>
        <w:numPr>
          <w:ilvl w:val="0"/>
          <w:numId w:val="9"/>
        </w:numPr>
        <w:spacing w:line="276" w:lineRule="auto"/>
      </w:pPr>
      <w:bookmarkStart w:id="4" w:name="_Ref6993367"/>
      <w:r w:rsidRPr="00B124CB">
        <w:t>A</w:t>
      </w:r>
      <w:r w:rsidR="00655361" w:rsidRPr="00655361">
        <w:t>ll</w:t>
      </w:r>
      <w:r w:rsidRPr="00B124CB">
        <w:t xml:space="preserve"> GBD</w:t>
      </w:r>
      <w:r w:rsidR="000262F9">
        <w:t>s</w:t>
      </w:r>
      <w:r w:rsidR="00655361" w:rsidRPr="00655361">
        <w:t>, with the exception of the Northern Territory Treasury Corporation</w:t>
      </w:r>
      <w:r w:rsidR="008550AD">
        <w:t>,</w:t>
      </w:r>
      <w:r w:rsidR="00655361" w:rsidRPr="00655361">
        <w:t xml:space="preserve"> are</w:t>
      </w:r>
      <w:r w:rsidRPr="00B124CB">
        <w:t xml:space="preserve"> subject to an</w:t>
      </w:r>
      <w:r w:rsidR="00FB3713">
        <w:t xml:space="preserve"> annual</w:t>
      </w:r>
      <w:r w:rsidRPr="00B124CB">
        <w:t xml:space="preserve"> ordinary</w:t>
      </w:r>
      <w:r w:rsidR="00B55154">
        <w:t xml:space="preserve"> dividend payment of 50 per cent</w:t>
      </w:r>
      <w:r w:rsidRPr="00B124CB">
        <w:t xml:space="preserve"> of </w:t>
      </w:r>
      <w:r w:rsidR="00F6489C">
        <w:t>the adjusted</w:t>
      </w:r>
      <w:r w:rsidR="00CE407C">
        <w:t xml:space="preserve"> </w:t>
      </w:r>
      <w:r w:rsidR="0075608E">
        <w:t>after-tax profit</w:t>
      </w:r>
      <w:r w:rsidR="00787D20">
        <w:t xml:space="preserve"> pursuant to application of paragraphs </w:t>
      </w:r>
      <w:r w:rsidR="00246948" w:rsidRPr="00655361">
        <w:fldChar w:fldCharType="begin"/>
      </w:r>
      <w:r w:rsidR="00246948">
        <w:instrText xml:space="preserve"> REF _Ref2859437 \r \h </w:instrText>
      </w:r>
      <w:r w:rsidR="00655361">
        <w:instrText xml:space="preserve"> \* MERGEFORMAT </w:instrText>
      </w:r>
      <w:r w:rsidR="00246948" w:rsidRPr="00655361">
        <w:fldChar w:fldCharType="separate"/>
      </w:r>
      <w:r w:rsidR="00890275">
        <w:t>8</w:t>
      </w:r>
      <w:r w:rsidR="00246948" w:rsidRPr="00655361">
        <w:fldChar w:fldCharType="end"/>
      </w:r>
      <w:r w:rsidR="00787D20">
        <w:t xml:space="preserve"> and </w:t>
      </w:r>
      <w:r w:rsidR="00246948" w:rsidRPr="00655361">
        <w:fldChar w:fldCharType="begin"/>
      </w:r>
      <w:r w:rsidR="00246948">
        <w:instrText xml:space="preserve"> REF _Ref2859444 \r \h </w:instrText>
      </w:r>
      <w:r w:rsidR="00655361">
        <w:instrText xml:space="preserve"> \* MERGEFORMAT </w:instrText>
      </w:r>
      <w:r w:rsidR="00246948" w:rsidRPr="00655361">
        <w:fldChar w:fldCharType="separate"/>
      </w:r>
      <w:r w:rsidR="00890275">
        <w:t>9</w:t>
      </w:r>
      <w:r w:rsidR="00246948" w:rsidRPr="00655361">
        <w:fldChar w:fldCharType="end"/>
      </w:r>
      <w:r w:rsidRPr="00B124CB">
        <w:t>, unless otherwise determined by the Treasurer.</w:t>
      </w:r>
      <w:bookmarkEnd w:id="4"/>
    </w:p>
    <w:p w14:paraId="74CAA8A8" w14:textId="57A05A5F" w:rsidR="00655361" w:rsidRPr="00907E6F" w:rsidRDefault="00655361" w:rsidP="00655361">
      <w:pPr>
        <w:pStyle w:val="ListNumber"/>
        <w:numPr>
          <w:ilvl w:val="0"/>
          <w:numId w:val="9"/>
        </w:numPr>
        <w:spacing w:line="276" w:lineRule="auto"/>
      </w:pPr>
      <w:bookmarkStart w:id="5" w:name="_Ref6993377"/>
      <w:r w:rsidRPr="00655361">
        <w:lastRenderedPageBreak/>
        <w:t>The Northern Territory Treasury Corporation is subject to an annual ordinary dividend payment of 100 per cent o</w:t>
      </w:r>
      <w:r w:rsidR="0075608E">
        <w:t>f its adjusted after-tax profit</w:t>
      </w:r>
      <w:r w:rsidR="00490659">
        <w:t>,</w:t>
      </w:r>
      <w:r w:rsidRPr="00655361">
        <w:t xml:space="preserve"> pursuant to the application of </w:t>
      </w:r>
      <w:r w:rsidRPr="00907E6F">
        <w:t xml:space="preserve">paragraphs </w:t>
      </w:r>
      <w:r w:rsidR="00490659">
        <w:fldChar w:fldCharType="begin"/>
      </w:r>
      <w:r w:rsidR="00490659">
        <w:instrText xml:space="preserve"> REF _Ref2859437 \r \h </w:instrText>
      </w:r>
      <w:r w:rsidR="00490659">
        <w:fldChar w:fldCharType="separate"/>
      </w:r>
      <w:r w:rsidR="00890275">
        <w:t>8</w:t>
      </w:r>
      <w:r w:rsidR="00490659">
        <w:fldChar w:fldCharType="end"/>
      </w:r>
      <w:r w:rsidRPr="00907E6F">
        <w:t xml:space="preserve"> and </w:t>
      </w:r>
      <w:r w:rsidR="00490659">
        <w:fldChar w:fldCharType="begin"/>
      </w:r>
      <w:r w:rsidR="00490659">
        <w:instrText xml:space="preserve"> REF _Ref2859444 \r \h </w:instrText>
      </w:r>
      <w:r w:rsidR="00490659">
        <w:fldChar w:fldCharType="separate"/>
      </w:r>
      <w:r w:rsidR="00890275">
        <w:t>9</w:t>
      </w:r>
      <w:r w:rsidR="00490659">
        <w:fldChar w:fldCharType="end"/>
      </w:r>
      <w:r w:rsidRPr="00907E6F">
        <w:t>.</w:t>
      </w:r>
      <w:bookmarkEnd w:id="5"/>
    </w:p>
    <w:p w14:paraId="41B2FE51" w14:textId="3694F927" w:rsidR="0066259B" w:rsidRPr="00FB3713" w:rsidRDefault="00B55154" w:rsidP="0066259B">
      <w:pPr>
        <w:pStyle w:val="Heading3"/>
        <w:ind w:left="720" w:hanging="720"/>
      </w:pPr>
      <w:r>
        <w:t>Special d</w:t>
      </w:r>
      <w:r w:rsidR="0066259B" w:rsidRPr="00FB3713">
        <w:t>ividend</w:t>
      </w:r>
      <w:r w:rsidR="008550AD">
        <w:t>s</w:t>
      </w:r>
    </w:p>
    <w:p w14:paraId="793B6880" w14:textId="6C33B98C" w:rsidR="0066259B" w:rsidRPr="00450733" w:rsidRDefault="0066259B" w:rsidP="00450733">
      <w:pPr>
        <w:pStyle w:val="ListNumber"/>
        <w:numPr>
          <w:ilvl w:val="0"/>
          <w:numId w:val="9"/>
        </w:numPr>
        <w:spacing w:line="276" w:lineRule="auto"/>
      </w:pPr>
      <w:bookmarkStart w:id="6" w:name="_Ref8286413"/>
      <w:r w:rsidRPr="00CF0FE5">
        <w:t xml:space="preserve">Special dividends </w:t>
      </w:r>
      <w:r>
        <w:t xml:space="preserve">are </w:t>
      </w:r>
      <w:r w:rsidRPr="00CF0FE5">
        <w:t>dividends paid out of accumulated profits or capital</w:t>
      </w:r>
      <w:r w:rsidR="008A7A69">
        <w:t xml:space="preserve"> </w:t>
      </w:r>
      <w:r w:rsidRPr="008A7A69">
        <w:t xml:space="preserve">reserves and </w:t>
      </w:r>
      <w:r w:rsidR="00A22768">
        <w:t xml:space="preserve">are </w:t>
      </w:r>
      <w:r w:rsidR="00B55154">
        <w:t xml:space="preserve">distinct </w:t>
      </w:r>
      <w:r w:rsidRPr="008A7A69">
        <w:t>from ordinary dividends.</w:t>
      </w:r>
      <w:bookmarkEnd w:id="6"/>
    </w:p>
    <w:p w14:paraId="2BBBF3A6" w14:textId="54E1B6AE" w:rsidR="002B1375" w:rsidRPr="00450733" w:rsidRDefault="00771920" w:rsidP="00450733">
      <w:pPr>
        <w:pStyle w:val="ListNumber"/>
        <w:numPr>
          <w:ilvl w:val="0"/>
          <w:numId w:val="9"/>
        </w:numPr>
        <w:spacing w:line="276" w:lineRule="auto"/>
      </w:pPr>
      <w:bookmarkStart w:id="7" w:name="_Ref8286424"/>
      <w:r>
        <w:t>The Treasurer may direct</w:t>
      </w:r>
      <w:r w:rsidR="0066259B" w:rsidRPr="00CF0FE5">
        <w:t xml:space="preserve"> a G</w:t>
      </w:r>
      <w:r w:rsidR="0066259B">
        <w:t>BD to pay a</w:t>
      </w:r>
      <w:r w:rsidR="008A7A69">
        <w:t xml:space="preserve"> </w:t>
      </w:r>
      <w:r w:rsidR="0066259B" w:rsidRPr="002B1375">
        <w:t>s</w:t>
      </w:r>
      <w:r w:rsidR="008A7A69" w:rsidRPr="002B1375">
        <w:t>pecial dividend if he or she</w:t>
      </w:r>
      <w:r w:rsidR="0066259B" w:rsidRPr="002B1375">
        <w:t xml:space="preserve"> is satisfied that the GBD has the resources to</w:t>
      </w:r>
      <w:r w:rsidR="008A7A69" w:rsidRPr="002B1375">
        <w:t xml:space="preserve"> </w:t>
      </w:r>
      <w:r w:rsidR="0066259B" w:rsidRPr="002B1375">
        <w:t>do so.</w:t>
      </w:r>
      <w:bookmarkStart w:id="8" w:name="_Toc535527534"/>
      <w:bookmarkEnd w:id="7"/>
    </w:p>
    <w:p w14:paraId="4356A650" w14:textId="03462DD2" w:rsidR="00DA3032" w:rsidRPr="00787D20" w:rsidRDefault="00DA3032" w:rsidP="00DA3032">
      <w:pPr>
        <w:pStyle w:val="Heading2"/>
      </w:pPr>
      <w:r w:rsidRPr="00F60443">
        <w:t xml:space="preserve">Accounting </w:t>
      </w:r>
      <w:r w:rsidRPr="00787D20">
        <w:t>for dividends</w:t>
      </w:r>
      <w:bookmarkEnd w:id="8"/>
    </w:p>
    <w:p w14:paraId="4B8C6AAB" w14:textId="2F2AD919" w:rsidR="008B2EFD" w:rsidRPr="00D00CC8" w:rsidRDefault="008B2EFD" w:rsidP="0072618A">
      <w:pPr>
        <w:pStyle w:val="ListNumber"/>
        <w:numPr>
          <w:ilvl w:val="0"/>
          <w:numId w:val="9"/>
        </w:numPr>
        <w:spacing w:line="276" w:lineRule="auto"/>
      </w:pPr>
      <w:bookmarkStart w:id="9" w:name="_Ref2859483"/>
      <w:r w:rsidRPr="00787D20">
        <w:t xml:space="preserve">A </w:t>
      </w:r>
      <w:r w:rsidR="0066259B" w:rsidRPr="00787D20">
        <w:t xml:space="preserve">GBD must recognise </w:t>
      </w:r>
      <w:r w:rsidR="007324C8" w:rsidRPr="00787D20">
        <w:t xml:space="preserve">a provision to pay </w:t>
      </w:r>
      <w:r w:rsidR="00DD72A8" w:rsidRPr="00787D20">
        <w:t>ordinary</w:t>
      </w:r>
      <w:r w:rsidR="00DE31FC">
        <w:t xml:space="preserve"> dividends</w:t>
      </w:r>
      <w:r w:rsidR="00DD72A8" w:rsidRPr="00787D20">
        <w:t>,</w:t>
      </w:r>
      <w:r w:rsidR="00DD72A8">
        <w:t xml:space="preserve"> when declared</w:t>
      </w:r>
      <w:r w:rsidR="007324C8" w:rsidRPr="00787D20">
        <w:t xml:space="preserve"> in the year they relate to, in accordance with </w:t>
      </w:r>
      <w:r w:rsidR="000F22C6">
        <w:t xml:space="preserve">Australian </w:t>
      </w:r>
      <w:r w:rsidR="007324C8" w:rsidRPr="00787D20">
        <w:t>accounting standards.</w:t>
      </w:r>
      <w:bookmarkEnd w:id="9"/>
    </w:p>
    <w:p w14:paraId="4260FF60" w14:textId="698EF771" w:rsidR="003B6E10" w:rsidRPr="00EB59F4" w:rsidRDefault="00D82C40" w:rsidP="00FF2B50">
      <w:pPr>
        <w:pStyle w:val="ListNumber"/>
        <w:numPr>
          <w:ilvl w:val="0"/>
          <w:numId w:val="9"/>
        </w:numPr>
        <w:spacing w:line="276" w:lineRule="auto"/>
      </w:pPr>
      <w:r w:rsidRPr="00EB59F4">
        <w:t xml:space="preserve">Pursuant to </w:t>
      </w:r>
      <w:proofErr w:type="gramStart"/>
      <w:r w:rsidRPr="00EB59F4">
        <w:t>paragraph</w:t>
      </w:r>
      <w:r w:rsidR="00EB59F4">
        <w:t>s</w:t>
      </w:r>
      <w:proofErr w:type="gramEnd"/>
      <w:r w:rsidR="000F22C6">
        <w:t> </w:t>
      </w:r>
      <w:r w:rsidR="008550AD">
        <w:fldChar w:fldCharType="begin"/>
      </w:r>
      <w:r w:rsidR="008550AD">
        <w:instrText xml:space="preserve"> REF _Ref6993367 \r \h </w:instrText>
      </w:r>
      <w:r w:rsidR="00D00CC8">
        <w:instrText xml:space="preserve"> \* MERGEFORMAT </w:instrText>
      </w:r>
      <w:r w:rsidR="008550AD">
        <w:fldChar w:fldCharType="separate"/>
      </w:r>
      <w:r w:rsidR="00890275">
        <w:t>16</w:t>
      </w:r>
      <w:r w:rsidR="008550AD">
        <w:fldChar w:fldCharType="end"/>
      </w:r>
      <w:r w:rsidR="008550AD">
        <w:t xml:space="preserve"> </w:t>
      </w:r>
      <w:r w:rsidR="00EB59F4">
        <w:t>and</w:t>
      </w:r>
      <w:r w:rsidR="000F22C6">
        <w:t> </w:t>
      </w:r>
      <w:r w:rsidR="008550AD">
        <w:fldChar w:fldCharType="begin"/>
      </w:r>
      <w:r w:rsidR="008550AD">
        <w:instrText xml:space="preserve"> REF _Ref6993377 \r \h </w:instrText>
      </w:r>
      <w:r w:rsidR="00D00CC8">
        <w:instrText xml:space="preserve"> \* MERGEFORMAT </w:instrText>
      </w:r>
      <w:r w:rsidR="008550AD">
        <w:fldChar w:fldCharType="separate"/>
      </w:r>
      <w:r w:rsidR="00890275">
        <w:t>17</w:t>
      </w:r>
      <w:r w:rsidR="008550AD">
        <w:fldChar w:fldCharType="end"/>
      </w:r>
      <w:r w:rsidR="005B2C8F" w:rsidRPr="00EB59F4">
        <w:t xml:space="preserve">, </w:t>
      </w:r>
      <w:r w:rsidR="00DD72A8" w:rsidRPr="00EB59F4">
        <w:t>ordinary d</w:t>
      </w:r>
      <w:r w:rsidR="00F60443" w:rsidRPr="00EB59F4">
        <w:t>ividends are deemed declared</w:t>
      </w:r>
      <w:r w:rsidR="0037579F">
        <w:t xml:space="preserve"> annually</w:t>
      </w:r>
      <w:r w:rsidR="0075608E">
        <w:t>.</w:t>
      </w:r>
    </w:p>
    <w:p w14:paraId="77B74EAA" w14:textId="77777777" w:rsidR="008B2EFD" w:rsidRDefault="008B2EFD" w:rsidP="008B2EFD">
      <w:pPr>
        <w:pStyle w:val="Heading2"/>
      </w:pPr>
      <w:r w:rsidRPr="00787D20">
        <w:t>Payment of dividends</w:t>
      </w:r>
    </w:p>
    <w:p w14:paraId="4E51B8A8" w14:textId="7E2C4FF5" w:rsidR="008B2EFD" w:rsidRPr="00D00CC8" w:rsidRDefault="000F22C6" w:rsidP="00CA6379">
      <w:pPr>
        <w:pStyle w:val="ListNumber"/>
        <w:numPr>
          <w:ilvl w:val="0"/>
          <w:numId w:val="9"/>
        </w:numPr>
        <w:spacing w:line="276" w:lineRule="auto"/>
      </w:pPr>
      <w:r>
        <w:t>An</w:t>
      </w:r>
      <w:r w:rsidR="008B2EFD">
        <w:t xml:space="preserve"> annual ordinary dividend must be paid </w:t>
      </w:r>
      <w:r w:rsidR="004D4802">
        <w:t xml:space="preserve">to the Central Holding Authority (CHA) </w:t>
      </w:r>
      <w:r w:rsidR="008B2EFD">
        <w:t>within six months after the end of the financial year.</w:t>
      </w:r>
    </w:p>
    <w:p w14:paraId="6FA26F84" w14:textId="34783702" w:rsidR="008B2EFD" w:rsidRPr="00D00CC8" w:rsidRDefault="008B2EFD" w:rsidP="0072618A">
      <w:pPr>
        <w:pStyle w:val="ListNumber"/>
        <w:numPr>
          <w:ilvl w:val="0"/>
          <w:numId w:val="9"/>
        </w:numPr>
        <w:spacing w:line="276" w:lineRule="auto"/>
      </w:pPr>
      <w:r>
        <w:t xml:space="preserve">A special dividend must be paid </w:t>
      </w:r>
      <w:r w:rsidR="004D4802">
        <w:t xml:space="preserve">to the CHA </w:t>
      </w:r>
      <w:r>
        <w:t xml:space="preserve">in accordance with the timeframe advised by </w:t>
      </w:r>
      <w:r w:rsidR="005B2C8F">
        <w:t>DTF</w:t>
      </w:r>
      <w:r>
        <w:t>.</w:t>
      </w:r>
    </w:p>
    <w:p w14:paraId="33F21FE1" w14:textId="0E51F1CC" w:rsidR="00E34EE5" w:rsidRDefault="00E34EE5" w:rsidP="00B55154">
      <w:pPr>
        <w:pStyle w:val="Heading1"/>
        <w:ind w:left="432" w:hanging="432"/>
      </w:pPr>
      <w:r>
        <w:t>Seeking exemptions or adjustments</w:t>
      </w:r>
    </w:p>
    <w:p w14:paraId="50B99E49" w14:textId="313EAA02" w:rsidR="00DE69B7" w:rsidRPr="00DE69B7" w:rsidRDefault="00DE69B7" w:rsidP="00DE69B7">
      <w:pPr>
        <w:pStyle w:val="Heading2"/>
        <w:ind w:left="576" w:hanging="576"/>
      </w:pPr>
      <w:r>
        <w:t>Payment extensions and arrangements</w:t>
      </w:r>
    </w:p>
    <w:p w14:paraId="098D6EE2" w14:textId="5473AF52" w:rsidR="00E34EE5" w:rsidRPr="00D47444" w:rsidRDefault="00E34EE5" w:rsidP="00E34EE5">
      <w:pPr>
        <w:pStyle w:val="ListNumber"/>
        <w:numPr>
          <w:ilvl w:val="0"/>
          <w:numId w:val="9"/>
        </w:numPr>
        <w:spacing w:line="276" w:lineRule="auto"/>
      </w:pPr>
      <w:r>
        <w:rPr>
          <w:rFonts w:cs="Arial"/>
        </w:rPr>
        <w:t xml:space="preserve">A GBD </w:t>
      </w:r>
      <w:r w:rsidR="0075608E">
        <w:rPr>
          <w:rFonts w:cs="Arial"/>
        </w:rPr>
        <w:t>may</w:t>
      </w:r>
      <w:r w:rsidR="00DE69B7">
        <w:rPr>
          <w:rFonts w:cs="Arial"/>
        </w:rPr>
        <w:t xml:space="preserve"> </w:t>
      </w:r>
      <w:r>
        <w:rPr>
          <w:rFonts w:cs="Arial"/>
        </w:rPr>
        <w:t>seek approval for an extension to make payment or request a payment arrangement from DTF in writing, stating the reasons for the inability to make payments by the prescribed date.</w:t>
      </w:r>
    </w:p>
    <w:p w14:paraId="06204222" w14:textId="13A82BE3" w:rsidR="001E0203" w:rsidRPr="007B2211" w:rsidRDefault="001E0203" w:rsidP="001E020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eastAsia="Calibri"/>
          <w:iCs w:val="0"/>
        </w:rPr>
      </w:pPr>
      <w:r>
        <w:rPr>
          <w:rFonts w:eastAsia="Calibri"/>
          <w:iCs w:val="0"/>
        </w:rPr>
        <w:t xml:space="preserve">All requests for </w:t>
      </w:r>
      <w:r w:rsidR="00DE69B7">
        <w:rPr>
          <w:rFonts w:eastAsia="Calibri"/>
          <w:iCs w:val="0"/>
        </w:rPr>
        <w:t>a</w:t>
      </w:r>
      <w:r>
        <w:rPr>
          <w:rFonts w:eastAsia="Calibri"/>
          <w:iCs w:val="0"/>
        </w:rPr>
        <w:t xml:space="preserve"> </w:t>
      </w:r>
      <w:r w:rsidR="00DE69B7">
        <w:rPr>
          <w:rFonts w:eastAsia="Calibri"/>
          <w:iCs w:val="0"/>
        </w:rPr>
        <w:t xml:space="preserve">payment </w:t>
      </w:r>
      <w:r>
        <w:rPr>
          <w:rFonts w:eastAsia="Calibri"/>
          <w:iCs w:val="0"/>
        </w:rPr>
        <w:t xml:space="preserve">extension or </w:t>
      </w:r>
      <w:r w:rsidR="00DE69B7">
        <w:rPr>
          <w:rFonts w:eastAsia="Calibri"/>
          <w:iCs w:val="0"/>
        </w:rPr>
        <w:t>arrangement</w:t>
      </w:r>
      <w:r>
        <w:rPr>
          <w:rFonts w:eastAsia="Calibri"/>
          <w:iCs w:val="0"/>
        </w:rPr>
        <w:t xml:space="preserve"> must include adequate information including full details of the relevant facts and appropriate documents to allow </w:t>
      </w:r>
      <w:r w:rsidR="00DE69B7">
        <w:rPr>
          <w:rFonts w:eastAsia="Calibri"/>
          <w:iCs w:val="0"/>
        </w:rPr>
        <w:t>DTF</w:t>
      </w:r>
      <w:r>
        <w:rPr>
          <w:rFonts w:eastAsia="Calibri"/>
          <w:iCs w:val="0"/>
        </w:rPr>
        <w:t xml:space="preserve"> to assess the request and provide a timely response.</w:t>
      </w:r>
    </w:p>
    <w:p w14:paraId="7C3FC16D" w14:textId="35A864F4" w:rsidR="001E0203" w:rsidRDefault="001E0203" w:rsidP="001E0203">
      <w:pPr>
        <w:pStyle w:val="Heading2"/>
        <w:ind w:left="576" w:hanging="576"/>
      </w:pPr>
      <w:r>
        <w:t>Income tax equivalent payment</w:t>
      </w:r>
      <w:r w:rsidR="00DE69B7">
        <w:t xml:space="preserve"> adjustments</w:t>
      </w:r>
    </w:p>
    <w:p w14:paraId="6667A3A3" w14:textId="1835B50B" w:rsidR="00D00CC8" w:rsidRDefault="001E0203" w:rsidP="001E0203">
      <w:pPr>
        <w:pStyle w:val="ListNumber"/>
        <w:numPr>
          <w:ilvl w:val="0"/>
          <w:numId w:val="9"/>
        </w:numPr>
        <w:spacing w:line="276" w:lineRule="auto"/>
      </w:pPr>
      <w:r>
        <w:t>A GBD</w:t>
      </w:r>
      <w:r w:rsidRPr="00BB299F">
        <w:t xml:space="preserve"> may be exempt from compliance with competitive neutrality requirements</w:t>
      </w:r>
      <w:r w:rsidR="008176DB">
        <w:t xml:space="preserve"> such as paying income tax equivalents</w:t>
      </w:r>
      <w:r>
        <w:t xml:space="preserve"> </w:t>
      </w:r>
      <w:r w:rsidRPr="00BB299F">
        <w:t>in situations where it is demonstrated that the benefits of introducing</w:t>
      </w:r>
      <w:r>
        <w:t xml:space="preserve"> </w:t>
      </w:r>
      <w:r w:rsidRPr="00BB299F">
        <w:t>competitive neutrality are outweighed by the costs</w:t>
      </w:r>
      <w:r>
        <w:t>.</w:t>
      </w:r>
    </w:p>
    <w:p w14:paraId="1FC6039D" w14:textId="6925AE8F" w:rsidR="002B1375" w:rsidRPr="0072618A" w:rsidRDefault="001E0203" w:rsidP="0072618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eastAsia="Calibri"/>
          <w:iCs w:val="0"/>
        </w:rPr>
      </w:pPr>
      <w:r w:rsidRPr="00D00CC8">
        <w:t xml:space="preserve">A GBD </w:t>
      </w:r>
      <w:r w:rsidR="00DE69B7" w:rsidRPr="00D00CC8">
        <w:t>must</w:t>
      </w:r>
      <w:r w:rsidRPr="00D00CC8">
        <w:t xml:space="preserve"> </w:t>
      </w:r>
      <w:r w:rsidR="00DE69B7" w:rsidRPr="00D00CC8">
        <w:t>seek Treasurer’s approval</w:t>
      </w:r>
      <w:r w:rsidRPr="00D00CC8">
        <w:t xml:space="preserve"> to include and or exclude a transaction or item when calculating its income tax equivalent liability</w:t>
      </w:r>
      <w:r w:rsidR="000F22C6">
        <w:t> </w:t>
      </w:r>
      <w:r w:rsidR="00DE69B7" w:rsidRPr="00D00CC8">
        <w:t xml:space="preserve">– all requests must include adequate information including full details of the relevant facts and appropriate documents to allow the </w:t>
      </w:r>
      <w:r w:rsidR="00DE69B7" w:rsidRPr="00AE503E">
        <w:rPr>
          <w:iCs w:val="0"/>
        </w:rPr>
        <w:t>Treasurer</w:t>
      </w:r>
      <w:r w:rsidR="00DE69B7" w:rsidRPr="00D00CC8">
        <w:t xml:space="preserve"> to assess the request and provide a timely response</w:t>
      </w:r>
      <w:r w:rsidR="002B1375" w:rsidRPr="00D00CC8">
        <w:t>.</w:t>
      </w:r>
    </w:p>
    <w:p w14:paraId="2E0885ED" w14:textId="77777777" w:rsidR="000F22C6" w:rsidRDefault="000F22C6">
      <w:pPr>
        <w:rPr>
          <w:rFonts w:eastAsiaTheme="majorEastAsia" w:cstheme="majorBidi"/>
          <w:b/>
          <w:bCs/>
          <w:iCs/>
          <w:color w:val="606060"/>
          <w:sz w:val="28"/>
          <w:szCs w:val="28"/>
        </w:rPr>
      </w:pPr>
      <w:r>
        <w:br w:type="page"/>
      </w:r>
    </w:p>
    <w:p w14:paraId="71C151DC" w14:textId="59C9CE9F" w:rsidR="00E34EE5" w:rsidRPr="006D01BE" w:rsidRDefault="0071540C" w:rsidP="00E34EE5">
      <w:pPr>
        <w:pStyle w:val="Heading2"/>
        <w:ind w:left="576" w:hanging="576"/>
      </w:pPr>
      <w:r>
        <w:t>Dividends</w:t>
      </w:r>
    </w:p>
    <w:p w14:paraId="206E4D13" w14:textId="214473A7" w:rsidR="00E34EE5" w:rsidRPr="004D4802" w:rsidRDefault="00E34EE5" w:rsidP="000F22C6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eastAsia="Calibri"/>
          <w:iCs w:val="0"/>
        </w:rPr>
      </w:pPr>
      <w:r w:rsidRPr="004D4802">
        <w:rPr>
          <w:rFonts w:eastAsia="Calibri"/>
          <w:iCs w:val="0"/>
        </w:rPr>
        <w:t>A GBD may seek an exemption</w:t>
      </w:r>
      <w:r>
        <w:rPr>
          <w:rFonts w:eastAsia="Calibri"/>
          <w:iCs w:val="0"/>
        </w:rPr>
        <w:t xml:space="preserve"> or adjustment</w:t>
      </w:r>
      <w:r w:rsidRPr="004D4802">
        <w:rPr>
          <w:rFonts w:eastAsia="Calibri"/>
          <w:iCs w:val="0"/>
        </w:rPr>
        <w:t xml:space="preserve"> from paying an ordinary dividend for a financial year</w:t>
      </w:r>
      <w:r w:rsidR="000F22C6">
        <w:rPr>
          <w:rFonts w:eastAsia="Calibri"/>
          <w:iCs w:val="0"/>
        </w:rPr>
        <w:t>,</w:t>
      </w:r>
      <w:r w:rsidRPr="004D4802">
        <w:rPr>
          <w:rFonts w:eastAsia="Calibri"/>
          <w:iCs w:val="0"/>
        </w:rPr>
        <w:t xml:space="preserve"> through a formal request to the Treasurer</w:t>
      </w:r>
      <w:r w:rsidR="000F22C6">
        <w:rPr>
          <w:rFonts w:eastAsia="Calibri"/>
          <w:iCs w:val="0"/>
        </w:rPr>
        <w:t>,</w:t>
      </w:r>
      <w:r w:rsidRPr="004D4802">
        <w:rPr>
          <w:rFonts w:eastAsia="Calibri"/>
          <w:iCs w:val="0"/>
        </w:rPr>
        <w:t xml:space="preserve"> if one or more of the following criteria are met:</w:t>
      </w:r>
    </w:p>
    <w:p w14:paraId="428F97F6" w14:textId="6AC4FB95" w:rsidR="00E34EE5" w:rsidRDefault="00E34EE5" w:rsidP="001513D9">
      <w:pPr>
        <w:pStyle w:val="ListNumber2"/>
        <w:numPr>
          <w:ilvl w:val="1"/>
          <w:numId w:val="9"/>
        </w:numPr>
        <w:ind w:left="924" w:hanging="357"/>
      </w:pPr>
      <w:r>
        <w:t xml:space="preserve">payment may inhibit </w:t>
      </w:r>
      <w:r w:rsidRPr="008F3CD5">
        <w:t>liquidity and</w:t>
      </w:r>
      <w:r>
        <w:t xml:space="preserve"> or</w:t>
      </w:r>
      <w:r w:rsidRPr="008F3CD5">
        <w:t xml:space="preserve"> capital requirements of the GBD</w:t>
      </w:r>
      <w:r w:rsidR="001513D9">
        <w:t>,</w:t>
      </w:r>
      <w:r w:rsidR="00A22768">
        <w:t xml:space="preserve"> for example</w:t>
      </w:r>
      <w:r w:rsidRPr="008B42BF">
        <w:t xml:space="preserve">, </w:t>
      </w:r>
      <w:r w:rsidR="00C475E9">
        <w:t>where</w:t>
      </w:r>
      <w:r w:rsidRPr="008B42BF">
        <w:t xml:space="preserve"> funds </w:t>
      </w:r>
      <w:r w:rsidR="00C475E9">
        <w:t>are</w:t>
      </w:r>
      <w:r>
        <w:t xml:space="preserve"> </w:t>
      </w:r>
      <w:r w:rsidRPr="008B42BF">
        <w:t>required</w:t>
      </w:r>
      <w:r>
        <w:t xml:space="preserve"> for current or future significant projects</w:t>
      </w:r>
    </w:p>
    <w:p w14:paraId="19C58BD7" w14:textId="3806B79A" w:rsidR="00E34EE5" w:rsidRPr="00E35A69" w:rsidRDefault="00E34EE5" w:rsidP="001513D9">
      <w:pPr>
        <w:pStyle w:val="ListNumber2"/>
        <w:numPr>
          <w:ilvl w:val="1"/>
          <w:numId w:val="9"/>
        </w:numPr>
        <w:ind w:left="924" w:hanging="357"/>
      </w:pPr>
      <w:r>
        <w:t xml:space="preserve">payment may deteriorate the </w:t>
      </w:r>
      <w:r w:rsidRPr="008F3CD5">
        <w:t>capital structure of the GBD</w:t>
      </w:r>
      <w:r w:rsidR="00A22768">
        <w:t>, for example</w:t>
      </w:r>
      <w:r w:rsidRPr="00E35A69">
        <w:t xml:space="preserve">, </w:t>
      </w:r>
      <w:r w:rsidR="00C475E9">
        <w:t>where the</w:t>
      </w:r>
      <w:r w:rsidRPr="00E35A69">
        <w:t xml:space="preserve"> </w:t>
      </w:r>
      <w:r>
        <w:t>GBD</w:t>
      </w:r>
      <w:r w:rsidR="00C475E9">
        <w:t>’s</w:t>
      </w:r>
      <w:r w:rsidRPr="00E35A69">
        <w:t xml:space="preserve"> debt to equity ratio is </w:t>
      </w:r>
      <w:r>
        <w:t>un</w:t>
      </w:r>
      <w:r w:rsidRPr="00E35A69">
        <w:t>sustainable</w:t>
      </w:r>
      <w:r>
        <w:t xml:space="preserve"> or insolvent</w:t>
      </w:r>
      <w:r w:rsidR="002B1375">
        <w:t>.</w:t>
      </w:r>
    </w:p>
    <w:p w14:paraId="36949488" w14:textId="77777777" w:rsidR="00B55154" w:rsidRDefault="00B55154" w:rsidP="00B55154">
      <w:pPr>
        <w:pStyle w:val="Heading1"/>
        <w:ind w:left="432" w:hanging="432"/>
      </w:pPr>
      <w:r>
        <w:t>Recordkeeping</w:t>
      </w:r>
    </w:p>
    <w:p w14:paraId="5D583FBD" w14:textId="478BF154" w:rsidR="00B55154" w:rsidRDefault="00B55154" w:rsidP="00B55154">
      <w:pPr>
        <w:pStyle w:val="ListNumber"/>
        <w:numPr>
          <w:ilvl w:val="0"/>
          <w:numId w:val="9"/>
        </w:numPr>
        <w:spacing w:line="276" w:lineRule="auto"/>
      </w:pPr>
      <w:bookmarkStart w:id="10" w:name="_Ref9414895"/>
      <w:r>
        <w:t>An accountable officer must keep appropriate documentation o</w:t>
      </w:r>
      <w:r w:rsidR="004E2764">
        <w:t>n</w:t>
      </w:r>
      <w:r>
        <w:t xml:space="preserve"> </w:t>
      </w:r>
      <w:r w:rsidR="004E2764">
        <w:t xml:space="preserve">calculations of income tax equivalents and dividends </w:t>
      </w:r>
      <w:r>
        <w:t xml:space="preserve">including </w:t>
      </w:r>
      <w:r w:rsidR="004E2764">
        <w:t xml:space="preserve">any approved adjustments </w:t>
      </w:r>
      <w:r>
        <w:t>and other relevant information.</w:t>
      </w:r>
      <w:bookmarkEnd w:id="10"/>
    </w:p>
    <w:p w14:paraId="74BE57EC" w14:textId="1155983A" w:rsidR="00A22768" w:rsidRPr="00754CDF" w:rsidRDefault="00C84BCB" w:rsidP="00B55154">
      <w:pPr>
        <w:pStyle w:val="ListNumber"/>
        <w:numPr>
          <w:ilvl w:val="0"/>
          <w:numId w:val="9"/>
        </w:numPr>
        <w:spacing w:line="276" w:lineRule="auto"/>
      </w:pPr>
      <w:r>
        <w:t>Pursuant to paragraph </w:t>
      </w:r>
      <w:r>
        <w:fldChar w:fldCharType="begin"/>
      </w:r>
      <w:r>
        <w:instrText xml:space="preserve"> REF _Ref9414895 \r \h </w:instrText>
      </w:r>
      <w:r>
        <w:fldChar w:fldCharType="separate"/>
      </w:r>
      <w:r>
        <w:t>29</w:t>
      </w:r>
      <w:r>
        <w:fldChar w:fldCharType="end"/>
      </w:r>
      <w:r w:rsidR="00A22768">
        <w:t>, an accountable officer must retain such records for the specified minimum period, in accordance with the agency’s records disposal schedule.</w:t>
      </w:r>
    </w:p>
    <w:p w14:paraId="1D92157F" w14:textId="77777777" w:rsidR="00B55154" w:rsidRDefault="00B55154" w:rsidP="00B55154">
      <w:pPr>
        <w:pStyle w:val="Heading1"/>
        <w:ind w:left="432" w:hanging="432"/>
      </w:pPr>
      <w:r>
        <w:t>Reporting</w:t>
      </w:r>
    </w:p>
    <w:p w14:paraId="084F68D4" w14:textId="78F6DF04" w:rsidR="00B55154" w:rsidRDefault="00B55154" w:rsidP="00B55154">
      <w:pPr>
        <w:pStyle w:val="ListNumber"/>
        <w:numPr>
          <w:ilvl w:val="0"/>
          <w:numId w:val="9"/>
        </w:numPr>
        <w:spacing w:line="276" w:lineRule="auto"/>
      </w:pPr>
      <w:r>
        <w:t xml:space="preserve">An accountable officer </w:t>
      </w:r>
      <w:r w:rsidR="00CA6379">
        <w:t>must</w:t>
      </w:r>
      <w:r>
        <w:t xml:space="preserve"> provide to DTF, upon request, </w:t>
      </w:r>
      <w:r w:rsidR="004E2764">
        <w:t xml:space="preserve">appropriate documentation on </w:t>
      </w:r>
      <w:r w:rsidR="008550AD">
        <w:t xml:space="preserve">the </w:t>
      </w:r>
      <w:r>
        <w:t>calculation of income tax equivalents</w:t>
      </w:r>
      <w:r w:rsidR="004E2764">
        <w:t xml:space="preserve"> and dividends</w:t>
      </w:r>
      <w:r>
        <w:t xml:space="preserve"> and other relevant information as necessary.</w:t>
      </w:r>
    </w:p>
    <w:p w14:paraId="0AC21CD3" w14:textId="77777777" w:rsidR="00C61C42" w:rsidRDefault="00C61C42" w:rsidP="00AA376C">
      <w:pPr>
        <w:pStyle w:val="ListNumber"/>
        <w:spacing w:line="276" w:lineRule="auto"/>
      </w:pPr>
    </w:p>
    <w:tbl>
      <w:tblPr>
        <w:tblStyle w:val="NTGTable"/>
        <w:tblW w:w="0" w:type="auto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620" w:firstRow="1" w:lastRow="0" w:firstColumn="0" w:lastColumn="0" w:noHBand="1" w:noVBand="1"/>
        <w:tblDescription w:val="Document change history showing version, date, author and change details"/>
      </w:tblPr>
      <w:tblGrid>
        <w:gridCol w:w="1023"/>
        <w:gridCol w:w="2238"/>
        <w:gridCol w:w="2268"/>
        <w:gridCol w:w="3202"/>
      </w:tblGrid>
      <w:tr w:rsidR="0099245A" w:rsidRPr="003A2424" w14:paraId="209A6209" w14:textId="77777777" w:rsidTr="003D6C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31" w:type="dxa"/>
            <w:gridSpan w:val="4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0417D030" w14:textId="77777777" w:rsidR="0099245A" w:rsidRPr="003A2424" w:rsidRDefault="0099245A" w:rsidP="00AA376C">
            <w:pPr>
              <w:spacing w:line="276" w:lineRule="auto"/>
              <w:rPr>
                <w:b w:val="0"/>
              </w:rPr>
            </w:pPr>
            <w:r w:rsidRPr="003A2424">
              <w:t>Change history</w:t>
            </w:r>
          </w:p>
        </w:tc>
      </w:tr>
      <w:tr w:rsidR="0099245A" w:rsidRPr="003A2424" w14:paraId="16982D38" w14:textId="77777777" w:rsidTr="003941A3">
        <w:tc>
          <w:tcPr>
            <w:tcW w:w="102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5DAFA745" w14:textId="77777777" w:rsidR="0099245A" w:rsidRPr="0008622A" w:rsidRDefault="0099245A" w:rsidP="00AA376C">
            <w:pPr>
              <w:spacing w:line="276" w:lineRule="auto"/>
              <w:rPr>
                <w:b/>
              </w:rPr>
            </w:pPr>
            <w:r w:rsidRPr="0008622A">
              <w:rPr>
                <w:b/>
              </w:rPr>
              <w:t>Version</w:t>
            </w:r>
          </w:p>
        </w:tc>
        <w:tc>
          <w:tcPr>
            <w:tcW w:w="223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36B0DE27" w14:textId="77777777" w:rsidR="0099245A" w:rsidRPr="0008622A" w:rsidRDefault="0099245A" w:rsidP="00AA376C">
            <w:pPr>
              <w:spacing w:line="276" w:lineRule="auto"/>
              <w:rPr>
                <w:b/>
              </w:rPr>
            </w:pPr>
            <w:r w:rsidRPr="0008622A">
              <w:rPr>
                <w:b/>
              </w:rPr>
              <w:t>Date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3A476113" w14:textId="77777777" w:rsidR="0099245A" w:rsidRPr="0008622A" w:rsidRDefault="0099245A" w:rsidP="00AA376C">
            <w:pPr>
              <w:spacing w:line="276" w:lineRule="auto"/>
              <w:rPr>
                <w:b/>
              </w:rPr>
            </w:pPr>
            <w:r w:rsidRPr="0008622A">
              <w:rPr>
                <w:b/>
              </w:rPr>
              <w:t>Author</w:t>
            </w:r>
          </w:p>
        </w:tc>
        <w:tc>
          <w:tcPr>
            <w:tcW w:w="320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5F63E6C0" w14:textId="77777777" w:rsidR="0099245A" w:rsidRPr="0008622A" w:rsidRDefault="0099245A" w:rsidP="00AA376C">
            <w:pPr>
              <w:spacing w:line="276" w:lineRule="auto"/>
              <w:rPr>
                <w:b/>
              </w:rPr>
            </w:pPr>
            <w:r w:rsidRPr="0008622A">
              <w:rPr>
                <w:b/>
              </w:rPr>
              <w:t>Change details</w:t>
            </w:r>
          </w:p>
        </w:tc>
      </w:tr>
      <w:tr w:rsidR="008550AD" w:rsidRPr="003A2424" w14:paraId="6C4D760B" w14:textId="77777777" w:rsidTr="003941A3">
        <w:tc>
          <w:tcPr>
            <w:tcW w:w="102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A5D60BA" w14:textId="4D95E395" w:rsidR="008550AD" w:rsidRDefault="008550AD" w:rsidP="00F85D04">
            <w:pPr>
              <w:spacing w:line="276" w:lineRule="auto"/>
            </w:pPr>
            <w:r>
              <w:t>1.0</w:t>
            </w:r>
          </w:p>
        </w:tc>
        <w:tc>
          <w:tcPr>
            <w:tcW w:w="223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B549AAE" w14:textId="35E02E33" w:rsidR="008550AD" w:rsidRDefault="006E0CFE" w:rsidP="00F85D04">
            <w:pPr>
              <w:spacing w:line="276" w:lineRule="auto"/>
            </w:pPr>
            <w:r>
              <w:t>July 2018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7BF009D" w14:textId="21134D0A" w:rsidR="008550AD" w:rsidRDefault="008550AD" w:rsidP="00F85D04">
            <w:pPr>
              <w:spacing w:line="276" w:lineRule="auto"/>
            </w:pPr>
            <w:r>
              <w:t>DTF</w:t>
            </w:r>
          </w:p>
        </w:tc>
        <w:tc>
          <w:tcPr>
            <w:tcW w:w="320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5878D87" w14:textId="33578FA8" w:rsidR="008550AD" w:rsidRDefault="008550AD" w:rsidP="00F85D04">
            <w:pPr>
              <w:spacing w:line="276" w:lineRule="auto"/>
            </w:pPr>
            <w:r>
              <w:t xml:space="preserve">Initial </w:t>
            </w:r>
            <w:r w:rsidRPr="003A2424">
              <w:t>version</w:t>
            </w:r>
          </w:p>
        </w:tc>
      </w:tr>
    </w:tbl>
    <w:p w14:paraId="315EEE8C" w14:textId="77777777" w:rsidR="0099245A" w:rsidRDefault="0099245A" w:rsidP="00F85D04">
      <w:pPr>
        <w:pStyle w:val="ListNumber"/>
        <w:spacing w:line="276" w:lineRule="auto"/>
      </w:pPr>
    </w:p>
    <w:sectPr w:rsidR="0099245A" w:rsidSect="006E584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644" w:bottom="1134" w:left="153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328F0F" w14:textId="77777777" w:rsidR="00B95CEF" w:rsidRDefault="00B95CEF" w:rsidP="007332FF">
      <w:r>
        <w:separator/>
      </w:r>
    </w:p>
  </w:endnote>
  <w:endnote w:type="continuationSeparator" w:id="0">
    <w:p w14:paraId="1DB4CE63" w14:textId="77777777" w:rsidR="00B95CEF" w:rsidRDefault="00B95CEF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7171C" w14:textId="77777777" w:rsidR="00A07490" w:rsidRPr="00AE306C" w:rsidRDefault="0013740C" w:rsidP="002926BC">
    <w:pPr>
      <w:tabs>
        <w:tab w:val="right" w:pos="10206"/>
      </w:tabs>
      <w:spacing w:after="120"/>
      <w:ind w:left="-567" w:right="-568"/>
      <w:rPr>
        <w:sz w:val="16"/>
        <w:szCs w:val="16"/>
      </w:rPr>
    </w:pPr>
    <w:r>
      <w:rPr>
        <w:sz w:val="16"/>
        <w:szCs w:val="16"/>
      </w:rPr>
      <w:pict w14:anchorId="68E892AA">
        <v:rect id="_x0000_i1025" style="width:481.9pt;height:.5pt" o:hralign="center" o:hrstd="t" o:hrnoshade="t" o:hr="t" fillcolor="black [3213]" stroked="f"/>
      </w:pict>
    </w:r>
  </w:p>
  <w:p w14:paraId="77DE5ACB" w14:textId="77777777" w:rsidR="00A07490" w:rsidRPr="004D1B76" w:rsidRDefault="00A07490" w:rsidP="002926BC">
    <w:pPr>
      <w:pStyle w:val="NTGFooter2deptpagenum"/>
      <w:tabs>
        <w:tab w:val="clear" w:pos="9639"/>
        <w:tab w:val="right" w:pos="10206"/>
      </w:tabs>
      <w:ind w:left="-567" w:right="-568"/>
    </w:pPr>
    <w:r w:rsidRPr="007B5DA2">
      <w:rPr>
        <w:rStyle w:val="NTGFooterDepartmentofChar"/>
      </w:rPr>
      <w:fldChar w:fldCharType="begin"/>
    </w:r>
    <w:r w:rsidRPr="007B5DA2">
      <w:rPr>
        <w:rStyle w:val="NTGFooterDepartmentofChar"/>
      </w:rPr>
      <w:instrText xml:space="preserve"> DOCPROPERTY  DepartmentOf  \* MERGEFORMAT </w:instrText>
    </w:r>
    <w:r w:rsidRPr="007B5DA2">
      <w:rPr>
        <w:rStyle w:val="NTGFooterDepartmentofChar"/>
      </w:rPr>
      <w:fldChar w:fldCharType="separate"/>
    </w:r>
    <w:r w:rsidR="00890275">
      <w:rPr>
        <w:rStyle w:val="NTGFooterDepartmentofChar"/>
      </w:rPr>
      <w:t xml:space="preserve">Department of </w:t>
    </w:r>
    <w:r w:rsidRPr="007B5DA2">
      <w:rPr>
        <w:rStyle w:val="NTGFooterDepartmentofChar"/>
      </w:rPr>
      <w:fldChar w:fldCharType="end"/>
    </w:r>
    <w:r w:rsidRPr="007B5DA2">
      <w:rPr>
        <w:rStyle w:val="NTGFooterDepartmentNameChar"/>
      </w:rPr>
      <w:fldChar w:fldCharType="begin"/>
    </w:r>
    <w:r w:rsidRPr="007B5DA2">
      <w:rPr>
        <w:rStyle w:val="NTGFooterDepartmentNameChar"/>
      </w:rPr>
      <w:instrText xml:space="preserve"> DOCPROPERTY  DepartmentName  \* MERGEFORMAT </w:instrText>
    </w:r>
    <w:r w:rsidRPr="007B5DA2">
      <w:rPr>
        <w:rStyle w:val="NTGFooterDepartmentNameChar"/>
      </w:rPr>
      <w:fldChar w:fldCharType="separate"/>
    </w:r>
    <w:r w:rsidR="00890275">
      <w:rPr>
        <w:rStyle w:val="NTGFooterDepartmentNameChar"/>
      </w:rPr>
      <w:t>Treasury and Finance</w:t>
    </w:r>
    <w:r w:rsidRPr="007B5DA2">
      <w:rPr>
        <w:rStyle w:val="NTGFooterDepartmentNameChar"/>
      </w:rPr>
      <w:fldChar w:fldCharType="end"/>
    </w:r>
    <w:r w:rsidRPr="004D1B76">
      <w:tab/>
    </w:r>
    <w:r w:rsidRPr="007B5DA2">
      <w:rPr>
        <w:rStyle w:val="NTGFooter2deptpagenumChar"/>
        <w:rFonts w:eastAsia="Calibri"/>
      </w:rPr>
      <w:t xml:space="preserve">Page </w:t>
    </w:r>
    <w:r w:rsidRPr="007B5DA2">
      <w:rPr>
        <w:rStyle w:val="NTGFooter2deptpagenumChar"/>
        <w:rFonts w:eastAsia="Calibri"/>
      </w:rPr>
      <w:fldChar w:fldCharType="begin"/>
    </w:r>
    <w:r w:rsidRPr="007B5DA2">
      <w:rPr>
        <w:rStyle w:val="NTGFooter2deptpagenumChar"/>
        <w:rFonts w:eastAsia="Calibri"/>
      </w:rPr>
      <w:instrText xml:space="preserve"> PAGE  \* Arabic  \* MERGEFORMAT </w:instrText>
    </w:r>
    <w:r w:rsidRPr="007B5DA2">
      <w:rPr>
        <w:rStyle w:val="NTGFooter2deptpagenumChar"/>
        <w:rFonts w:eastAsia="Calibri"/>
      </w:rPr>
      <w:fldChar w:fldCharType="separate"/>
    </w:r>
    <w:r w:rsidR="0013740C">
      <w:rPr>
        <w:rStyle w:val="NTGFooter2deptpagenumChar"/>
        <w:rFonts w:eastAsia="Calibri"/>
        <w:noProof/>
      </w:rPr>
      <w:t>4</w:t>
    </w:r>
    <w:r w:rsidRPr="007B5DA2">
      <w:rPr>
        <w:rStyle w:val="NTGFooter2deptpagenumChar"/>
        <w:rFonts w:eastAsia="Calibri"/>
      </w:rPr>
      <w:fldChar w:fldCharType="end"/>
    </w:r>
    <w:r w:rsidRPr="007B5DA2">
      <w:rPr>
        <w:rStyle w:val="NTGFooter2deptpagenumChar"/>
        <w:rFonts w:eastAsia="Calibri"/>
      </w:rPr>
      <w:t xml:space="preserve"> of </w:t>
    </w:r>
    <w:r w:rsidRPr="007B5DA2">
      <w:rPr>
        <w:rStyle w:val="NTGFooter2deptpagenumChar"/>
        <w:rFonts w:eastAsia="Calibri"/>
      </w:rPr>
      <w:fldChar w:fldCharType="begin"/>
    </w:r>
    <w:r w:rsidRPr="007B5DA2">
      <w:rPr>
        <w:rStyle w:val="NTGFooter2deptpagenumChar"/>
        <w:rFonts w:eastAsia="Calibri"/>
      </w:rPr>
      <w:instrText xml:space="preserve"> NUMPAGES  \* Arabic  \* MERGEFORMAT </w:instrText>
    </w:r>
    <w:r w:rsidRPr="007B5DA2">
      <w:rPr>
        <w:rStyle w:val="NTGFooter2deptpagenumChar"/>
        <w:rFonts w:eastAsia="Calibri"/>
      </w:rPr>
      <w:fldChar w:fldCharType="separate"/>
    </w:r>
    <w:r w:rsidR="0013740C">
      <w:rPr>
        <w:rStyle w:val="NTGFooter2deptpagenumChar"/>
        <w:rFonts w:eastAsia="Calibri"/>
        <w:noProof/>
      </w:rPr>
      <w:t>4</w:t>
    </w:r>
    <w:r w:rsidRPr="007B5DA2">
      <w:rPr>
        <w:rStyle w:val="NTGFooter2deptpagenumChar"/>
        <w:rFonts w:eastAsia="Calibri"/>
      </w:rPr>
      <w:fldChar w:fldCharType="end"/>
    </w:r>
  </w:p>
  <w:p w14:paraId="284E24D8" w14:textId="63500CA1" w:rsidR="00A07490" w:rsidRPr="007B5DA2" w:rsidRDefault="0013740C" w:rsidP="002926BC">
    <w:pPr>
      <w:pStyle w:val="NTGFooter2DateVersion"/>
      <w:tabs>
        <w:tab w:val="clear" w:pos="9639"/>
        <w:tab w:val="right" w:pos="10206"/>
      </w:tabs>
      <w:ind w:left="-567" w:right="-568"/>
      <w:rPr>
        <w:rStyle w:val="NTGFooter2deptpagenumChar"/>
        <w:rFonts w:eastAsia="Calibri"/>
      </w:rPr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C84BCB">
      <w:t>1 July </w:t>
    </w:r>
    <w:r w:rsidR="006E0CFE">
      <w:t>2018</w:t>
    </w:r>
    <w:r>
      <w:fldChar w:fldCharType="end"/>
    </w:r>
    <w:r>
      <w:fldChar w:fldCharType="begin"/>
    </w:r>
    <w:r>
      <w:instrText xml:space="preserve"> DOCPROPERTY  VersionNo  \* MERGEFORMAT </w:instrText>
    </w:r>
    <w:r>
      <w:fldChar w:fldCharType="separate"/>
    </w:r>
    <w:r w:rsidR="00C84BCB">
      <w:t>, Version </w:t>
    </w:r>
    <w:r w:rsidR="00A22768">
      <w:t>1</w:t>
    </w:r>
    <w:r w:rsidR="00890275">
      <w:t>.0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923" w:type="dxa"/>
      <w:tblInd w:w="-567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655"/>
      <w:gridCol w:w="2268"/>
    </w:tblGrid>
    <w:tr w:rsidR="00A07490" w:rsidRPr="00132658" w14:paraId="1CCD846C" w14:textId="77777777" w:rsidTr="006A026D">
      <w:trPr>
        <w:cantSplit/>
        <w:trHeight w:hRule="exact" w:val="1400"/>
        <w:tblHeader/>
      </w:trPr>
      <w:tc>
        <w:tcPr>
          <w:tcW w:w="7655" w:type="dxa"/>
          <w:vAlign w:val="center"/>
        </w:tcPr>
        <w:p w14:paraId="5B213D3C" w14:textId="77777777" w:rsidR="00A07490" w:rsidRPr="00705C9D" w:rsidRDefault="00A07490" w:rsidP="007B5DA2">
          <w:pPr>
            <w:pStyle w:val="NTGFooter1items"/>
            <w:rPr>
              <w:rStyle w:val="NTGFooterDepartmentNameChar"/>
            </w:rPr>
          </w:pPr>
          <w:r w:rsidRPr="00705C9D">
            <w:rPr>
              <w:rStyle w:val="NTGFooterDepartmentofChar"/>
            </w:rPr>
            <w:fldChar w:fldCharType="begin"/>
          </w:r>
          <w:r w:rsidRPr="00705C9D">
            <w:rPr>
              <w:rStyle w:val="NTGFooterDepartmentofChar"/>
            </w:rPr>
            <w:instrText xml:space="preserve"> DOCPROPERTY  DepartmentOf  \* MERGEFORMAT </w:instrText>
          </w:r>
          <w:r w:rsidRPr="00705C9D">
            <w:rPr>
              <w:rStyle w:val="NTGFooterDepartmentofChar"/>
            </w:rPr>
            <w:fldChar w:fldCharType="separate"/>
          </w:r>
          <w:r w:rsidR="00890275">
            <w:rPr>
              <w:rStyle w:val="NTGFooterDepartmentofChar"/>
            </w:rPr>
            <w:t xml:space="preserve">Department of </w:t>
          </w:r>
          <w:r w:rsidRPr="00705C9D">
            <w:rPr>
              <w:rStyle w:val="NTGFooterDepartmentofChar"/>
            </w:rPr>
            <w:fldChar w:fldCharType="end"/>
          </w:r>
          <w:r w:rsidRPr="00705C9D">
            <w:rPr>
              <w:rStyle w:val="NTGFooterDepartmentNameChar"/>
            </w:rPr>
            <w:fldChar w:fldCharType="begin"/>
          </w:r>
          <w:r w:rsidRPr="00705C9D">
            <w:rPr>
              <w:rStyle w:val="NTGFooterDepartmentNameChar"/>
            </w:rPr>
            <w:instrText xml:space="preserve"> DOCPROPERTY  DepartmentName  \* MERGEFORMAT </w:instrText>
          </w:r>
          <w:r w:rsidRPr="00705C9D">
            <w:rPr>
              <w:rStyle w:val="NTGFooterDepartmentNameChar"/>
            </w:rPr>
            <w:fldChar w:fldCharType="separate"/>
          </w:r>
          <w:r w:rsidR="00890275">
            <w:rPr>
              <w:rStyle w:val="NTGFooterDepartmentNameChar"/>
            </w:rPr>
            <w:t>Treasury and Finance</w:t>
          </w:r>
          <w:r w:rsidRPr="00705C9D">
            <w:rPr>
              <w:rStyle w:val="NTGFooterDepartmentNameChar"/>
            </w:rPr>
            <w:fldChar w:fldCharType="end"/>
          </w:r>
        </w:p>
        <w:p w14:paraId="253705BC" w14:textId="76C6CFE3" w:rsidR="00A07490" w:rsidRPr="007B5DA2" w:rsidRDefault="00A07490" w:rsidP="006E0CFE">
          <w:pPr>
            <w:pStyle w:val="NTGFooter1items"/>
          </w:pPr>
          <w:r w:rsidRPr="007B5DA2">
            <w:t xml:space="preserve">Page </w:t>
          </w:r>
          <w:r w:rsidRPr="007B5DA2">
            <w:fldChar w:fldCharType="begin"/>
          </w:r>
          <w:r w:rsidRPr="007B5DA2">
            <w:instrText xml:space="preserve"> PAGE  \* Arabic  \* MERGEFORMAT </w:instrText>
          </w:r>
          <w:r w:rsidRPr="007B5DA2">
            <w:fldChar w:fldCharType="separate"/>
          </w:r>
          <w:r w:rsidR="00C84BCB">
            <w:rPr>
              <w:noProof/>
            </w:rPr>
            <w:t>1</w:t>
          </w:r>
          <w:r w:rsidRPr="007B5DA2">
            <w:fldChar w:fldCharType="end"/>
          </w:r>
          <w:r w:rsidRPr="007B5DA2">
            <w:t xml:space="preserve"> of </w:t>
          </w:r>
          <w:r w:rsidR="00E37783">
            <w:rPr>
              <w:noProof/>
            </w:rPr>
            <w:fldChar w:fldCharType="begin"/>
          </w:r>
          <w:r w:rsidR="00E37783">
            <w:rPr>
              <w:noProof/>
            </w:rPr>
            <w:instrText xml:space="preserve"> NUMPAGES  \* Arabic  \* MERGEFORMAT </w:instrText>
          </w:r>
          <w:r w:rsidR="00E37783">
            <w:rPr>
              <w:noProof/>
            </w:rPr>
            <w:fldChar w:fldCharType="separate"/>
          </w:r>
          <w:r w:rsidR="00C84BCB">
            <w:rPr>
              <w:noProof/>
            </w:rPr>
            <w:t>4</w:t>
          </w:r>
          <w:r w:rsidR="00E37783">
            <w:rPr>
              <w:noProof/>
            </w:rPr>
            <w:fldChar w:fldCharType="end"/>
          </w:r>
          <w:r w:rsidRPr="007B5DA2">
            <w:tab/>
          </w:r>
          <w:r w:rsidRPr="007B5DA2">
            <w:rPr>
              <w:rStyle w:val="NTGFooter1itemsChar"/>
            </w:rPr>
            <w:fldChar w:fldCharType="begin"/>
          </w:r>
          <w:r w:rsidRPr="007B5DA2">
            <w:rPr>
              <w:rStyle w:val="NTGFooter1itemsChar"/>
            </w:rPr>
            <w:instrText xml:space="preserve"> DOCPROPERTY  DocumentDate  \* MERGEFORMAT </w:instrText>
          </w:r>
          <w:r w:rsidRPr="007B5DA2">
            <w:rPr>
              <w:rStyle w:val="NTGFooter1itemsChar"/>
            </w:rPr>
            <w:fldChar w:fldCharType="separate"/>
          </w:r>
          <w:r w:rsidR="00C84BCB">
            <w:rPr>
              <w:rStyle w:val="NTGFooter1itemsChar"/>
            </w:rPr>
            <w:t>1 July </w:t>
          </w:r>
          <w:r w:rsidR="006E0CFE">
            <w:rPr>
              <w:rStyle w:val="NTGFooter1itemsChar"/>
            </w:rPr>
            <w:t>2018</w:t>
          </w:r>
          <w:r w:rsidRPr="007B5DA2">
            <w:rPr>
              <w:rStyle w:val="NTGFooter1itemsChar"/>
            </w:rPr>
            <w:fldChar w:fldCharType="end"/>
          </w:r>
          <w:r w:rsidR="002633CC">
            <w:rPr>
              <w:rStyle w:val="NTGFooter1itemsChar"/>
            </w:rPr>
            <w:fldChar w:fldCharType="begin"/>
          </w:r>
          <w:r w:rsidR="002633CC">
            <w:rPr>
              <w:rStyle w:val="NTGFooter1itemsChar"/>
            </w:rPr>
            <w:instrText xml:space="preserve"> DOCPROPERTY  VersionNo  \* MERGEFORMAT </w:instrText>
          </w:r>
          <w:r w:rsidR="002633CC">
            <w:rPr>
              <w:rStyle w:val="NTGFooter1itemsChar"/>
            </w:rPr>
            <w:fldChar w:fldCharType="separate"/>
          </w:r>
          <w:r w:rsidR="00C84BCB">
            <w:rPr>
              <w:rStyle w:val="NTGFooter1itemsChar"/>
            </w:rPr>
            <w:t>, Version </w:t>
          </w:r>
          <w:r w:rsidR="00A22768">
            <w:rPr>
              <w:rStyle w:val="NTGFooter1itemsChar"/>
            </w:rPr>
            <w:t>1</w:t>
          </w:r>
          <w:r w:rsidR="00890275">
            <w:rPr>
              <w:rStyle w:val="NTGFooter1itemsChar"/>
            </w:rPr>
            <w:t>.0</w:t>
          </w:r>
          <w:r w:rsidR="002633CC">
            <w:rPr>
              <w:rStyle w:val="NTGFooter1itemsChar"/>
            </w:rPr>
            <w:fldChar w:fldCharType="end"/>
          </w:r>
        </w:p>
      </w:tc>
      <w:tc>
        <w:tcPr>
          <w:tcW w:w="2268" w:type="dxa"/>
          <w:vAlign w:val="center"/>
        </w:tcPr>
        <w:p w14:paraId="4AE3B618" w14:textId="77777777" w:rsidR="00A07490" w:rsidRPr="001E14EB" w:rsidRDefault="00A07490" w:rsidP="00543BD1">
          <w:pPr>
            <w:spacing w:after="0"/>
            <w:jc w:val="right"/>
          </w:pPr>
          <w:r w:rsidRPr="00132658">
            <w:rPr>
              <w:noProof/>
              <w:lang w:eastAsia="en-AU"/>
            </w:rPr>
            <w:drawing>
              <wp:inline distT="0" distB="0" distL="0" distR="0" wp14:anchorId="3D4F768C" wp14:editId="2C83BD31">
                <wp:extent cx="1347470" cy="481330"/>
                <wp:effectExtent l="0" t="0" r="5080" b="0"/>
                <wp:docPr id="1" name="Picture 1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7470" cy="4813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35DE493" w14:textId="77777777" w:rsidR="00A07490" w:rsidRPr="00543BD1" w:rsidRDefault="00A07490" w:rsidP="00543BD1">
    <w:pPr>
      <w:pStyle w:val="NoSpacing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082FCC" w14:textId="77777777" w:rsidR="00B95CEF" w:rsidRDefault="00B95CEF" w:rsidP="007332FF">
      <w:r>
        <w:separator/>
      </w:r>
    </w:p>
  </w:footnote>
  <w:footnote w:type="continuationSeparator" w:id="0">
    <w:p w14:paraId="158D763E" w14:textId="77777777" w:rsidR="00B95CEF" w:rsidRDefault="00B95CEF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E3AAA" w14:textId="12FBFE67" w:rsidR="00A07490" w:rsidRDefault="0013740C" w:rsidP="002926BC">
    <w:pPr>
      <w:pStyle w:val="Header"/>
      <w:tabs>
        <w:tab w:val="clear" w:pos="9026"/>
      </w:tabs>
      <w:ind w:right="-568"/>
    </w:pPr>
    <w:r>
      <w:fldChar w:fldCharType="begin"/>
    </w:r>
    <w:r>
      <w:instrText xml:space="preserve"> TITLE  "Treasurer's Direction- Northern Territory tax equivalent regime and dividend policy"  \* MERGEFORMAT </w:instrText>
    </w:r>
    <w:r>
      <w:fldChar w:fldCharType="separate"/>
    </w:r>
    <w:r w:rsidR="00A22768">
      <w:t>Treasurer's Direction</w:t>
    </w:r>
    <w:r w:rsidR="00C84BCB">
      <w:t> </w:t>
    </w:r>
    <w:r w:rsidR="00C84BCB" w:rsidRPr="00C84BCB">
      <w:t>–</w:t>
    </w:r>
    <w:r w:rsidR="00C84BCB">
      <w:t xml:space="preserve"> Northern </w:t>
    </w:r>
    <w:r w:rsidR="001513D9">
      <w:t>Territory tax equivalent regime and dividend policy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4657A" w14:textId="0C61A980" w:rsidR="00A07490" w:rsidRDefault="0013740C" w:rsidP="0050530C">
    <w:pPr>
      <w:pStyle w:val="Title"/>
    </w:pPr>
    <w:sdt>
      <w:sdtPr>
        <w:alias w:val="Title"/>
        <w:tag w:val=""/>
        <w:id w:val="1748683773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22768">
          <w:t>Treasurer's Direction</w:t>
        </w:r>
        <w:r w:rsidR="00C84BCB">
          <w:t xml:space="preserve"> – Northern </w:t>
        </w:r>
        <w:r w:rsidR="00A22768">
          <w:t>Territory tax equivalent regime and dividend policy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F0990"/>
    <w:multiLevelType w:val="multilevel"/>
    <w:tmpl w:val="0C78A7AC"/>
    <w:name w:val="NTG Table Bullet List33222222222222222"/>
    <w:styleLink w:val="NTGTableLis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1" w15:restartNumberingAfterBreak="0">
    <w:nsid w:val="05C03AEC"/>
    <w:multiLevelType w:val="multilevel"/>
    <w:tmpl w:val="BD7A8414"/>
    <w:name w:val="NTG Table Bullet List3322222"/>
    <w:numStyleLink w:val="NTGStandardList"/>
  </w:abstractNum>
  <w:abstractNum w:abstractNumId="2" w15:restartNumberingAfterBreak="0">
    <w:nsid w:val="068B22E4"/>
    <w:multiLevelType w:val="multilevel"/>
    <w:tmpl w:val="4E6AC8F6"/>
    <w:name w:val="NTG Table Bullet List33222222"/>
    <w:numStyleLink w:val="NTGStandardNumList"/>
  </w:abstractNum>
  <w:abstractNum w:abstractNumId="3" w15:restartNumberingAfterBreak="0">
    <w:nsid w:val="06DB268B"/>
    <w:multiLevelType w:val="multilevel"/>
    <w:tmpl w:val="BD7A8414"/>
    <w:name w:val="NTG Table Bullet List32223"/>
    <w:numStyleLink w:val="NTGStandardList"/>
  </w:abstractNum>
  <w:abstractNum w:abstractNumId="4" w15:restartNumberingAfterBreak="0">
    <w:nsid w:val="09CD3ABE"/>
    <w:multiLevelType w:val="multilevel"/>
    <w:tmpl w:val="0C78A7AC"/>
    <w:name w:val="NTG Table Bullet List332222"/>
    <w:numStyleLink w:val="NTGTableList"/>
  </w:abstractNum>
  <w:abstractNum w:abstractNumId="5" w15:restartNumberingAfterBreak="0">
    <w:nsid w:val="10111492"/>
    <w:multiLevelType w:val="multilevel"/>
    <w:tmpl w:val="0C78A7AC"/>
    <w:name w:val="NTG Table Bullet List332"/>
    <w:numStyleLink w:val="NTGTableList"/>
  </w:abstractNum>
  <w:abstractNum w:abstractNumId="6" w15:restartNumberingAfterBreak="0">
    <w:nsid w:val="15C55E97"/>
    <w:multiLevelType w:val="multilevel"/>
    <w:tmpl w:val="BD7A8414"/>
    <w:name w:val="NTG Table Bullet List332222222222222222"/>
    <w:numStyleLink w:val="NTGStandardList"/>
  </w:abstractNum>
  <w:abstractNum w:abstractNumId="7" w15:restartNumberingAfterBreak="0">
    <w:nsid w:val="176B0CE3"/>
    <w:multiLevelType w:val="multilevel"/>
    <w:tmpl w:val="39746A98"/>
    <w:name w:val="NTG Table Bullet List332222222222222"/>
    <w:numStyleLink w:val="NTGTableNumList"/>
  </w:abstractNum>
  <w:abstractNum w:abstractNumId="8" w15:restartNumberingAfterBreak="0">
    <w:nsid w:val="18AE0D72"/>
    <w:multiLevelType w:val="multilevel"/>
    <w:tmpl w:val="0C78A7AC"/>
    <w:name w:val="NTG Table Bullet List322"/>
    <w:numStyleLink w:val="NTGTableList"/>
  </w:abstractNum>
  <w:abstractNum w:abstractNumId="9" w15:restartNumberingAfterBreak="0">
    <w:nsid w:val="1BB400DD"/>
    <w:multiLevelType w:val="multilevel"/>
    <w:tmpl w:val="39746A98"/>
    <w:name w:val="NTG Table Bullet List33"/>
    <w:numStyleLink w:val="NTGTableNumList"/>
  </w:abstractNum>
  <w:abstractNum w:abstractNumId="10" w15:restartNumberingAfterBreak="0">
    <w:nsid w:val="1CFF291F"/>
    <w:multiLevelType w:val="multilevel"/>
    <w:tmpl w:val="39746A98"/>
    <w:name w:val="NTG Table Bullet List3222323"/>
    <w:numStyleLink w:val="NTGTableNumList"/>
  </w:abstractNum>
  <w:abstractNum w:abstractNumId="11" w15:restartNumberingAfterBreak="0">
    <w:nsid w:val="241D1D87"/>
    <w:multiLevelType w:val="multilevel"/>
    <w:tmpl w:val="0C78A7AC"/>
    <w:name w:val="NTG Table Bullet List32"/>
    <w:numStyleLink w:val="NTGTableList"/>
  </w:abstractNum>
  <w:abstractNum w:abstractNumId="12" w15:restartNumberingAfterBreak="0">
    <w:nsid w:val="24E93944"/>
    <w:multiLevelType w:val="multilevel"/>
    <w:tmpl w:val="BD7A8414"/>
    <w:styleLink w:val="NTGStandard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13" w15:restartNumberingAfterBreak="0">
    <w:nsid w:val="26345893"/>
    <w:multiLevelType w:val="multilevel"/>
    <w:tmpl w:val="4E6AC8F6"/>
    <w:name w:val="NTG Table Bullet List3322222222"/>
    <w:numStyleLink w:val="NTGStandardNumList"/>
  </w:abstractNum>
  <w:abstractNum w:abstractNumId="14" w15:restartNumberingAfterBreak="0">
    <w:nsid w:val="2EF077BC"/>
    <w:multiLevelType w:val="multilevel"/>
    <w:tmpl w:val="0C78A7AC"/>
    <w:name w:val="NTG Table Bullet List33222222222222222222"/>
    <w:numStyleLink w:val="NTGTableList"/>
  </w:abstractNum>
  <w:abstractNum w:abstractNumId="15" w15:restartNumberingAfterBreak="0">
    <w:nsid w:val="33AC0BD5"/>
    <w:multiLevelType w:val="multilevel"/>
    <w:tmpl w:val="39746A98"/>
    <w:name w:val="NTG Table Bullet List322232"/>
    <w:styleLink w:val="NTGTableNumList"/>
    <w:lvl w:ilvl="0">
      <w:start w:val="1"/>
      <w:numFmt w:val="decimal"/>
      <w:pStyle w:val="NTGTableNumLis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NTGTableNumList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NTGTableNumList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NTGTableNumList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NTGTableNumList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NTGTableNumList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NTGTableNumList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NTGTableNumList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NTGTableNumList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418B29E3"/>
    <w:multiLevelType w:val="multilevel"/>
    <w:tmpl w:val="0C78A7AC"/>
    <w:name w:val="NTG Table Bullet List33222222222222"/>
    <w:numStyleLink w:val="NTGTableList"/>
  </w:abstractNum>
  <w:abstractNum w:abstractNumId="17" w15:restartNumberingAfterBreak="0">
    <w:nsid w:val="418B4474"/>
    <w:multiLevelType w:val="multilevel"/>
    <w:tmpl w:val="4E6AC8F6"/>
    <w:numStyleLink w:val="NTGStandardNumList"/>
  </w:abstractNum>
  <w:abstractNum w:abstractNumId="18" w15:restartNumberingAfterBreak="0">
    <w:nsid w:val="426F70CC"/>
    <w:multiLevelType w:val="multilevel"/>
    <w:tmpl w:val="39746A98"/>
    <w:name w:val="NTG Table Bullet List33222222222222222"/>
    <w:numStyleLink w:val="NTGTableNumList"/>
  </w:abstractNum>
  <w:abstractNum w:abstractNumId="19" w15:restartNumberingAfterBreak="0">
    <w:nsid w:val="4B9C702E"/>
    <w:multiLevelType w:val="multilevel"/>
    <w:tmpl w:val="BD7A8414"/>
    <w:name w:val="NTG Table Bullet List3222"/>
    <w:numStyleLink w:val="NTGStandardList"/>
  </w:abstractNum>
  <w:abstractNum w:abstractNumId="20" w15:restartNumberingAfterBreak="0">
    <w:nsid w:val="4D435BB4"/>
    <w:multiLevelType w:val="multilevel"/>
    <w:tmpl w:val="39746A98"/>
    <w:name w:val="NTG Table Bullet List3322"/>
    <w:numStyleLink w:val="NTGTableNumList"/>
  </w:abstractNum>
  <w:abstractNum w:abstractNumId="21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2" w15:restartNumberingAfterBreak="0">
    <w:nsid w:val="4D90555D"/>
    <w:multiLevelType w:val="multilevel"/>
    <w:tmpl w:val="4E6AC8F6"/>
    <w:styleLink w:val="NTGStandardNumList"/>
    <w:lvl w:ilvl="0">
      <w:start w:val="1"/>
      <w:numFmt w:val="decimal"/>
      <w:lvlText w:val="%1."/>
      <w:lvlJc w:val="left"/>
      <w:pPr>
        <w:ind w:left="782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25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3" w15:restartNumberingAfterBreak="0">
    <w:nsid w:val="4E002A10"/>
    <w:multiLevelType w:val="multilevel"/>
    <w:tmpl w:val="39746A98"/>
    <w:name w:val="NTG Table Bullet List332222222"/>
    <w:numStyleLink w:val="NTGTableNumList"/>
  </w:abstractNum>
  <w:abstractNum w:abstractNumId="24" w15:restartNumberingAfterBreak="0">
    <w:nsid w:val="4E597CFE"/>
    <w:multiLevelType w:val="multilevel"/>
    <w:tmpl w:val="39746A98"/>
    <w:name w:val="NTG Table Bullet List33222222222"/>
    <w:numStyleLink w:val="NTGTableNumList"/>
  </w:abstractNum>
  <w:abstractNum w:abstractNumId="25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55EE5AD0"/>
    <w:multiLevelType w:val="multilevel"/>
    <w:tmpl w:val="9CF28452"/>
    <w:lvl w:ilvl="0">
      <w:start w:val="1"/>
      <w:numFmt w:val="bullet"/>
      <w:pStyle w:val="NTGTableBulletLis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NTGTableBulletList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NTGTableBulletList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NTGTableBulletList4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pStyle w:val="NTGTableBulletList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NTGTableBulletList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NTGTableBulletList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NTGTableBulletList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NTGTableBulletList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7" w15:restartNumberingAfterBreak="0">
    <w:nsid w:val="573B315C"/>
    <w:multiLevelType w:val="multilevel"/>
    <w:tmpl w:val="39746A98"/>
    <w:name w:val="NTG Table Bullet List3222322"/>
    <w:numStyleLink w:val="NTGTableNumList"/>
  </w:abstractNum>
  <w:abstractNum w:abstractNumId="28" w15:restartNumberingAfterBreak="0">
    <w:nsid w:val="5BCE2A25"/>
    <w:multiLevelType w:val="multilevel"/>
    <w:tmpl w:val="0C78A7AC"/>
    <w:name w:val="NTG Table Bullet List332222222222"/>
    <w:numStyleLink w:val="NTGTableList"/>
  </w:abstractNum>
  <w:abstractNum w:abstractNumId="29" w15:restartNumberingAfterBreak="0">
    <w:nsid w:val="60601F79"/>
    <w:multiLevelType w:val="hybridMultilevel"/>
    <w:tmpl w:val="1064257E"/>
    <w:lvl w:ilvl="0" w:tplc="AF340F6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383A47"/>
    <w:multiLevelType w:val="multilevel"/>
    <w:tmpl w:val="BD7A8414"/>
    <w:numStyleLink w:val="NTGStandardList"/>
  </w:abstractNum>
  <w:abstractNum w:abstractNumId="31" w15:restartNumberingAfterBreak="0">
    <w:nsid w:val="65D566F7"/>
    <w:multiLevelType w:val="multilevel"/>
    <w:tmpl w:val="39746A98"/>
    <w:name w:val="NTG Table Bullet List3322222222222222"/>
    <w:numStyleLink w:val="NTGTableNumList"/>
  </w:abstractNum>
  <w:abstractNum w:abstractNumId="32" w15:restartNumberingAfterBreak="0">
    <w:nsid w:val="6CC62A3C"/>
    <w:multiLevelType w:val="multilevel"/>
    <w:tmpl w:val="39746A98"/>
    <w:name w:val="NTG Table Bullet List33222"/>
    <w:numStyleLink w:val="NTGTableNumList"/>
  </w:abstractNum>
  <w:abstractNum w:abstractNumId="33" w15:restartNumberingAfterBreak="0">
    <w:nsid w:val="70105C45"/>
    <w:multiLevelType w:val="multilevel"/>
    <w:tmpl w:val="39746A98"/>
    <w:name w:val="NTG Table Bullet List3322222222222"/>
    <w:numStyleLink w:val="NTGTableNumList"/>
  </w:abstractNum>
  <w:abstractNum w:abstractNumId="34" w15:restartNumberingAfterBreak="0">
    <w:nsid w:val="7453664D"/>
    <w:multiLevelType w:val="multilevel"/>
    <w:tmpl w:val="0C78A7AC"/>
    <w:name w:val="NTG Table Bullet List3322222222222222222"/>
    <w:numStyleLink w:val="NTGTableList"/>
  </w:abstractNum>
  <w:abstractNum w:abstractNumId="35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12"/>
  </w:num>
  <w:num w:numId="2">
    <w:abstractNumId w:val="22"/>
  </w:num>
  <w:num w:numId="3">
    <w:abstractNumId w:val="0"/>
  </w:num>
  <w:num w:numId="4">
    <w:abstractNumId w:val="15"/>
  </w:num>
  <w:num w:numId="5">
    <w:abstractNumId w:val="18"/>
  </w:num>
  <w:num w:numId="6">
    <w:abstractNumId w:val="30"/>
  </w:num>
  <w:num w:numId="7">
    <w:abstractNumId w:val="17"/>
  </w:num>
  <w:num w:numId="8">
    <w:abstractNumId w:val="26"/>
  </w:num>
  <w:num w:numId="9">
    <w:abstractNumId w:val="29"/>
  </w:num>
  <w:num w:numId="10">
    <w:abstractNumId w:val="17"/>
  </w:num>
  <w:num w:numId="11">
    <w:abstractNumId w:val="17"/>
  </w:num>
  <w:num w:numId="12">
    <w:abstractNumId w:val="17"/>
  </w:num>
  <w:num w:numId="13">
    <w:abstractNumId w:val="17"/>
  </w:num>
  <w:num w:numId="14">
    <w:abstractNumId w:val="17"/>
  </w:num>
  <w:num w:numId="15">
    <w:abstractNumId w:val="17"/>
  </w:num>
  <w:num w:numId="16">
    <w:abstractNumId w:val="17"/>
  </w:num>
  <w:num w:numId="17">
    <w:abstractNumId w:val="17"/>
  </w:num>
  <w:num w:numId="18">
    <w:abstractNumId w:val="17"/>
  </w:num>
  <w:num w:numId="19">
    <w:abstractNumId w:val="17"/>
  </w:num>
  <w:num w:numId="20">
    <w:abstractNumId w:val="17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attachedTemplate r:id="rId1"/>
  <w:stylePaneFormatFilter w:val="D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1"/>
  <w:defaultTabStop w:val="284"/>
  <w:defaultTableStyle w:val="NTGTable"/>
  <w:drawingGridHorizontalSpacing w:val="110"/>
  <w:displayHorizontalDrawingGridEvery w:val="2"/>
  <w:displayVertic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471"/>
    <w:rsid w:val="00001DDF"/>
    <w:rsid w:val="0000322D"/>
    <w:rsid w:val="00003272"/>
    <w:rsid w:val="00003F46"/>
    <w:rsid w:val="00006A72"/>
    <w:rsid w:val="00010665"/>
    <w:rsid w:val="00010CBF"/>
    <w:rsid w:val="000159ED"/>
    <w:rsid w:val="00025FD1"/>
    <w:rsid w:val="000262F9"/>
    <w:rsid w:val="00027DB8"/>
    <w:rsid w:val="00031467"/>
    <w:rsid w:val="000316A6"/>
    <w:rsid w:val="00031A96"/>
    <w:rsid w:val="00031D28"/>
    <w:rsid w:val="000344BC"/>
    <w:rsid w:val="00040BF3"/>
    <w:rsid w:val="00041043"/>
    <w:rsid w:val="00042ABC"/>
    <w:rsid w:val="0004330C"/>
    <w:rsid w:val="00043AC3"/>
    <w:rsid w:val="0004471C"/>
    <w:rsid w:val="000450B8"/>
    <w:rsid w:val="000455A0"/>
    <w:rsid w:val="00046C59"/>
    <w:rsid w:val="0004739E"/>
    <w:rsid w:val="000502B2"/>
    <w:rsid w:val="00051362"/>
    <w:rsid w:val="00051F45"/>
    <w:rsid w:val="00055994"/>
    <w:rsid w:val="00056DEF"/>
    <w:rsid w:val="00063425"/>
    <w:rsid w:val="00066DAE"/>
    <w:rsid w:val="000720BE"/>
    <w:rsid w:val="0007259C"/>
    <w:rsid w:val="00073A7A"/>
    <w:rsid w:val="000768D1"/>
    <w:rsid w:val="00076B48"/>
    <w:rsid w:val="00080202"/>
    <w:rsid w:val="00080DCD"/>
    <w:rsid w:val="00080E22"/>
    <w:rsid w:val="00082C65"/>
    <w:rsid w:val="000840A3"/>
    <w:rsid w:val="00085A78"/>
    <w:rsid w:val="00086A5F"/>
    <w:rsid w:val="000911EF"/>
    <w:rsid w:val="000943C6"/>
    <w:rsid w:val="000962C5"/>
    <w:rsid w:val="000A559C"/>
    <w:rsid w:val="000A782A"/>
    <w:rsid w:val="000B2B4E"/>
    <w:rsid w:val="000B2CA1"/>
    <w:rsid w:val="000B3A64"/>
    <w:rsid w:val="000B401F"/>
    <w:rsid w:val="000B4739"/>
    <w:rsid w:val="000B6EC9"/>
    <w:rsid w:val="000C3AFA"/>
    <w:rsid w:val="000C5C93"/>
    <w:rsid w:val="000C685E"/>
    <w:rsid w:val="000D1F29"/>
    <w:rsid w:val="000E59EF"/>
    <w:rsid w:val="000E5F84"/>
    <w:rsid w:val="000F1F9B"/>
    <w:rsid w:val="000F22C6"/>
    <w:rsid w:val="000F2958"/>
    <w:rsid w:val="000F3448"/>
    <w:rsid w:val="00102BCD"/>
    <w:rsid w:val="00103F34"/>
    <w:rsid w:val="00104E7F"/>
    <w:rsid w:val="001112F9"/>
    <w:rsid w:val="001137EC"/>
    <w:rsid w:val="001152F5"/>
    <w:rsid w:val="00117743"/>
    <w:rsid w:val="00117F5B"/>
    <w:rsid w:val="0012104E"/>
    <w:rsid w:val="00121B74"/>
    <w:rsid w:val="00132658"/>
    <w:rsid w:val="0013740C"/>
    <w:rsid w:val="00140014"/>
    <w:rsid w:val="00150DC0"/>
    <w:rsid w:val="001513D9"/>
    <w:rsid w:val="00155B3F"/>
    <w:rsid w:val="00156CD4"/>
    <w:rsid w:val="00160941"/>
    <w:rsid w:val="00160972"/>
    <w:rsid w:val="00161A7B"/>
    <w:rsid w:val="00164A3E"/>
    <w:rsid w:val="00167610"/>
    <w:rsid w:val="001702EF"/>
    <w:rsid w:val="00170928"/>
    <w:rsid w:val="00181620"/>
    <w:rsid w:val="001957AD"/>
    <w:rsid w:val="001A2B7F"/>
    <w:rsid w:val="001A31E8"/>
    <w:rsid w:val="001A3AFD"/>
    <w:rsid w:val="001A496C"/>
    <w:rsid w:val="001B2B6C"/>
    <w:rsid w:val="001B3C1A"/>
    <w:rsid w:val="001B5B5F"/>
    <w:rsid w:val="001B67EB"/>
    <w:rsid w:val="001C7055"/>
    <w:rsid w:val="001D01C4"/>
    <w:rsid w:val="001D18AC"/>
    <w:rsid w:val="001D52B0"/>
    <w:rsid w:val="001D7CA4"/>
    <w:rsid w:val="001E0203"/>
    <w:rsid w:val="001E057F"/>
    <w:rsid w:val="001E14EB"/>
    <w:rsid w:val="001E27D1"/>
    <w:rsid w:val="001F59E6"/>
    <w:rsid w:val="002058C2"/>
    <w:rsid w:val="00206936"/>
    <w:rsid w:val="00206C6F"/>
    <w:rsid w:val="00206FBD"/>
    <w:rsid w:val="00207746"/>
    <w:rsid w:val="00210770"/>
    <w:rsid w:val="0021560B"/>
    <w:rsid w:val="00215A79"/>
    <w:rsid w:val="0021684E"/>
    <w:rsid w:val="00217140"/>
    <w:rsid w:val="00222F66"/>
    <w:rsid w:val="00230031"/>
    <w:rsid w:val="00230D59"/>
    <w:rsid w:val="00234FC9"/>
    <w:rsid w:val="002356FF"/>
    <w:rsid w:val="00235F1A"/>
    <w:rsid w:val="00240A13"/>
    <w:rsid w:val="002416EE"/>
    <w:rsid w:val="00246643"/>
    <w:rsid w:val="00246948"/>
    <w:rsid w:val="00247343"/>
    <w:rsid w:val="002528B0"/>
    <w:rsid w:val="002633CC"/>
    <w:rsid w:val="00265C56"/>
    <w:rsid w:val="002716CD"/>
    <w:rsid w:val="00274D4B"/>
    <w:rsid w:val="0027718A"/>
    <w:rsid w:val="002806F5"/>
    <w:rsid w:val="00281577"/>
    <w:rsid w:val="00290119"/>
    <w:rsid w:val="00290E32"/>
    <w:rsid w:val="002926BC"/>
    <w:rsid w:val="00292D42"/>
    <w:rsid w:val="00292D7D"/>
    <w:rsid w:val="00293A72"/>
    <w:rsid w:val="002A121B"/>
    <w:rsid w:val="002A1798"/>
    <w:rsid w:val="002A30C3"/>
    <w:rsid w:val="002A6885"/>
    <w:rsid w:val="002A7712"/>
    <w:rsid w:val="002B1375"/>
    <w:rsid w:val="002B38F7"/>
    <w:rsid w:val="002B5591"/>
    <w:rsid w:val="002C1FE9"/>
    <w:rsid w:val="002D1E60"/>
    <w:rsid w:val="002D3220"/>
    <w:rsid w:val="002D373E"/>
    <w:rsid w:val="002D3A57"/>
    <w:rsid w:val="002D5D3E"/>
    <w:rsid w:val="002D77E1"/>
    <w:rsid w:val="002D7D05"/>
    <w:rsid w:val="002E1325"/>
    <w:rsid w:val="002E20C8"/>
    <w:rsid w:val="002E4290"/>
    <w:rsid w:val="002E5BC0"/>
    <w:rsid w:val="002E66A6"/>
    <w:rsid w:val="002F0C7F"/>
    <w:rsid w:val="002F0DB1"/>
    <w:rsid w:val="002F2885"/>
    <w:rsid w:val="003020B7"/>
    <w:rsid w:val="003037F9"/>
    <w:rsid w:val="003053DC"/>
    <w:rsid w:val="0030583E"/>
    <w:rsid w:val="00306EC1"/>
    <w:rsid w:val="003074F4"/>
    <w:rsid w:val="00307FE1"/>
    <w:rsid w:val="00312455"/>
    <w:rsid w:val="0031274E"/>
    <w:rsid w:val="00313B78"/>
    <w:rsid w:val="00317EA0"/>
    <w:rsid w:val="003207D2"/>
    <w:rsid w:val="00322A92"/>
    <w:rsid w:val="003258E6"/>
    <w:rsid w:val="0032717E"/>
    <w:rsid w:val="003278D6"/>
    <w:rsid w:val="00330425"/>
    <w:rsid w:val="00333B96"/>
    <w:rsid w:val="00334AD5"/>
    <w:rsid w:val="00337618"/>
    <w:rsid w:val="0034059A"/>
    <w:rsid w:val="00342283"/>
    <w:rsid w:val="00343A87"/>
    <w:rsid w:val="00345DC0"/>
    <w:rsid w:val="00347FB6"/>
    <w:rsid w:val="003504FD"/>
    <w:rsid w:val="00350881"/>
    <w:rsid w:val="003520DF"/>
    <w:rsid w:val="00357D55"/>
    <w:rsid w:val="003612B9"/>
    <w:rsid w:val="00361C09"/>
    <w:rsid w:val="00361FC4"/>
    <w:rsid w:val="00363513"/>
    <w:rsid w:val="003657E5"/>
    <w:rsid w:val="0036589C"/>
    <w:rsid w:val="00371312"/>
    <w:rsid w:val="00371DC7"/>
    <w:rsid w:val="0037206C"/>
    <w:rsid w:val="00373F06"/>
    <w:rsid w:val="0037579F"/>
    <w:rsid w:val="00377B21"/>
    <w:rsid w:val="003941A3"/>
    <w:rsid w:val="00394876"/>
    <w:rsid w:val="00394AAF"/>
    <w:rsid w:val="00394CE5"/>
    <w:rsid w:val="003B2CAD"/>
    <w:rsid w:val="003B4DD0"/>
    <w:rsid w:val="003B67FD"/>
    <w:rsid w:val="003B686F"/>
    <w:rsid w:val="003B6A61"/>
    <w:rsid w:val="003B6E10"/>
    <w:rsid w:val="003C26D9"/>
    <w:rsid w:val="003C55CD"/>
    <w:rsid w:val="003D1846"/>
    <w:rsid w:val="003D42C0"/>
    <w:rsid w:val="003D5B29"/>
    <w:rsid w:val="003D6C62"/>
    <w:rsid w:val="003D7818"/>
    <w:rsid w:val="003E16DF"/>
    <w:rsid w:val="003E2445"/>
    <w:rsid w:val="003E308F"/>
    <w:rsid w:val="003E3BB2"/>
    <w:rsid w:val="003E4BAB"/>
    <w:rsid w:val="003F0FC1"/>
    <w:rsid w:val="003F3329"/>
    <w:rsid w:val="003F33EB"/>
    <w:rsid w:val="003F3412"/>
    <w:rsid w:val="003F5B58"/>
    <w:rsid w:val="0040222A"/>
    <w:rsid w:val="004047BC"/>
    <w:rsid w:val="004072EC"/>
    <w:rsid w:val="004100F7"/>
    <w:rsid w:val="00413A17"/>
    <w:rsid w:val="004143E4"/>
    <w:rsid w:val="00414CB3"/>
    <w:rsid w:val="0041563D"/>
    <w:rsid w:val="0041777F"/>
    <w:rsid w:val="004222AF"/>
    <w:rsid w:val="00426E25"/>
    <w:rsid w:val="00427D9C"/>
    <w:rsid w:val="00430F36"/>
    <w:rsid w:val="00431EBE"/>
    <w:rsid w:val="004333A4"/>
    <w:rsid w:val="00436732"/>
    <w:rsid w:val="00443B6E"/>
    <w:rsid w:val="00450733"/>
    <w:rsid w:val="0045420A"/>
    <w:rsid w:val="004554D4"/>
    <w:rsid w:val="00461744"/>
    <w:rsid w:val="00466D96"/>
    <w:rsid w:val="00467747"/>
    <w:rsid w:val="00473C98"/>
    <w:rsid w:val="00482DF8"/>
    <w:rsid w:val="004864DE"/>
    <w:rsid w:val="00490659"/>
    <w:rsid w:val="00494BE5"/>
    <w:rsid w:val="004A2538"/>
    <w:rsid w:val="004B0C15"/>
    <w:rsid w:val="004B35EA"/>
    <w:rsid w:val="004B4E05"/>
    <w:rsid w:val="004B69E4"/>
    <w:rsid w:val="004C5B09"/>
    <w:rsid w:val="004C6C39"/>
    <w:rsid w:val="004D075F"/>
    <w:rsid w:val="004D1B76"/>
    <w:rsid w:val="004D344E"/>
    <w:rsid w:val="004D4802"/>
    <w:rsid w:val="004D5CE7"/>
    <w:rsid w:val="004E019E"/>
    <w:rsid w:val="004E06EC"/>
    <w:rsid w:val="004E23B7"/>
    <w:rsid w:val="004E2764"/>
    <w:rsid w:val="004E2CB7"/>
    <w:rsid w:val="004E3479"/>
    <w:rsid w:val="004F016A"/>
    <w:rsid w:val="004F36E0"/>
    <w:rsid w:val="00500F94"/>
    <w:rsid w:val="00501946"/>
    <w:rsid w:val="00502871"/>
    <w:rsid w:val="00502FB3"/>
    <w:rsid w:val="00503DE9"/>
    <w:rsid w:val="0050530C"/>
    <w:rsid w:val="00505DEA"/>
    <w:rsid w:val="00505FA1"/>
    <w:rsid w:val="00507782"/>
    <w:rsid w:val="00512A04"/>
    <w:rsid w:val="005240B3"/>
    <w:rsid w:val="005249F5"/>
    <w:rsid w:val="005260F7"/>
    <w:rsid w:val="00531FCE"/>
    <w:rsid w:val="00543BD1"/>
    <w:rsid w:val="00544A96"/>
    <w:rsid w:val="00553733"/>
    <w:rsid w:val="00556113"/>
    <w:rsid w:val="00564C12"/>
    <w:rsid w:val="005654B8"/>
    <w:rsid w:val="00566360"/>
    <w:rsid w:val="00570407"/>
    <w:rsid w:val="00570E3C"/>
    <w:rsid w:val="005762CC"/>
    <w:rsid w:val="0057744D"/>
    <w:rsid w:val="005819AE"/>
    <w:rsid w:val="0058245F"/>
    <w:rsid w:val="00582D3D"/>
    <w:rsid w:val="00592F7E"/>
    <w:rsid w:val="00595386"/>
    <w:rsid w:val="005A0B94"/>
    <w:rsid w:val="005A4AC0"/>
    <w:rsid w:val="005A5FDF"/>
    <w:rsid w:val="005B0FB7"/>
    <w:rsid w:val="005B122A"/>
    <w:rsid w:val="005B19CF"/>
    <w:rsid w:val="005B2C8F"/>
    <w:rsid w:val="005B3A3B"/>
    <w:rsid w:val="005B5AC2"/>
    <w:rsid w:val="005B726C"/>
    <w:rsid w:val="005C2833"/>
    <w:rsid w:val="005C5DBC"/>
    <w:rsid w:val="005C7659"/>
    <w:rsid w:val="005D579C"/>
    <w:rsid w:val="005D7FCE"/>
    <w:rsid w:val="005E144D"/>
    <w:rsid w:val="005E1500"/>
    <w:rsid w:val="005E3A43"/>
    <w:rsid w:val="005E7D6E"/>
    <w:rsid w:val="005F00DA"/>
    <w:rsid w:val="005F1CC5"/>
    <w:rsid w:val="005F21BD"/>
    <w:rsid w:val="006112E0"/>
    <w:rsid w:val="006171B7"/>
    <w:rsid w:val="00620675"/>
    <w:rsid w:val="0062264D"/>
    <w:rsid w:val="00624E97"/>
    <w:rsid w:val="0064191B"/>
    <w:rsid w:val="006433C3"/>
    <w:rsid w:val="00650F5B"/>
    <w:rsid w:val="006528B2"/>
    <w:rsid w:val="00652B52"/>
    <w:rsid w:val="00655361"/>
    <w:rsid w:val="00655D28"/>
    <w:rsid w:val="00660857"/>
    <w:rsid w:val="0066259B"/>
    <w:rsid w:val="00663964"/>
    <w:rsid w:val="00665E28"/>
    <w:rsid w:val="006670D7"/>
    <w:rsid w:val="0067054C"/>
    <w:rsid w:val="006719EA"/>
    <w:rsid w:val="00671C1E"/>
    <w:rsid w:val="00671F13"/>
    <w:rsid w:val="0067400A"/>
    <w:rsid w:val="00675EFE"/>
    <w:rsid w:val="00680E5C"/>
    <w:rsid w:val="006812C5"/>
    <w:rsid w:val="006847AD"/>
    <w:rsid w:val="00685903"/>
    <w:rsid w:val="00687272"/>
    <w:rsid w:val="00690092"/>
    <w:rsid w:val="0069114B"/>
    <w:rsid w:val="006943B9"/>
    <w:rsid w:val="00695832"/>
    <w:rsid w:val="0069711B"/>
    <w:rsid w:val="006A026D"/>
    <w:rsid w:val="006A3CC7"/>
    <w:rsid w:val="006B065C"/>
    <w:rsid w:val="006B303F"/>
    <w:rsid w:val="006B415C"/>
    <w:rsid w:val="006B48FB"/>
    <w:rsid w:val="006B4FF8"/>
    <w:rsid w:val="006B7696"/>
    <w:rsid w:val="006C63FA"/>
    <w:rsid w:val="006C641A"/>
    <w:rsid w:val="006D01BE"/>
    <w:rsid w:val="006D5612"/>
    <w:rsid w:val="006D66F7"/>
    <w:rsid w:val="006D6EC3"/>
    <w:rsid w:val="006E0CFE"/>
    <w:rsid w:val="006E5844"/>
    <w:rsid w:val="006E6031"/>
    <w:rsid w:val="006E6C1A"/>
    <w:rsid w:val="006E7DF9"/>
    <w:rsid w:val="006F397A"/>
    <w:rsid w:val="006F7B6C"/>
    <w:rsid w:val="00705BAF"/>
    <w:rsid w:val="00705C9D"/>
    <w:rsid w:val="00705F13"/>
    <w:rsid w:val="0070660A"/>
    <w:rsid w:val="00712625"/>
    <w:rsid w:val="00714F1D"/>
    <w:rsid w:val="00715129"/>
    <w:rsid w:val="0071540C"/>
    <w:rsid w:val="00720493"/>
    <w:rsid w:val="00722DDB"/>
    <w:rsid w:val="00724728"/>
    <w:rsid w:val="00724F98"/>
    <w:rsid w:val="0072618A"/>
    <w:rsid w:val="007303F6"/>
    <w:rsid w:val="00730B9B"/>
    <w:rsid w:val="007324C8"/>
    <w:rsid w:val="00732DEE"/>
    <w:rsid w:val="007332FF"/>
    <w:rsid w:val="0073471F"/>
    <w:rsid w:val="007408F5"/>
    <w:rsid w:val="00741610"/>
    <w:rsid w:val="00741EAE"/>
    <w:rsid w:val="00754CDF"/>
    <w:rsid w:val="0075608E"/>
    <w:rsid w:val="0076190B"/>
    <w:rsid w:val="00762F66"/>
    <w:rsid w:val="0076355D"/>
    <w:rsid w:val="00763A2D"/>
    <w:rsid w:val="00764287"/>
    <w:rsid w:val="0076709D"/>
    <w:rsid w:val="00770B0A"/>
    <w:rsid w:val="00771920"/>
    <w:rsid w:val="007742D3"/>
    <w:rsid w:val="00777795"/>
    <w:rsid w:val="00777AFC"/>
    <w:rsid w:val="00780C10"/>
    <w:rsid w:val="00781F27"/>
    <w:rsid w:val="007829B9"/>
    <w:rsid w:val="00783A57"/>
    <w:rsid w:val="00784C92"/>
    <w:rsid w:val="007859CD"/>
    <w:rsid w:val="00787161"/>
    <w:rsid w:val="00787D20"/>
    <w:rsid w:val="007907E4"/>
    <w:rsid w:val="00796461"/>
    <w:rsid w:val="007A6A4F"/>
    <w:rsid w:val="007B03F5"/>
    <w:rsid w:val="007B2211"/>
    <w:rsid w:val="007B5882"/>
    <w:rsid w:val="007B5C09"/>
    <w:rsid w:val="007B5DA2"/>
    <w:rsid w:val="007C0966"/>
    <w:rsid w:val="007C19E7"/>
    <w:rsid w:val="007C1BBE"/>
    <w:rsid w:val="007C5CFD"/>
    <w:rsid w:val="007C6D9F"/>
    <w:rsid w:val="007D4893"/>
    <w:rsid w:val="007E2F6B"/>
    <w:rsid w:val="007E70CF"/>
    <w:rsid w:val="007E74A4"/>
    <w:rsid w:val="007F263F"/>
    <w:rsid w:val="007F539A"/>
    <w:rsid w:val="007F732E"/>
    <w:rsid w:val="008035C9"/>
    <w:rsid w:val="008062F0"/>
    <w:rsid w:val="00807114"/>
    <w:rsid w:val="0080766E"/>
    <w:rsid w:val="00811169"/>
    <w:rsid w:val="00815297"/>
    <w:rsid w:val="008176DB"/>
    <w:rsid w:val="00817BA1"/>
    <w:rsid w:val="00820C4A"/>
    <w:rsid w:val="00823022"/>
    <w:rsid w:val="00825ACD"/>
    <w:rsid w:val="00825D9C"/>
    <w:rsid w:val="0082634E"/>
    <w:rsid w:val="00827BBC"/>
    <w:rsid w:val="008313C4"/>
    <w:rsid w:val="00835434"/>
    <w:rsid w:val="00835757"/>
    <w:rsid w:val="008358C0"/>
    <w:rsid w:val="00842838"/>
    <w:rsid w:val="00842A2F"/>
    <w:rsid w:val="00843109"/>
    <w:rsid w:val="008523CF"/>
    <w:rsid w:val="00853CA2"/>
    <w:rsid w:val="00854896"/>
    <w:rsid w:val="00854EC1"/>
    <w:rsid w:val="008550AD"/>
    <w:rsid w:val="0085797F"/>
    <w:rsid w:val="00861DC3"/>
    <w:rsid w:val="00867019"/>
    <w:rsid w:val="008735A9"/>
    <w:rsid w:val="00877D20"/>
    <w:rsid w:val="00881C48"/>
    <w:rsid w:val="00885B80"/>
    <w:rsid w:val="00885C30"/>
    <w:rsid w:val="00885E9B"/>
    <w:rsid w:val="00887BF6"/>
    <w:rsid w:val="00890275"/>
    <w:rsid w:val="008936CF"/>
    <w:rsid w:val="00893C96"/>
    <w:rsid w:val="008A2445"/>
    <w:rsid w:val="008A4955"/>
    <w:rsid w:val="008A5966"/>
    <w:rsid w:val="008A6987"/>
    <w:rsid w:val="008A7A69"/>
    <w:rsid w:val="008A7C12"/>
    <w:rsid w:val="008B05C2"/>
    <w:rsid w:val="008B09C1"/>
    <w:rsid w:val="008B2EFD"/>
    <w:rsid w:val="008B42BF"/>
    <w:rsid w:val="008B47F6"/>
    <w:rsid w:val="008B529E"/>
    <w:rsid w:val="008C17FB"/>
    <w:rsid w:val="008C5F9E"/>
    <w:rsid w:val="008D442D"/>
    <w:rsid w:val="008D57B8"/>
    <w:rsid w:val="008E0114"/>
    <w:rsid w:val="008E03FC"/>
    <w:rsid w:val="008E1B93"/>
    <w:rsid w:val="008E510B"/>
    <w:rsid w:val="008F2122"/>
    <w:rsid w:val="008F3CD5"/>
    <w:rsid w:val="00902B13"/>
    <w:rsid w:val="00904A12"/>
    <w:rsid w:val="00907E6F"/>
    <w:rsid w:val="00910F72"/>
    <w:rsid w:val="00911941"/>
    <w:rsid w:val="009167D9"/>
    <w:rsid w:val="00920158"/>
    <w:rsid w:val="00921D09"/>
    <w:rsid w:val="00924AA5"/>
    <w:rsid w:val="00925F0F"/>
    <w:rsid w:val="00932F6B"/>
    <w:rsid w:val="0093385A"/>
    <w:rsid w:val="00933891"/>
    <w:rsid w:val="00934DBE"/>
    <w:rsid w:val="00937C6B"/>
    <w:rsid w:val="009468BC"/>
    <w:rsid w:val="009471EA"/>
    <w:rsid w:val="00954BB3"/>
    <w:rsid w:val="00955CDE"/>
    <w:rsid w:val="009616DF"/>
    <w:rsid w:val="00961D5F"/>
    <w:rsid w:val="00962030"/>
    <w:rsid w:val="00962955"/>
    <w:rsid w:val="00964106"/>
    <w:rsid w:val="0096542F"/>
    <w:rsid w:val="00967FA7"/>
    <w:rsid w:val="00971645"/>
    <w:rsid w:val="009754F0"/>
    <w:rsid w:val="00977919"/>
    <w:rsid w:val="0098018B"/>
    <w:rsid w:val="00986D44"/>
    <w:rsid w:val="009870FA"/>
    <w:rsid w:val="0099245A"/>
    <w:rsid w:val="00993543"/>
    <w:rsid w:val="0099551D"/>
    <w:rsid w:val="009A1089"/>
    <w:rsid w:val="009A3172"/>
    <w:rsid w:val="009A4B59"/>
    <w:rsid w:val="009A5897"/>
    <w:rsid w:val="009A5EB8"/>
    <w:rsid w:val="009A5F24"/>
    <w:rsid w:val="009A7EF0"/>
    <w:rsid w:val="009B0B3E"/>
    <w:rsid w:val="009B1913"/>
    <w:rsid w:val="009B387D"/>
    <w:rsid w:val="009B3A57"/>
    <w:rsid w:val="009B4338"/>
    <w:rsid w:val="009B5A59"/>
    <w:rsid w:val="009B6657"/>
    <w:rsid w:val="009C5D69"/>
    <w:rsid w:val="009D0EB5"/>
    <w:rsid w:val="009D14F9"/>
    <w:rsid w:val="009D2B74"/>
    <w:rsid w:val="009E175D"/>
    <w:rsid w:val="009E3CC2"/>
    <w:rsid w:val="009E5372"/>
    <w:rsid w:val="009E76E4"/>
    <w:rsid w:val="009F06BD"/>
    <w:rsid w:val="009F210D"/>
    <w:rsid w:val="009F2A4D"/>
    <w:rsid w:val="009F3284"/>
    <w:rsid w:val="009F625E"/>
    <w:rsid w:val="009F75BB"/>
    <w:rsid w:val="00A007D7"/>
    <w:rsid w:val="00A00828"/>
    <w:rsid w:val="00A01978"/>
    <w:rsid w:val="00A029BD"/>
    <w:rsid w:val="00A03290"/>
    <w:rsid w:val="00A032CA"/>
    <w:rsid w:val="00A04F50"/>
    <w:rsid w:val="00A07490"/>
    <w:rsid w:val="00A10655"/>
    <w:rsid w:val="00A1264D"/>
    <w:rsid w:val="00A2012F"/>
    <w:rsid w:val="00A2171C"/>
    <w:rsid w:val="00A22768"/>
    <w:rsid w:val="00A22C38"/>
    <w:rsid w:val="00A25193"/>
    <w:rsid w:val="00A31529"/>
    <w:rsid w:val="00A31AE8"/>
    <w:rsid w:val="00A35E5B"/>
    <w:rsid w:val="00A3739D"/>
    <w:rsid w:val="00A37630"/>
    <w:rsid w:val="00A37DDA"/>
    <w:rsid w:val="00A45D3A"/>
    <w:rsid w:val="00A4661F"/>
    <w:rsid w:val="00A55E53"/>
    <w:rsid w:val="00A60555"/>
    <w:rsid w:val="00A60A8B"/>
    <w:rsid w:val="00A64C78"/>
    <w:rsid w:val="00A670BC"/>
    <w:rsid w:val="00A715F1"/>
    <w:rsid w:val="00A71922"/>
    <w:rsid w:val="00A72346"/>
    <w:rsid w:val="00A73219"/>
    <w:rsid w:val="00A800A0"/>
    <w:rsid w:val="00A8043B"/>
    <w:rsid w:val="00A837DC"/>
    <w:rsid w:val="00A8735F"/>
    <w:rsid w:val="00A925EC"/>
    <w:rsid w:val="00A929AA"/>
    <w:rsid w:val="00A92B6B"/>
    <w:rsid w:val="00A940EA"/>
    <w:rsid w:val="00A948D5"/>
    <w:rsid w:val="00AA114D"/>
    <w:rsid w:val="00AA376C"/>
    <w:rsid w:val="00AA541E"/>
    <w:rsid w:val="00AA675A"/>
    <w:rsid w:val="00AA7F61"/>
    <w:rsid w:val="00AC5875"/>
    <w:rsid w:val="00AD0DA4"/>
    <w:rsid w:val="00AD4169"/>
    <w:rsid w:val="00AE1A12"/>
    <w:rsid w:val="00AE25C6"/>
    <w:rsid w:val="00AE2B59"/>
    <w:rsid w:val="00AE306C"/>
    <w:rsid w:val="00AE503E"/>
    <w:rsid w:val="00AE5EE2"/>
    <w:rsid w:val="00AF1F5B"/>
    <w:rsid w:val="00B02EF1"/>
    <w:rsid w:val="00B07C97"/>
    <w:rsid w:val="00B124CB"/>
    <w:rsid w:val="00B15754"/>
    <w:rsid w:val="00B2046E"/>
    <w:rsid w:val="00B20E8B"/>
    <w:rsid w:val="00B257E1"/>
    <w:rsid w:val="00B27BFA"/>
    <w:rsid w:val="00B32CFF"/>
    <w:rsid w:val="00B343CC"/>
    <w:rsid w:val="00B34E13"/>
    <w:rsid w:val="00B378E3"/>
    <w:rsid w:val="00B47BE9"/>
    <w:rsid w:val="00B5084A"/>
    <w:rsid w:val="00B55154"/>
    <w:rsid w:val="00B614F7"/>
    <w:rsid w:val="00B616F1"/>
    <w:rsid w:val="00B61B26"/>
    <w:rsid w:val="00B62252"/>
    <w:rsid w:val="00B63022"/>
    <w:rsid w:val="00B63787"/>
    <w:rsid w:val="00B66B18"/>
    <w:rsid w:val="00B675B2"/>
    <w:rsid w:val="00B81261"/>
    <w:rsid w:val="00B8223E"/>
    <w:rsid w:val="00B832AE"/>
    <w:rsid w:val="00B857E5"/>
    <w:rsid w:val="00B86678"/>
    <w:rsid w:val="00B90EA7"/>
    <w:rsid w:val="00B90FEC"/>
    <w:rsid w:val="00B92F9B"/>
    <w:rsid w:val="00B933AF"/>
    <w:rsid w:val="00B93EF1"/>
    <w:rsid w:val="00B941B3"/>
    <w:rsid w:val="00B95CEF"/>
    <w:rsid w:val="00B96513"/>
    <w:rsid w:val="00BA1D47"/>
    <w:rsid w:val="00BA66F0"/>
    <w:rsid w:val="00BA6CB1"/>
    <w:rsid w:val="00BA7352"/>
    <w:rsid w:val="00BB2239"/>
    <w:rsid w:val="00BB299F"/>
    <w:rsid w:val="00BB2AE7"/>
    <w:rsid w:val="00BB6464"/>
    <w:rsid w:val="00BC1BB8"/>
    <w:rsid w:val="00BD7FE1"/>
    <w:rsid w:val="00BE37CA"/>
    <w:rsid w:val="00BE6144"/>
    <w:rsid w:val="00BE635A"/>
    <w:rsid w:val="00BF2ABB"/>
    <w:rsid w:val="00BF2B37"/>
    <w:rsid w:val="00BF5099"/>
    <w:rsid w:val="00BF7766"/>
    <w:rsid w:val="00C02DB8"/>
    <w:rsid w:val="00C10F10"/>
    <w:rsid w:val="00C13C3C"/>
    <w:rsid w:val="00C14BD4"/>
    <w:rsid w:val="00C15D4D"/>
    <w:rsid w:val="00C175DC"/>
    <w:rsid w:val="00C17E75"/>
    <w:rsid w:val="00C20D7A"/>
    <w:rsid w:val="00C2258E"/>
    <w:rsid w:val="00C30171"/>
    <w:rsid w:val="00C309D8"/>
    <w:rsid w:val="00C31340"/>
    <w:rsid w:val="00C3467B"/>
    <w:rsid w:val="00C34703"/>
    <w:rsid w:val="00C34AE6"/>
    <w:rsid w:val="00C4580A"/>
    <w:rsid w:val="00C475E9"/>
    <w:rsid w:val="00C60CF3"/>
    <w:rsid w:val="00C61AFA"/>
    <w:rsid w:val="00C61C42"/>
    <w:rsid w:val="00C62099"/>
    <w:rsid w:val="00C64EA3"/>
    <w:rsid w:val="00C72867"/>
    <w:rsid w:val="00C75E81"/>
    <w:rsid w:val="00C84BCB"/>
    <w:rsid w:val="00C86609"/>
    <w:rsid w:val="00C92B4C"/>
    <w:rsid w:val="00C954F6"/>
    <w:rsid w:val="00C95C60"/>
    <w:rsid w:val="00C967EA"/>
    <w:rsid w:val="00C97BF2"/>
    <w:rsid w:val="00C97E19"/>
    <w:rsid w:val="00CA6379"/>
    <w:rsid w:val="00CA6BC5"/>
    <w:rsid w:val="00CA775E"/>
    <w:rsid w:val="00CB085F"/>
    <w:rsid w:val="00CB14D4"/>
    <w:rsid w:val="00CB5040"/>
    <w:rsid w:val="00CB53FA"/>
    <w:rsid w:val="00CB6334"/>
    <w:rsid w:val="00CB7869"/>
    <w:rsid w:val="00CC0843"/>
    <w:rsid w:val="00CC0EDC"/>
    <w:rsid w:val="00CC564F"/>
    <w:rsid w:val="00CC61CD"/>
    <w:rsid w:val="00CD42CA"/>
    <w:rsid w:val="00CD5011"/>
    <w:rsid w:val="00CD7E5C"/>
    <w:rsid w:val="00CE15DD"/>
    <w:rsid w:val="00CE407C"/>
    <w:rsid w:val="00CE5C37"/>
    <w:rsid w:val="00CE640F"/>
    <w:rsid w:val="00CE69F9"/>
    <w:rsid w:val="00CF0FE5"/>
    <w:rsid w:val="00CF540E"/>
    <w:rsid w:val="00CF6A1E"/>
    <w:rsid w:val="00CF7D9C"/>
    <w:rsid w:val="00D00CC8"/>
    <w:rsid w:val="00D02F07"/>
    <w:rsid w:val="00D069CB"/>
    <w:rsid w:val="00D10DFA"/>
    <w:rsid w:val="00D14035"/>
    <w:rsid w:val="00D178B3"/>
    <w:rsid w:val="00D21364"/>
    <w:rsid w:val="00D275AC"/>
    <w:rsid w:val="00D27DF7"/>
    <w:rsid w:val="00D36A49"/>
    <w:rsid w:val="00D46EDA"/>
    <w:rsid w:val="00D47444"/>
    <w:rsid w:val="00D505F4"/>
    <w:rsid w:val="00D517C6"/>
    <w:rsid w:val="00D52F3A"/>
    <w:rsid w:val="00D55B96"/>
    <w:rsid w:val="00D57EA9"/>
    <w:rsid w:val="00D643E0"/>
    <w:rsid w:val="00D66B5C"/>
    <w:rsid w:val="00D71D84"/>
    <w:rsid w:val="00D72464"/>
    <w:rsid w:val="00D72B83"/>
    <w:rsid w:val="00D746CB"/>
    <w:rsid w:val="00D768EB"/>
    <w:rsid w:val="00D80BF8"/>
    <w:rsid w:val="00D82C40"/>
    <w:rsid w:val="00D82D1E"/>
    <w:rsid w:val="00D832D9"/>
    <w:rsid w:val="00D90F00"/>
    <w:rsid w:val="00D927FA"/>
    <w:rsid w:val="00D94DDB"/>
    <w:rsid w:val="00D954BF"/>
    <w:rsid w:val="00D975C0"/>
    <w:rsid w:val="00DA0AFE"/>
    <w:rsid w:val="00DA1695"/>
    <w:rsid w:val="00DA3032"/>
    <w:rsid w:val="00DA5285"/>
    <w:rsid w:val="00DA56AF"/>
    <w:rsid w:val="00DB05F5"/>
    <w:rsid w:val="00DB191D"/>
    <w:rsid w:val="00DB2D58"/>
    <w:rsid w:val="00DB4F91"/>
    <w:rsid w:val="00DB7E16"/>
    <w:rsid w:val="00DC1B16"/>
    <w:rsid w:val="00DC3117"/>
    <w:rsid w:val="00DC444E"/>
    <w:rsid w:val="00DC4721"/>
    <w:rsid w:val="00DC5471"/>
    <w:rsid w:val="00DC5DD9"/>
    <w:rsid w:val="00DC6D2D"/>
    <w:rsid w:val="00DC78A0"/>
    <w:rsid w:val="00DD4B15"/>
    <w:rsid w:val="00DD72A8"/>
    <w:rsid w:val="00DD75BD"/>
    <w:rsid w:val="00DE0EF4"/>
    <w:rsid w:val="00DE31FC"/>
    <w:rsid w:val="00DE33B5"/>
    <w:rsid w:val="00DE5E18"/>
    <w:rsid w:val="00DE661C"/>
    <w:rsid w:val="00DE69B7"/>
    <w:rsid w:val="00DF0487"/>
    <w:rsid w:val="00DF270A"/>
    <w:rsid w:val="00DF3D2C"/>
    <w:rsid w:val="00DF5EA4"/>
    <w:rsid w:val="00DF74BF"/>
    <w:rsid w:val="00E02681"/>
    <w:rsid w:val="00E02792"/>
    <w:rsid w:val="00E02F58"/>
    <w:rsid w:val="00E034D8"/>
    <w:rsid w:val="00E03F08"/>
    <w:rsid w:val="00E04CC0"/>
    <w:rsid w:val="00E07713"/>
    <w:rsid w:val="00E10DE7"/>
    <w:rsid w:val="00E14024"/>
    <w:rsid w:val="00E15816"/>
    <w:rsid w:val="00E160D5"/>
    <w:rsid w:val="00E22C25"/>
    <w:rsid w:val="00E2411A"/>
    <w:rsid w:val="00E25C61"/>
    <w:rsid w:val="00E30556"/>
    <w:rsid w:val="00E30981"/>
    <w:rsid w:val="00E311E0"/>
    <w:rsid w:val="00E31A97"/>
    <w:rsid w:val="00E33136"/>
    <w:rsid w:val="00E34D7C"/>
    <w:rsid w:val="00E34EE5"/>
    <w:rsid w:val="00E35A69"/>
    <w:rsid w:val="00E36797"/>
    <w:rsid w:val="00E3723D"/>
    <w:rsid w:val="00E37783"/>
    <w:rsid w:val="00E44C89"/>
    <w:rsid w:val="00E47A54"/>
    <w:rsid w:val="00E54466"/>
    <w:rsid w:val="00E61BA2"/>
    <w:rsid w:val="00E6403F"/>
    <w:rsid w:val="00E65393"/>
    <w:rsid w:val="00E70A6D"/>
    <w:rsid w:val="00E70F66"/>
    <w:rsid w:val="00E722D0"/>
    <w:rsid w:val="00E733AB"/>
    <w:rsid w:val="00E75355"/>
    <w:rsid w:val="00E823DA"/>
    <w:rsid w:val="00E824A9"/>
    <w:rsid w:val="00E82536"/>
    <w:rsid w:val="00E82CA2"/>
    <w:rsid w:val="00E84C5A"/>
    <w:rsid w:val="00E858CF"/>
    <w:rsid w:val="00E861DB"/>
    <w:rsid w:val="00E93406"/>
    <w:rsid w:val="00E956C5"/>
    <w:rsid w:val="00E95C39"/>
    <w:rsid w:val="00E9731C"/>
    <w:rsid w:val="00E975B2"/>
    <w:rsid w:val="00EA2461"/>
    <w:rsid w:val="00EA2C39"/>
    <w:rsid w:val="00EA6EED"/>
    <w:rsid w:val="00EB07E8"/>
    <w:rsid w:val="00EB0A96"/>
    <w:rsid w:val="00EB2F70"/>
    <w:rsid w:val="00EB4B45"/>
    <w:rsid w:val="00EB4D38"/>
    <w:rsid w:val="00EB59F4"/>
    <w:rsid w:val="00EB77F9"/>
    <w:rsid w:val="00EC5769"/>
    <w:rsid w:val="00EC599B"/>
    <w:rsid w:val="00EC7D00"/>
    <w:rsid w:val="00EC7FDA"/>
    <w:rsid w:val="00ED0304"/>
    <w:rsid w:val="00ED285C"/>
    <w:rsid w:val="00ED2DEA"/>
    <w:rsid w:val="00ED487B"/>
    <w:rsid w:val="00ED7332"/>
    <w:rsid w:val="00ED769A"/>
    <w:rsid w:val="00EE38FA"/>
    <w:rsid w:val="00EE3E2C"/>
    <w:rsid w:val="00EE3EB7"/>
    <w:rsid w:val="00EE5482"/>
    <w:rsid w:val="00EE5D23"/>
    <w:rsid w:val="00EE77A7"/>
    <w:rsid w:val="00EF3581"/>
    <w:rsid w:val="00EF3CA4"/>
    <w:rsid w:val="00EF5FE2"/>
    <w:rsid w:val="00F014DA"/>
    <w:rsid w:val="00F02C30"/>
    <w:rsid w:val="00F03298"/>
    <w:rsid w:val="00F126D7"/>
    <w:rsid w:val="00F15130"/>
    <w:rsid w:val="00F17DE8"/>
    <w:rsid w:val="00F26C51"/>
    <w:rsid w:val="00F31525"/>
    <w:rsid w:val="00F31EB9"/>
    <w:rsid w:val="00F34831"/>
    <w:rsid w:val="00F60026"/>
    <w:rsid w:val="00F60443"/>
    <w:rsid w:val="00F60EFF"/>
    <w:rsid w:val="00F628A7"/>
    <w:rsid w:val="00F6489C"/>
    <w:rsid w:val="00F64E46"/>
    <w:rsid w:val="00F7357B"/>
    <w:rsid w:val="00F73E90"/>
    <w:rsid w:val="00F84071"/>
    <w:rsid w:val="00F85D04"/>
    <w:rsid w:val="00F87933"/>
    <w:rsid w:val="00F93FA3"/>
    <w:rsid w:val="00F94398"/>
    <w:rsid w:val="00F943BD"/>
    <w:rsid w:val="00F94D5B"/>
    <w:rsid w:val="00FA0A42"/>
    <w:rsid w:val="00FA4817"/>
    <w:rsid w:val="00FA6F45"/>
    <w:rsid w:val="00FB093F"/>
    <w:rsid w:val="00FB2B56"/>
    <w:rsid w:val="00FB3713"/>
    <w:rsid w:val="00FB711E"/>
    <w:rsid w:val="00FC084E"/>
    <w:rsid w:val="00FC12BF"/>
    <w:rsid w:val="00FC13D8"/>
    <w:rsid w:val="00FC349D"/>
    <w:rsid w:val="00FC40DD"/>
    <w:rsid w:val="00FD3E6F"/>
    <w:rsid w:val="00FD51B9"/>
    <w:rsid w:val="00FD6BEA"/>
    <w:rsid w:val="00FE0293"/>
    <w:rsid w:val="00FE2A39"/>
    <w:rsid w:val="00FE51B3"/>
    <w:rsid w:val="00FE6E50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49C871E1"/>
  <w15:docId w15:val="{54766142-34CF-435E-A584-E99CE6AC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EA4"/>
  </w:style>
  <w:style w:type="paragraph" w:styleId="Heading1">
    <w:name w:val="heading 1"/>
    <w:basedOn w:val="Normal"/>
    <w:next w:val="Normal"/>
    <w:link w:val="Heading1Char"/>
    <w:uiPriority w:val="1"/>
    <w:qFormat/>
    <w:rsid w:val="009A5F24"/>
    <w:pPr>
      <w:keepNext/>
      <w:keepLines/>
      <w:spacing w:before="24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9A5F24"/>
    <w:pPr>
      <w:keepNext/>
      <w:keepLines/>
      <w:spacing w:before="240"/>
      <w:outlineLvl w:val="1"/>
    </w:pPr>
    <w:rPr>
      <w:rFonts w:eastAsiaTheme="majorEastAsia" w:cstheme="majorBidi"/>
      <w:b/>
      <w:bCs/>
      <w:iCs/>
      <w:color w:val="60606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9A5F24"/>
    <w:pPr>
      <w:keepNext/>
      <w:keepLines/>
      <w:spacing w:before="240"/>
      <w:outlineLvl w:val="2"/>
    </w:pPr>
    <w:rPr>
      <w:rFonts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1"/>
    <w:qFormat/>
    <w:rsid w:val="009A5F24"/>
    <w:pPr>
      <w:keepNext/>
      <w:keepLines/>
      <w:spacing w:before="240"/>
      <w:outlineLvl w:val="3"/>
    </w:pPr>
    <w:rPr>
      <w:rFonts w:eastAsiaTheme="majorEastAsia" w:cstheme="majorBidi"/>
      <w:b/>
      <w:bCs/>
      <w:iCs/>
      <w:color w:val="606060"/>
    </w:rPr>
  </w:style>
  <w:style w:type="paragraph" w:styleId="Heading5">
    <w:name w:val="heading 5"/>
    <w:basedOn w:val="Normal"/>
    <w:next w:val="Normal"/>
    <w:link w:val="Heading5Char"/>
    <w:uiPriority w:val="9"/>
    <w:rsid w:val="009A5F24"/>
    <w:pPr>
      <w:keepNext/>
      <w:keepLines/>
      <w:outlineLvl w:val="4"/>
    </w:pPr>
    <w:rPr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rsid w:val="009A5F24"/>
    <w:pPr>
      <w:keepNext/>
      <w:keepLines/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9"/>
    <w:rsid w:val="009A5F24"/>
    <w:pPr>
      <w:keepNext/>
      <w:keepLines/>
      <w:outlineLvl w:val="6"/>
    </w:pPr>
    <w:rPr>
      <w:b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rsid w:val="009A5F24"/>
    <w:pPr>
      <w:keepNext/>
      <w:keepLines/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9"/>
    <w:rsid w:val="009A5F24"/>
    <w:pPr>
      <w:keepNext/>
      <w:keepLines/>
      <w:outlineLvl w:val="8"/>
    </w:pPr>
    <w:rPr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5"/>
    <w:rsid w:val="003504FD"/>
  </w:style>
  <w:style w:type="character" w:customStyle="1" w:styleId="Heading1Char">
    <w:name w:val="Heading 1 Char"/>
    <w:basedOn w:val="DefaultParagraphFont"/>
    <w:link w:val="Heading1"/>
    <w:uiPriority w:val="1"/>
    <w:rsid w:val="009A5F24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9A5F24"/>
    <w:rPr>
      <w:rFonts w:eastAsiaTheme="majorEastAsia" w:cstheme="majorBidi"/>
      <w:b/>
      <w:bCs/>
      <w:iCs/>
      <w:color w:val="606060"/>
      <w:sz w:val="28"/>
      <w:szCs w:val="28"/>
    </w:rPr>
  </w:style>
  <w:style w:type="paragraph" w:styleId="Title">
    <w:name w:val="Title"/>
    <w:next w:val="Normal"/>
    <w:link w:val="TitleChar"/>
    <w:uiPriority w:val="10"/>
    <w:rsid w:val="00A73219"/>
    <w:pPr>
      <w:spacing w:after="240"/>
    </w:pPr>
    <w:rPr>
      <w:rFonts w:ascii="Arial Black" w:eastAsia="Times New Roman" w:hAnsi="Arial Black" w:cs="Arial"/>
      <w:b/>
      <w:color w:val="BC5915"/>
      <w:sz w:val="36"/>
      <w:szCs w:val="36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A73219"/>
    <w:rPr>
      <w:rFonts w:ascii="Arial Black" w:eastAsia="Times New Roman" w:hAnsi="Arial Black" w:cs="Arial"/>
      <w:b/>
      <w:color w:val="BC5915"/>
      <w:sz w:val="36"/>
      <w:szCs w:val="36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1"/>
    <w:rsid w:val="009A5F24"/>
    <w:rPr>
      <w:rFonts w:cs="Arial"/>
      <w:b/>
      <w:bCs/>
      <w:sz w:val="24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NTG Page Header"/>
    <w:basedOn w:val="Normal"/>
    <w:next w:val="Normal"/>
    <w:link w:val="HeaderChar"/>
    <w:uiPriority w:val="11"/>
    <w:rsid w:val="005A4AC0"/>
    <w:pPr>
      <w:tabs>
        <w:tab w:val="center" w:pos="4513"/>
        <w:tab w:val="right" w:pos="9026"/>
      </w:tabs>
      <w:jc w:val="right"/>
    </w:pPr>
    <w:rPr>
      <w:b/>
    </w:rPr>
  </w:style>
  <w:style w:type="character" w:customStyle="1" w:styleId="HeaderChar">
    <w:name w:val="Header Char"/>
    <w:aliases w:val="NTG Page Header Char"/>
    <w:basedOn w:val="DefaultParagraphFont"/>
    <w:link w:val="Header"/>
    <w:uiPriority w:val="11"/>
    <w:rsid w:val="00595386"/>
    <w:rPr>
      <w:rFonts w:ascii="Arial" w:eastAsia="Times New Roman" w:hAnsi="Arial"/>
      <w:b/>
      <w:sz w:val="22"/>
      <w:lang w:eastAsia="en-AU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rsid w:val="004864DE"/>
    <w:pPr>
      <w:spacing w:after="0"/>
    </w:pPr>
    <w:rPr>
      <w:b/>
      <w:sz w:val="32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9A5F24"/>
    <w:rPr>
      <w:rFonts w:eastAsiaTheme="majorEastAsia" w:cstheme="majorBidi"/>
      <w:b/>
      <w:bCs/>
      <w:iCs/>
      <w:color w:val="606060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TGFooter1items">
    <w:name w:val="NTG Footer 1 items"/>
    <w:basedOn w:val="Normal"/>
    <w:link w:val="NTGFooter1itemsChar"/>
    <w:uiPriority w:val="7"/>
    <w:rsid w:val="00705C9D"/>
    <w:pPr>
      <w:widowControl w:val="0"/>
      <w:tabs>
        <w:tab w:val="left" w:pos="1778"/>
        <w:tab w:val="right" w:pos="9026"/>
      </w:tabs>
      <w:spacing w:after="0"/>
    </w:pPr>
    <w:rPr>
      <w:rFonts w:cs="Arial"/>
      <w:sz w:val="20"/>
      <w:szCs w:val="16"/>
    </w:rPr>
  </w:style>
  <w:style w:type="paragraph" w:customStyle="1" w:styleId="NTGFooterDepartmentof">
    <w:name w:val="NTG Footer Department of"/>
    <w:link w:val="NTGFooterDepartmentofChar"/>
    <w:uiPriority w:val="7"/>
    <w:rsid w:val="00705C9D"/>
    <w:pPr>
      <w:widowControl w:val="0"/>
      <w:tabs>
        <w:tab w:val="right" w:pos="9026"/>
      </w:tabs>
    </w:pPr>
    <w:rPr>
      <w:rFonts w:cs="Arial"/>
      <w:caps/>
      <w:szCs w:val="16"/>
    </w:rPr>
  </w:style>
  <w:style w:type="paragraph" w:customStyle="1" w:styleId="NTGFooterDepartmentName">
    <w:name w:val="NTG Footer Department Name"/>
    <w:link w:val="NTGFooterDepartmentNameChar"/>
    <w:uiPriority w:val="1"/>
    <w:rsid w:val="00705C9D"/>
    <w:pPr>
      <w:widowControl w:val="0"/>
      <w:tabs>
        <w:tab w:val="right" w:pos="9026"/>
      </w:tabs>
    </w:pPr>
    <w:rPr>
      <w:rFonts w:ascii="Arial Black" w:hAnsi="Arial Black" w:cs="Arial"/>
      <w:caps/>
      <w:szCs w:val="16"/>
    </w:rPr>
  </w:style>
  <w:style w:type="character" w:customStyle="1" w:styleId="NTGFooter1itemsChar">
    <w:name w:val="NTG Footer 1 items Char"/>
    <w:basedOn w:val="DefaultParagraphFont"/>
    <w:link w:val="NTGFooter1items"/>
    <w:uiPriority w:val="7"/>
    <w:rsid w:val="00705C9D"/>
    <w:rPr>
      <w:rFonts w:ascii="Arial" w:hAnsi="Arial" w:cs="Arial"/>
      <w:szCs w:val="16"/>
    </w:rPr>
  </w:style>
  <w:style w:type="character" w:customStyle="1" w:styleId="NTGFooterDepartmentofChar">
    <w:name w:val="NTG Footer Department of Char"/>
    <w:basedOn w:val="DefaultParagraphFont"/>
    <w:link w:val="NTGFooterDepartmentof"/>
    <w:uiPriority w:val="7"/>
    <w:rsid w:val="00705C9D"/>
    <w:rPr>
      <w:rFonts w:ascii="Arial" w:hAnsi="Arial" w:cs="Arial"/>
      <w:caps/>
      <w:szCs w:val="16"/>
    </w:rPr>
  </w:style>
  <w:style w:type="character" w:customStyle="1" w:styleId="NTGFooterDepartmentNameChar">
    <w:name w:val="NTG Footer Department Name Char"/>
    <w:basedOn w:val="NTGFooterDepartmentofChar"/>
    <w:link w:val="NTGFooterDepartmentName"/>
    <w:uiPriority w:val="1"/>
    <w:rsid w:val="00595386"/>
    <w:rPr>
      <w:rFonts w:ascii="Arial Black" w:hAnsi="Arial Black" w:cs="Arial"/>
      <w:caps/>
      <w:szCs w:val="16"/>
    </w:rPr>
  </w:style>
  <w:style w:type="paragraph" w:customStyle="1" w:styleId="Appendix">
    <w:name w:val="Appendix"/>
    <w:basedOn w:val="Heading1"/>
    <w:next w:val="Normal"/>
    <w:uiPriority w:val="11"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paragraph" w:customStyle="1" w:styleId="NTGFooter2DateVersion">
    <w:name w:val="NTG Footer 2 Date &amp; Version"/>
    <w:basedOn w:val="NTGFooter2deptpagenum"/>
    <w:link w:val="NTGFooter2DateVersionChar"/>
    <w:uiPriority w:val="7"/>
    <w:rsid w:val="002926BC"/>
    <w:pPr>
      <w:spacing w:after="480"/>
    </w:pPr>
  </w:style>
  <w:style w:type="numbering" w:customStyle="1" w:styleId="NTGStandardList">
    <w:name w:val="NTG Standard List"/>
    <w:basedOn w:val="NoList"/>
    <w:rsid w:val="009F2A4D"/>
    <w:pPr>
      <w:numPr>
        <w:numId w:val="1"/>
      </w:numPr>
    </w:p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9A5F24"/>
    <w:rPr>
      <w:b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9A5F24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9"/>
    <w:rsid w:val="009A5F24"/>
    <w:rPr>
      <w:b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rsid w:val="009A5F24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9"/>
    <w:rsid w:val="009A5F24"/>
    <w:rPr>
      <w:b/>
      <w:color w:val="000000" w:themeColor="text1"/>
    </w:rPr>
  </w:style>
  <w:style w:type="paragraph" w:customStyle="1" w:styleId="NTGFooter2deptpagenum">
    <w:name w:val="NTG Footer 2 dept &amp; page num"/>
    <w:basedOn w:val="Normal"/>
    <w:link w:val="NTGFooter2deptpagenumChar"/>
    <w:uiPriority w:val="7"/>
    <w:rsid w:val="002926BC"/>
    <w:pPr>
      <w:tabs>
        <w:tab w:val="right" w:pos="9639"/>
      </w:tabs>
      <w:spacing w:after="0"/>
    </w:pPr>
    <w:rPr>
      <w:sz w:val="20"/>
    </w:rPr>
  </w:style>
  <w:style w:type="character" w:customStyle="1" w:styleId="NTGFooter2deptpagenumChar">
    <w:name w:val="NTG Footer 2 dept &amp; page num Char"/>
    <w:basedOn w:val="DefaultParagraphFont"/>
    <w:link w:val="NTGFooter2deptpagenum"/>
    <w:uiPriority w:val="7"/>
    <w:rsid w:val="002926BC"/>
    <w:rPr>
      <w:rFonts w:ascii="Arial" w:eastAsia="Times New Roman" w:hAnsi="Arial"/>
      <w:lang w:eastAsia="en-AU"/>
    </w:rPr>
  </w:style>
  <w:style w:type="character" w:customStyle="1" w:styleId="NTGFooter2DateVersionChar">
    <w:name w:val="NTG Footer 2 Date &amp; Version Char"/>
    <w:basedOn w:val="NTGFooter2deptpagenumChar"/>
    <w:link w:val="NTGFooter2DateVersion"/>
    <w:uiPriority w:val="7"/>
    <w:rsid w:val="002926BC"/>
    <w:rPr>
      <w:rFonts w:ascii="Arial" w:eastAsia="Times New Roman" w:hAnsi="Arial"/>
      <w:lang w:eastAsia="en-AU"/>
    </w:rPr>
  </w:style>
  <w:style w:type="numbering" w:customStyle="1" w:styleId="NTGStandardNumList">
    <w:name w:val="NTG Standard Num List"/>
    <w:uiPriority w:val="99"/>
    <w:rsid w:val="007C6D9F"/>
    <w:pPr>
      <w:numPr>
        <w:numId w:val="2"/>
      </w:numPr>
    </w:pPr>
  </w:style>
  <w:style w:type="paragraph" w:styleId="ListNumber">
    <w:name w:val="List Number"/>
    <w:basedOn w:val="Normal"/>
    <w:uiPriority w:val="99"/>
    <w:qFormat/>
    <w:rsid w:val="00A22C38"/>
    <w:pPr>
      <w:spacing w:after="120"/>
    </w:pPr>
  </w:style>
  <w:style w:type="paragraph" w:styleId="ListNumber2">
    <w:name w:val="List Number 2"/>
    <w:basedOn w:val="Normal"/>
    <w:uiPriority w:val="99"/>
    <w:rsid w:val="00A22C38"/>
    <w:pPr>
      <w:spacing w:after="120"/>
    </w:pPr>
  </w:style>
  <w:style w:type="paragraph" w:styleId="ListNumber3">
    <w:name w:val="List Number 3"/>
    <w:basedOn w:val="Normal"/>
    <w:uiPriority w:val="99"/>
    <w:rsid w:val="00A22C38"/>
    <w:pPr>
      <w:spacing w:after="120"/>
    </w:pPr>
  </w:style>
  <w:style w:type="paragraph" w:styleId="ListNumber4">
    <w:name w:val="List Number 4"/>
    <w:basedOn w:val="Normal"/>
    <w:uiPriority w:val="99"/>
    <w:rsid w:val="00A22C38"/>
    <w:pPr>
      <w:spacing w:after="120"/>
    </w:pPr>
  </w:style>
  <w:style w:type="paragraph" w:styleId="ListNumber5">
    <w:name w:val="List Number 5"/>
    <w:basedOn w:val="Normal"/>
    <w:uiPriority w:val="99"/>
    <w:rsid w:val="00A22C38"/>
    <w:pPr>
      <w:spacing w:after="120"/>
    </w:pPr>
  </w:style>
  <w:style w:type="paragraph" w:styleId="ListBullet">
    <w:name w:val="List Bullet"/>
    <w:basedOn w:val="Normal"/>
    <w:uiPriority w:val="99"/>
    <w:rsid w:val="003B6A61"/>
    <w:pPr>
      <w:numPr>
        <w:numId w:val="6"/>
      </w:numPr>
      <w:spacing w:after="120"/>
    </w:pPr>
  </w:style>
  <w:style w:type="paragraph" w:styleId="ListBullet2">
    <w:name w:val="List Bullet 2"/>
    <w:basedOn w:val="Normal"/>
    <w:uiPriority w:val="99"/>
    <w:rsid w:val="006847AD"/>
    <w:pPr>
      <w:numPr>
        <w:ilvl w:val="1"/>
        <w:numId w:val="6"/>
      </w:numPr>
      <w:spacing w:after="120"/>
    </w:pPr>
  </w:style>
  <w:style w:type="paragraph" w:styleId="ListBullet3">
    <w:name w:val="List Bullet 3"/>
    <w:basedOn w:val="Normal"/>
    <w:uiPriority w:val="99"/>
    <w:rsid w:val="006847AD"/>
    <w:pPr>
      <w:numPr>
        <w:ilvl w:val="2"/>
        <w:numId w:val="6"/>
      </w:numPr>
      <w:spacing w:after="120"/>
    </w:pPr>
  </w:style>
  <w:style w:type="paragraph" w:styleId="ListBullet4">
    <w:name w:val="List Bullet 4"/>
    <w:basedOn w:val="Normal"/>
    <w:uiPriority w:val="99"/>
    <w:rsid w:val="006847AD"/>
    <w:pPr>
      <w:numPr>
        <w:ilvl w:val="3"/>
        <w:numId w:val="6"/>
      </w:numPr>
      <w:spacing w:after="120"/>
    </w:pPr>
  </w:style>
  <w:style w:type="paragraph" w:styleId="ListBullet5">
    <w:name w:val="List Bullet 5"/>
    <w:basedOn w:val="Normal"/>
    <w:uiPriority w:val="99"/>
    <w:rsid w:val="004E2CB7"/>
    <w:pPr>
      <w:numPr>
        <w:ilvl w:val="4"/>
        <w:numId w:val="6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C02DB8"/>
    <w:pPr>
      <w:tabs>
        <w:tab w:val="right" w:leader="dot" w:pos="8721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859CD"/>
    <w:pPr>
      <w:spacing w:after="100"/>
      <w:ind w:left="440"/>
    </w:pPr>
  </w:style>
  <w:style w:type="paragraph" w:customStyle="1" w:styleId="NTGTableBulletList1">
    <w:name w:val="NTG Table Bullet List 1"/>
    <w:semiHidden/>
    <w:qFormat/>
    <w:rsid w:val="002716CD"/>
    <w:pPr>
      <w:numPr>
        <w:numId w:val="8"/>
      </w:numPr>
      <w:spacing w:after="20"/>
    </w:pPr>
  </w:style>
  <w:style w:type="paragraph" w:customStyle="1" w:styleId="NTGTableBulletList2">
    <w:name w:val="NTG Table Bullet List 2"/>
    <w:basedOn w:val="NTGTableBulletList1"/>
    <w:semiHidden/>
    <w:qFormat/>
    <w:rsid w:val="002716CD"/>
    <w:pPr>
      <w:numPr>
        <w:ilvl w:val="1"/>
      </w:numPr>
    </w:pPr>
  </w:style>
  <w:style w:type="paragraph" w:customStyle="1" w:styleId="NTGTableBulletList3">
    <w:name w:val="NTG Table Bullet List 3"/>
    <w:basedOn w:val="NTGTableBulletList2"/>
    <w:semiHidden/>
    <w:qFormat/>
    <w:rsid w:val="002716CD"/>
    <w:pPr>
      <w:numPr>
        <w:ilvl w:val="2"/>
      </w:numPr>
    </w:pPr>
  </w:style>
  <w:style w:type="paragraph" w:customStyle="1" w:styleId="NTGTableBulletList4">
    <w:name w:val="NTG Table Bullet List 4"/>
    <w:basedOn w:val="NTGTableBulletList3"/>
    <w:semiHidden/>
    <w:qFormat/>
    <w:rsid w:val="002716CD"/>
    <w:pPr>
      <w:numPr>
        <w:ilvl w:val="3"/>
      </w:numPr>
    </w:pPr>
  </w:style>
  <w:style w:type="paragraph" w:customStyle="1" w:styleId="NTGTableBulletList5">
    <w:name w:val="NTG Table Bullet List 5"/>
    <w:basedOn w:val="NTGTableBulletList4"/>
    <w:semiHidden/>
    <w:qFormat/>
    <w:rsid w:val="002716CD"/>
    <w:pPr>
      <w:numPr>
        <w:ilvl w:val="4"/>
      </w:numPr>
    </w:pPr>
  </w:style>
  <w:style w:type="paragraph" w:customStyle="1" w:styleId="NTGTableBulletList6">
    <w:name w:val="NTG Table Bullet List 6"/>
    <w:basedOn w:val="NTGTableBulletList5"/>
    <w:semiHidden/>
    <w:qFormat/>
    <w:rsid w:val="001D7CA4"/>
    <w:pPr>
      <w:numPr>
        <w:ilvl w:val="5"/>
      </w:numPr>
    </w:pPr>
  </w:style>
  <w:style w:type="paragraph" w:customStyle="1" w:styleId="NTGTableBulletList7">
    <w:name w:val="NTG Table Bullet List 7"/>
    <w:basedOn w:val="NTGTableBulletList6"/>
    <w:semiHidden/>
    <w:qFormat/>
    <w:rsid w:val="002716CD"/>
    <w:pPr>
      <w:numPr>
        <w:ilvl w:val="6"/>
      </w:numPr>
    </w:pPr>
  </w:style>
  <w:style w:type="paragraph" w:customStyle="1" w:styleId="NTGTableBulletList8">
    <w:name w:val="NTG Table Bullet List 8"/>
    <w:basedOn w:val="NTGTableBulletList7"/>
    <w:semiHidden/>
    <w:qFormat/>
    <w:rsid w:val="002716CD"/>
    <w:pPr>
      <w:numPr>
        <w:ilvl w:val="7"/>
      </w:numPr>
    </w:pPr>
  </w:style>
  <w:style w:type="paragraph" w:customStyle="1" w:styleId="NTGTableBulletList9">
    <w:name w:val="NTG Table Bullet List 9"/>
    <w:basedOn w:val="NTGTableBulletList8"/>
    <w:semiHidden/>
    <w:qFormat/>
    <w:rsid w:val="002716CD"/>
    <w:pPr>
      <w:numPr>
        <w:ilvl w:val="8"/>
      </w:numPr>
    </w:pPr>
  </w:style>
  <w:style w:type="numbering" w:customStyle="1" w:styleId="NTGTableList">
    <w:name w:val="NTG Table List"/>
    <w:uiPriority w:val="99"/>
    <w:rsid w:val="002716CD"/>
    <w:pPr>
      <w:numPr>
        <w:numId w:val="3"/>
      </w:numPr>
    </w:pPr>
  </w:style>
  <w:style w:type="paragraph" w:customStyle="1" w:styleId="NTGTableNumList1">
    <w:name w:val="NTG Table Num List 1"/>
    <w:semiHidden/>
    <w:qFormat/>
    <w:rsid w:val="002716CD"/>
    <w:pPr>
      <w:numPr>
        <w:numId w:val="5"/>
      </w:numPr>
      <w:spacing w:after="20"/>
    </w:pPr>
  </w:style>
  <w:style w:type="paragraph" w:customStyle="1" w:styleId="NTGTableNumList2">
    <w:name w:val="NTG Table Num List 2"/>
    <w:basedOn w:val="NTGTableNumList1"/>
    <w:semiHidden/>
    <w:qFormat/>
    <w:rsid w:val="002716CD"/>
    <w:pPr>
      <w:numPr>
        <w:ilvl w:val="1"/>
      </w:numPr>
    </w:pPr>
  </w:style>
  <w:style w:type="paragraph" w:customStyle="1" w:styleId="NTGTableNumList3">
    <w:name w:val="NTG Table Num List 3"/>
    <w:basedOn w:val="NTGTableNumList2"/>
    <w:semiHidden/>
    <w:qFormat/>
    <w:rsid w:val="002716CD"/>
    <w:pPr>
      <w:numPr>
        <w:ilvl w:val="2"/>
      </w:numPr>
    </w:pPr>
  </w:style>
  <w:style w:type="paragraph" w:customStyle="1" w:styleId="NTGTableNumList4">
    <w:name w:val="NTG Table Num List 4"/>
    <w:basedOn w:val="NTGTableNumList3"/>
    <w:semiHidden/>
    <w:qFormat/>
    <w:rsid w:val="002716CD"/>
    <w:pPr>
      <w:numPr>
        <w:ilvl w:val="3"/>
      </w:numPr>
    </w:pPr>
  </w:style>
  <w:style w:type="paragraph" w:customStyle="1" w:styleId="NTGTableNumList5">
    <w:name w:val="NTG Table Num List 5"/>
    <w:basedOn w:val="NTGTableNumList4"/>
    <w:semiHidden/>
    <w:qFormat/>
    <w:rsid w:val="002716CD"/>
    <w:pPr>
      <w:numPr>
        <w:ilvl w:val="4"/>
      </w:numPr>
    </w:pPr>
  </w:style>
  <w:style w:type="paragraph" w:customStyle="1" w:styleId="NTGTableNumList6">
    <w:name w:val="NTG Table Num List 6"/>
    <w:basedOn w:val="NTGTableNumList5"/>
    <w:semiHidden/>
    <w:qFormat/>
    <w:rsid w:val="002716CD"/>
    <w:pPr>
      <w:numPr>
        <w:ilvl w:val="5"/>
      </w:numPr>
    </w:pPr>
  </w:style>
  <w:style w:type="paragraph" w:customStyle="1" w:styleId="NTGTableNumList7">
    <w:name w:val="NTG Table Num List 7"/>
    <w:basedOn w:val="NTGTableNumList6"/>
    <w:semiHidden/>
    <w:qFormat/>
    <w:rsid w:val="002716CD"/>
    <w:pPr>
      <w:numPr>
        <w:ilvl w:val="6"/>
      </w:numPr>
    </w:pPr>
  </w:style>
  <w:style w:type="paragraph" w:customStyle="1" w:styleId="NTGTableNumList8">
    <w:name w:val="NTG Table Num List 8"/>
    <w:basedOn w:val="NTGTableNumList7"/>
    <w:semiHidden/>
    <w:qFormat/>
    <w:rsid w:val="002716CD"/>
    <w:pPr>
      <w:numPr>
        <w:ilvl w:val="7"/>
      </w:numPr>
    </w:pPr>
  </w:style>
  <w:style w:type="paragraph" w:customStyle="1" w:styleId="NTGTableNumList9">
    <w:name w:val="NTG Table Num List 9"/>
    <w:basedOn w:val="NTGTableNumList8"/>
    <w:semiHidden/>
    <w:qFormat/>
    <w:rsid w:val="002716CD"/>
    <w:pPr>
      <w:numPr>
        <w:ilvl w:val="8"/>
      </w:numPr>
    </w:pPr>
  </w:style>
  <w:style w:type="numbering" w:customStyle="1" w:styleId="NTGTableNumList">
    <w:name w:val="NTG Table Num List"/>
    <w:uiPriority w:val="99"/>
    <w:rsid w:val="002716CD"/>
    <w:pPr>
      <w:numPr>
        <w:numId w:val="4"/>
      </w:numPr>
    </w:pPr>
  </w:style>
  <w:style w:type="table" w:customStyle="1" w:styleId="NTGTable">
    <w:name w:val="NTG Table"/>
    <w:basedOn w:val="TableGrid"/>
    <w:uiPriority w:val="99"/>
    <w:rsid w:val="00720493"/>
    <w:pPr>
      <w:spacing w:after="40"/>
    </w:p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keepNext w:val="0"/>
        <w:keepLines w:val="0"/>
        <w:pageBreakBefore w:val="0"/>
        <w:widowControl/>
        <w:suppressLineNumbers w:val="0"/>
        <w:suppressAutoHyphens w:val="0"/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BFBFBF" w:themeFill="background1" w:themeFillShade="BF"/>
        <w:vAlign w:val="center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  <w:tblPr/>
      <w:tcPr>
        <w:shd w:val="clear" w:color="auto" w:fill="BFBFBF" w:themeFill="background1" w:themeFillShade="BF"/>
      </w:tc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6761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61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112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12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12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12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12E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63964"/>
    <w:pPr>
      <w:spacing w:after="0"/>
    </w:pPr>
  </w:style>
  <w:style w:type="character" w:styleId="Emphasis">
    <w:name w:val="Emphasis"/>
    <w:basedOn w:val="DefaultParagraphFont"/>
    <w:uiPriority w:val="20"/>
    <w:semiHidden/>
    <w:qFormat/>
    <w:rsid w:val="005B72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4\AppData\Local\Temp\Temp2_blank-word-portrait-template_15.zip\blank-word-portrait-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DE81D-34D5-4370-8029-216C0E03A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blank-word-portrait-template.dotm</Template>
  <TotalTime>0</TotalTime>
  <Pages>4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Treasurer's Direction- Northern Territory tax equivalent regime and dividend policy</vt:lpstr>
    </vt:vector>
  </TitlesOfParts>
  <Company>Northern Territory Government</Company>
  <LinksUpToDate>false</LinksUpToDate>
  <CharactersWithSpaces>6998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Treasurer's Direction – Northern Territory tax equivalent regime and dividend policy</dc:title>
  <dc:subject/>
  <dc:creator>Adwoa Tetteh</dc:creator>
  <cp:keywords/>
  <dc:description/>
  <cp:lastModifiedBy>Donna Moore</cp:lastModifiedBy>
  <cp:revision>2</cp:revision>
  <cp:lastPrinted>2019-04-24T00:53:00Z</cp:lastPrinted>
  <dcterms:created xsi:type="dcterms:W3CDTF">2019-05-22T01:25:00Z</dcterms:created>
  <dcterms:modified xsi:type="dcterms:W3CDTF">2019-05-22T01:25:00Z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Of">
    <vt:lpwstr>Department of </vt:lpwstr>
  </property>
  <property fmtid="{D5CDD505-2E9C-101B-9397-08002B2CF9AE}" pid="3" name="DepartmentName">
    <vt:lpwstr>Treasury and Finance</vt:lpwstr>
  </property>
  <property fmtid="{D5CDD505-2E9C-101B-9397-08002B2CF9AE}" pid="4" name="DocumentAuthor">
    <vt:lpwstr>DTF Financial Policy</vt:lpwstr>
  </property>
  <property fmtid="{D5CDD505-2E9C-101B-9397-08002B2CF9AE}" pid="5" name="VersionNo">
    <vt:lpwstr>, Version 2.0</vt:lpwstr>
  </property>
  <property fmtid="{D5CDD505-2E9C-101B-9397-08002B2CF9AE}" pid="6" name="DocumentDate">
    <vt:lpwstr>XX May 2019</vt:lpwstr>
  </property>
  <property fmtid="{D5CDD505-2E9C-101B-9397-08002B2CF9AE}" pid="7" name="_DocHome">
    <vt:i4>526659675</vt:i4>
  </property>
</Properties>
</file>