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10D0" w14:textId="1672FE2C" w:rsidR="0013386D" w:rsidRDefault="0013386D" w:rsidP="0013386D">
      <w:pPr>
        <w:pStyle w:val="Heading1"/>
        <w:spacing w:before="0"/>
      </w:pPr>
      <w:r>
        <w:t>Treasurer’s Direction (mandatory)</w:t>
      </w:r>
    </w:p>
    <w:tbl>
      <w:tblPr>
        <w:tblStyle w:val="NTGtable"/>
        <w:tblW w:w="10343" w:type="dxa"/>
        <w:tblLook w:val="04A0" w:firstRow="1" w:lastRow="0" w:firstColumn="1" w:lastColumn="0" w:noHBand="0" w:noVBand="1"/>
        <w:tblDescription w:val="Details about this Treasurer's Direction."/>
      </w:tblPr>
      <w:tblGrid>
        <w:gridCol w:w="1980"/>
        <w:gridCol w:w="8363"/>
      </w:tblGrid>
      <w:tr w:rsidR="0013386D" w:rsidRPr="00D133F4" w14:paraId="45349A72" w14:textId="77777777" w:rsidTr="00C60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14:paraId="23E6F878" w14:textId="77777777" w:rsidR="0013386D" w:rsidRPr="00343C61" w:rsidRDefault="0013386D" w:rsidP="00C60E52">
            <w:pPr>
              <w:rPr>
                <w:bCs/>
              </w:rPr>
            </w:pPr>
            <w:r w:rsidRPr="00D133F4">
              <w:rPr>
                <w:bCs/>
              </w:rPr>
              <w:t>Purpose</w:t>
            </w:r>
          </w:p>
        </w:tc>
        <w:tc>
          <w:tcPr>
            <w:tcW w:w="8363" w:type="dxa"/>
            <w:shd w:val="clear" w:color="auto" w:fill="auto"/>
          </w:tcPr>
          <w:p w14:paraId="6ED6E5A3" w14:textId="77777777" w:rsidR="0013386D" w:rsidRPr="00D133F4" w:rsidRDefault="0013386D" w:rsidP="00C60E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133F4">
              <w:rPr>
                <w:b w:val="0"/>
                <w:bCs/>
              </w:rPr>
              <w:t xml:space="preserve">To </w:t>
            </w:r>
            <w:r>
              <w:rPr>
                <w:b w:val="0"/>
                <w:bCs/>
              </w:rPr>
              <w:t>outline mandatory requirements for administering and accounting for machinery of government changes</w:t>
            </w:r>
            <w:r w:rsidRPr="00D133F4">
              <w:rPr>
                <w:b w:val="0"/>
              </w:rPr>
              <w:t>.</w:t>
            </w:r>
          </w:p>
        </w:tc>
      </w:tr>
      <w:tr w:rsidR="0013386D" w:rsidRPr="00D133F4" w14:paraId="0FE924BA" w14:textId="77777777" w:rsidTr="00C60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1F5F" w:themeFill="text1"/>
          </w:tcPr>
          <w:p w14:paraId="0E15E78D" w14:textId="77777777" w:rsidR="0013386D" w:rsidRPr="00343C61" w:rsidRDefault="0013386D" w:rsidP="00C60E52">
            <w:pPr>
              <w:rPr>
                <w:b/>
                <w:bCs/>
              </w:rPr>
            </w:pPr>
            <w:r w:rsidRPr="00343C61">
              <w:rPr>
                <w:b/>
                <w:bCs/>
              </w:rPr>
              <w:t>Last reviewed</w:t>
            </w:r>
          </w:p>
        </w:tc>
        <w:tc>
          <w:tcPr>
            <w:tcW w:w="8363" w:type="dxa"/>
          </w:tcPr>
          <w:p w14:paraId="7960C16B" w14:textId="77777777" w:rsidR="0013386D" w:rsidRPr="00D133F4" w:rsidRDefault="0013386D" w:rsidP="00C6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Not applicable</w:t>
            </w:r>
          </w:p>
        </w:tc>
      </w:tr>
      <w:tr w:rsidR="0013386D" w:rsidRPr="00D133F4" w14:paraId="440B9836" w14:textId="77777777" w:rsidTr="00C60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1F5F" w:themeFill="text1"/>
          </w:tcPr>
          <w:p w14:paraId="7E32BAF9" w14:textId="77777777" w:rsidR="0013386D" w:rsidRPr="00343C61" w:rsidRDefault="0013386D" w:rsidP="00C60E52">
            <w:pPr>
              <w:rPr>
                <w:b/>
                <w:bCs/>
              </w:rPr>
            </w:pPr>
            <w:r w:rsidRPr="00343C61">
              <w:rPr>
                <w:b/>
                <w:bCs/>
              </w:rPr>
              <w:t>Operative date</w:t>
            </w:r>
          </w:p>
        </w:tc>
        <w:tc>
          <w:tcPr>
            <w:tcW w:w="8363" w:type="dxa"/>
            <w:shd w:val="clear" w:color="auto" w:fill="auto"/>
          </w:tcPr>
          <w:p w14:paraId="7B3BE6A1" w14:textId="77777777" w:rsidR="00C466EA" w:rsidRPr="00D133F4" w:rsidRDefault="0013386D" w:rsidP="00C6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 July 2020</w:t>
            </w:r>
          </w:p>
        </w:tc>
      </w:tr>
      <w:tr w:rsidR="0013386D" w:rsidRPr="00D133F4" w14:paraId="669711C7" w14:textId="77777777" w:rsidTr="00A51B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1F5F" w:themeFill="text1"/>
          </w:tcPr>
          <w:p w14:paraId="0BDB34D9" w14:textId="77777777" w:rsidR="0013386D" w:rsidRPr="00343C61" w:rsidRDefault="0013386D" w:rsidP="00C60E52">
            <w:pPr>
              <w:rPr>
                <w:b/>
                <w:bCs/>
              </w:rPr>
            </w:pPr>
            <w:r w:rsidRPr="00343C61">
              <w:rPr>
                <w:b/>
                <w:bCs/>
              </w:rPr>
              <w:t>References</w:t>
            </w:r>
          </w:p>
        </w:tc>
        <w:tc>
          <w:tcPr>
            <w:tcW w:w="8363" w:type="dxa"/>
          </w:tcPr>
          <w:p w14:paraId="73872B84" w14:textId="77777777" w:rsidR="0013386D" w:rsidRPr="00D133F4" w:rsidRDefault="0013386D" w:rsidP="00C60E52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i/>
              </w:rPr>
            </w:pPr>
            <w:r w:rsidRPr="00D133F4">
              <w:rPr>
                <w:rFonts w:ascii="Lato" w:hAnsi="Lato"/>
              </w:rPr>
              <w:t xml:space="preserve">Guidance document – </w:t>
            </w:r>
            <w:r>
              <w:rPr>
                <w:rFonts w:ascii="Lato" w:hAnsi="Lato"/>
              </w:rPr>
              <w:t>Machinery of government changes</w:t>
            </w:r>
          </w:p>
          <w:p w14:paraId="239D5A1F" w14:textId="77777777" w:rsidR="0013386D" w:rsidRPr="00FB5806" w:rsidRDefault="0013386D" w:rsidP="00C60E52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i/>
              </w:rPr>
            </w:pPr>
            <w:r w:rsidRPr="00FB5806">
              <w:rPr>
                <w:rFonts w:ascii="Lato" w:hAnsi="Lato"/>
                <w:i/>
              </w:rPr>
              <w:t>Financial Management Act 1995</w:t>
            </w:r>
          </w:p>
        </w:tc>
      </w:tr>
    </w:tbl>
    <w:p w14:paraId="4C91FA2D" w14:textId="77777777" w:rsidR="0013386D" w:rsidRDefault="0013386D" w:rsidP="0013386D">
      <w:pPr>
        <w:pStyle w:val="Heading1"/>
      </w:pPr>
      <w:r>
        <w:t>Scope</w:t>
      </w:r>
    </w:p>
    <w:p w14:paraId="173765FE" w14:textId="548DA59D" w:rsidR="0013386D" w:rsidRPr="00C466EA" w:rsidRDefault="0013386D" w:rsidP="0013386D">
      <w:pPr>
        <w:pStyle w:val="ListNumber"/>
        <w:ind w:left="357" w:hanging="357"/>
      </w:pPr>
      <w:r w:rsidRPr="00C466EA">
        <w:t xml:space="preserve">This Treasurer’s Direction outlines key accounting and </w:t>
      </w:r>
      <w:r w:rsidRPr="000744C9">
        <w:t>budgetary</w:t>
      </w:r>
      <w:r w:rsidRPr="00C466EA">
        <w:t xml:space="preserve"> requirements of government </w:t>
      </w:r>
      <w:r w:rsidR="00C466EA">
        <w:t>agencies</w:t>
      </w:r>
      <w:r w:rsidR="00C466EA" w:rsidRPr="00C466EA">
        <w:t xml:space="preserve"> </w:t>
      </w:r>
      <w:r w:rsidRPr="00C466EA">
        <w:t>impacted by a machinery of government (</w:t>
      </w:r>
      <w:proofErr w:type="spellStart"/>
      <w:r w:rsidRPr="00C466EA">
        <w:t>MoG</w:t>
      </w:r>
      <w:proofErr w:type="spellEnd"/>
      <w:r w:rsidRPr="00C466EA">
        <w:t xml:space="preserve">) change.  </w:t>
      </w:r>
    </w:p>
    <w:p w14:paraId="43508C5A" w14:textId="77777777" w:rsidR="0013386D" w:rsidRDefault="0013386D" w:rsidP="0013386D">
      <w:pPr>
        <w:pStyle w:val="Heading1"/>
      </w:pPr>
      <w:r>
        <w:t>Definitions</w:t>
      </w:r>
    </w:p>
    <w:p w14:paraId="042532B0" w14:textId="77777777" w:rsidR="0013386D" w:rsidRPr="00AD135D" w:rsidRDefault="0013386D" w:rsidP="0013386D">
      <w:pPr>
        <w:pStyle w:val="ListNumber"/>
        <w:ind w:left="357" w:hanging="357"/>
      </w:pPr>
      <w:proofErr w:type="spellStart"/>
      <w:r w:rsidRPr="00AD135D">
        <w:t>MoG</w:t>
      </w:r>
      <w:proofErr w:type="spellEnd"/>
      <w:r w:rsidRPr="00AD135D">
        <w:t xml:space="preserve"> refers to the allocation of functions and responsibilities between agencies and ministers.</w:t>
      </w:r>
    </w:p>
    <w:p w14:paraId="2B258214" w14:textId="7D60E905" w:rsidR="0027117F" w:rsidRDefault="0013386D" w:rsidP="0027117F">
      <w:pPr>
        <w:pStyle w:val="ListNumber"/>
        <w:ind w:left="357" w:hanging="357"/>
      </w:pPr>
      <w:r w:rsidRPr="00AD135D">
        <w:t xml:space="preserve">A </w:t>
      </w:r>
      <w:proofErr w:type="spellStart"/>
      <w:r w:rsidRPr="00AD135D">
        <w:t>MoG</w:t>
      </w:r>
      <w:proofErr w:type="spellEnd"/>
      <w:r w:rsidRPr="00AD135D">
        <w:t xml:space="preserve"> change is the reallocation</w:t>
      </w:r>
      <w:r w:rsidR="009A3AD6">
        <w:t xml:space="preserve"> and or transfer</w:t>
      </w:r>
      <w:r w:rsidRPr="00AD135D">
        <w:t xml:space="preserve"> of functions and responsibilities </w:t>
      </w:r>
      <w:r w:rsidR="00A51BC4">
        <w:t>that</w:t>
      </w:r>
      <w:r w:rsidR="00A51BC4" w:rsidRPr="00AD135D">
        <w:t xml:space="preserve"> </w:t>
      </w:r>
      <w:r w:rsidRPr="00AD135D">
        <w:t>arise</w:t>
      </w:r>
      <w:r w:rsidR="00A51BC4">
        <w:t>s</w:t>
      </w:r>
      <w:r w:rsidR="00A159F4">
        <w:t xml:space="preserve">: </w:t>
      </w:r>
    </w:p>
    <w:p w14:paraId="691434C3" w14:textId="77777777" w:rsidR="0027117F" w:rsidRDefault="0013386D" w:rsidP="0027117F">
      <w:pPr>
        <w:pStyle w:val="ListNumber"/>
        <w:numPr>
          <w:ilvl w:val="1"/>
          <w:numId w:val="12"/>
        </w:numPr>
        <w:ind w:left="811"/>
      </w:pPr>
      <w:r w:rsidRPr="00AD135D">
        <w:t>through revisions to the Administrative Arrangement</w:t>
      </w:r>
      <w:r w:rsidR="00C466EA">
        <w:t>s</w:t>
      </w:r>
      <w:r w:rsidRPr="00AD135D">
        <w:t xml:space="preserve"> Order, including:</w:t>
      </w:r>
    </w:p>
    <w:p w14:paraId="25740788" w14:textId="77777777" w:rsidR="0027117F" w:rsidRDefault="0013386D" w:rsidP="0027117F">
      <w:pPr>
        <w:pStyle w:val="ListNumber"/>
        <w:numPr>
          <w:ilvl w:val="2"/>
          <w:numId w:val="12"/>
        </w:numPr>
        <w:ind w:left="1021"/>
      </w:pPr>
      <w:r w:rsidRPr="00AD135D">
        <w:t xml:space="preserve">transferring a function or parts thereof, from one agency to another </w:t>
      </w:r>
    </w:p>
    <w:p w14:paraId="76C49A89" w14:textId="77777777" w:rsidR="0027117F" w:rsidRDefault="0013386D" w:rsidP="0027117F">
      <w:pPr>
        <w:pStyle w:val="ListNumber"/>
        <w:numPr>
          <w:ilvl w:val="2"/>
          <w:numId w:val="12"/>
        </w:numPr>
        <w:ind w:left="1021"/>
      </w:pPr>
      <w:r w:rsidRPr="00AD135D">
        <w:t>amalgamating two or more agencies into one agency</w:t>
      </w:r>
      <w:r w:rsidR="0027117F">
        <w:t xml:space="preserve"> </w:t>
      </w:r>
    </w:p>
    <w:p w14:paraId="0F5D56F2" w14:textId="77777777" w:rsidR="0027117F" w:rsidRDefault="00205598" w:rsidP="0027117F">
      <w:pPr>
        <w:pStyle w:val="ListNumber"/>
        <w:numPr>
          <w:ilvl w:val="2"/>
          <w:numId w:val="12"/>
        </w:numPr>
        <w:ind w:left="1021"/>
      </w:pPr>
      <w:r>
        <w:t>ceasing</w:t>
      </w:r>
      <w:r w:rsidR="0013386D" w:rsidRPr="00AD135D">
        <w:t xml:space="preserve"> an individual function or agency</w:t>
      </w:r>
      <w:r w:rsidR="0027117F">
        <w:t xml:space="preserve"> </w:t>
      </w:r>
    </w:p>
    <w:p w14:paraId="2FDAC7EF" w14:textId="53200B46" w:rsidR="0013386D" w:rsidRPr="00AD135D" w:rsidRDefault="0013386D" w:rsidP="0027117F">
      <w:pPr>
        <w:pStyle w:val="ListNumber"/>
        <w:numPr>
          <w:ilvl w:val="2"/>
          <w:numId w:val="12"/>
        </w:numPr>
        <w:ind w:left="1021"/>
      </w:pPr>
      <w:proofErr w:type="gramStart"/>
      <w:r w:rsidRPr="00AD135D">
        <w:t>creating</w:t>
      </w:r>
      <w:proofErr w:type="gramEnd"/>
      <w:r w:rsidRPr="00AD135D">
        <w:t xml:space="preserve"> an individual function or agency.</w:t>
      </w:r>
    </w:p>
    <w:p w14:paraId="7734F37D" w14:textId="63C82817" w:rsidR="0013386D" w:rsidRPr="00AD135D" w:rsidRDefault="009A3AD6" w:rsidP="0027117F">
      <w:pPr>
        <w:pStyle w:val="ListNumber"/>
        <w:numPr>
          <w:ilvl w:val="1"/>
          <w:numId w:val="12"/>
        </w:numPr>
        <w:ind w:left="811"/>
      </w:pPr>
      <w:r>
        <w:t xml:space="preserve">or </w:t>
      </w:r>
      <w:r w:rsidR="0013386D" w:rsidRPr="00AD135D">
        <w:t>at the discr</w:t>
      </w:r>
      <w:r w:rsidR="009F1DF0">
        <w:t xml:space="preserve">etion of the relevant ministers, </w:t>
      </w:r>
      <w:r w:rsidR="0013386D">
        <w:t>accountable officers</w:t>
      </w:r>
      <w:r w:rsidR="009F1DF0">
        <w:t xml:space="preserve"> or</w:t>
      </w:r>
      <w:r w:rsidR="00D40BA8">
        <w:t xml:space="preserve"> by</w:t>
      </w:r>
      <w:r w:rsidR="009F1DF0">
        <w:t xml:space="preserve"> Cabinet decision</w:t>
      </w:r>
      <w:r w:rsidR="0013386D" w:rsidRPr="00AD135D">
        <w:t>.</w:t>
      </w:r>
    </w:p>
    <w:p w14:paraId="456DF02E" w14:textId="77777777" w:rsidR="0013386D" w:rsidRPr="00AD135D" w:rsidRDefault="0013386D" w:rsidP="0013386D">
      <w:pPr>
        <w:pStyle w:val="Heading1"/>
      </w:pPr>
      <w:r w:rsidRPr="00AD135D">
        <w:t>Key principles of machinery of government changes</w:t>
      </w:r>
    </w:p>
    <w:p w14:paraId="25A3F299" w14:textId="1D82352A" w:rsidR="0013386D" w:rsidRPr="00AD135D" w:rsidRDefault="00D40BA8" w:rsidP="0013386D">
      <w:pPr>
        <w:pStyle w:val="Heading2"/>
      </w:pPr>
      <w:r>
        <w:t>Agreements</w:t>
      </w:r>
    </w:p>
    <w:p w14:paraId="1D9EA1EA" w14:textId="4F36A578" w:rsidR="00C466EA" w:rsidRDefault="0057656A" w:rsidP="0013386D">
      <w:pPr>
        <w:pStyle w:val="ListNumber"/>
        <w:ind w:left="357" w:hanging="357"/>
      </w:pPr>
      <w:r>
        <w:t>As part of the</w:t>
      </w:r>
      <w:r w:rsidR="00D40BA8">
        <w:t xml:space="preserve"> agreement </w:t>
      </w:r>
      <w:r>
        <w:t>process for</w:t>
      </w:r>
      <w:r w:rsidR="00D40BA8">
        <w:t xml:space="preserve"> actioning</w:t>
      </w:r>
      <w:r w:rsidR="009A3AD6">
        <w:t xml:space="preserve"> transfers</w:t>
      </w:r>
      <w:r>
        <w:t xml:space="preserve">, </w:t>
      </w:r>
      <w:r w:rsidR="009A3AD6">
        <w:t xml:space="preserve">both the </w:t>
      </w:r>
      <w:r w:rsidR="00811718">
        <w:t xml:space="preserve">transferring and receiving </w:t>
      </w:r>
      <w:r w:rsidR="0013386D">
        <w:t>accountable officer must</w:t>
      </w:r>
      <w:r w:rsidR="00C466EA">
        <w:t>:</w:t>
      </w:r>
    </w:p>
    <w:p w14:paraId="69B648AD" w14:textId="7FEFAEC5" w:rsidR="00C466EA" w:rsidRDefault="0013386D" w:rsidP="00DB7A9F">
      <w:pPr>
        <w:pStyle w:val="ListNumber"/>
        <w:numPr>
          <w:ilvl w:val="1"/>
          <w:numId w:val="12"/>
        </w:numPr>
        <w:ind w:left="811"/>
      </w:pPr>
      <w:bookmarkStart w:id="0" w:name="_Ref50395380"/>
      <w:bookmarkStart w:id="1" w:name="_Ref50395879"/>
      <w:r>
        <w:t xml:space="preserve">agree on the </w:t>
      </w:r>
      <w:r w:rsidRPr="00AD135D">
        <w:t>amount and methodology for budget transfers</w:t>
      </w:r>
      <w:r>
        <w:t xml:space="preserve"> arising from an Administrative Arrangement</w:t>
      </w:r>
      <w:r w:rsidR="00C466EA">
        <w:t>s Order</w:t>
      </w:r>
      <w:r w:rsidR="006D250B">
        <w:t>,</w:t>
      </w:r>
      <w:r>
        <w:t xml:space="preserve"> </w:t>
      </w:r>
      <w:r w:rsidRPr="00AD135D">
        <w:t>within 30</w:t>
      </w:r>
      <w:r>
        <w:t xml:space="preserve"> </w:t>
      </w:r>
      <w:r w:rsidRPr="00AD135D">
        <w:t xml:space="preserve">days from the commencement of the revised </w:t>
      </w:r>
      <w:r w:rsidR="00C466EA">
        <w:t>o</w:t>
      </w:r>
      <w:r w:rsidRPr="00AD135D">
        <w:t>rder</w:t>
      </w:r>
      <w:bookmarkEnd w:id="0"/>
      <w:bookmarkEnd w:id="1"/>
      <w:r w:rsidR="009A3AD6">
        <w:t xml:space="preserve"> or as so</w:t>
      </w:r>
      <w:r w:rsidR="00811718">
        <w:t>on as practicable for all other transfers</w:t>
      </w:r>
    </w:p>
    <w:p w14:paraId="063238BE" w14:textId="5E75CF8E" w:rsidR="00930645" w:rsidRDefault="00C466EA" w:rsidP="00DB7A9F">
      <w:pPr>
        <w:pStyle w:val="ListNumber"/>
        <w:numPr>
          <w:ilvl w:val="1"/>
          <w:numId w:val="12"/>
        </w:numPr>
        <w:ind w:left="811"/>
      </w:pPr>
      <w:r>
        <w:t xml:space="preserve">sign a budget transfer agreement in accordance with paragraph </w:t>
      </w:r>
      <w:r w:rsidR="00930645">
        <w:fldChar w:fldCharType="begin"/>
      </w:r>
      <w:r w:rsidR="00930645">
        <w:instrText xml:space="preserve"> REF _Ref50448626 \r \h </w:instrText>
      </w:r>
      <w:r w:rsidR="00930645">
        <w:fldChar w:fldCharType="separate"/>
      </w:r>
      <w:r w:rsidR="00811718">
        <w:t>8</w:t>
      </w:r>
      <w:r w:rsidR="00930645">
        <w:fldChar w:fldCharType="end"/>
      </w:r>
    </w:p>
    <w:p w14:paraId="4FB7767D" w14:textId="6468D7FA" w:rsidR="0013386D" w:rsidRDefault="00C466EA" w:rsidP="00DB7A9F">
      <w:pPr>
        <w:pStyle w:val="ListNumber"/>
        <w:numPr>
          <w:ilvl w:val="1"/>
          <w:numId w:val="12"/>
        </w:numPr>
        <w:ind w:left="811"/>
      </w:pPr>
      <w:proofErr w:type="gramStart"/>
      <w:r>
        <w:t>provide</w:t>
      </w:r>
      <w:proofErr w:type="gramEnd"/>
      <w:r>
        <w:t xml:space="preserve"> a complete</w:t>
      </w:r>
      <w:r w:rsidR="0057656A">
        <w:t>d</w:t>
      </w:r>
      <w:r>
        <w:t xml:space="preserve"> copy of the budget transfer agreement, signed by </w:t>
      </w:r>
      <w:r w:rsidR="0057656A">
        <w:t>all</w:t>
      </w:r>
      <w:r>
        <w:t xml:space="preserve"> parties, to </w:t>
      </w:r>
      <w:r w:rsidR="00FF4E49">
        <w:t xml:space="preserve">the </w:t>
      </w:r>
      <w:r w:rsidR="0057656A">
        <w:t>D</w:t>
      </w:r>
      <w:r w:rsidR="00FF4E49">
        <w:t xml:space="preserve">epartment of </w:t>
      </w:r>
      <w:r w:rsidR="0057656A">
        <w:t>T</w:t>
      </w:r>
      <w:r w:rsidR="00FF4E49">
        <w:t xml:space="preserve">reasury and </w:t>
      </w:r>
      <w:r w:rsidR="0057656A">
        <w:t>F</w:t>
      </w:r>
      <w:r w:rsidR="00FF4E49">
        <w:t>inance (DTF)</w:t>
      </w:r>
      <w:r>
        <w:t xml:space="preserve"> along with any other relevant documentation to substantiate </w:t>
      </w:r>
      <w:r w:rsidR="00CE6C2B">
        <w:t xml:space="preserve">the </w:t>
      </w:r>
      <w:r>
        <w:t>budget transfer</w:t>
      </w:r>
      <w:r w:rsidR="006D250B">
        <w:t>(s)</w:t>
      </w:r>
      <w:r>
        <w:t>.</w:t>
      </w:r>
    </w:p>
    <w:p w14:paraId="5ED17519" w14:textId="428DFCBD" w:rsidR="007B2F17" w:rsidRDefault="007B2F17" w:rsidP="007B2F17">
      <w:pPr>
        <w:pStyle w:val="ListNumber"/>
        <w:ind w:left="357" w:hanging="357"/>
      </w:pPr>
      <w:bookmarkStart w:id="2" w:name="_Ref50480787"/>
      <w:r>
        <w:lastRenderedPageBreak/>
        <w:t xml:space="preserve">If </w:t>
      </w:r>
      <w:r w:rsidR="009A3AD6">
        <w:t xml:space="preserve">the two </w:t>
      </w:r>
      <w:r>
        <w:t>accountable officer</w:t>
      </w:r>
      <w:r w:rsidR="009A3AD6">
        <w:t>s are</w:t>
      </w:r>
      <w:r>
        <w:t xml:space="preserve"> </w:t>
      </w:r>
      <w:r w:rsidRPr="00AD135D">
        <w:t xml:space="preserve">unable to </w:t>
      </w:r>
      <w:r>
        <w:t>agree on the amount and methodology for a budget and or actual</w:t>
      </w:r>
      <w:r w:rsidR="009A3AD6">
        <w:t xml:space="preserve"> </w:t>
      </w:r>
      <w:r w:rsidR="00811718">
        <w:t xml:space="preserve">transfer </w:t>
      </w:r>
      <w:r w:rsidR="009A3AD6">
        <w:t>between their agencies</w:t>
      </w:r>
      <w:r>
        <w:t>,</w:t>
      </w:r>
      <w:r w:rsidRPr="00AD135D">
        <w:t xml:space="preserve"> the Under</w:t>
      </w:r>
      <w:r>
        <w:t> </w:t>
      </w:r>
      <w:r w:rsidRPr="00AD135D">
        <w:t xml:space="preserve">Treasurer will </w:t>
      </w:r>
      <w:r>
        <w:t>make a binding</w:t>
      </w:r>
      <w:r w:rsidR="009A3AD6">
        <w:t xml:space="preserve"> decision</w:t>
      </w:r>
      <w:r w:rsidRPr="00AD135D">
        <w:t>.</w:t>
      </w:r>
      <w:bookmarkEnd w:id="2"/>
    </w:p>
    <w:p w14:paraId="24862011" w14:textId="4EEB9EF0" w:rsidR="007B2F17" w:rsidRDefault="007B2F17" w:rsidP="007B2F17">
      <w:pPr>
        <w:pStyle w:val="ListNumber"/>
        <w:ind w:left="357" w:hanging="357"/>
      </w:pPr>
      <w:r>
        <w:t xml:space="preserve">Pursuant to </w:t>
      </w:r>
      <w:r w:rsidRPr="00ED350C">
        <w:t>paragraph</w:t>
      </w:r>
      <w:r>
        <w:t xml:space="preserve"> </w:t>
      </w:r>
      <w:r w:rsidR="00FD0098">
        <w:fldChar w:fldCharType="begin"/>
      </w:r>
      <w:r w:rsidR="00FD0098">
        <w:instrText xml:space="preserve"> REF _Ref50480787 \r \h </w:instrText>
      </w:r>
      <w:r w:rsidR="00FD0098">
        <w:fldChar w:fldCharType="separate"/>
      </w:r>
      <w:r w:rsidR="009A3AD6">
        <w:t>5</w:t>
      </w:r>
      <w:r w:rsidR="00FD0098">
        <w:fldChar w:fldCharType="end"/>
      </w:r>
      <w:r w:rsidRPr="00ED350C">
        <w:t>, an accountable</w:t>
      </w:r>
      <w:r>
        <w:t xml:space="preserve"> officer must provide DTF with relevant information requested, within a specified timeframe, to assist the Under Treasurer to make a </w:t>
      </w:r>
      <w:r w:rsidR="009A3AD6">
        <w:t xml:space="preserve">decision </w:t>
      </w:r>
      <w:r>
        <w:t>on budget or actual transfer amounts for each agency.</w:t>
      </w:r>
    </w:p>
    <w:p w14:paraId="1BDCC001" w14:textId="77777777" w:rsidR="0013386D" w:rsidRPr="00AD135D" w:rsidRDefault="0013386D" w:rsidP="0013386D">
      <w:pPr>
        <w:pStyle w:val="Heading2"/>
      </w:pPr>
      <w:r>
        <w:t>Transfer of functions</w:t>
      </w:r>
    </w:p>
    <w:p w14:paraId="7EBE9BDC" w14:textId="77777777" w:rsidR="0013386D" w:rsidRDefault="0013386D" w:rsidP="0013386D">
      <w:pPr>
        <w:pStyle w:val="ListNumber"/>
        <w:ind w:left="357" w:hanging="357"/>
      </w:pPr>
      <w:r>
        <w:t>The transfer of a function</w:t>
      </w:r>
      <w:r w:rsidRPr="00AD135D">
        <w:t xml:space="preserve"> must</w:t>
      </w:r>
      <w:r>
        <w:t>:</w:t>
      </w:r>
      <w:r w:rsidRPr="00AD135D">
        <w:t xml:space="preserve"> </w:t>
      </w:r>
    </w:p>
    <w:p w14:paraId="716E3B48" w14:textId="3DA7EBCC" w:rsidR="0013386D" w:rsidRPr="00AD135D" w:rsidRDefault="0013386D" w:rsidP="0013386D">
      <w:pPr>
        <w:pStyle w:val="ListNumber"/>
        <w:numPr>
          <w:ilvl w:val="0"/>
          <w:numId w:val="32"/>
        </w:numPr>
      </w:pPr>
      <w:r w:rsidRPr="00AD135D">
        <w:t>be cost-neutral from a whole of governme</w:t>
      </w:r>
      <w:r>
        <w:t>nt perspective</w:t>
      </w:r>
    </w:p>
    <w:p w14:paraId="2CE53CCF" w14:textId="77777777" w:rsidR="0013386D" w:rsidRDefault="0013386D" w:rsidP="0013386D">
      <w:pPr>
        <w:pStyle w:val="ListNumber"/>
        <w:numPr>
          <w:ilvl w:val="0"/>
          <w:numId w:val="32"/>
        </w:numPr>
        <w:ind w:left="709"/>
      </w:pPr>
      <w:r>
        <w:t>include the transfer of c</w:t>
      </w:r>
      <w:r w:rsidRPr="00AD135D">
        <w:t xml:space="preserve">orporate costs associated with </w:t>
      </w:r>
      <w:r>
        <w:t>that</w:t>
      </w:r>
      <w:r w:rsidRPr="00AD135D">
        <w:t xml:space="preserve"> function</w:t>
      </w:r>
      <w:r w:rsidR="00932EC6">
        <w:t xml:space="preserve"> </w:t>
      </w:r>
    </w:p>
    <w:p w14:paraId="715A8A38" w14:textId="02C84194" w:rsidR="0013386D" w:rsidRDefault="0013386D" w:rsidP="0013386D">
      <w:pPr>
        <w:pStyle w:val="ListNumber"/>
        <w:numPr>
          <w:ilvl w:val="0"/>
          <w:numId w:val="32"/>
        </w:numPr>
        <w:ind w:left="709"/>
      </w:pPr>
      <w:proofErr w:type="gramStart"/>
      <w:r>
        <w:t>include</w:t>
      </w:r>
      <w:proofErr w:type="gramEnd"/>
      <w:r>
        <w:t xml:space="preserve"> the transfer of personnel on-costs and operational costs for any </w:t>
      </w:r>
      <w:r w:rsidR="00783781">
        <w:t>positions</w:t>
      </w:r>
      <w:r w:rsidR="00CE6C2B">
        <w:t xml:space="preserve"> transferred as part of that function.</w:t>
      </w:r>
    </w:p>
    <w:p w14:paraId="68480D9D" w14:textId="5ADEC3E7" w:rsidR="0013386D" w:rsidRPr="00AD135D" w:rsidRDefault="0013386D" w:rsidP="0013386D">
      <w:pPr>
        <w:pStyle w:val="ListNumber"/>
        <w:ind w:left="357" w:hanging="357"/>
      </w:pPr>
      <w:bookmarkStart w:id="3" w:name="_Ref50448626"/>
      <w:r w:rsidRPr="00AD135D">
        <w:t>Budget transfer agreements must, at a minimum and where applicable, include:</w:t>
      </w:r>
      <w:bookmarkEnd w:id="3"/>
    </w:p>
    <w:p w14:paraId="2F3F29FC" w14:textId="5EB95398" w:rsidR="0013386D" w:rsidRPr="00AD135D" w:rsidRDefault="0013386D" w:rsidP="00DB7A9F">
      <w:pPr>
        <w:pStyle w:val="ListNumber"/>
        <w:numPr>
          <w:ilvl w:val="1"/>
          <w:numId w:val="12"/>
        </w:numPr>
        <w:ind w:left="716" w:hanging="359"/>
      </w:pPr>
      <w:r w:rsidRPr="00AD135D">
        <w:t>names of the t</w:t>
      </w:r>
      <w:r w:rsidR="00783781">
        <w:t>ransferring and receiving agencies</w:t>
      </w:r>
    </w:p>
    <w:p w14:paraId="253A7C3E" w14:textId="2745FE13" w:rsidR="0013386D" w:rsidRPr="00AD135D" w:rsidRDefault="0013386D" w:rsidP="00DB7A9F">
      <w:pPr>
        <w:pStyle w:val="ListNumber"/>
        <w:numPr>
          <w:ilvl w:val="1"/>
          <w:numId w:val="12"/>
        </w:numPr>
        <w:ind w:left="716" w:hanging="359"/>
      </w:pPr>
      <w:r w:rsidRPr="00AD135D">
        <w:t xml:space="preserve">functions </w:t>
      </w:r>
      <w:r w:rsidR="000E3E54">
        <w:t xml:space="preserve">and </w:t>
      </w:r>
      <w:r>
        <w:t xml:space="preserve">or outputs </w:t>
      </w:r>
      <w:r w:rsidRPr="00AD135D">
        <w:t>to be transferred</w:t>
      </w:r>
    </w:p>
    <w:p w14:paraId="4FBD2C3E" w14:textId="7E8DFC0D" w:rsidR="0013386D" w:rsidRPr="00AD135D" w:rsidRDefault="0013386D" w:rsidP="00DB7A9F">
      <w:pPr>
        <w:pStyle w:val="ListNumber"/>
        <w:numPr>
          <w:ilvl w:val="1"/>
          <w:numId w:val="12"/>
        </w:numPr>
        <w:ind w:left="716" w:hanging="359"/>
      </w:pPr>
      <w:r w:rsidRPr="00AD135D">
        <w:t>details of revenue, expenses, assets and liabilities to be transferred including agreed budgeted amounts</w:t>
      </w:r>
    </w:p>
    <w:p w14:paraId="27571892" w14:textId="5D6720CA" w:rsidR="0013386D" w:rsidRPr="00AD135D" w:rsidRDefault="00CE6C2B" w:rsidP="00DB7A9F">
      <w:pPr>
        <w:pStyle w:val="ListNumber"/>
        <w:numPr>
          <w:ilvl w:val="1"/>
          <w:numId w:val="12"/>
        </w:numPr>
        <w:ind w:left="716" w:hanging="359"/>
      </w:pPr>
      <w:r>
        <w:t xml:space="preserve">total number of </w:t>
      </w:r>
      <w:r w:rsidR="00A51BC4" w:rsidRPr="00AD135D">
        <w:t>full</w:t>
      </w:r>
      <w:r w:rsidR="00A51BC4">
        <w:t>-</w:t>
      </w:r>
      <w:r w:rsidR="00783781">
        <w:t>time equivalent positions</w:t>
      </w:r>
      <w:r w:rsidR="0013386D" w:rsidRPr="00AD135D">
        <w:t xml:space="preserve"> to be transferred</w:t>
      </w:r>
    </w:p>
    <w:p w14:paraId="53566EE8" w14:textId="5F1D9A27" w:rsidR="0013386D" w:rsidRPr="00AD135D" w:rsidRDefault="000E3E54" w:rsidP="00DB7A9F">
      <w:pPr>
        <w:pStyle w:val="ListNumber"/>
        <w:numPr>
          <w:ilvl w:val="1"/>
          <w:numId w:val="12"/>
        </w:numPr>
        <w:ind w:left="716" w:hanging="359"/>
      </w:pPr>
      <w:r>
        <w:t>date of transfer of 1 July unless otherwise advised by DTF</w:t>
      </w:r>
    </w:p>
    <w:p w14:paraId="35E99A44" w14:textId="77777777" w:rsidR="0013386D" w:rsidRDefault="0013386D" w:rsidP="00DB7A9F">
      <w:pPr>
        <w:pStyle w:val="ListNumber"/>
        <w:numPr>
          <w:ilvl w:val="1"/>
          <w:numId w:val="12"/>
        </w:numPr>
        <w:ind w:left="716" w:hanging="359"/>
      </w:pPr>
      <w:proofErr w:type="gramStart"/>
      <w:r w:rsidRPr="00AD135D">
        <w:t>signatures</w:t>
      </w:r>
      <w:proofErr w:type="gramEnd"/>
      <w:r w:rsidRPr="00AD135D">
        <w:t xml:space="preserve"> of the accountable officers of both the transferring and receiving agencies.</w:t>
      </w:r>
    </w:p>
    <w:p w14:paraId="5DCFF054" w14:textId="77777777" w:rsidR="0013386D" w:rsidRDefault="0013386D" w:rsidP="0013386D">
      <w:pPr>
        <w:pStyle w:val="Heading1"/>
      </w:pPr>
      <w:r>
        <w:t>Accounting for machinery of government changes</w:t>
      </w:r>
    </w:p>
    <w:p w14:paraId="0D43A740" w14:textId="77777777" w:rsidR="0013386D" w:rsidRPr="00AD135D" w:rsidRDefault="0013386D" w:rsidP="0013386D">
      <w:pPr>
        <w:pStyle w:val="Heading2"/>
      </w:pPr>
      <w:r w:rsidRPr="00AD135D">
        <w:t>Effective date</w:t>
      </w:r>
    </w:p>
    <w:p w14:paraId="777408D4" w14:textId="291EF15F" w:rsidR="0013386D" w:rsidRPr="00AD135D" w:rsidRDefault="0013386D" w:rsidP="0013386D">
      <w:pPr>
        <w:pStyle w:val="ListNumber"/>
        <w:ind w:left="357" w:hanging="357"/>
      </w:pPr>
      <w:bookmarkStart w:id="4" w:name="_Ref50396268"/>
      <w:r w:rsidRPr="00AD135D">
        <w:t>Administrative and functional rearrangements take effect from 1 July of the year of transfer for budget and accounting purposes.</w:t>
      </w:r>
      <w:bookmarkEnd w:id="4"/>
    </w:p>
    <w:p w14:paraId="03B25934" w14:textId="77777777" w:rsidR="009F1DF0" w:rsidRPr="00CF1D26" w:rsidRDefault="009F1DF0" w:rsidP="009F1DF0">
      <w:pPr>
        <w:pStyle w:val="Heading2"/>
      </w:pPr>
      <w:r>
        <w:t>Transfer of budgets</w:t>
      </w:r>
    </w:p>
    <w:p w14:paraId="6C14C2BB" w14:textId="59F83E39" w:rsidR="009F1DF0" w:rsidRDefault="009F1DF0" w:rsidP="009F1DF0">
      <w:pPr>
        <w:pStyle w:val="ListNumber"/>
        <w:ind w:left="357" w:hanging="357"/>
      </w:pPr>
      <w:bookmarkStart w:id="5" w:name="_Ref50480591"/>
      <w:r>
        <w:t xml:space="preserve">An accountable officer must submit </w:t>
      </w:r>
      <w:r w:rsidRPr="00EE3B6E">
        <w:rPr>
          <w:rFonts w:cs="Arial"/>
          <w:lang w:eastAsia="en-AU"/>
        </w:rPr>
        <w:t>b</w:t>
      </w:r>
      <w:r>
        <w:t xml:space="preserve">udget adjustments for </w:t>
      </w:r>
      <w:proofErr w:type="spellStart"/>
      <w:r>
        <w:t>MoG</w:t>
      </w:r>
      <w:proofErr w:type="spellEnd"/>
      <w:r>
        <w:t xml:space="preserve"> changes within timeframes set by DTF and provide copies of the </w:t>
      </w:r>
      <w:r>
        <w:rPr>
          <w:lang w:eastAsia="en-AU"/>
        </w:rPr>
        <w:t xml:space="preserve">signed budget transfer agreement(s) in accordance with paragraph </w:t>
      </w:r>
      <w:r>
        <w:rPr>
          <w:lang w:eastAsia="en-AU"/>
        </w:rPr>
        <w:fldChar w:fldCharType="begin"/>
      </w:r>
      <w:r>
        <w:rPr>
          <w:lang w:eastAsia="en-AU"/>
        </w:rPr>
        <w:instrText xml:space="preserve"> REF _Ref50448626 \r \h </w:instrText>
      </w:r>
      <w:r>
        <w:rPr>
          <w:lang w:eastAsia="en-AU"/>
        </w:rPr>
      </w:r>
      <w:r>
        <w:rPr>
          <w:lang w:eastAsia="en-AU"/>
        </w:rPr>
        <w:fldChar w:fldCharType="separate"/>
      </w:r>
      <w:r w:rsidR="00783781">
        <w:rPr>
          <w:lang w:eastAsia="en-AU"/>
        </w:rPr>
        <w:t>8</w:t>
      </w:r>
      <w:r>
        <w:rPr>
          <w:lang w:eastAsia="en-AU"/>
        </w:rPr>
        <w:fldChar w:fldCharType="end"/>
      </w:r>
      <w:bookmarkEnd w:id="5"/>
      <w:r w:rsidR="00A51BC4">
        <w:rPr>
          <w:lang w:eastAsia="en-AU"/>
        </w:rPr>
        <w:t>.</w:t>
      </w:r>
    </w:p>
    <w:p w14:paraId="737F6B87" w14:textId="0FB9BF5C" w:rsidR="009F1DF0" w:rsidRPr="00873049" w:rsidRDefault="009F1DF0" w:rsidP="009F1DF0">
      <w:pPr>
        <w:pStyle w:val="ListNumber"/>
        <w:ind w:left="357" w:hanging="357"/>
      </w:pPr>
      <w:r>
        <w:rPr>
          <w:lang w:eastAsia="en-AU"/>
        </w:rPr>
        <w:t xml:space="preserve">Budget adjustments must reflect budgeted amounts inclusive of parameters from the effective date outlined in paragraph </w:t>
      </w:r>
      <w:r>
        <w:rPr>
          <w:lang w:eastAsia="en-AU"/>
        </w:rPr>
        <w:fldChar w:fldCharType="begin"/>
      </w:r>
      <w:r>
        <w:rPr>
          <w:lang w:eastAsia="en-AU"/>
        </w:rPr>
        <w:instrText xml:space="preserve"> REF _Ref50396268 \r \h </w:instrText>
      </w:r>
      <w:r>
        <w:rPr>
          <w:lang w:eastAsia="en-AU"/>
        </w:rPr>
      </w:r>
      <w:r>
        <w:rPr>
          <w:lang w:eastAsia="en-AU"/>
        </w:rPr>
        <w:fldChar w:fldCharType="separate"/>
      </w:r>
      <w:r w:rsidR="00783781">
        <w:rPr>
          <w:lang w:eastAsia="en-AU"/>
        </w:rPr>
        <w:t>9</w:t>
      </w:r>
      <w:r>
        <w:rPr>
          <w:lang w:eastAsia="en-AU"/>
        </w:rPr>
        <w:fldChar w:fldCharType="end"/>
      </w:r>
      <w:r>
        <w:rPr>
          <w:lang w:eastAsia="en-AU"/>
        </w:rPr>
        <w:t>.</w:t>
      </w:r>
      <w:bookmarkStart w:id="6" w:name="_Ref50398077"/>
    </w:p>
    <w:p w14:paraId="7A4D13F3" w14:textId="5726F841" w:rsidR="009F1DF0" w:rsidRDefault="009F1DF0" w:rsidP="009F1DF0">
      <w:pPr>
        <w:pStyle w:val="ListNumber"/>
        <w:ind w:left="357" w:hanging="357"/>
      </w:pPr>
      <w:bookmarkStart w:id="7" w:name="_Ref50398069"/>
      <w:bookmarkEnd w:id="6"/>
      <w:r>
        <w:t xml:space="preserve">Pursuant to paragraph </w:t>
      </w:r>
      <w:r>
        <w:fldChar w:fldCharType="begin"/>
      </w:r>
      <w:r>
        <w:instrText xml:space="preserve"> REF _Ref50480591 \r \h </w:instrText>
      </w:r>
      <w:r>
        <w:fldChar w:fldCharType="separate"/>
      </w:r>
      <w:r w:rsidR="00783781">
        <w:t>10</w:t>
      </w:r>
      <w:r>
        <w:fldChar w:fldCharType="end"/>
      </w:r>
      <w:r>
        <w:t>, an accountable officer must action separate budget transfers for opening balance accounts as at the effective date and budgeted balances in the current and forward estimates.</w:t>
      </w:r>
      <w:bookmarkEnd w:id="7"/>
    </w:p>
    <w:p w14:paraId="3983B144" w14:textId="51028032" w:rsidR="0013386D" w:rsidRDefault="00F52535" w:rsidP="0013386D">
      <w:pPr>
        <w:pStyle w:val="Heading2"/>
      </w:pPr>
      <w:r>
        <w:t>T</w:t>
      </w:r>
      <w:r w:rsidR="0013386D">
        <w:t>ransfer</w:t>
      </w:r>
      <w:r>
        <w:t xml:space="preserve"> of actuals</w:t>
      </w:r>
    </w:p>
    <w:p w14:paraId="0C34481C" w14:textId="1222D7CE" w:rsidR="0013386D" w:rsidRDefault="0013386D" w:rsidP="0013386D">
      <w:pPr>
        <w:pStyle w:val="ListNumber"/>
        <w:ind w:left="357" w:hanging="357"/>
      </w:pPr>
      <w:r>
        <w:t>All revenue, expense and balance sheet transactions, i</w:t>
      </w:r>
      <w:bookmarkStart w:id="8" w:name="_GoBack"/>
      <w:bookmarkEnd w:id="8"/>
      <w:r>
        <w:t xml:space="preserve">ncluding administered items, incurred prior to </w:t>
      </w:r>
      <w:r w:rsidR="00F52535">
        <w:t xml:space="preserve">a </w:t>
      </w:r>
      <w:proofErr w:type="spellStart"/>
      <w:r>
        <w:t>MoG</w:t>
      </w:r>
      <w:proofErr w:type="spellEnd"/>
      <w:r>
        <w:t xml:space="preserve"> change are deemed to have occurred and taken effect </w:t>
      </w:r>
      <w:r w:rsidR="006D250B" w:rsidRPr="00932EC6">
        <w:t>in the</w:t>
      </w:r>
      <w:r w:rsidR="006D250B">
        <w:t xml:space="preserve"> recipient agency </w:t>
      </w:r>
      <w:r>
        <w:t xml:space="preserve">from the </w:t>
      </w:r>
      <w:r w:rsidR="006D250B">
        <w:t xml:space="preserve">effective </w:t>
      </w:r>
      <w:r>
        <w:t xml:space="preserve">date </w:t>
      </w:r>
      <w:r w:rsidR="009F1DF0">
        <w:t>outlined in p</w:t>
      </w:r>
      <w:r>
        <w:t>aragraph </w:t>
      </w:r>
      <w:r w:rsidR="00CE6C2B">
        <w:fldChar w:fldCharType="begin"/>
      </w:r>
      <w:r w:rsidR="00CE6C2B">
        <w:instrText xml:space="preserve"> REF _Ref50396268 \r \h </w:instrText>
      </w:r>
      <w:r w:rsidR="00CE6C2B">
        <w:fldChar w:fldCharType="separate"/>
      </w:r>
      <w:r w:rsidR="00783781">
        <w:t>9</w:t>
      </w:r>
      <w:r w:rsidR="00CE6C2B">
        <w:fldChar w:fldCharType="end"/>
      </w:r>
      <w:r>
        <w:t>.</w:t>
      </w:r>
    </w:p>
    <w:p w14:paraId="4CBF1BCF" w14:textId="41C7959C" w:rsidR="0013386D" w:rsidRDefault="0013386D" w:rsidP="0013386D">
      <w:pPr>
        <w:pStyle w:val="ListNumber"/>
        <w:ind w:left="357" w:hanging="357"/>
      </w:pPr>
      <w:bookmarkStart w:id="9" w:name="_Ref50396385"/>
      <w:r>
        <w:t>Assets and liabilities must be transferred at the value recorded in the t</w:t>
      </w:r>
      <w:r w:rsidR="00932EC6">
        <w:t xml:space="preserve">ransferring agency’s </w:t>
      </w:r>
      <w:r w:rsidR="00F52535">
        <w:t xml:space="preserve">financial </w:t>
      </w:r>
      <w:r w:rsidR="00932EC6">
        <w:t>statement</w:t>
      </w:r>
      <w:r w:rsidR="00F52535">
        <w:t>s at the time of transfer</w:t>
      </w:r>
      <w:r w:rsidR="00932EC6">
        <w:t>.</w:t>
      </w:r>
      <w:bookmarkEnd w:id="9"/>
    </w:p>
    <w:p w14:paraId="5A9AB288" w14:textId="240AB62C" w:rsidR="0013386D" w:rsidRDefault="00783781" w:rsidP="0013386D">
      <w:pPr>
        <w:pStyle w:val="ListNumber"/>
        <w:ind w:left="357" w:hanging="357"/>
      </w:pPr>
      <w:r>
        <w:lastRenderedPageBreak/>
        <w:t xml:space="preserve"> W</w:t>
      </w:r>
      <w:r w:rsidR="0013386D">
        <w:t xml:space="preserve">here an asset’s </w:t>
      </w:r>
      <w:r w:rsidR="00F52535">
        <w:t xml:space="preserve">value </w:t>
      </w:r>
      <w:r w:rsidR="0013386D">
        <w:t xml:space="preserve">is not known, the </w:t>
      </w:r>
      <w:r w:rsidR="00932EC6">
        <w:t xml:space="preserve">recipient </w:t>
      </w:r>
      <w:r w:rsidR="0013386D">
        <w:t xml:space="preserve">agency must revalue the </w:t>
      </w:r>
      <w:r w:rsidR="00873049">
        <w:t xml:space="preserve">asset </w:t>
      </w:r>
      <w:r w:rsidR="00932EC6">
        <w:t xml:space="preserve">post </w:t>
      </w:r>
      <w:r w:rsidR="00873049">
        <w:t>transfer.</w:t>
      </w:r>
    </w:p>
    <w:p w14:paraId="7BBFFF8B" w14:textId="1AC8BEBB" w:rsidR="0013386D" w:rsidRDefault="001E009B" w:rsidP="0013386D">
      <w:pPr>
        <w:pStyle w:val="ListNumber"/>
        <w:ind w:left="357" w:hanging="357"/>
      </w:pPr>
      <w:r>
        <w:t>Agencies must transfer c</w:t>
      </w:r>
      <w:r w:rsidR="0013386D">
        <w:t xml:space="preserve">ash balances or </w:t>
      </w:r>
      <w:r w:rsidR="00873049">
        <w:t xml:space="preserve">accounts </w:t>
      </w:r>
      <w:r w:rsidR="0013386D">
        <w:t xml:space="preserve">that affect </w:t>
      </w:r>
      <w:r w:rsidR="00783781">
        <w:t xml:space="preserve">an </w:t>
      </w:r>
      <w:r w:rsidR="0013386D">
        <w:t>agency’s cash balances</w:t>
      </w:r>
      <w:r>
        <w:t xml:space="preserve"> </w:t>
      </w:r>
      <w:r w:rsidR="0013386D">
        <w:t>through the Ledger Transfer Facility Wizard.</w:t>
      </w:r>
    </w:p>
    <w:p w14:paraId="0FBB662B" w14:textId="3DCA1365" w:rsidR="0013386D" w:rsidRDefault="00783781" w:rsidP="0013386D">
      <w:pPr>
        <w:pStyle w:val="ListNumber"/>
        <w:ind w:left="357" w:hanging="357"/>
      </w:pPr>
      <w:bookmarkStart w:id="10" w:name="_Ref50397032"/>
      <w:r>
        <w:t>A</w:t>
      </w:r>
      <w:r w:rsidR="0013386D">
        <w:t>ccountable officer</w:t>
      </w:r>
      <w:r>
        <w:t>s</w:t>
      </w:r>
      <w:r w:rsidR="0013386D">
        <w:t xml:space="preserve"> must action the transfer</w:t>
      </w:r>
      <w:r>
        <w:t xml:space="preserve"> </w:t>
      </w:r>
      <w:r w:rsidR="0013386D">
        <w:t>of actuals</w:t>
      </w:r>
      <w:r w:rsidR="00F52535">
        <w:t xml:space="preserve"> related to </w:t>
      </w:r>
      <w:proofErr w:type="spellStart"/>
      <w:r w:rsidR="00F52535">
        <w:t>MoG</w:t>
      </w:r>
      <w:proofErr w:type="spellEnd"/>
      <w:r w:rsidR="00F52535">
        <w:t xml:space="preserve"> changes </w:t>
      </w:r>
      <w:r w:rsidR="0013386D">
        <w:t>in the agency</w:t>
      </w:r>
      <w:r w:rsidR="00F52535">
        <w:t>’s</w:t>
      </w:r>
      <w:r w:rsidR="0013386D">
        <w:t xml:space="preserve"> ledger within 60 days of</w:t>
      </w:r>
      <w:r w:rsidR="001B5B28">
        <w:t xml:space="preserve"> either</w:t>
      </w:r>
      <w:r w:rsidR="0013386D">
        <w:t>:</w:t>
      </w:r>
      <w:bookmarkEnd w:id="10"/>
      <w:r w:rsidR="0013386D">
        <w:t xml:space="preserve"> </w:t>
      </w:r>
    </w:p>
    <w:p w14:paraId="234B3E0A" w14:textId="77777777" w:rsidR="0013386D" w:rsidRDefault="0013386D" w:rsidP="00DB7A9F">
      <w:pPr>
        <w:pStyle w:val="ListNumber"/>
        <w:numPr>
          <w:ilvl w:val="1"/>
          <w:numId w:val="12"/>
        </w:numPr>
        <w:ind w:left="716" w:hanging="359"/>
      </w:pPr>
      <w:r>
        <w:t xml:space="preserve">signing a budget transfer agreement </w:t>
      </w:r>
    </w:p>
    <w:p w14:paraId="1897C4E0" w14:textId="3065C8F5" w:rsidR="0013386D" w:rsidRDefault="001B5B28" w:rsidP="00DB7A9F">
      <w:pPr>
        <w:pStyle w:val="ListNumber"/>
        <w:numPr>
          <w:ilvl w:val="1"/>
          <w:numId w:val="12"/>
        </w:numPr>
        <w:ind w:left="716" w:hanging="359"/>
      </w:pPr>
      <w:proofErr w:type="gramStart"/>
      <w:r>
        <w:t>or</w:t>
      </w:r>
      <w:proofErr w:type="gramEnd"/>
      <w:r>
        <w:t xml:space="preserve"> </w:t>
      </w:r>
      <w:r w:rsidR="0013386D">
        <w:t xml:space="preserve">a binding </w:t>
      </w:r>
      <w:r w:rsidR="00783781">
        <w:t xml:space="preserve">decision </w:t>
      </w:r>
      <w:r w:rsidR="00DB5A0B">
        <w:t xml:space="preserve">for budget transfer </w:t>
      </w:r>
      <w:r w:rsidR="00F52535">
        <w:t xml:space="preserve">is </w:t>
      </w:r>
      <w:r w:rsidR="0013386D">
        <w:t>made by the Under Treasurer.</w:t>
      </w:r>
    </w:p>
    <w:p w14:paraId="1168848B" w14:textId="05CA452F" w:rsidR="0013386D" w:rsidRDefault="00783781" w:rsidP="0013386D">
      <w:pPr>
        <w:pStyle w:val="ListNumber"/>
        <w:ind w:left="357" w:hanging="357"/>
      </w:pPr>
      <w:bookmarkStart w:id="11" w:name="_Ref50396545"/>
      <w:r>
        <w:t xml:space="preserve"> In accordance with paragraph </w:t>
      </w:r>
      <w:r>
        <w:fldChar w:fldCharType="begin"/>
      </w:r>
      <w:r>
        <w:instrText xml:space="preserve"> REF _Ref50397032 \r \h </w:instrText>
      </w:r>
      <w:r>
        <w:fldChar w:fldCharType="separate"/>
      </w:r>
      <w:r>
        <w:t>17</w:t>
      </w:r>
      <w:r>
        <w:fldChar w:fldCharType="end"/>
      </w:r>
      <w:r>
        <w:t xml:space="preserve">, </w:t>
      </w:r>
      <w:r w:rsidR="0013386D">
        <w:t xml:space="preserve">an </w:t>
      </w:r>
      <w:r w:rsidR="00F52535">
        <w:t xml:space="preserve">accountable officer </w:t>
      </w:r>
      <w:r w:rsidR="0013386D">
        <w:t xml:space="preserve">must </w:t>
      </w:r>
      <w:r>
        <w:t>action separate actual journals</w:t>
      </w:r>
      <w:r w:rsidR="0013386D">
        <w:t xml:space="preserve"> for opening balance accounts</w:t>
      </w:r>
      <w:r w:rsidR="00873049">
        <w:t xml:space="preserve"> as at </w:t>
      </w:r>
      <w:r w:rsidR="00217471">
        <w:t>the effective date</w:t>
      </w:r>
      <w:r w:rsidR="00F7163D">
        <w:t xml:space="preserve"> </w:t>
      </w:r>
      <w:r w:rsidR="0013386D">
        <w:t xml:space="preserve">and movements </w:t>
      </w:r>
      <w:r w:rsidR="00A12AFF">
        <w:t xml:space="preserve">that </w:t>
      </w:r>
      <w:r w:rsidR="0013386D">
        <w:t>have occurred in</w:t>
      </w:r>
      <w:r w:rsidR="00F52535">
        <w:t xml:space="preserve"> the</w:t>
      </w:r>
      <w:r w:rsidR="0013386D">
        <w:t xml:space="preserve"> agency</w:t>
      </w:r>
      <w:r w:rsidR="00F52535">
        <w:t>’s</w:t>
      </w:r>
      <w:r w:rsidR="0013386D">
        <w:t xml:space="preserve"> accounts</w:t>
      </w:r>
      <w:r w:rsidR="00217471">
        <w:t xml:space="preserve"> from the effective date to the date of transfer</w:t>
      </w:r>
      <w:r w:rsidR="0013386D">
        <w:t>.</w:t>
      </w:r>
      <w:bookmarkEnd w:id="11"/>
    </w:p>
    <w:p w14:paraId="70FDB421" w14:textId="77777777" w:rsidR="0013386D" w:rsidRDefault="0013386D" w:rsidP="0013386D">
      <w:pPr>
        <w:pStyle w:val="Heading2"/>
      </w:pPr>
      <w:r>
        <w:t>Infrastructure</w:t>
      </w:r>
    </w:p>
    <w:p w14:paraId="4FF44C26" w14:textId="128D2F26" w:rsidR="0013386D" w:rsidRDefault="00DB4108" w:rsidP="0013386D">
      <w:pPr>
        <w:pStyle w:val="ListNumber"/>
        <w:ind w:left="357" w:hanging="357"/>
      </w:pPr>
      <w:r>
        <w:t xml:space="preserve">DTF </w:t>
      </w:r>
      <w:r w:rsidR="003549F1">
        <w:t xml:space="preserve">in consultation with the </w:t>
      </w:r>
      <w:r w:rsidR="0013386D">
        <w:t>Department of Infrastructure, Planning and Logistics</w:t>
      </w:r>
      <w:r w:rsidR="003549F1">
        <w:t xml:space="preserve"> will determine</w:t>
      </w:r>
      <w:r w:rsidR="0013386D">
        <w:t xml:space="preserve"> </w:t>
      </w:r>
      <w:r w:rsidR="00873049">
        <w:t xml:space="preserve">revised capital works and minor new works program and </w:t>
      </w:r>
      <w:r w:rsidR="0013386D">
        <w:t>repairs and maintenance</w:t>
      </w:r>
      <w:r w:rsidR="00873049">
        <w:t xml:space="preserve"> allocations</w:t>
      </w:r>
      <w:r w:rsidR="00217471">
        <w:t xml:space="preserve"> as</w:t>
      </w:r>
      <w:r w:rsidR="00740AE3">
        <w:t xml:space="preserve">sociated with administrative or </w:t>
      </w:r>
      <w:r w:rsidR="00217471">
        <w:t xml:space="preserve">functional </w:t>
      </w:r>
      <w:r w:rsidR="00F7163D">
        <w:t>rearrangements</w:t>
      </w:r>
      <w:r w:rsidR="0013386D">
        <w:t xml:space="preserve">. </w:t>
      </w:r>
    </w:p>
    <w:p w14:paraId="6A1A38E0" w14:textId="77777777" w:rsidR="0013386D" w:rsidRDefault="0013386D" w:rsidP="0013386D">
      <w:pPr>
        <w:pStyle w:val="Heading1"/>
      </w:pPr>
      <w:r>
        <w:t>Recordkeeping</w:t>
      </w:r>
    </w:p>
    <w:p w14:paraId="0B04D8DF" w14:textId="77777777" w:rsidR="0013386D" w:rsidRDefault="0013386D" w:rsidP="0013386D">
      <w:pPr>
        <w:pStyle w:val="ListNumber"/>
        <w:ind w:left="357" w:hanging="357"/>
      </w:pPr>
      <w:r>
        <w:t>An a</w:t>
      </w:r>
      <w:r w:rsidRPr="00D14705">
        <w:t>ccountable officer must</w:t>
      </w:r>
      <w:r>
        <w:t>:</w:t>
      </w:r>
    </w:p>
    <w:p w14:paraId="5400A147" w14:textId="77777777" w:rsidR="0013386D" w:rsidRDefault="0013386D" w:rsidP="00DB7A9F">
      <w:pPr>
        <w:pStyle w:val="ListNumber"/>
        <w:numPr>
          <w:ilvl w:val="0"/>
          <w:numId w:val="35"/>
        </w:numPr>
        <w:ind w:left="717"/>
      </w:pPr>
      <w:r w:rsidRPr="00D14705">
        <w:t xml:space="preserve">keep appropriate documentation to support the </w:t>
      </w:r>
      <w:r>
        <w:t xml:space="preserve">budget and actual transfers actioned under a </w:t>
      </w:r>
      <w:proofErr w:type="spellStart"/>
      <w:r>
        <w:t>MoG</w:t>
      </w:r>
      <w:proofErr w:type="spellEnd"/>
      <w:r>
        <w:t xml:space="preserve"> change</w:t>
      </w:r>
    </w:p>
    <w:p w14:paraId="3737F876" w14:textId="77777777" w:rsidR="0013386D" w:rsidRPr="00D14705" w:rsidRDefault="0013386D" w:rsidP="00DB7A9F">
      <w:pPr>
        <w:pStyle w:val="ListNumber"/>
        <w:numPr>
          <w:ilvl w:val="0"/>
          <w:numId w:val="35"/>
        </w:numPr>
        <w:ind w:left="717"/>
      </w:pPr>
      <w:proofErr w:type="gramStart"/>
      <w:r w:rsidRPr="00D14705">
        <w:t>retain</w:t>
      </w:r>
      <w:proofErr w:type="gramEnd"/>
      <w:r w:rsidRPr="00D14705">
        <w:t xml:space="preserve"> such records for the specified minimum period, in accordance with the agency’s records disposal schedule.</w:t>
      </w:r>
    </w:p>
    <w:p w14:paraId="79438E45" w14:textId="77777777" w:rsidR="0013386D" w:rsidRDefault="0013386D" w:rsidP="0013386D">
      <w:pPr>
        <w:pStyle w:val="Heading1"/>
      </w:pPr>
      <w:r>
        <w:t xml:space="preserve">Reporting </w:t>
      </w:r>
    </w:p>
    <w:p w14:paraId="2FB5F13E" w14:textId="7B102C23" w:rsidR="0013386D" w:rsidRDefault="0013386D" w:rsidP="0013386D">
      <w:pPr>
        <w:pStyle w:val="ListNumber"/>
        <w:ind w:left="357" w:hanging="357"/>
      </w:pPr>
      <w:r>
        <w:t>U</w:t>
      </w:r>
      <w:r w:rsidRPr="00726EE5">
        <w:t>pon request</w:t>
      </w:r>
      <w:r>
        <w:t xml:space="preserve">, an accountable officer must provide </w:t>
      </w:r>
      <w:r w:rsidR="00FB4258">
        <w:t>DTF</w:t>
      </w:r>
      <w:r>
        <w:t xml:space="preserve"> with </w:t>
      </w:r>
      <w:r w:rsidR="00FB4258">
        <w:t>copies</w:t>
      </w:r>
      <w:r>
        <w:t xml:space="preserve"> of documentation </w:t>
      </w:r>
      <w:r w:rsidR="00A12AFF">
        <w:t xml:space="preserve">that </w:t>
      </w:r>
      <w:r>
        <w:t>support the budget and actual transfer process</w:t>
      </w:r>
      <w:r w:rsidR="000F3491">
        <w:t>,</w:t>
      </w:r>
      <w:r>
        <w:t xml:space="preserve"> and any other relevant information as </w:t>
      </w:r>
      <w:r w:rsidR="00FB4258">
        <w:t>and when required</w:t>
      </w:r>
      <w:r>
        <w:t>.</w:t>
      </w:r>
    </w:p>
    <w:p w14:paraId="71F49AE2" w14:textId="77777777" w:rsidR="00FB4258" w:rsidRDefault="00FB4258" w:rsidP="000744C9">
      <w:pPr>
        <w:pStyle w:val="Heading1"/>
      </w:pPr>
      <w:r>
        <w:t>Exclusions</w:t>
      </w:r>
    </w:p>
    <w:p w14:paraId="42E567D5" w14:textId="345BDEEB" w:rsidR="00E4749C" w:rsidRDefault="00FF4E49" w:rsidP="000744C9">
      <w:pPr>
        <w:pStyle w:val="ListNumber"/>
        <w:ind w:left="357" w:hanging="357"/>
      </w:pPr>
      <w:r>
        <w:t>T</w:t>
      </w:r>
      <w:r w:rsidR="00FB4258">
        <w:t xml:space="preserve">o facilitate the processing of </w:t>
      </w:r>
      <w:proofErr w:type="spellStart"/>
      <w:r w:rsidR="00FB4258">
        <w:t>MoG</w:t>
      </w:r>
      <w:proofErr w:type="spellEnd"/>
      <w:r w:rsidR="00FB4258">
        <w:t xml:space="preserve"> changes</w:t>
      </w:r>
      <w:r w:rsidR="000F3491">
        <w:t xml:space="preserve"> and meet government requirements</w:t>
      </w:r>
      <w:r>
        <w:t>, DTF is authorised</w:t>
      </w:r>
      <w:r w:rsidR="00E4749C">
        <w:t>:</w:t>
      </w:r>
    </w:p>
    <w:p w14:paraId="0D84B7F5" w14:textId="77777777" w:rsidR="00E4749C" w:rsidRDefault="00E4749C" w:rsidP="00DB7A9F">
      <w:pPr>
        <w:pStyle w:val="ListNumber"/>
        <w:numPr>
          <w:ilvl w:val="0"/>
          <w:numId w:val="37"/>
        </w:numPr>
        <w:ind w:left="717"/>
      </w:pPr>
      <w:r>
        <w:t xml:space="preserve">to change the effective date, </w:t>
      </w:r>
      <w:r w:rsidR="00FF4E49">
        <w:t>timeframes and due dates referred to within this Treasurer’s Direction</w:t>
      </w:r>
    </w:p>
    <w:p w14:paraId="4FE6B541" w14:textId="18D0F048" w:rsidR="00FB4258" w:rsidRPr="001F53EB" w:rsidRDefault="00A12AFF" w:rsidP="00DB7A9F">
      <w:pPr>
        <w:pStyle w:val="ListNumber"/>
        <w:numPr>
          <w:ilvl w:val="0"/>
          <w:numId w:val="37"/>
        </w:numPr>
        <w:ind w:left="717"/>
      </w:pPr>
      <w:proofErr w:type="gramStart"/>
      <w:r>
        <w:t>to</w:t>
      </w:r>
      <w:proofErr w:type="gramEnd"/>
      <w:r>
        <w:t xml:space="preserve"> </w:t>
      </w:r>
      <w:r w:rsidR="00E4749C">
        <w:t xml:space="preserve">determine the </w:t>
      </w:r>
      <w:r w:rsidR="00FF4E49">
        <w:t>exclusion of parameters from budget transfers</w:t>
      </w:r>
      <w:r w:rsidR="00E4749C">
        <w:t xml:space="preserve"> where necessary</w:t>
      </w:r>
      <w:r w:rsidR="00783781">
        <w:t>.</w:t>
      </w:r>
    </w:p>
    <w:p w14:paraId="60C460D8" w14:textId="77777777" w:rsidR="0013386D" w:rsidRDefault="0013386D" w:rsidP="0013386D">
      <w:pPr>
        <w:pStyle w:val="Heading1"/>
      </w:pPr>
      <w:r>
        <w:t>Change history</w:t>
      </w:r>
    </w:p>
    <w:tbl>
      <w:tblPr>
        <w:tblStyle w:val="NTGtable"/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Description w:val="Document change history showing version, date, author and change details"/>
      </w:tblPr>
      <w:tblGrid>
        <w:gridCol w:w="1418"/>
        <w:gridCol w:w="2805"/>
        <w:gridCol w:w="2976"/>
        <w:gridCol w:w="3202"/>
      </w:tblGrid>
      <w:tr w:rsidR="0013386D" w:rsidRPr="003A2424" w14:paraId="63AC4DEA" w14:textId="77777777" w:rsidTr="00C60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8" w:type="dxa"/>
          </w:tcPr>
          <w:p w14:paraId="68C41D53" w14:textId="77777777" w:rsidR="0013386D" w:rsidRPr="00667C4A" w:rsidRDefault="0013386D" w:rsidP="00C60E52">
            <w:r w:rsidRPr="0008622A">
              <w:t>Version</w:t>
            </w:r>
          </w:p>
        </w:tc>
        <w:tc>
          <w:tcPr>
            <w:tcW w:w="2805" w:type="dxa"/>
          </w:tcPr>
          <w:p w14:paraId="46A5F7B5" w14:textId="77777777" w:rsidR="0013386D" w:rsidRPr="00667C4A" w:rsidRDefault="0013386D" w:rsidP="00C60E52">
            <w:r w:rsidRPr="0008622A">
              <w:t>Date</w:t>
            </w:r>
          </w:p>
        </w:tc>
        <w:tc>
          <w:tcPr>
            <w:tcW w:w="2976" w:type="dxa"/>
          </w:tcPr>
          <w:p w14:paraId="681CAC93" w14:textId="77777777" w:rsidR="0013386D" w:rsidRPr="00667C4A" w:rsidRDefault="0013386D" w:rsidP="00C60E52">
            <w:r w:rsidRPr="0008622A">
              <w:t>Author</w:t>
            </w:r>
          </w:p>
        </w:tc>
        <w:tc>
          <w:tcPr>
            <w:tcW w:w="3202" w:type="dxa"/>
          </w:tcPr>
          <w:p w14:paraId="2F156ABB" w14:textId="77777777" w:rsidR="0013386D" w:rsidRPr="00667C4A" w:rsidRDefault="0013386D" w:rsidP="00C60E52">
            <w:r w:rsidRPr="0008622A">
              <w:t>Change details</w:t>
            </w:r>
          </w:p>
        </w:tc>
      </w:tr>
      <w:tr w:rsidR="0013386D" w:rsidRPr="003A2424" w14:paraId="04789F1B" w14:textId="77777777" w:rsidTr="00C60E52">
        <w:tc>
          <w:tcPr>
            <w:tcW w:w="1418" w:type="dxa"/>
          </w:tcPr>
          <w:p w14:paraId="6435FCDF" w14:textId="77777777" w:rsidR="0013386D" w:rsidRDefault="0013386D" w:rsidP="00C60E52">
            <w:pPr>
              <w:spacing w:before="60" w:after="60"/>
            </w:pPr>
            <w:r>
              <w:t>1.0</w:t>
            </w:r>
          </w:p>
        </w:tc>
        <w:tc>
          <w:tcPr>
            <w:tcW w:w="2805" w:type="dxa"/>
          </w:tcPr>
          <w:p w14:paraId="0632E250" w14:textId="77777777" w:rsidR="0013386D" w:rsidRDefault="0013386D" w:rsidP="00C60E52">
            <w:pPr>
              <w:spacing w:before="60" w:after="60"/>
            </w:pPr>
            <w:r>
              <w:t>1 July 2020</w:t>
            </w:r>
          </w:p>
        </w:tc>
        <w:tc>
          <w:tcPr>
            <w:tcW w:w="2976" w:type="dxa"/>
          </w:tcPr>
          <w:p w14:paraId="6920CEBB" w14:textId="77777777" w:rsidR="0013386D" w:rsidRDefault="0013386D" w:rsidP="00C60E52">
            <w:pPr>
              <w:spacing w:before="60" w:after="60"/>
            </w:pPr>
            <w:r>
              <w:t>DTF Financial Policy</w:t>
            </w:r>
          </w:p>
        </w:tc>
        <w:tc>
          <w:tcPr>
            <w:tcW w:w="3202" w:type="dxa"/>
          </w:tcPr>
          <w:p w14:paraId="2AA7DA90" w14:textId="77777777" w:rsidR="0013386D" w:rsidRPr="003A2424" w:rsidRDefault="0013386D" w:rsidP="00C60E52">
            <w:pPr>
              <w:spacing w:before="60" w:after="60"/>
            </w:pPr>
            <w:r w:rsidRPr="003A2424">
              <w:t>Initial version</w:t>
            </w:r>
          </w:p>
        </w:tc>
      </w:tr>
    </w:tbl>
    <w:p w14:paraId="227C8BA7" w14:textId="77777777" w:rsidR="0013386D" w:rsidRDefault="0013386D" w:rsidP="0013386D">
      <w:pPr>
        <w:pStyle w:val="ListNumber"/>
        <w:numPr>
          <w:ilvl w:val="0"/>
          <w:numId w:val="0"/>
        </w:numPr>
      </w:pPr>
    </w:p>
    <w:p w14:paraId="1F064C07" w14:textId="77777777" w:rsidR="001F53EB" w:rsidRDefault="001F53EB" w:rsidP="00CC4B85">
      <w:pPr>
        <w:pStyle w:val="ListNumber"/>
        <w:numPr>
          <w:ilvl w:val="0"/>
          <w:numId w:val="0"/>
        </w:numPr>
      </w:pPr>
    </w:p>
    <w:sectPr w:rsidR="001F53EB" w:rsidSect="00B2229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50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3E8187" w16cid:durableId="22231397"/>
  <w16cid:commentId w16cid:paraId="17370B49" w16cid:durableId="22231398"/>
  <w16cid:commentId w16cid:paraId="5E5235F6" w16cid:durableId="22231399"/>
  <w16cid:commentId w16cid:paraId="7B5D5D6E" w16cid:durableId="2223139D"/>
  <w16cid:commentId w16cid:paraId="3438E283" w16cid:durableId="22231F87"/>
  <w16cid:commentId w16cid:paraId="05568BFE" w16cid:durableId="22231F86"/>
  <w16cid:commentId w16cid:paraId="64453EED" w16cid:durableId="22231F85"/>
  <w16cid:commentId w16cid:paraId="4F8BF804" w16cid:durableId="22231F84"/>
  <w16cid:commentId w16cid:paraId="7062A79A" w16cid:durableId="223040B8"/>
  <w16cid:commentId w16cid:paraId="5EE52DB0" w16cid:durableId="222AE711"/>
  <w16cid:commentId w16cid:paraId="43B98F02" w16cid:durableId="22231F82"/>
  <w16cid:commentId w16cid:paraId="40B025A1" w16cid:durableId="22231F81"/>
  <w16cid:commentId w16cid:paraId="40A06C87" w16cid:durableId="22231F80"/>
  <w16cid:commentId w16cid:paraId="7FD9FC4C" w16cid:durableId="22301A68"/>
  <w16cid:commentId w16cid:paraId="2EB3B24C" w16cid:durableId="222AEB3C"/>
  <w16cid:commentId w16cid:paraId="5A930D40" w16cid:durableId="22231F1A"/>
  <w16cid:commentId w16cid:paraId="4DA0D27D" w16cid:durableId="222AE716"/>
  <w16cid:commentId w16cid:paraId="6356A9EF" w16cid:durableId="222AE717"/>
  <w16cid:commentId w16cid:paraId="2A28F326" w16cid:durableId="22307074"/>
  <w16cid:commentId w16cid:paraId="2C7F04AE" w16cid:durableId="22301A6D"/>
  <w16cid:commentId w16cid:paraId="2AF5728A" w16cid:durableId="22301A6E"/>
  <w16cid:commentId w16cid:paraId="6973B291" w16cid:durableId="222AE719"/>
  <w16cid:commentId w16cid:paraId="69B8FB2A" w16cid:durableId="222313A3"/>
  <w16cid:commentId w16cid:paraId="1656C607" w16cid:durableId="2223139C"/>
  <w16cid:commentId w16cid:paraId="19F7C566" w16cid:durableId="222AE709"/>
  <w16cid:commentId w16cid:paraId="549A2476" w16cid:durableId="222AE71D"/>
  <w16cid:commentId w16cid:paraId="4D26AB48" w16cid:durableId="22231B7A"/>
  <w16cid:commentId w16cid:paraId="5F85D833" w16cid:durableId="22231B79"/>
  <w16cid:commentId w16cid:paraId="2CC3FDB6" w16cid:durableId="222313B0"/>
  <w16cid:commentId w16cid:paraId="75E8F925" w16cid:durableId="222313B1"/>
  <w16cid:commentId w16cid:paraId="303D4333" w16cid:durableId="22301A77"/>
  <w16cid:commentId w16cid:paraId="4BFCBE53" w16cid:durableId="22301A78"/>
  <w16cid:commentId w16cid:paraId="3A1E4401" w16cid:durableId="22301A79"/>
  <w16cid:commentId w16cid:paraId="2E75BBE0" w16cid:durableId="222313B9"/>
  <w16cid:commentId w16cid:paraId="79CE18E7" w16cid:durableId="22301A7B"/>
  <w16cid:commentId w16cid:paraId="72E1A781" w16cid:durableId="22301A7C"/>
  <w16cid:commentId w16cid:paraId="78C0ADD8" w16cid:durableId="22231C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D5D54" w14:textId="77777777" w:rsidR="00B730BA" w:rsidRDefault="00B730BA" w:rsidP="007332FF">
      <w:r>
        <w:separator/>
      </w:r>
    </w:p>
  </w:endnote>
  <w:endnote w:type="continuationSeparator" w:id="0">
    <w:p w14:paraId="0ECB555B" w14:textId="77777777" w:rsidR="00B730BA" w:rsidRDefault="00B730B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1AFB7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4A293E00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0A1EC8FD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B2229C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5A114CA7" w14:textId="27A73CD3" w:rsidR="00D47DC7" w:rsidRPr="00CE6614" w:rsidRDefault="008F564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7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 July</w:t>
              </w:r>
              <w:r w:rsidR="00873049">
                <w:rPr>
                  <w:rStyle w:val="PageNumber"/>
                </w:rPr>
                <w:t xml:space="preserve"> 2020</w:t>
              </w:r>
            </w:sdtContent>
          </w:sdt>
          <w:r w:rsidR="00D47DC7" w:rsidRPr="00CE6614">
            <w:rPr>
              <w:rStyle w:val="PageNumber"/>
            </w:rPr>
            <w:t xml:space="preserve"> | Version </w:t>
          </w:r>
          <w:r w:rsidR="00B2229C">
            <w:rPr>
              <w:rStyle w:val="PageNumber"/>
            </w:rPr>
            <w:t>1.0</w:t>
          </w:r>
        </w:p>
        <w:p w14:paraId="64B68C17" w14:textId="43527BB6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F5641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F5641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B3C5234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4F112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200D405" w14:textId="77777777" w:rsidTr="00B2229C">
      <w:trPr>
        <w:cantSplit/>
        <w:trHeight w:hRule="exact" w:val="1000"/>
      </w:trPr>
      <w:tc>
        <w:tcPr>
          <w:tcW w:w="7767" w:type="dxa"/>
          <w:vAlign w:val="bottom"/>
        </w:tcPr>
        <w:p w14:paraId="7D110212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B2229C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10897822" w14:textId="7E5052EE" w:rsidR="00D47DC7" w:rsidRPr="00CE6614" w:rsidRDefault="008F564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7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 July 2020</w:t>
              </w:r>
            </w:sdtContent>
          </w:sdt>
          <w:r w:rsidR="00D47DC7" w:rsidRPr="00CE6614">
            <w:rPr>
              <w:rStyle w:val="PageNumber"/>
            </w:rPr>
            <w:t xml:space="preserve"> | Version </w:t>
          </w:r>
          <w:r w:rsidR="00B2229C">
            <w:rPr>
              <w:rStyle w:val="PageNumber"/>
            </w:rPr>
            <w:t>1.0</w:t>
          </w:r>
        </w:p>
        <w:p w14:paraId="04D2731E" w14:textId="18CA7CE2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F564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F5641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1896F34F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7282774" wp14:editId="5A7E961C">
                <wp:extent cx="1572479" cy="561600"/>
                <wp:effectExtent l="0" t="0" r="8890" b="0"/>
                <wp:docPr id="4" name="Picture 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4D2B81B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A9061" w14:textId="77777777" w:rsidR="00B730BA" w:rsidRDefault="00B730BA" w:rsidP="007332FF">
      <w:r>
        <w:separator/>
      </w:r>
    </w:p>
  </w:footnote>
  <w:footnote w:type="continuationSeparator" w:id="0">
    <w:p w14:paraId="21B2E979" w14:textId="77777777" w:rsidR="00B730BA" w:rsidRDefault="00B730B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DB86" w14:textId="2DB11475" w:rsidR="00983000" w:rsidRPr="00162207" w:rsidRDefault="008F564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466EA">
          <w:t>Treasurer’s Direction – Machinery of government changes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29573F95" w14:textId="60C730A0" w:rsidR="00E54F9E" w:rsidRDefault="00C466EA" w:rsidP="00435082">
        <w:pPr>
          <w:pStyle w:val="Title"/>
        </w:pPr>
        <w:r>
          <w:rPr>
            <w:rStyle w:val="TitleChar"/>
          </w:rPr>
          <w:t>Treasurer’s Direction – Machinery of government changes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70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0F0990"/>
    <w:multiLevelType w:val="multilevel"/>
    <w:tmpl w:val="0C78A7AC"/>
    <w:styleLink w:val="NTGTable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4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5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0B31CDC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4E93944"/>
    <w:multiLevelType w:val="multilevel"/>
    <w:tmpl w:val="BD7A8414"/>
    <w:styleLink w:val="NTGStandardLis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6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17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2E4128D7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8AA1FAA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0C09001B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8" w15:restartNumberingAfterBreak="0">
    <w:nsid w:val="418B4474"/>
    <w:multiLevelType w:val="multilevel"/>
    <w:tmpl w:val="B7FCADA4"/>
    <w:lvl w:ilvl="0">
      <w:start w:val="44"/>
      <w:numFmt w:val="decimal"/>
      <w:lvlText w:val="%1."/>
      <w:lvlJc w:val="left"/>
      <w:pPr>
        <w:ind w:left="68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30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19"/>
        </w:tabs>
        <w:ind w:left="976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77"/>
        </w:tabs>
        <w:ind w:left="1333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40"/>
        </w:tabs>
        <w:ind w:left="1690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91"/>
        </w:tabs>
        <w:ind w:left="204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8"/>
        </w:tabs>
        <w:ind w:left="2404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05"/>
        </w:tabs>
        <w:ind w:left="2761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63"/>
        </w:tabs>
        <w:ind w:left="3118" w:hanging="357"/>
      </w:pPr>
      <w:rPr>
        <w:rFonts w:hint="default"/>
      </w:rPr>
    </w:lvl>
  </w:abstractNum>
  <w:abstractNum w:abstractNumId="29" w15:restartNumberingAfterBreak="0">
    <w:nsid w:val="461D0C8A"/>
    <w:multiLevelType w:val="multilevel"/>
    <w:tmpl w:val="39746A98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30" w15:restartNumberingAfterBreak="0">
    <w:nsid w:val="49580111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4071" w:hanging="360"/>
      </w:pPr>
    </w:lvl>
    <w:lvl w:ilvl="1" w:tplc="0C09001B">
      <w:start w:val="1"/>
      <w:numFmt w:val="lowerRoman"/>
      <w:lvlText w:val="%2."/>
      <w:lvlJc w:val="right"/>
      <w:pPr>
        <w:ind w:left="1069" w:hanging="360"/>
      </w:pPr>
    </w:lvl>
    <w:lvl w:ilvl="2" w:tplc="0C09001B">
      <w:start w:val="1"/>
      <w:numFmt w:val="lowerRoman"/>
      <w:lvlText w:val="%3."/>
      <w:lvlJc w:val="right"/>
      <w:pPr>
        <w:ind w:left="5511" w:hanging="180"/>
      </w:pPr>
    </w:lvl>
    <w:lvl w:ilvl="3" w:tplc="0C09000F" w:tentative="1">
      <w:start w:val="1"/>
      <w:numFmt w:val="decimal"/>
      <w:lvlText w:val="%4."/>
      <w:lvlJc w:val="left"/>
      <w:pPr>
        <w:ind w:left="6231" w:hanging="360"/>
      </w:pPr>
    </w:lvl>
    <w:lvl w:ilvl="4" w:tplc="0C090019" w:tentative="1">
      <w:start w:val="1"/>
      <w:numFmt w:val="lowerLetter"/>
      <w:lvlText w:val="%5."/>
      <w:lvlJc w:val="left"/>
      <w:pPr>
        <w:ind w:left="6951" w:hanging="360"/>
      </w:pPr>
    </w:lvl>
    <w:lvl w:ilvl="5" w:tplc="0C09001B" w:tentative="1">
      <w:start w:val="1"/>
      <w:numFmt w:val="lowerRoman"/>
      <w:lvlText w:val="%6."/>
      <w:lvlJc w:val="right"/>
      <w:pPr>
        <w:ind w:left="7671" w:hanging="180"/>
      </w:pPr>
    </w:lvl>
    <w:lvl w:ilvl="6" w:tplc="0C09000F" w:tentative="1">
      <w:start w:val="1"/>
      <w:numFmt w:val="decimal"/>
      <w:lvlText w:val="%7."/>
      <w:lvlJc w:val="left"/>
      <w:pPr>
        <w:ind w:left="8391" w:hanging="360"/>
      </w:pPr>
    </w:lvl>
    <w:lvl w:ilvl="7" w:tplc="0C090019" w:tentative="1">
      <w:start w:val="1"/>
      <w:numFmt w:val="lowerLetter"/>
      <w:lvlText w:val="%8."/>
      <w:lvlJc w:val="left"/>
      <w:pPr>
        <w:ind w:left="9111" w:hanging="360"/>
      </w:pPr>
    </w:lvl>
    <w:lvl w:ilvl="8" w:tplc="0C09001B" w:tentative="1">
      <w:start w:val="1"/>
      <w:numFmt w:val="lowerRoman"/>
      <w:lvlText w:val="%9."/>
      <w:lvlJc w:val="right"/>
      <w:pPr>
        <w:ind w:left="9831" w:hanging="180"/>
      </w:p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ADA57A0"/>
    <w:multiLevelType w:val="hybridMultilevel"/>
    <w:tmpl w:val="C3E0E3A6"/>
    <w:lvl w:ilvl="0" w:tplc="84DEA7D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2" w:hanging="360"/>
      </w:pPr>
    </w:lvl>
    <w:lvl w:ilvl="2" w:tplc="0C09001B" w:tentative="1">
      <w:start w:val="1"/>
      <w:numFmt w:val="lowerRoman"/>
      <w:lvlText w:val="%3."/>
      <w:lvlJc w:val="right"/>
      <w:pPr>
        <w:ind w:left="2112" w:hanging="180"/>
      </w:pPr>
    </w:lvl>
    <w:lvl w:ilvl="3" w:tplc="0C09000F" w:tentative="1">
      <w:start w:val="1"/>
      <w:numFmt w:val="decimal"/>
      <w:lvlText w:val="%4."/>
      <w:lvlJc w:val="left"/>
      <w:pPr>
        <w:ind w:left="2832" w:hanging="360"/>
      </w:pPr>
    </w:lvl>
    <w:lvl w:ilvl="4" w:tplc="0C090019" w:tentative="1">
      <w:start w:val="1"/>
      <w:numFmt w:val="lowerLetter"/>
      <w:lvlText w:val="%5."/>
      <w:lvlJc w:val="left"/>
      <w:pPr>
        <w:ind w:left="3552" w:hanging="360"/>
      </w:pPr>
    </w:lvl>
    <w:lvl w:ilvl="5" w:tplc="0C09001B" w:tentative="1">
      <w:start w:val="1"/>
      <w:numFmt w:val="lowerRoman"/>
      <w:lvlText w:val="%6."/>
      <w:lvlJc w:val="right"/>
      <w:pPr>
        <w:ind w:left="4272" w:hanging="180"/>
      </w:pPr>
    </w:lvl>
    <w:lvl w:ilvl="6" w:tplc="0C09000F" w:tentative="1">
      <w:start w:val="1"/>
      <w:numFmt w:val="decimal"/>
      <w:lvlText w:val="%7."/>
      <w:lvlJc w:val="left"/>
      <w:pPr>
        <w:ind w:left="4992" w:hanging="360"/>
      </w:pPr>
    </w:lvl>
    <w:lvl w:ilvl="7" w:tplc="0C090019" w:tentative="1">
      <w:start w:val="1"/>
      <w:numFmt w:val="lowerLetter"/>
      <w:lvlText w:val="%8."/>
      <w:lvlJc w:val="left"/>
      <w:pPr>
        <w:ind w:left="5712" w:hanging="360"/>
      </w:pPr>
    </w:lvl>
    <w:lvl w:ilvl="8" w:tplc="0C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3" w15:restartNumberingAfterBreak="0">
    <w:nsid w:val="4B536896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5" w15:restartNumberingAfterBreak="0">
    <w:nsid w:val="4CB508CE"/>
    <w:multiLevelType w:val="hybridMultilevel"/>
    <w:tmpl w:val="078243EE"/>
    <w:lvl w:ilvl="0" w:tplc="0C09000F">
      <w:start w:val="1"/>
      <w:numFmt w:val="decimal"/>
      <w:lvlText w:val="%1."/>
      <w:lvlJc w:val="left"/>
      <w:pPr>
        <w:ind w:left="928" w:hanging="360"/>
      </w:p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5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53842BC6"/>
    <w:multiLevelType w:val="multilevel"/>
    <w:tmpl w:val="0C78A7AC"/>
    <w:numStyleLink w:val="Tablebulletlist"/>
  </w:abstractNum>
  <w:abstractNum w:abstractNumId="3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0" w15:restartNumberingAfterBreak="0">
    <w:nsid w:val="55EE5AD0"/>
    <w:multiLevelType w:val="multilevel"/>
    <w:tmpl w:val="0C78A7AC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7FBC1511"/>
    <w:multiLevelType w:val="multilevel"/>
    <w:tmpl w:val="F3EE93D8"/>
    <w:lvl w:ilvl="0">
      <w:start w:val="1"/>
      <w:numFmt w:val="decimal"/>
      <w:pStyle w:val="ListNumber"/>
      <w:lvlText w:val="%1."/>
      <w:lvlJc w:val="left"/>
      <w:pPr>
        <w:ind w:left="286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59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13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7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2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83" w:hanging="454"/>
      </w:pPr>
      <w:rPr>
        <w:rFonts w:hint="default"/>
      </w:rPr>
    </w:lvl>
  </w:abstractNum>
  <w:num w:numId="1">
    <w:abstractNumId w:val="25"/>
  </w:num>
  <w:num w:numId="2">
    <w:abstractNumId w:val="14"/>
  </w:num>
  <w:num w:numId="3">
    <w:abstractNumId w:val="48"/>
  </w:num>
  <w:num w:numId="4">
    <w:abstractNumId w:val="34"/>
  </w:num>
  <w:num w:numId="5">
    <w:abstractNumId w:val="20"/>
  </w:num>
  <w:num w:numId="6">
    <w:abstractNumId w:val="9"/>
  </w:num>
  <w:num w:numId="7">
    <w:abstractNumId w:val="38"/>
  </w:num>
  <w:num w:numId="8">
    <w:abstractNumId w:val="19"/>
  </w:num>
  <w:num w:numId="9">
    <w:abstractNumId w:val="37"/>
  </w:num>
  <w:num w:numId="10">
    <w:abstractNumId w:val="1"/>
  </w:num>
  <w:num w:numId="11">
    <w:abstractNumId w:val="40"/>
  </w:num>
  <w:num w:numId="12">
    <w:abstractNumId w:val="50"/>
  </w:num>
  <w:num w:numId="13">
    <w:abstractNumId w:val="29"/>
  </w:num>
  <w:num w:numId="14">
    <w:abstractNumId w:val="28"/>
  </w:num>
  <w:num w:numId="15">
    <w:abstractNumId w:val="15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50"/>
  </w:num>
  <w:num w:numId="19">
    <w:abstractNumId w:val="50"/>
  </w:num>
  <w:num w:numId="20">
    <w:abstractNumId w:val="50"/>
  </w:num>
  <w:num w:numId="21">
    <w:abstractNumId w:val="50"/>
  </w:num>
  <w:num w:numId="22">
    <w:abstractNumId w:val="50"/>
  </w:num>
  <w:num w:numId="23">
    <w:abstractNumId w:val="50"/>
  </w:num>
  <w:num w:numId="24">
    <w:abstractNumId w:val="50"/>
  </w:num>
  <w:num w:numId="25">
    <w:abstractNumId w:val="50"/>
  </w:num>
  <w:num w:numId="26">
    <w:abstractNumId w:val="50"/>
  </w:num>
  <w:num w:numId="27">
    <w:abstractNumId w:val="0"/>
  </w:num>
  <w:num w:numId="28">
    <w:abstractNumId w:val="50"/>
  </w:num>
  <w:num w:numId="29">
    <w:abstractNumId w:val="50"/>
  </w:num>
  <w:num w:numId="30">
    <w:abstractNumId w:val="50"/>
  </w:num>
  <w:num w:numId="31">
    <w:abstractNumId w:val="50"/>
  </w:num>
  <w:num w:numId="32">
    <w:abstractNumId w:val="26"/>
  </w:num>
  <w:num w:numId="33">
    <w:abstractNumId w:val="50"/>
  </w:num>
  <w:num w:numId="34">
    <w:abstractNumId w:val="50"/>
  </w:num>
  <w:num w:numId="35">
    <w:abstractNumId w:val="13"/>
  </w:num>
  <w:num w:numId="36">
    <w:abstractNumId w:val="50"/>
  </w:num>
  <w:num w:numId="37">
    <w:abstractNumId w:val="33"/>
  </w:num>
  <w:num w:numId="38">
    <w:abstractNumId w:val="50"/>
  </w:num>
  <w:num w:numId="39">
    <w:abstractNumId w:val="32"/>
  </w:num>
  <w:num w:numId="40">
    <w:abstractNumId w:val="50"/>
  </w:num>
  <w:num w:numId="41">
    <w:abstractNumId w:val="50"/>
  </w:num>
  <w:num w:numId="42">
    <w:abstractNumId w:val="35"/>
  </w:num>
  <w:num w:numId="43">
    <w:abstractNumId w:val="50"/>
  </w:num>
  <w:num w:numId="44">
    <w:abstractNumId w:val="5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9C"/>
    <w:rsid w:val="00001DDF"/>
    <w:rsid w:val="0000322D"/>
    <w:rsid w:val="00006263"/>
    <w:rsid w:val="00007670"/>
    <w:rsid w:val="00010665"/>
    <w:rsid w:val="0001187A"/>
    <w:rsid w:val="0002393A"/>
    <w:rsid w:val="000253CD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17C1"/>
    <w:rsid w:val="000720BE"/>
    <w:rsid w:val="0007259C"/>
    <w:rsid w:val="000744C9"/>
    <w:rsid w:val="000744DE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15CD"/>
    <w:rsid w:val="000962C5"/>
    <w:rsid w:val="00097865"/>
    <w:rsid w:val="000A4317"/>
    <w:rsid w:val="000A559C"/>
    <w:rsid w:val="000B2CA1"/>
    <w:rsid w:val="000C2E5A"/>
    <w:rsid w:val="000D1F29"/>
    <w:rsid w:val="000D633D"/>
    <w:rsid w:val="000E342B"/>
    <w:rsid w:val="000E3E54"/>
    <w:rsid w:val="000E3ED2"/>
    <w:rsid w:val="000E5DD2"/>
    <w:rsid w:val="000F2958"/>
    <w:rsid w:val="000F3491"/>
    <w:rsid w:val="000F3850"/>
    <w:rsid w:val="000F604F"/>
    <w:rsid w:val="00104E7F"/>
    <w:rsid w:val="00111AB7"/>
    <w:rsid w:val="001137EC"/>
    <w:rsid w:val="001152F5"/>
    <w:rsid w:val="00117743"/>
    <w:rsid w:val="00117F5B"/>
    <w:rsid w:val="00125B77"/>
    <w:rsid w:val="00132658"/>
    <w:rsid w:val="0013386D"/>
    <w:rsid w:val="00135DC7"/>
    <w:rsid w:val="0014502C"/>
    <w:rsid w:val="00150DC0"/>
    <w:rsid w:val="0015394D"/>
    <w:rsid w:val="001562B9"/>
    <w:rsid w:val="00156CD4"/>
    <w:rsid w:val="0016153B"/>
    <w:rsid w:val="00162207"/>
    <w:rsid w:val="00162EAB"/>
    <w:rsid w:val="00164A3E"/>
    <w:rsid w:val="00166FF6"/>
    <w:rsid w:val="00174A3B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B5B28"/>
    <w:rsid w:val="001C0E43"/>
    <w:rsid w:val="001C5892"/>
    <w:rsid w:val="001D01C4"/>
    <w:rsid w:val="001D2C1C"/>
    <w:rsid w:val="001D4F99"/>
    <w:rsid w:val="001D52B0"/>
    <w:rsid w:val="001D5A18"/>
    <w:rsid w:val="001D7CA4"/>
    <w:rsid w:val="001E009B"/>
    <w:rsid w:val="001E057F"/>
    <w:rsid w:val="001E11AA"/>
    <w:rsid w:val="001E14EB"/>
    <w:rsid w:val="001F1D7F"/>
    <w:rsid w:val="001F3E29"/>
    <w:rsid w:val="001F3F04"/>
    <w:rsid w:val="001F53EB"/>
    <w:rsid w:val="001F59E6"/>
    <w:rsid w:val="00202474"/>
    <w:rsid w:val="00203F1C"/>
    <w:rsid w:val="00205598"/>
    <w:rsid w:val="00206936"/>
    <w:rsid w:val="00206C6F"/>
    <w:rsid w:val="00206FBD"/>
    <w:rsid w:val="00207746"/>
    <w:rsid w:val="00217471"/>
    <w:rsid w:val="00230031"/>
    <w:rsid w:val="00235C01"/>
    <w:rsid w:val="0024160A"/>
    <w:rsid w:val="00247343"/>
    <w:rsid w:val="00247F61"/>
    <w:rsid w:val="00265C56"/>
    <w:rsid w:val="0027117F"/>
    <w:rsid w:val="002716CD"/>
    <w:rsid w:val="00274D4B"/>
    <w:rsid w:val="002806F5"/>
    <w:rsid w:val="00281577"/>
    <w:rsid w:val="00287D73"/>
    <w:rsid w:val="002926BC"/>
    <w:rsid w:val="00293A72"/>
    <w:rsid w:val="00297604"/>
    <w:rsid w:val="002A0160"/>
    <w:rsid w:val="002A26BD"/>
    <w:rsid w:val="002A30C3"/>
    <w:rsid w:val="002A6F6A"/>
    <w:rsid w:val="002A7712"/>
    <w:rsid w:val="002B38F7"/>
    <w:rsid w:val="002B4F50"/>
    <w:rsid w:val="002B5591"/>
    <w:rsid w:val="002B6AA4"/>
    <w:rsid w:val="002C1FE9"/>
    <w:rsid w:val="002C7AFC"/>
    <w:rsid w:val="002D090F"/>
    <w:rsid w:val="002D3A57"/>
    <w:rsid w:val="002D6524"/>
    <w:rsid w:val="002D7D05"/>
    <w:rsid w:val="002E192C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3160"/>
    <w:rsid w:val="003164BA"/>
    <w:rsid w:val="00323B04"/>
    <w:rsid w:val="003258E6"/>
    <w:rsid w:val="00342283"/>
    <w:rsid w:val="00343A39"/>
    <w:rsid w:val="00343A87"/>
    <w:rsid w:val="00343C61"/>
    <w:rsid w:val="00344A36"/>
    <w:rsid w:val="003456F4"/>
    <w:rsid w:val="00347474"/>
    <w:rsid w:val="0034756F"/>
    <w:rsid w:val="00347841"/>
    <w:rsid w:val="00347FB6"/>
    <w:rsid w:val="003504FD"/>
    <w:rsid w:val="00350881"/>
    <w:rsid w:val="003549F1"/>
    <w:rsid w:val="00357D55"/>
    <w:rsid w:val="00363513"/>
    <w:rsid w:val="003657E5"/>
    <w:rsid w:val="0036589C"/>
    <w:rsid w:val="00371312"/>
    <w:rsid w:val="00371DC7"/>
    <w:rsid w:val="0037285C"/>
    <w:rsid w:val="00374834"/>
    <w:rsid w:val="00377B21"/>
    <w:rsid w:val="00381B0D"/>
    <w:rsid w:val="00382A7F"/>
    <w:rsid w:val="00390862"/>
    <w:rsid w:val="00390CE3"/>
    <w:rsid w:val="003943E0"/>
    <w:rsid w:val="00394876"/>
    <w:rsid w:val="00394AAF"/>
    <w:rsid w:val="00394CE5"/>
    <w:rsid w:val="0039526F"/>
    <w:rsid w:val="003A6341"/>
    <w:rsid w:val="003B67FD"/>
    <w:rsid w:val="003B6A61"/>
    <w:rsid w:val="003C2198"/>
    <w:rsid w:val="003C4941"/>
    <w:rsid w:val="003D0F63"/>
    <w:rsid w:val="003D3F6B"/>
    <w:rsid w:val="003D42C0"/>
    <w:rsid w:val="003D4A8F"/>
    <w:rsid w:val="003D5B29"/>
    <w:rsid w:val="003D7818"/>
    <w:rsid w:val="003E2445"/>
    <w:rsid w:val="003E3BB2"/>
    <w:rsid w:val="003F4D2D"/>
    <w:rsid w:val="003F5B58"/>
    <w:rsid w:val="003F75AD"/>
    <w:rsid w:val="0040222A"/>
    <w:rsid w:val="004047BC"/>
    <w:rsid w:val="004100F7"/>
    <w:rsid w:val="00413E90"/>
    <w:rsid w:val="00414CB3"/>
    <w:rsid w:val="0041563D"/>
    <w:rsid w:val="0041647A"/>
    <w:rsid w:val="00426E25"/>
    <w:rsid w:val="00427D9C"/>
    <w:rsid w:val="00427E7E"/>
    <w:rsid w:val="0043465D"/>
    <w:rsid w:val="00435082"/>
    <w:rsid w:val="00442797"/>
    <w:rsid w:val="00443B6E"/>
    <w:rsid w:val="00450636"/>
    <w:rsid w:val="004510D0"/>
    <w:rsid w:val="0045420A"/>
    <w:rsid w:val="004554D4"/>
    <w:rsid w:val="00461744"/>
    <w:rsid w:val="00461BA8"/>
    <w:rsid w:val="004633D7"/>
    <w:rsid w:val="004652CB"/>
    <w:rsid w:val="00466185"/>
    <w:rsid w:val="00466303"/>
    <w:rsid w:val="004668A7"/>
    <w:rsid w:val="00466D96"/>
    <w:rsid w:val="00467747"/>
    <w:rsid w:val="00467B18"/>
    <w:rsid w:val="00470017"/>
    <w:rsid w:val="0047105A"/>
    <w:rsid w:val="00473C98"/>
    <w:rsid w:val="00474965"/>
    <w:rsid w:val="00481792"/>
    <w:rsid w:val="00482DF8"/>
    <w:rsid w:val="004864DE"/>
    <w:rsid w:val="00494BE5"/>
    <w:rsid w:val="004A0EBA"/>
    <w:rsid w:val="004A24C2"/>
    <w:rsid w:val="004A2538"/>
    <w:rsid w:val="004A331E"/>
    <w:rsid w:val="004B0C15"/>
    <w:rsid w:val="004B11B4"/>
    <w:rsid w:val="004B35EA"/>
    <w:rsid w:val="004B6500"/>
    <w:rsid w:val="004B69E4"/>
    <w:rsid w:val="004C107B"/>
    <w:rsid w:val="004C6C39"/>
    <w:rsid w:val="004D075F"/>
    <w:rsid w:val="004D1B76"/>
    <w:rsid w:val="004D253E"/>
    <w:rsid w:val="004D344E"/>
    <w:rsid w:val="004D464A"/>
    <w:rsid w:val="004E019E"/>
    <w:rsid w:val="004E06EC"/>
    <w:rsid w:val="004E0A3F"/>
    <w:rsid w:val="004E2CB7"/>
    <w:rsid w:val="004F016A"/>
    <w:rsid w:val="004F4451"/>
    <w:rsid w:val="004F5873"/>
    <w:rsid w:val="00500F94"/>
    <w:rsid w:val="00502FB3"/>
    <w:rsid w:val="00503DE9"/>
    <w:rsid w:val="0050530C"/>
    <w:rsid w:val="00505DEA"/>
    <w:rsid w:val="00507782"/>
    <w:rsid w:val="005124EF"/>
    <w:rsid w:val="00512A04"/>
    <w:rsid w:val="00513A9E"/>
    <w:rsid w:val="0051691E"/>
    <w:rsid w:val="00520499"/>
    <w:rsid w:val="0052051A"/>
    <w:rsid w:val="005249F5"/>
    <w:rsid w:val="005260F7"/>
    <w:rsid w:val="00543BD1"/>
    <w:rsid w:val="00556113"/>
    <w:rsid w:val="00562C89"/>
    <w:rsid w:val="00564C12"/>
    <w:rsid w:val="0056533F"/>
    <w:rsid w:val="005654B8"/>
    <w:rsid w:val="00570D94"/>
    <w:rsid w:val="005762CC"/>
    <w:rsid w:val="0057656A"/>
    <w:rsid w:val="00582D3D"/>
    <w:rsid w:val="00590040"/>
    <w:rsid w:val="00595386"/>
    <w:rsid w:val="00595993"/>
    <w:rsid w:val="00597234"/>
    <w:rsid w:val="005A4AC0"/>
    <w:rsid w:val="005A539B"/>
    <w:rsid w:val="005A5FDF"/>
    <w:rsid w:val="005B0FB7"/>
    <w:rsid w:val="005B122A"/>
    <w:rsid w:val="005B1FCB"/>
    <w:rsid w:val="005B5AC2"/>
    <w:rsid w:val="005C0888"/>
    <w:rsid w:val="005C2833"/>
    <w:rsid w:val="005E144D"/>
    <w:rsid w:val="005E1500"/>
    <w:rsid w:val="005E3A43"/>
    <w:rsid w:val="005F090D"/>
    <w:rsid w:val="005F0B17"/>
    <w:rsid w:val="005F187E"/>
    <w:rsid w:val="005F4309"/>
    <w:rsid w:val="005F5216"/>
    <w:rsid w:val="005F6602"/>
    <w:rsid w:val="005F77C7"/>
    <w:rsid w:val="00620675"/>
    <w:rsid w:val="00622910"/>
    <w:rsid w:val="00624013"/>
    <w:rsid w:val="006254B6"/>
    <w:rsid w:val="00627FC8"/>
    <w:rsid w:val="006433C3"/>
    <w:rsid w:val="00650F5B"/>
    <w:rsid w:val="006541A1"/>
    <w:rsid w:val="00654460"/>
    <w:rsid w:val="006670D7"/>
    <w:rsid w:val="00667C4A"/>
    <w:rsid w:val="006719EA"/>
    <w:rsid w:val="00671F13"/>
    <w:rsid w:val="0067400A"/>
    <w:rsid w:val="006847AD"/>
    <w:rsid w:val="006851A1"/>
    <w:rsid w:val="0069114B"/>
    <w:rsid w:val="006944C1"/>
    <w:rsid w:val="006A4DE9"/>
    <w:rsid w:val="006A756A"/>
    <w:rsid w:val="006B7A02"/>
    <w:rsid w:val="006C0EC2"/>
    <w:rsid w:val="006C2D60"/>
    <w:rsid w:val="006C380A"/>
    <w:rsid w:val="006D250B"/>
    <w:rsid w:val="006D66F7"/>
    <w:rsid w:val="006E704A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0AE3"/>
    <w:rsid w:val="00741EAE"/>
    <w:rsid w:val="00741FBE"/>
    <w:rsid w:val="00755248"/>
    <w:rsid w:val="0076190B"/>
    <w:rsid w:val="0076355D"/>
    <w:rsid w:val="00763A2D"/>
    <w:rsid w:val="007676A4"/>
    <w:rsid w:val="00777795"/>
    <w:rsid w:val="00783781"/>
    <w:rsid w:val="00783A57"/>
    <w:rsid w:val="00784C92"/>
    <w:rsid w:val="007859CD"/>
    <w:rsid w:val="00785C24"/>
    <w:rsid w:val="00790150"/>
    <w:rsid w:val="007907E4"/>
    <w:rsid w:val="007949F8"/>
    <w:rsid w:val="00796461"/>
    <w:rsid w:val="007A2FD1"/>
    <w:rsid w:val="007A6A4F"/>
    <w:rsid w:val="007B03F5"/>
    <w:rsid w:val="007B2F17"/>
    <w:rsid w:val="007B5C09"/>
    <w:rsid w:val="007B5DA2"/>
    <w:rsid w:val="007B5DB8"/>
    <w:rsid w:val="007C0966"/>
    <w:rsid w:val="007C19E7"/>
    <w:rsid w:val="007C5CFD"/>
    <w:rsid w:val="007C6D9F"/>
    <w:rsid w:val="007D31FE"/>
    <w:rsid w:val="007D457B"/>
    <w:rsid w:val="007D4893"/>
    <w:rsid w:val="007E1C51"/>
    <w:rsid w:val="007E70CF"/>
    <w:rsid w:val="007E74A4"/>
    <w:rsid w:val="007F1B6F"/>
    <w:rsid w:val="007F263F"/>
    <w:rsid w:val="008015A8"/>
    <w:rsid w:val="00803DEF"/>
    <w:rsid w:val="0080766E"/>
    <w:rsid w:val="00811169"/>
    <w:rsid w:val="00811718"/>
    <w:rsid w:val="00815297"/>
    <w:rsid w:val="008170DB"/>
    <w:rsid w:val="00817BA1"/>
    <w:rsid w:val="00820DEB"/>
    <w:rsid w:val="00821A7E"/>
    <w:rsid w:val="00823022"/>
    <w:rsid w:val="0082634E"/>
    <w:rsid w:val="008313C4"/>
    <w:rsid w:val="00835434"/>
    <w:rsid w:val="008358C0"/>
    <w:rsid w:val="00835FEE"/>
    <w:rsid w:val="00841219"/>
    <w:rsid w:val="00842838"/>
    <w:rsid w:val="008524F2"/>
    <w:rsid w:val="00854EC1"/>
    <w:rsid w:val="0085797F"/>
    <w:rsid w:val="00861DC3"/>
    <w:rsid w:val="00867019"/>
    <w:rsid w:val="00871E98"/>
    <w:rsid w:val="00872EF1"/>
    <w:rsid w:val="00873049"/>
    <w:rsid w:val="008735A9"/>
    <w:rsid w:val="008765D1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2EC"/>
    <w:rsid w:val="008D1654"/>
    <w:rsid w:val="008D1B00"/>
    <w:rsid w:val="008D57B8"/>
    <w:rsid w:val="008D7169"/>
    <w:rsid w:val="008E03FC"/>
    <w:rsid w:val="008E1164"/>
    <w:rsid w:val="008E510B"/>
    <w:rsid w:val="008E6757"/>
    <w:rsid w:val="008E77A0"/>
    <w:rsid w:val="008F5641"/>
    <w:rsid w:val="00902A58"/>
    <w:rsid w:val="00902B13"/>
    <w:rsid w:val="00911941"/>
    <w:rsid w:val="00911BF0"/>
    <w:rsid w:val="0092024D"/>
    <w:rsid w:val="0092399B"/>
    <w:rsid w:val="0092447B"/>
    <w:rsid w:val="00925146"/>
    <w:rsid w:val="00925F0F"/>
    <w:rsid w:val="00930645"/>
    <w:rsid w:val="00932EC6"/>
    <w:rsid w:val="00932F6B"/>
    <w:rsid w:val="009444F0"/>
    <w:rsid w:val="00946813"/>
    <w:rsid w:val="009468BC"/>
    <w:rsid w:val="00947FAE"/>
    <w:rsid w:val="00950BAF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3AD6"/>
    <w:rsid w:val="009A5897"/>
    <w:rsid w:val="009A5F24"/>
    <w:rsid w:val="009A77D2"/>
    <w:rsid w:val="009B0B3E"/>
    <w:rsid w:val="009B1913"/>
    <w:rsid w:val="009B6657"/>
    <w:rsid w:val="009B6966"/>
    <w:rsid w:val="009B7839"/>
    <w:rsid w:val="009C0846"/>
    <w:rsid w:val="009C5268"/>
    <w:rsid w:val="009D0EB5"/>
    <w:rsid w:val="009D14F9"/>
    <w:rsid w:val="009D1507"/>
    <w:rsid w:val="009D254E"/>
    <w:rsid w:val="009D2B74"/>
    <w:rsid w:val="009D63FF"/>
    <w:rsid w:val="009E175D"/>
    <w:rsid w:val="009E396A"/>
    <w:rsid w:val="009E3CC2"/>
    <w:rsid w:val="009F06BD"/>
    <w:rsid w:val="009F1DF0"/>
    <w:rsid w:val="009F2A4D"/>
    <w:rsid w:val="00A00828"/>
    <w:rsid w:val="00A03290"/>
    <w:rsid w:val="00A0387E"/>
    <w:rsid w:val="00A05BFD"/>
    <w:rsid w:val="00A07490"/>
    <w:rsid w:val="00A10655"/>
    <w:rsid w:val="00A12AFF"/>
    <w:rsid w:val="00A12B64"/>
    <w:rsid w:val="00A159F4"/>
    <w:rsid w:val="00A22C38"/>
    <w:rsid w:val="00A25193"/>
    <w:rsid w:val="00A26E80"/>
    <w:rsid w:val="00A31AE8"/>
    <w:rsid w:val="00A327D5"/>
    <w:rsid w:val="00A3596A"/>
    <w:rsid w:val="00A3739D"/>
    <w:rsid w:val="00A37DDA"/>
    <w:rsid w:val="00A45005"/>
    <w:rsid w:val="00A50096"/>
    <w:rsid w:val="00A51BC4"/>
    <w:rsid w:val="00A567EE"/>
    <w:rsid w:val="00A64BC8"/>
    <w:rsid w:val="00A70DD8"/>
    <w:rsid w:val="00A76790"/>
    <w:rsid w:val="00A774D8"/>
    <w:rsid w:val="00A85D0C"/>
    <w:rsid w:val="00A925EC"/>
    <w:rsid w:val="00A929AA"/>
    <w:rsid w:val="00A92B6B"/>
    <w:rsid w:val="00AA541E"/>
    <w:rsid w:val="00AB13D0"/>
    <w:rsid w:val="00AB3831"/>
    <w:rsid w:val="00AB76FE"/>
    <w:rsid w:val="00AD0DA4"/>
    <w:rsid w:val="00AD135D"/>
    <w:rsid w:val="00AD4169"/>
    <w:rsid w:val="00AE25C6"/>
    <w:rsid w:val="00AE306C"/>
    <w:rsid w:val="00AF28C1"/>
    <w:rsid w:val="00AF3DB5"/>
    <w:rsid w:val="00B02EF1"/>
    <w:rsid w:val="00B06C46"/>
    <w:rsid w:val="00B07C97"/>
    <w:rsid w:val="00B11C67"/>
    <w:rsid w:val="00B14257"/>
    <w:rsid w:val="00B15754"/>
    <w:rsid w:val="00B16002"/>
    <w:rsid w:val="00B2046E"/>
    <w:rsid w:val="00B20E8B"/>
    <w:rsid w:val="00B2229C"/>
    <w:rsid w:val="00B257E1"/>
    <w:rsid w:val="00B2599A"/>
    <w:rsid w:val="00B27AC4"/>
    <w:rsid w:val="00B343CC"/>
    <w:rsid w:val="00B36D8A"/>
    <w:rsid w:val="00B5084A"/>
    <w:rsid w:val="00B57D65"/>
    <w:rsid w:val="00B606A1"/>
    <w:rsid w:val="00B614F7"/>
    <w:rsid w:val="00B61B26"/>
    <w:rsid w:val="00B63121"/>
    <w:rsid w:val="00B65E6B"/>
    <w:rsid w:val="00B66620"/>
    <w:rsid w:val="00B675B2"/>
    <w:rsid w:val="00B7219B"/>
    <w:rsid w:val="00B730BA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072D"/>
    <w:rsid w:val="00BF17E9"/>
    <w:rsid w:val="00BF2ABB"/>
    <w:rsid w:val="00BF46CE"/>
    <w:rsid w:val="00BF5099"/>
    <w:rsid w:val="00BF6970"/>
    <w:rsid w:val="00C10B5E"/>
    <w:rsid w:val="00C10F10"/>
    <w:rsid w:val="00C14036"/>
    <w:rsid w:val="00C15A87"/>
    <w:rsid w:val="00C15D4D"/>
    <w:rsid w:val="00C175DC"/>
    <w:rsid w:val="00C22476"/>
    <w:rsid w:val="00C30171"/>
    <w:rsid w:val="00C309D8"/>
    <w:rsid w:val="00C32F2C"/>
    <w:rsid w:val="00C33D50"/>
    <w:rsid w:val="00C37481"/>
    <w:rsid w:val="00C43519"/>
    <w:rsid w:val="00C45263"/>
    <w:rsid w:val="00C466EA"/>
    <w:rsid w:val="00C51537"/>
    <w:rsid w:val="00C51AEC"/>
    <w:rsid w:val="00C52BC3"/>
    <w:rsid w:val="00C61AFA"/>
    <w:rsid w:val="00C61D64"/>
    <w:rsid w:val="00C62099"/>
    <w:rsid w:val="00C62A34"/>
    <w:rsid w:val="00C64EA3"/>
    <w:rsid w:val="00C72867"/>
    <w:rsid w:val="00C75E81"/>
    <w:rsid w:val="00C766FE"/>
    <w:rsid w:val="00C8394F"/>
    <w:rsid w:val="00C83BB6"/>
    <w:rsid w:val="00C86609"/>
    <w:rsid w:val="00C92B4C"/>
    <w:rsid w:val="00C933F0"/>
    <w:rsid w:val="00C93BF5"/>
    <w:rsid w:val="00C954F6"/>
    <w:rsid w:val="00C97B3A"/>
    <w:rsid w:val="00CA36A0"/>
    <w:rsid w:val="00CA6BC5"/>
    <w:rsid w:val="00CB1CD6"/>
    <w:rsid w:val="00CC4B85"/>
    <w:rsid w:val="00CC571B"/>
    <w:rsid w:val="00CC61CD"/>
    <w:rsid w:val="00CC6C02"/>
    <w:rsid w:val="00CC737B"/>
    <w:rsid w:val="00CD1DA8"/>
    <w:rsid w:val="00CD5011"/>
    <w:rsid w:val="00CE640F"/>
    <w:rsid w:val="00CE6C2B"/>
    <w:rsid w:val="00CE76BC"/>
    <w:rsid w:val="00CF1D26"/>
    <w:rsid w:val="00CF40A9"/>
    <w:rsid w:val="00CF540E"/>
    <w:rsid w:val="00D02F07"/>
    <w:rsid w:val="00D03E1B"/>
    <w:rsid w:val="00D133F4"/>
    <w:rsid w:val="00D15D88"/>
    <w:rsid w:val="00D21F51"/>
    <w:rsid w:val="00D22806"/>
    <w:rsid w:val="00D25A3A"/>
    <w:rsid w:val="00D25B11"/>
    <w:rsid w:val="00D27D49"/>
    <w:rsid w:val="00D27EBE"/>
    <w:rsid w:val="00D3177E"/>
    <w:rsid w:val="00D34681"/>
    <w:rsid w:val="00D36A49"/>
    <w:rsid w:val="00D40BA8"/>
    <w:rsid w:val="00D46529"/>
    <w:rsid w:val="00D47901"/>
    <w:rsid w:val="00D47DC7"/>
    <w:rsid w:val="00D517C6"/>
    <w:rsid w:val="00D52FD2"/>
    <w:rsid w:val="00D62915"/>
    <w:rsid w:val="00D63C29"/>
    <w:rsid w:val="00D7036E"/>
    <w:rsid w:val="00D71D84"/>
    <w:rsid w:val="00D72464"/>
    <w:rsid w:val="00D72A57"/>
    <w:rsid w:val="00D768EB"/>
    <w:rsid w:val="00D81E17"/>
    <w:rsid w:val="00D822AA"/>
    <w:rsid w:val="00D82D1E"/>
    <w:rsid w:val="00D832D9"/>
    <w:rsid w:val="00D90F00"/>
    <w:rsid w:val="00D96804"/>
    <w:rsid w:val="00D975C0"/>
    <w:rsid w:val="00DA5285"/>
    <w:rsid w:val="00DB191D"/>
    <w:rsid w:val="00DB4108"/>
    <w:rsid w:val="00DB4F91"/>
    <w:rsid w:val="00DB5A0B"/>
    <w:rsid w:val="00DB6D0A"/>
    <w:rsid w:val="00DB7A9F"/>
    <w:rsid w:val="00DC06BE"/>
    <w:rsid w:val="00DC1F0F"/>
    <w:rsid w:val="00DC3117"/>
    <w:rsid w:val="00DC4E2A"/>
    <w:rsid w:val="00DC5DD9"/>
    <w:rsid w:val="00DC6978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1205"/>
    <w:rsid w:val="00E15816"/>
    <w:rsid w:val="00E160D5"/>
    <w:rsid w:val="00E210AF"/>
    <w:rsid w:val="00E239FF"/>
    <w:rsid w:val="00E24F0F"/>
    <w:rsid w:val="00E27D7B"/>
    <w:rsid w:val="00E30556"/>
    <w:rsid w:val="00E30981"/>
    <w:rsid w:val="00E33136"/>
    <w:rsid w:val="00E34B33"/>
    <w:rsid w:val="00E34D7C"/>
    <w:rsid w:val="00E3723D"/>
    <w:rsid w:val="00E44C89"/>
    <w:rsid w:val="00E457A6"/>
    <w:rsid w:val="00E4749C"/>
    <w:rsid w:val="00E54F9E"/>
    <w:rsid w:val="00E61BA2"/>
    <w:rsid w:val="00E63864"/>
    <w:rsid w:val="00E6403F"/>
    <w:rsid w:val="00E65297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1FFC"/>
    <w:rsid w:val="00EB5BF4"/>
    <w:rsid w:val="00EB77F9"/>
    <w:rsid w:val="00EC05AA"/>
    <w:rsid w:val="00EC5769"/>
    <w:rsid w:val="00EC7D00"/>
    <w:rsid w:val="00ED0304"/>
    <w:rsid w:val="00ED350C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1676"/>
    <w:rsid w:val="00F02591"/>
    <w:rsid w:val="00F060DD"/>
    <w:rsid w:val="00F07E4E"/>
    <w:rsid w:val="00F12FDC"/>
    <w:rsid w:val="00F15C3E"/>
    <w:rsid w:val="00F30AE1"/>
    <w:rsid w:val="00F3352E"/>
    <w:rsid w:val="00F52535"/>
    <w:rsid w:val="00F5696E"/>
    <w:rsid w:val="00F60EFF"/>
    <w:rsid w:val="00F64A8C"/>
    <w:rsid w:val="00F67D2D"/>
    <w:rsid w:val="00F7163D"/>
    <w:rsid w:val="00F858F2"/>
    <w:rsid w:val="00F860CC"/>
    <w:rsid w:val="00F9085D"/>
    <w:rsid w:val="00F9343C"/>
    <w:rsid w:val="00F94398"/>
    <w:rsid w:val="00FA1E7D"/>
    <w:rsid w:val="00FB1F02"/>
    <w:rsid w:val="00FB2B56"/>
    <w:rsid w:val="00FB3362"/>
    <w:rsid w:val="00FB4258"/>
    <w:rsid w:val="00FB55D5"/>
    <w:rsid w:val="00FB5806"/>
    <w:rsid w:val="00FC12BF"/>
    <w:rsid w:val="00FC2C60"/>
    <w:rsid w:val="00FD0098"/>
    <w:rsid w:val="00FD269A"/>
    <w:rsid w:val="00FD3E6F"/>
    <w:rsid w:val="00FD51B9"/>
    <w:rsid w:val="00FD5849"/>
    <w:rsid w:val="00FE03E4"/>
    <w:rsid w:val="00FE2A39"/>
    <w:rsid w:val="00FF39CF"/>
    <w:rsid w:val="00FF4E49"/>
    <w:rsid w:val="00FF7159"/>
    <w:rsid w:val="00FF792F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1DB740"/>
  <w15:docId w15:val="{22F9874C-A076-40BE-A698-59605C6C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1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99"/>
    <w:qFormat/>
    <w:rsid w:val="008765D1"/>
    <w:pPr>
      <w:numPr>
        <w:numId w:val="12"/>
      </w:numPr>
      <w:spacing w:after="120"/>
    </w:pPr>
  </w:style>
  <w:style w:type="paragraph" w:styleId="ListNumber2">
    <w:name w:val="List Number 2"/>
    <w:aliases w:val="Number list level 2"/>
    <w:basedOn w:val="Normal"/>
    <w:uiPriority w:val="99"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99"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99"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99"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99"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99"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99"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99"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99"/>
    <w:rsid w:val="004E2CB7"/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numbering" w:customStyle="1" w:styleId="NTGStandardNumList">
    <w:name w:val="NTG Standard Num List"/>
    <w:uiPriority w:val="99"/>
    <w:rsid w:val="00B2229C"/>
    <w:pPr>
      <w:numPr>
        <w:numId w:val="9"/>
      </w:numPr>
    </w:pPr>
  </w:style>
  <w:style w:type="paragraph" w:customStyle="1" w:styleId="NTGTableBulletList1">
    <w:name w:val="NTG Table Bullet List 1"/>
    <w:semiHidden/>
    <w:qFormat/>
    <w:rsid w:val="00B2229C"/>
    <w:pPr>
      <w:numPr>
        <w:numId w:val="11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B2229C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B2229C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B2229C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B2229C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B2229C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B2229C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B2229C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B2229C"/>
    <w:pPr>
      <w:numPr>
        <w:ilvl w:val="8"/>
      </w:numPr>
    </w:pPr>
  </w:style>
  <w:style w:type="numbering" w:customStyle="1" w:styleId="NTGTableList">
    <w:name w:val="NTG Table List"/>
    <w:uiPriority w:val="99"/>
    <w:rsid w:val="00B2229C"/>
    <w:pPr>
      <w:numPr>
        <w:numId w:val="10"/>
      </w:numPr>
    </w:pPr>
  </w:style>
  <w:style w:type="paragraph" w:customStyle="1" w:styleId="NTGTableNumList1">
    <w:name w:val="NTG Table Num List 1"/>
    <w:semiHidden/>
    <w:qFormat/>
    <w:rsid w:val="00820DEB"/>
    <w:pPr>
      <w:numPr>
        <w:numId w:val="13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820DEB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820DEB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820DEB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820DEB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820DEB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820DEB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820DEB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820DEB"/>
    <w:pPr>
      <w:numPr>
        <w:ilvl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20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DEB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DEB"/>
    <w:rPr>
      <w:sz w:val="20"/>
      <w:szCs w:val="20"/>
    </w:rPr>
  </w:style>
  <w:style w:type="table" w:customStyle="1" w:styleId="NTGTable0">
    <w:name w:val="NTG Table"/>
    <w:basedOn w:val="TableGrid"/>
    <w:uiPriority w:val="99"/>
    <w:rsid w:val="00667C4A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  <w:tblPr/>
      <w:tcPr>
        <w:shd w:val="clear" w:color="auto" w:fill="BFBFBF" w:themeFill="background1" w:themeFillShade="BF"/>
      </w:tc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Revision">
    <w:name w:val="Revision"/>
    <w:hidden/>
    <w:uiPriority w:val="99"/>
    <w:semiHidden/>
    <w:rsid w:val="00D133F4"/>
    <w:pPr>
      <w:spacing w:after="0"/>
    </w:pPr>
    <w:rPr>
      <w:rFonts w:ascii="Lato" w:hAnsi="Lato"/>
    </w:rPr>
  </w:style>
  <w:style w:type="numbering" w:customStyle="1" w:styleId="NTGStandardList">
    <w:name w:val="NTG Standard List"/>
    <w:basedOn w:val="NoList"/>
    <w:rsid w:val="009B7839"/>
    <w:pPr>
      <w:numPr>
        <w:numId w:val="15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3EB"/>
    <w:rPr>
      <w:rFonts w:ascii="Lato" w:hAnsi="Lat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3EB"/>
    <w:rPr>
      <w:rFonts w:ascii="Lato" w:hAnsi="Lat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6978"/>
    <w:rPr>
      <w:color w:val="8C47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D6053F-4EE5-4169-AECE-1C5DB3A6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Treasurer’s Direction – Machinery of government changes</vt:lpstr>
    </vt:vector>
  </TitlesOfParts>
  <Company>TREASURY AND FINANCE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Treasurer’s Direction – Machinery of government changes</dc:title>
  <dc:creator>Department of Treasury and Finance</dc:creator>
  <cp:lastModifiedBy>Suzette Hunt</cp:lastModifiedBy>
  <cp:revision>11</cp:revision>
  <cp:lastPrinted>2020-09-08T23:39:00Z</cp:lastPrinted>
  <dcterms:created xsi:type="dcterms:W3CDTF">2020-09-09T03:54:00Z</dcterms:created>
  <dcterms:modified xsi:type="dcterms:W3CDTF">2020-09-10T04:04:00Z</dcterms:modified>
</cp:coreProperties>
</file>