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70DD" w:rsidRPr="00B123C3" w:rsidRDefault="00BB70DD" w:rsidP="00A365C0">
      <w:pPr>
        <w:pStyle w:val="SOI-Heading"/>
        <w:tabs>
          <w:tab w:val="left" w:pos="4536"/>
        </w:tabs>
        <w:rPr>
          <w:rFonts w:ascii="Arial" w:hAnsi="Arial" w:cs="Arial"/>
        </w:rPr>
      </w:pPr>
      <w:r w:rsidRPr="0024292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50AAB2" wp14:editId="4FB14C53">
                <wp:simplePos x="0" y="0"/>
                <wp:positionH relativeFrom="page">
                  <wp:posOffset>1080135</wp:posOffset>
                </wp:positionH>
                <wp:positionV relativeFrom="paragraph">
                  <wp:posOffset>-354330</wp:posOffset>
                </wp:positionV>
                <wp:extent cx="5669280" cy="1371600"/>
                <wp:effectExtent l="0" t="0" r="26670" b="1905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4F79" w:rsidRDefault="003E4F79" w:rsidP="003E4F79">
                            <w:pPr>
                              <w:pStyle w:val="TDHeading"/>
                            </w:pPr>
                            <w:r>
                              <w:t>TREASURER’S DIRECTIONS</w:t>
                            </w:r>
                          </w:p>
                          <w:p w:rsidR="003E4F79" w:rsidRPr="00A41751" w:rsidRDefault="00DD39C4" w:rsidP="003E4F79">
                            <w:pPr>
                              <w:pStyle w:val="TDHeading"/>
                              <w:rPr>
                                <w:szCs w:val="32"/>
                              </w:rPr>
                            </w:pPr>
                            <w:r w:rsidRPr="00A41751">
                              <w:rPr>
                                <w:szCs w:val="32"/>
                              </w:rPr>
                              <w:t>INFORMATION AND COMMUNICATIONS TECHNOLOGY</w:t>
                            </w:r>
                          </w:p>
                          <w:p w:rsidR="00BB70DD" w:rsidRDefault="00DD39C4" w:rsidP="009E7122">
                            <w:pPr>
                              <w:pStyle w:val="TDHeading"/>
                            </w:pPr>
                            <w:r>
                              <w:t xml:space="preserve">Section </w:t>
                            </w:r>
                            <w:r w:rsidR="001C06A7">
                              <w:t>ICT1</w:t>
                            </w:r>
                            <w:r w:rsidR="00615B34">
                              <w:t>.</w:t>
                            </w:r>
                            <w:r w:rsidR="00AE7A28">
                              <w:t>3</w:t>
                            </w:r>
                            <w:r w:rsidR="00CC26CC">
                              <w:t>:</w:t>
                            </w:r>
                            <w:r w:rsidR="002F34E9">
                              <w:t xml:space="preserve"> Governance -</w:t>
                            </w:r>
                            <w:r w:rsidR="00CC26CC">
                              <w:t xml:space="preserve"> </w:t>
                            </w:r>
                            <w:r w:rsidR="00615B34">
                              <w:t xml:space="preserve">ICT </w:t>
                            </w:r>
                            <w:r>
                              <w:t>Governance Principles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85.05pt;margin-top:-27.9pt;width:44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" o:allowincell="f" filled="f" fillcolor="silver" strokeweight="1pt">
                <v:textbox>
                  <w:txbxContent>
                    <w:p w:rsidR="003E4F79" w:rsidRDefault="003E4F79" w:rsidP="003E4F79">
                      <w:pPr>
                        <w:pStyle w:val="TDHeading"/>
                      </w:pPr>
                      <w:r>
                        <w:t>TREASURER’S DIRECTIONS</w:t>
                      </w:r>
                    </w:p>
                    <w:p w:rsidR="003E4F79" w:rsidRPr="00A41751" w:rsidRDefault="00DD39C4" w:rsidP="003E4F79">
                      <w:pPr>
                        <w:pStyle w:val="TDHeading"/>
                        <w:rPr>
                          <w:szCs w:val="32"/>
                        </w:rPr>
                      </w:pPr>
                      <w:r w:rsidRPr="00A41751">
                        <w:rPr>
                          <w:szCs w:val="32"/>
                        </w:rPr>
                        <w:t>INFORMATION AND COMMUNICATIONS TECHNOLOGY</w:t>
                      </w:r>
                    </w:p>
                    <w:p w:rsidR="00BB70DD" w:rsidRDefault="00DD39C4" w:rsidP="009E7122">
                      <w:pPr>
                        <w:pStyle w:val="TDHeading"/>
                      </w:pPr>
                      <w:r>
                        <w:t xml:space="preserve">Section </w:t>
                      </w:r>
                      <w:r w:rsidR="001C06A7">
                        <w:t>ICT1</w:t>
                      </w:r>
                      <w:r w:rsidR="00615B34">
                        <w:t>.</w:t>
                      </w:r>
                      <w:r w:rsidR="00AE7A28">
                        <w:t>3</w:t>
                      </w:r>
                      <w:r w:rsidR="00CC26CC">
                        <w:t>:</w:t>
                      </w:r>
                      <w:r w:rsidR="002F34E9">
                        <w:t xml:space="preserve"> Governance -</w:t>
                      </w:r>
                      <w:bookmarkStart w:id="1" w:name="_GoBack"/>
                      <w:bookmarkEnd w:id="1"/>
                      <w:r w:rsidR="00CC26CC">
                        <w:t xml:space="preserve"> </w:t>
                      </w:r>
                      <w:r w:rsidR="00615B34">
                        <w:t xml:space="preserve">ICT </w:t>
                      </w:r>
                      <w:r>
                        <w:t>Governance Principles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  <w:r w:rsidRPr="00242928">
        <w:rPr>
          <w:rFonts w:cs="Arial"/>
        </w:rPr>
        <w:t>STATEMENT OF INTENT</w:t>
      </w: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BB70DD" w:rsidRPr="00250A1B" w:rsidTr="00E62D38">
        <w:trPr>
          <w:cantSplit/>
        </w:trPr>
        <w:tc>
          <w:tcPr>
            <w:tcW w:w="5954" w:type="dxa"/>
          </w:tcPr>
          <w:p w:rsidR="00905044" w:rsidRPr="00242928" w:rsidRDefault="00A23370" w:rsidP="00CD052C">
            <w:pPr>
              <w:pStyle w:val="SOI-Text"/>
              <w:rPr>
                <w:rFonts w:ascii="Arial Narrow" w:hAnsi="Arial Narrow" w:cs="Arial"/>
              </w:rPr>
            </w:pPr>
            <w:r w:rsidRPr="004F77A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9111497" wp14:editId="6F4F9E8C">
                      <wp:simplePos x="0" y="0"/>
                      <wp:positionH relativeFrom="page">
                        <wp:posOffset>982345</wp:posOffset>
                      </wp:positionH>
                      <wp:positionV relativeFrom="paragraph">
                        <wp:posOffset>809625</wp:posOffset>
                      </wp:positionV>
                      <wp:extent cx="6030595" cy="6536055"/>
                      <wp:effectExtent l="0" t="0" r="27305" b="1714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0595" cy="6536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0C0C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4F79" w:rsidRDefault="003E4F79" w:rsidP="00A365C0">
                                  <w:pPr>
                                    <w:pStyle w:val="Heading5"/>
                                    <w:tabs>
                                      <w:tab w:val="left" w:pos="4253"/>
                                    </w:tabs>
                                    <w:spacing w:before="0" w:after="0"/>
                                  </w:pPr>
                                  <w:r>
                                    <w:t xml:space="preserve">MAIN FEATURES </w:t>
                                  </w:r>
                                </w:p>
                                <w:p w:rsidR="003E4F79" w:rsidRDefault="003E4F79" w:rsidP="00A365C0">
                                  <w:pPr>
                                    <w:pStyle w:val="MainFeatures-FixedText"/>
                                    <w:tabs>
                                      <w:tab w:val="left" w:pos="4253"/>
                                    </w:tabs>
                                    <w:spacing w:after="60"/>
                                  </w:pPr>
                                  <w:r>
                                    <w:t xml:space="preserve">Section 38 of the </w:t>
                                  </w:r>
                                  <w:r>
                                    <w:rPr>
                                      <w:i/>
                                    </w:rPr>
                                    <w:t>Financial Management Act</w:t>
                                  </w:r>
                                  <w:r>
                                    <w:t xml:space="preserve"> requires every Accountable Officer and every employee of an agency to comply with the Treasurer’s Directions.</w:t>
                                  </w:r>
                                </w:p>
                                <w:p w:rsidR="00CD052C" w:rsidRDefault="00CD052C" w:rsidP="00CD052C">
                                  <w:pPr>
                                    <w:spacing w:after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ICT Governance Principles</w:t>
                                  </w:r>
                                </w:p>
                                <w:p w:rsidR="00905044" w:rsidRPr="00905044" w:rsidRDefault="00CD052C" w:rsidP="00CD052C">
                                  <w:pPr>
                                    <w:spacing w:before="60" w:after="60"/>
                                  </w:pPr>
                                  <w:r>
                                    <w:t>T</w:t>
                                  </w:r>
                                  <w:r w:rsidR="00905044">
                                    <w:t>he ICT Governance Principles set the core criteria for considering and measuring ICT decisions and activity across government.</w:t>
                                  </w:r>
                                </w:p>
                                <w:p w:rsidR="00CD052C" w:rsidRDefault="008A7D96" w:rsidP="00CD052C">
                                  <w:pPr>
                                    <w:spacing w:after="60"/>
                                    <w:rPr>
                                      <w:b/>
                                    </w:rPr>
                                  </w:pPr>
                                  <w:r w:rsidRPr="00CC26CC">
                                    <w:rPr>
                                      <w:b/>
                                    </w:rPr>
                                    <w:t>Compatibility</w:t>
                                  </w:r>
                                </w:p>
                                <w:p w:rsidR="008A7D96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</w:pPr>
                                  <w:r>
                                    <w:t xml:space="preserve">New </w:t>
                                  </w:r>
                                  <w:r w:rsidR="00905044" w:rsidRPr="00905044">
                                    <w:t>ICT</w:t>
                                  </w:r>
                                  <w:r w:rsidR="008A7D96" w:rsidRPr="00CC26CC">
                                    <w:t xml:space="preserve"> solutions </w:t>
                                  </w:r>
                                  <w:r w:rsidR="008A7D96">
                                    <w:t xml:space="preserve">to be </w:t>
                                  </w:r>
                                  <w:r w:rsidR="008A7D96" w:rsidRPr="00CC26CC">
                                    <w:t xml:space="preserve">compatible with existing NTG </w:t>
                                  </w:r>
                                  <w:r w:rsidR="00905044">
                                    <w:t>business systems.</w:t>
                                  </w:r>
                                </w:p>
                                <w:p w:rsidR="00CD052C" w:rsidRDefault="008A7D96" w:rsidP="00CD052C">
                                  <w:pPr>
                                    <w:spacing w:after="60"/>
                                  </w:pPr>
                                  <w:r w:rsidRPr="00CC26CC">
                                    <w:rPr>
                                      <w:b/>
                                    </w:rPr>
                                    <w:t xml:space="preserve">Collaboration and </w:t>
                                  </w:r>
                                  <w:r w:rsidRPr="0023777B">
                                    <w:rPr>
                                      <w:b/>
                                    </w:rPr>
                                    <w:t>Standardisation</w:t>
                                  </w:r>
                                  <w:r w:rsidR="00CD052C">
                                    <w:t xml:space="preserve"> </w:t>
                                  </w:r>
                                </w:p>
                                <w:p w:rsidR="0023777B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  <w:rPr>
                                      <w:rFonts w:cs="Arial"/>
                                    </w:rPr>
                                  </w:pPr>
                                  <w:r>
                                    <w:t>Agencies to m</w:t>
                                  </w:r>
                                  <w:r w:rsidR="008A7D96">
                                    <w:rPr>
                                      <w:rFonts w:cs="Arial"/>
                                    </w:rPr>
                                    <w:t xml:space="preserve">aximise 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 xml:space="preserve">common solutions and processes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across government.</w:t>
                                  </w:r>
                                </w:p>
                                <w:p w:rsidR="00CD052C" w:rsidRDefault="000B1A5D" w:rsidP="00CD052C">
                                  <w:pPr>
                                    <w:spacing w:after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Cost E</w:t>
                                  </w:r>
                                  <w:r w:rsidR="008A7D96" w:rsidRPr="0023777B">
                                    <w:rPr>
                                      <w:b/>
                                    </w:rPr>
                                    <w:t>ffectiveness</w:t>
                                  </w:r>
                                  <w:r w:rsidR="0023777B" w:rsidRPr="0023777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23777B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 xml:space="preserve">ICT solutions must be 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 xml:space="preserve">cost effective to 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>acquire, implement and operate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.</w:t>
                                  </w:r>
                                </w:p>
                                <w:p w:rsidR="00CD052C" w:rsidRDefault="0023777B" w:rsidP="00CD052C">
                                  <w:pPr>
                                    <w:spacing w:after="60"/>
                                  </w:pPr>
                                  <w:r w:rsidRPr="00CC26CC">
                                    <w:rPr>
                                      <w:b/>
                                    </w:rPr>
                                    <w:t>Risk Minimisation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23777B" w:rsidRPr="008A7D96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</w:pPr>
                                  <w:r>
                                    <w:t xml:space="preserve">Agencies to </w:t>
                                  </w:r>
                                  <w:r w:rsidR="0023777B" w:rsidRPr="00CC26CC">
                                    <w:rPr>
                                      <w:rFonts w:cs="Arial"/>
                                    </w:rPr>
                                    <w:t>mitigate ICT development, implementation and operational risks.</w:t>
                                  </w:r>
                                </w:p>
                                <w:p w:rsidR="00CD052C" w:rsidRDefault="008A7D96" w:rsidP="00CD052C">
                                  <w:pPr>
                                    <w:spacing w:after="60"/>
                                  </w:pPr>
                                  <w:r w:rsidRPr="00CC26CC">
                                    <w:rPr>
                                      <w:b/>
                                    </w:rPr>
                                    <w:t>Benefits Realisation</w:t>
                                  </w:r>
                                  <w:r w:rsidR="0023777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8A7D96" w:rsidRPr="008A7D96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</w:pPr>
                                  <w:r>
                                    <w:t xml:space="preserve">Proposed ICT solutions must 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 xml:space="preserve">address genuine business need 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 xml:space="preserve">and deliver </w:t>
                                  </w:r>
                                  <w:r w:rsidR="000B1A5D">
                                    <w:rPr>
                                      <w:rFonts w:cs="Arial"/>
                                    </w:rPr>
                                    <w:t>appropriate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 xml:space="preserve"> benefits.</w:t>
                                  </w:r>
                                </w:p>
                                <w:p w:rsidR="00CD052C" w:rsidRDefault="0023777B" w:rsidP="00CD052C">
                                  <w:pPr>
                                    <w:spacing w:after="60"/>
                                  </w:pPr>
                                  <w:r w:rsidRPr="0023777B">
                                    <w:rPr>
                                      <w:b/>
                                    </w:rPr>
                                    <w:t>Longevity</w:t>
                                  </w:r>
                                  <w:r w:rsidR="00CD052C">
                                    <w:t xml:space="preserve"> </w:t>
                                  </w:r>
                                </w:p>
                                <w:p w:rsidR="0023777B" w:rsidRPr="008A7D96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</w:pPr>
                                  <w:r>
                                    <w:rPr>
                                      <w:rFonts w:cs="Arial"/>
                                    </w:rPr>
                                    <w:t>ICT</w:t>
                                  </w:r>
                                  <w:r w:rsidR="0023777B" w:rsidRPr="00CC26CC">
                                    <w:rPr>
                                      <w:rFonts w:cs="Arial"/>
                                    </w:rPr>
                                    <w:t xml:space="preserve"> solutions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must be </w:t>
                                  </w:r>
                                  <w:r w:rsidR="0023777B" w:rsidRPr="00CC26CC">
                                    <w:rPr>
                                      <w:rFonts w:cs="Arial"/>
                                    </w:rPr>
                                    <w:t>capable of enduring and provid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>ing benefits over</w:t>
                                  </w:r>
                                  <w:r w:rsidR="000B1A5D">
                                    <w:rPr>
                                      <w:rFonts w:cs="Arial"/>
                                    </w:rPr>
                                    <w:t xml:space="preserve"> an</w:t>
                                  </w:r>
                                  <w:r w:rsidR="0023777B" w:rsidRPr="00CC26CC">
                                    <w:rPr>
                                      <w:rFonts w:cs="Arial"/>
                                    </w:rPr>
                                    <w:t xml:space="preserve"> extended period.</w:t>
                                  </w:r>
                                </w:p>
                                <w:p w:rsidR="00CD052C" w:rsidRDefault="008A7D96" w:rsidP="00CD052C">
                                  <w:pPr>
                                    <w:spacing w:after="60"/>
                                  </w:pPr>
                                  <w:r w:rsidRPr="00CC26CC">
                                    <w:rPr>
                                      <w:b/>
                                    </w:rPr>
                                    <w:t>Innovation</w:t>
                                  </w:r>
                                  <w:r w:rsidR="0023777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8A7D96" w:rsidRPr="008A7D96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</w:pPr>
                                  <w:r>
                                    <w:t>Agencies to consider ICT s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>olutions that support business innovation.</w:t>
                                  </w:r>
                                </w:p>
                                <w:p w:rsidR="00CD052C" w:rsidRDefault="008A7D96" w:rsidP="00CD052C">
                                  <w:pPr>
                                    <w:spacing w:after="60"/>
                                  </w:pPr>
                                  <w:r w:rsidRPr="00A23370">
                                    <w:rPr>
                                      <w:b/>
                                    </w:rPr>
                                    <w:t>Accountability</w:t>
                                  </w:r>
                                  <w:r w:rsidR="0023777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3E4F79" w:rsidRDefault="00CD052C" w:rsidP="00CD052C">
                                  <w:pPr>
                                    <w:pStyle w:val="MainFeature-Text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3"/>
                                    </w:tabs>
                                  </w:pPr>
                                  <w:r>
                                    <w:t>A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>gency Accountable Officer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s are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 xml:space="preserve">responsible for delivery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of ICT projects 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>and management of ICT</w:t>
                                  </w:r>
                                  <w:r w:rsidR="0023777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resources </w:t>
                                  </w:r>
                                  <w:r w:rsidR="008A7D96" w:rsidRPr="00CC26CC">
                                    <w:rPr>
                                      <w:rFonts w:cs="Arial"/>
                                    </w:rPr>
                                    <w:t>in their agency</w:t>
                                  </w:r>
                                  <w:r w:rsidR="0023777B">
                                    <w:t>.</w:t>
                                  </w:r>
                                </w:p>
                                <w:p w:rsidR="00CD052C" w:rsidRDefault="00CD052C" w:rsidP="00CD052C">
                                  <w:pPr>
                                    <w:pStyle w:val="MainFeatures-FixedText"/>
                                    <w:tabs>
                                      <w:tab w:val="left" w:pos="4253"/>
                                    </w:tabs>
                                    <w:spacing w:after="60"/>
                                    <w:rPr>
                                      <w:snapToGrid w:val="0"/>
                                      <w:lang w:eastAsia="en-US"/>
                                    </w:rPr>
                                  </w:pPr>
                                </w:p>
                                <w:p w:rsidR="003E4F79" w:rsidRDefault="003E4F79" w:rsidP="00CD052C">
                                  <w:pPr>
                                    <w:pStyle w:val="MainFeatures-FixedText"/>
                                    <w:tabs>
                                      <w:tab w:val="left" w:pos="4253"/>
                                    </w:tabs>
                                    <w:spacing w:after="60"/>
                                  </w:pPr>
                                  <w:r>
                                    <w:rPr>
                                      <w:snapToGrid w:val="0"/>
                                      <w:lang w:eastAsia="en-US"/>
                                    </w:rPr>
                                    <w:t>For authoritative instruction and guidance reference</w:t>
                                  </w:r>
                                  <w:r>
                                    <w:rPr>
                                      <w:b/>
                                      <w:snapToGrid w:val="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lang w:eastAsia="en-US"/>
                                    </w:rPr>
                                    <w:t>should be made to related Treasurer's Directions and associated commentary.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7" style="position:absolute;left:0;text-align:left;margin-left:77.35pt;margin-top:63.75pt;width:474.85pt;height:5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" o:allowincell="f" fillcolor="silver" strokeweight="1pt">
                      <v:textbox>
                        <w:txbxContent>
                          <w:p w:rsidR="003E4F79" w:rsidRDefault="003E4F79" w:rsidP="00A365C0">
                            <w:pPr>
                              <w:pStyle w:val="Heading5"/>
                              <w:tabs>
                                <w:tab w:val="left" w:pos="4253"/>
                              </w:tabs>
                              <w:spacing w:before="0" w:after="0"/>
                            </w:pPr>
                            <w:r>
                              <w:t xml:space="preserve">MAIN FEATURES </w:t>
                            </w:r>
                          </w:p>
                          <w:p w:rsidR="003E4F79" w:rsidRDefault="003E4F79" w:rsidP="00A365C0">
                            <w:pPr>
                              <w:pStyle w:val="MainFeatures-FixedText"/>
                              <w:tabs>
                                <w:tab w:val="left" w:pos="4253"/>
                              </w:tabs>
                              <w:spacing w:after="60"/>
                            </w:pPr>
                            <w:r>
                              <w:t xml:space="preserve">Section 38 of the </w:t>
                            </w:r>
                            <w:r>
                              <w:rPr>
                                <w:i/>
                              </w:rPr>
                              <w:t>Financial Management Act</w:t>
                            </w:r>
                            <w:r>
                              <w:t xml:space="preserve"> requires every Accountable Officer and every employee of an agency to comply with the Treasurer’s Directions.</w:t>
                            </w:r>
                          </w:p>
                          <w:p w:rsidR="00CD052C" w:rsidRDefault="00CD052C" w:rsidP="00CD052C">
                            <w:pPr>
                              <w:spacing w:after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ICT Governance Principles</w:t>
                            </w:r>
                          </w:p>
                          <w:p w:rsidR="00905044" w:rsidRPr="00905044" w:rsidRDefault="00CD052C" w:rsidP="00CD052C">
                            <w:pPr>
                              <w:spacing w:before="60" w:after="60"/>
                            </w:pPr>
                            <w:r>
                              <w:t>T</w:t>
                            </w:r>
                            <w:r w:rsidR="00905044">
                              <w:t>he ICT Governance Principles set the core criteria for considering and measuring ICT decisions and activity across government.</w:t>
                            </w:r>
                          </w:p>
                          <w:p w:rsidR="00CD052C" w:rsidRDefault="008A7D96" w:rsidP="00CD052C">
                            <w:pPr>
                              <w:spacing w:after="60"/>
                              <w:rPr>
                                <w:b/>
                              </w:rPr>
                            </w:pPr>
                            <w:r w:rsidRPr="00CC26CC">
                              <w:rPr>
                                <w:b/>
                              </w:rPr>
                              <w:t>Compatibility</w:t>
                            </w:r>
                          </w:p>
                          <w:p w:rsidR="008A7D96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proofErr w:type="gramStart"/>
                            <w:r>
                              <w:t xml:space="preserve">New </w:t>
                            </w:r>
                            <w:r w:rsidR="00905044" w:rsidRPr="00905044">
                              <w:t>ICT</w:t>
                            </w:r>
                            <w:r w:rsidR="008A7D96" w:rsidRPr="00CC26CC">
                              <w:t xml:space="preserve"> solutions </w:t>
                            </w:r>
                            <w:r w:rsidR="008A7D96">
                              <w:t xml:space="preserve">to be </w:t>
                            </w:r>
                            <w:r w:rsidR="008A7D96" w:rsidRPr="00CC26CC">
                              <w:t xml:space="preserve">compatible with existing NTG </w:t>
                            </w:r>
                            <w:r w:rsidR="00905044">
                              <w:t>business systems.</w:t>
                            </w:r>
                            <w:proofErr w:type="gramEnd"/>
                          </w:p>
                          <w:p w:rsidR="00CD052C" w:rsidRDefault="008A7D96" w:rsidP="00CD052C">
                            <w:pPr>
                              <w:spacing w:after="60"/>
                            </w:pPr>
                            <w:r w:rsidRPr="00CC26CC">
                              <w:rPr>
                                <w:b/>
                              </w:rPr>
                              <w:t xml:space="preserve">Collaboration and </w:t>
                            </w:r>
                            <w:r w:rsidRPr="0023777B">
                              <w:rPr>
                                <w:b/>
                              </w:rPr>
                              <w:t>Standardisation</w:t>
                            </w:r>
                            <w:r w:rsidR="00CD052C">
                              <w:t xml:space="preserve"> </w:t>
                            </w:r>
                          </w:p>
                          <w:p w:rsidR="0023777B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t>Agencies to m</w:t>
                            </w:r>
                            <w:r w:rsidR="008A7D96">
                              <w:rPr>
                                <w:rFonts w:cs="Arial"/>
                              </w:rPr>
                              <w:t xml:space="preserve">aximise 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 xml:space="preserve">common solutions and processes </w:t>
                            </w:r>
                            <w:r>
                              <w:rPr>
                                <w:rFonts w:cs="Arial"/>
                              </w:rPr>
                              <w:t>across government.</w:t>
                            </w:r>
                            <w:proofErr w:type="gramEnd"/>
                          </w:p>
                          <w:p w:rsidR="00CD052C" w:rsidRDefault="000B1A5D" w:rsidP="00CD052C">
                            <w:pPr>
                              <w:spacing w:after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Cost E</w:t>
                            </w:r>
                            <w:r w:rsidR="008A7D96" w:rsidRPr="0023777B">
                              <w:rPr>
                                <w:b/>
                              </w:rPr>
                              <w:t>ffectiveness</w:t>
                            </w:r>
                            <w:r w:rsidR="0023777B" w:rsidRPr="002377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3777B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ICT solutions must be 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 xml:space="preserve">cost effective to </w:t>
                            </w:r>
                            <w:r w:rsidR="0023777B">
                              <w:rPr>
                                <w:rFonts w:cs="Arial"/>
                              </w:rPr>
                              <w:t>acquire, implement and operate</w:t>
                            </w:r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CD052C" w:rsidRDefault="0023777B" w:rsidP="00CD052C">
                            <w:pPr>
                              <w:spacing w:after="60"/>
                            </w:pPr>
                            <w:r w:rsidRPr="00CC26CC">
                              <w:rPr>
                                <w:b/>
                              </w:rPr>
                              <w:t>Risk Minimisation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3777B" w:rsidRPr="008A7D96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proofErr w:type="gramStart"/>
                            <w:r>
                              <w:t xml:space="preserve">Agencies to </w:t>
                            </w:r>
                            <w:r w:rsidR="0023777B" w:rsidRPr="00CC26CC">
                              <w:rPr>
                                <w:rFonts w:cs="Arial"/>
                              </w:rPr>
                              <w:t>mitigate ICT development, implementation and operational risks.</w:t>
                            </w:r>
                            <w:proofErr w:type="gramEnd"/>
                          </w:p>
                          <w:p w:rsidR="00CD052C" w:rsidRDefault="008A7D96" w:rsidP="00CD052C">
                            <w:pPr>
                              <w:spacing w:after="60"/>
                            </w:pPr>
                            <w:r w:rsidRPr="00CC26CC">
                              <w:rPr>
                                <w:b/>
                              </w:rPr>
                              <w:t>Benefits Realisation</w:t>
                            </w:r>
                            <w:r w:rsidR="002377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A7D96" w:rsidRPr="008A7D96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 xml:space="preserve">Proposed ICT solutions must 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 xml:space="preserve">address genuine business need </w:t>
                            </w:r>
                            <w:r w:rsidR="0023777B">
                              <w:rPr>
                                <w:rFonts w:cs="Arial"/>
                              </w:rPr>
                              <w:t xml:space="preserve">and deliver </w:t>
                            </w:r>
                            <w:r w:rsidR="000B1A5D">
                              <w:rPr>
                                <w:rFonts w:cs="Arial"/>
                              </w:rPr>
                              <w:t>appropriate</w:t>
                            </w:r>
                            <w:r w:rsidR="0023777B">
                              <w:rPr>
                                <w:rFonts w:cs="Arial"/>
                              </w:rPr>
                              <w:t xml:space="preserve"> benefits.</w:t>
                            </w:r>
                          </w:p>
                          <w:p w:rsidR="00CD052C" w:rsidRDefault="0023777B" w:rsidP="00CD052C">
                            <w:pPr>
                              <w:spacing w:after="60"/>
                            </w:pPr>
                            <w:r w:rsidRPr="0023777B">
                              <w:rPr>
                                <w:b/>
                              </w:rPr>
                              <w:t>Longevity</w:t>
                            </w:r>
                            <w:r w:rsidR="00CD052C">
                              <w:t xml:space="preserve"> </w:t>
                            </w:r>
                          </w:p>
                          <w:p w:rsidR="0023777B" w:rsidRPr="008A7D96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rPr>
                                <w:rFonts w:cs="Arial"/>
                              </w:rPr>
                              <w:t>ICT</w:t>
                            </w:r>
                            <w:r w:rsidR="0023777B" w:rsidRPr="00CC26CC">
                              <w:rPr>
                                <w:rFonts w:cs="Arial"/>
                              </w:rPr>
                              <w:t xml:space="preserve"> solutions </w:t>
                            </w:r>
                            <w:r>
                              <w:rPr>
                                <w:rFonts w:cs="Arial"/>
                              </w:rPr>
                              <w:t xml:space="preserve">must be </w:t>
                            </w:r>
                            <w:r w:rsidR="0023777B" w:rsidRPr="00CC26CC">
                              <w:rPr>
                                <w:rFonts w:cs="Arial"/>
                              </w:rPr>
                              <w:t>capable of enduring and provid</w:t>
                            </w:r>
                            <w:r w:rsidR="0023777B">
                              <w:rPr>
                                <w:rFonts w:cs="Arial"/>
                              </w:rPr>
                              <w:t>ing benefits over</w:t>
                            </w:r>
                            <w:r w:rsidR="000B1A5D">
                              <w:rPr>
                                <w:rFonts w:cs="Arial"/>
                              </w:rPr>
                              <w:t xml:space="preserve"> an</w:t>
                            </w:r>
                            <w:r w:rsidR="0023777B" w:rsidRPr="00CC26CC">
                              <w:rPr>
                                <w:rFonts w:cs="Arial"/>
                              </w:rPr>
                              <w:t xml:space="preserve"> extended period.</w:t>
                            </w:r>
                          </w:p>
                          <w:p w:rsidR="00CD052C" w:rsidRDefault="008A7D96" w:rsidP="00CD052C">
                            <w:pPr>
                              <w:spacing w:after="60"/>
                            </w:pPr>
                            <w:r w:rsidRPr="00CC26CC">
                              <w:rPr>
                                <w:b/>
                              </w:rPr>
                              <w:t>Innovation</w:t>
                            </w:r>
                            <w:r w:rsidR="002377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A7D96" w:rsidRPr="008A7D96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>Agencies to consider ICT s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>olutions that support business innovation.</w:t>
                            </w:r>
                          </w:p>
                          <w:p w:rsidR="00CD052C" w:rsidRDefault="008A7D96" w:rsidP="00CD052C">
                            <w:pPr>
                              <w:spacing w:after="60"/>
                            </w:pPr>
                            <w:r w:rsidRPr="00A23370">
                              <w:rPr>
                                <w:b/>
                              </w:rPr>
                              <w:t>Accountability</w:t>
                            </w:r>
                            <w:r w:rsidR="002377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E4F79" w:rsidRDefault="00CD052C" w:rsidP="00CD052C">
                            <w:pPr>
                              <w:pStyle w:val="MainFeature-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3"/>
                              </w:tabs>
                            </w:pPr>
                            <w:r>
                              <w:t>A</w:t>
                            </w:r>
                            <w:r w:rsidR="0023777B">
                              <w:rPr>
                                <w:rFonts w:cs="Arial"/>
                              </w:rPr>
                              <w:t>gency Accountable Officer</w:t>
                            </w:r>
                            <w:r>
                              <w:rPr>
                                <w:rFonts w:cs="Arial"/>
                              </w:rPr>
                              <w:t>s are</w:t>
                            </w:r>
                            <w:r w:rsidR="0023777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 xml:space="preserve">responsible for delivery </w:t>
                            </w:r>
                            <w:r>
                              <w:rPr>
                                <w:rFonts w:cs="Arial"/>
                              </w:rPr>
                              <w:t xml:space="preserve">of ICT projects 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>and management of ICT</w:t>
                            </w:r>
                            <w:r w:rsidR="0023777B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resources </w:t>
                            </w:r>
                            <w:r w:rsidR="008A7D96" w:rsidRPr="00CC26CC">
                              <w:rPr>
                                <w:rFonts w:cs="Arial"/>
                              </w:rPr>
                              <w:t>in their agency</w:t>
                            </w:r>
                            <w:r w:rsidR="0023777B">
                              <w:t>.</w:t>
                            </w:r>
                          </w:p>
                          <w:p w:rsidR="00CD052C" w:rsidRDefault="00CD052C" w:rsidP="00CD052C">
                            <w:pPr>
                              <w:pStyle w:val="MainFeatures-FixedText"/>
                              <w:tabs>
                                <w:tab w:val="left" w:pos="4253"/>
                              </w:tabs>
                              <w:spacing w:after="60"/>
                              <w:rPr>
                                <w:snapToGrid w:val="0"/>
                                <w:lang w:eastAsia="en-US"/>
                              </w:rPr>
                            </w:pPr>
                          </w:p>
                          <w:p w:rsidR="003E4F79" w:rsidRDefault="003E4F79" w:rsidP="00CD052C">
                            <w:pPr>
                              <w:pStyle w:val="MainFeatures-FixedText"/>
                              <w:tabs>
                                <w:tab w:val="left" w:pos="4253"/>
                              </w:tabs>
                              <w:spacing w:after="60"/>
                            </w:pPr>
                            <w:r>
                              <w:rPr>
                                <w:snapToGrid w:val="0"/>
                                <w:lang w:eastAsia="en-US"/>
                              </w:rPr>
                              <w:t>For authoritative instruction and guidance reference</w:t>
                            </w:r>
                            <w:r>
                              <w:rPr>
                                <w:b/>
                                <w:snapToGrid w:val="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lang w:eastAsia="en-US"/>
                              </w:rPr>
                              <w:t>should be made to related Treasurer's Directions and associated commentary.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905044">
              <w:t>A principles-</w:t>
            </w:r>
            <w:r w:rsidR="008A7D96">
              <w:t>based approach to ICT governance provide</w:t>
            </w:r>
            <w:r w:rsidR="00905044">
              <w:t>s</w:t>
            </w:r>
            <w:r w:rsidR="008A7D96">
              <w:t xml:space="preserve"> structure, guidance and </w:t>
            </w:r>
            <w:r w:rsidR="00CD052C">
              <w:t>rigour</w:t>
            </w:r>
            <w:r w:rsidR="008A7D96">
              <w:t xml:space="preserve"> </w:t>
            </w:r>
            <w:r w:rsidR="00905044">
              <w:t xml:space="preserve">for </w:t>
            </w:r>
            <w:r w:rsidR="00CD052C">
              <w:t xml:space="preserve">agency </w:t>
            </w:r>
            <w:r w:rsidR="00905044">
              <w:t xml:space="preserve">ICT decisions and </w:t>
            </w:r>
            <w:r w:rsidR="008A7D96">
              <w:t xml:space="preserve">the implementation of ICT </w:t>
            </w:r>
            <w:r w:rsidR="00905044">
              <w:t>solutions.</w:t>
            </w:r>
          </w:p>
        </w:tc>
      </w:tr>
    </w:tbl>
    <w:p w:rsidR="00BB70DD" w:rsidRDefault="00BB70DD"/>
    <w:p w:rsidR="003E4F79" w:rsidRPr="00D64627" w:rsidRDefault="00BB70DD" w:rsidP="00CD052C">
      <w:pPr>
        <w:rPr>
          <w:rFonts w:cs="Arial"/>
          <w:b/>
        </w:rPr>
      </w:pPr>
      <w:r>
        <w:br w:type="page"/>
      </w:r>
      <w:r w:rsidR="003E4F79" w:rsidRPr="00D64627">
        <w:rPr>
          <w:rFonts w:cs="Arial"/>
          <w:b/>
        </w:rPr>
        <w:lastRenderedPageBreak/>
        <w:t>CONTENTS</w:t>
      </w:r>
    </w:p>
    <w:p w:rsidR="003E4F79" w:rsidRDefault="00CD052C" w:rsidP="00CD052C">
      <w:pPr>
        <w:ind w:firstLine="720"/>
        <w:rPr>
          <w:rFonts w:cs="Arial"/>
        </w:rPr>
      </w:pPr>
      <w:r w:rsidRPr="00D64627">
        <w:rPr>
          <w:rFonts w:cs="Arial"/>
        </w:rPr>
        <w:t>Overview</w:t>
      </w:r>
      <w:r w:rsidR="00B50E61">
        <w:rPr>
          <w:rFonts w:cs="Arial"/>
        </w:rPr>
        <w:t xml:space="preserve"> – ICT Governance Principles</w:t>
      </w:r>
    </w:p>
    <w:p w:rsidR="003E4F79" w:rsidRPr="00C20A26" w:rsidRDefault="003E4F79" w:rsidP="00CD052C">
      <w:pPr>
        <w:ind w:left="720"/>
        <w:rPr>
          <w:rFonts w:cs="Arial"/>
        </w:rPr>
      </w:pPr>
      <w:r w:rsidRPr="00C20A26">
        <w:rPr>
          <w:rFonts w:cs="Arial"/>
        </w:rPr>
        <w:t>Compatibility</w:t>
      </w:r>
      <w:r w:rsidR="00DD39C4" w:rsidRPr="00DD39C4">
        <w:rPr>
          <w:rFonts w:cs="Arial"/>
        </w:rPr>
        <w:t xml:space="preserve"> </w:t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1C06A7">
        <w:rPr>
          <w:rFonts w:cs="Arial"/>
        </w:rPr>
        <w:t>ICT1</w:t>
      </w:r>
      <w:r w:rsidR="00DD39C4">
        <w:rPr>
          <w:rFonts w:cs="Arial"/>
        </w:rPr>
        <w:t>.3</w:t>
      </w:r>
      <w:r w:rsidR="00DD39C4" w:rsidRPr="00C20A26">
        <w:rPr>
          <w:rFonts w:cs="Arial"/>
        </w:rPr>
        <w:t>.</w:t>
      </w:r>
      <w:r w:rsidR="00DD39C4">
        <w:rPr>
          <w:rFonts w:cs="Arial"/>
        </w:rPr>
        <w:t>1</w:t>
      </w:r>
    </w:p>
    <w:p w:rsidR="003E4F79" w:rsidRPr="00C20A26" w:rsidRDefault="003E4F79" w:rsidP="00CD052C">
      <w:pPr>
        <w:ind w:left="720"/>
        <w:rPr>
          <w:rFonts w:cs="Arial"/>
        </w:rPr>
      </w:pPr>
      <w:r w:rsidRPr="00C20A26">
        <w:rPr>
          <w:rFonts w:cs="Arial"/>
        </w:rPr>
        <w:t>Collaboration and Standardisation</w:t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1C06A7">
        <w:rPr>
          <w:rFonts w:cs="Arial"/>
        </w:rPr>
        <w:t>ICT1</w:t>
      </w:r>
      <w:r w:rsidR="00DD39C4" w:rsidRPr="00C20A26">
        <w:rPr>
          <w:rFonts w:cs="Arial"/>
        </w:rPr>
        <w:t>.</w:t>
      </w:r>
      <w:r w:rsidR="00DD39C4" w:rsidRPr="00AF4CBE">
        <w:rPr>
          <w:rFonts w:cs="Arial"/>
        </w:rPr>
        <w:t>3</w:t>
      </w:r>
      <w:r w:rsidR="00DD39C4">
        <w:rPr>
          <w:rFonts w:cs="Arial"/>
        </w:rPr>
        <w:t>.2</w:t>
      </w:r>
      <w:r w:rsidR="00DD39C4" w:rsidRPr="00C20A26">
        <w:rPr>
          <w:rFonts w:cs="Arial"/>
        </w:rPr>
        <w:tab/>
      </w:r>
      <w:r w:rsidR="00DD39C4" w:rsidRPr="00C20A26">
        <w:rPr>
          <w:rFonts w:cs="Arial"/>
        </w:rPr>
        <w:tab/>
      </w:r>
    </w:p>
    <w:p w:rsidR="0023777B" w:rsidRDefault="007B461B" w:rsidP="00CD052C">
      <w:pPr>
        <w:ind w:left="720"/>
        <w:rPr>
          <w:rFonts w:cs="Arial"/>
        </w:rPr>
      </w:pPr>
      <w:r>
        <w:rPr>
          <w:rFonts w:cs="Arial"/>
        </w:rPr>
        <w:t xml:space="preserve">Cost </w:t>
      </w:r>
      <w:r w:rsidR="003E4F79">
        <w:rPr>
          <w:rFonts w:cs="Arial"/>
        </w:rPr>
        <w:t>E</w:t>
      </w:r>
      <w:r w:rsidR="003E4F79" w:rsidRPr="00C20A26">
        <w:rPr>
          <w:rFonts w:cs="Arial"/>
        </w:rPr>
        <w:t>ffectiveness</w:t>
      </w:r>
      <w:r w:rsidR="00DD39C4">
        <w:rPr>
          <w:rFonts w:cs="Arial"/>
        </w:rPr>
        <w:t xml:space="preserve"> </w:t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1C06A7">
        <w:rPr>
          <w:rFonts w:cs="Arial"/>
        </w:rPr>
        <w:t>ICT1</w:t>
      </w:r>
      <w:r w:rsidR="00DD39C4">
        <w:rPr>
          <w:rFonts w:cs="Arial"/>
        </w:rPr>
        <w:t>.3</w:t>
      </w:r>
      <w:r w:rsidR="00DD39C4" w:rsidRPr="00C20A26">
        <w:rPr>
          <w:rFonts w:cs="Arial"/>
        </w:rPr>
        <w:t>.</w:t>
      </w:r>
      <w:r w:rsidR="00DD39C4">
        <w:rPr>
          <w:rFonts w:cs="Arial"/>
        </w:rPr>
        <w:t>3</w:t>
      </w:r>
    </w:p>
    <w:p w:rsidR="003E4F79" w:rsidRPr="00C20A26" w:rsidRDefault="0023777B" w:rsidP="00CD052C">
      <w:pPr>
        <w:ind w:left="720"/>
        <w:rPr>
          <w:rFonts w:cs="Arial"/>
        </w:rPr>
      </w:pPr>
      <w:r w:rsidRPr="00C20A26">
        <w:rPr>
          <w:rFonts w:cs="Arial"/>
        </w:rPr>
        <w:t>Risk Minimisation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C06A7">
        <w:rPr>
          <w:rFonts w:cs="Arial"/>
        </w:rPr>
        <w:t>ICT1</w:t>
      </w:r>
      <w:r>
        <w:rPr>
          <w:rFonts w:cs="Arial"/>
        </w:rPr>
        <w:t>.3.4</w:t>
      </w:r>
      <w:r w:rsidRPr="00C20A26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</w:p>
    <w:p w:rsidR="0023777B" w:rsidRDefault="003E4F79" w:rsidP="00CD052C">
      <w:pPr>
        <w:ind w:left="720"/>
        <w:rPr>
          <w:rFonts w:cs="Arial"/>
        </w:rPr>
      </w:pPr>
      <w:r w:rsidRPr="00C20A26">
        <w:rPr>
          <w:rFonts w:cs="Arial"/>
        </w:rPr>
        <w:t>Benefits Realisation</w:t>
      </w:r>
      <w:r w:rsidR="00DD39C4">
        <w:rPr>
          <w:rFonts w:cs="Arial"/>
        </w:rPr>
        <w:t xml:space="preserve"> </w:t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DD39C4">
        <w:rPr>
          <w:rFonts w:cs="Arial"/>
        </w:rPr>
        <w:tab/>
      </w:r>
      <w:r w:rsidR="001C06A7">
        <w:rPr>
          <w:rFonts w:cs="Arial"/>
        </w:rPr>
        <w:t>ICT1</w:t>
      </w:r>
      <w:r w:rsidR="00DD39C4">
        <w:rPr>
          <w:rFonts w:cs="Arial"/>
        </w:rPr>
        <w:t>.3.5</w:t>
      </w:r>
      <w:r w:rsidR="00DD39C4" w:rsidRPr="00C20A26">
        <w:rPr>
          <w:rFonts w:cs="Arial"/>
        </w:rPr>
        <w:tab/>
      </w:r>
    </w:p>
    <w:p w:rsidR="003E4F79" w:rsidRPr="00C20A26" w:rsidRDefault="0023777B" w:rsidP="00CD052C">
      <w:pPr>
        <w:ind w:left="720"/>
        <w:rPr>
          <w:rFonts w:cs="Arial"/>
        </w:rPr>
      </w:pPr>
      <w:r w:rsidRPr="00C20A26">
        <w:rPr>
          <w:rFonts w:cs="Arial"/>
        </w:rPr>
        <w:t>Longevity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C06A7">
        <w:rPr>
          <w:rFonts w:cs="Arial"/>
        </w:rPr>
        <w:t>ICT1</w:t>
      </w:r>
      <w:r>
        <w:rPr>
          <w:rFonts w:cs="Arial"/>
        </w:rPr>
        <w:t>.3.6</w:t>
      </w:r>
      <w:r w:rsidRPr="00C20A26">
        <w:rPr>
          <w:rFonts w:cs="Arial"/>
        </w:rPr>
        <w:tab/>
      </w:r>
      <w:r w:rsidR="00DD39C4" w:rsidRPr="00C20A26">
        <w:rPr>
          <w:rFonts w:cs="Arial"/>
        </w:rPr>
        <w:tab/>
      </w:r>
    </w:p>
    <w:p w:rsidR="003E4F79" w:rsidRPr="00AF4CBE" w:rsidRDefault="003E4F79" w:rsidP="00CD052C">
      <w:pPr>
        <w:ind w:left="720"/>
        <w:rPr>
          <w:rFonts w:cs="Arial"/>
        </w:rPr>
      </w:pPr>
      <w:r w:rsidRPr="00C20A26">
        <w:rPr>
          <w:rFonts w:cs="Arial"/>
        </w:rPr>
        <w:t>Innovation</w:t>
      </w:r>
      <w:r w:rsidR="00DD39C4" w:rsidRPr="00C20A26">
        <w:rPr>
          <w:rFonts w:cs="Arial"/>
        </w:rPr>
        <w:tab/>
      </w:r>
      <w:r w:rsidR="00DD39C4" w:rsidRPr="00C20A26">
        <w:rPr>
          <w:rFonts w:cs="Arial"/>
        </w:rPr>
        <w:tab/>
      </w:r>
      <w:r w:rsidR="00D32965">
        <w:rPr>
          <w:rFonts w:cs="Arial"/>
        </w:rPr>
        <w:tab/>
      </w:r>
      <w:r w:rsidR="00D32965">
        <w:rPr>
          <w:rFonts w:cs="Arial"/>
        </w:rPr>
        <w:tab/>
      </w:r>
      <w:r w:rsidR="00D32965">
        <w:rPr>
          <w:rFonts w:cs="Arial"/>
        </w:rPr>
        <w:tab/>
      </w:r>
      <w:r w:rsidR="001C06A7">
        <w:rPr>
          <w:rFonts w:cs="Arial"/>
        </w:rPr>
        <w:t>ICT1</w:t>
      </w:r>
      <w:r w:rsidR="00D32965">
        <w:rPr>
          <w:rFonts w:cs="Arial"/>
        </w:rPr>
        <w:t>.3.</w:t>
      </w:r>
      <w:r w:rsidR="0023777B">
        <w:rPr>
          <w:rFonts w:cs="Arial"/>
        </w:rPr>
        <w:t>7</w:t>
      </w:r>
    </w:p>
    <w:p w:rsidR="003E4F79" w:rsidRPr="00AF4CBE" w:rsidRDefault="003E4F79" w:rsidP="00CD052C">
      <w:pPr>
        <w:ind w:left="720"/>
        <w:rPr>
          <w:rFonts w:cs="Arial"/>
        </w:rPr>
      </w:pPr>
      <w:r w:rsidRPr="00C20A26">
        <w:rPr>
          <w:rFonts w:cs="Arial"/>
        </w:rPr>
        <w:t>Accountability</w:t>
      </w:r>
      <w:r w:rsidR="00DD39C4">
        <w:rPr>
          <w:rFonts w:cs="Arial"/>
        </w:rPr>
        <w:t xml:space="preserve"> </w:t>
      </w:r>
      <w:r w:rsidR="00D32965">
        <w:rPr>
          <w:rFonts w:cs="Arial"/>
        </w:rPr>
        <w:tab/>
      </w:r>
      <w:r w:rsidR="00D32965">
        <w:rPr>
          <w:rFonts w:cs="Arial"/>
        </w:rPr>
        <w:tab/>
      </w:r>
      <w:r w:rsidR="00D32965">
        <w:rPr>
          <w:rFonts w:cs="Arial"/>
        </w:rPr>
        <w:tab/>
      </w:r>
      <w:r w:rsidR="00D32965">
        <w:rPr>
          <w:rFonts w:cs="Arial"/>
        </w:rPr>
        <w:tab/>
      </w:r>
      <w:r w:rsidR="00D32965">
        <w:rPr>
          <w:rFonts w:cs="Arial"/>
        </w:rPr>
        <w:tab/>
      </w:r>
      <w:r w:rsidR="001C06A7">
        <w:rPr>
          <w:rFonts w:cs="Arial"/>
        </w:rPr>
        <w:t>ICT1</w:t>
      </w:r>
      <w:r w:rsidR="00DD39C4">
        <w:rPr>
          <w:rFonts w:cs="Arial"/>
        </w:rPr>
        <w:t>.3.8</w:t>
      </w:r>
      <w:r w:rsidR="00DD39C4" w:rsidRPr="00C20A26">
        <w:rPr>
          <w:rFonts w:cs="Arial"/>
        </w:rPr>
        <w:tab/>
      </w:r>
      <w:r w:rsidR="00DD39C4" w:rsidRPr="00C20A26">
        <w:rPr>
          <w:rFonts w:cs="Arial"/>
        </w:rPr>
        <w:tab/>
      </w:r>
    </w:p>
    <w:p w:rsidR="003E4F79" w:rsidRPr="00C20A26" w:rsidRDefault="003E4F79" w:rsidP="003E4F79">
      <w:pPr>
        <w:rPr>
          <w:rFonts w:cs="Arial"/>
        </w:rPr>
      </w:pPr>
    </w:p>
    <w:p w:rsidR="003E4F79" w:rsidRDefault="003E4F79" w:rsidP="003E4F79">
      <w:pPr>
        <w:rPr>
          <w:rFonts w:cs="Arial"/>
          <w:b/>
        </w:rPr>
      </w:pPr>
      <w:r w:rsidRPr="00D64627">
        <w:rPr>
          <w:rFonts w:cs="Arial"/>
          <w:b/>
        </w:rPr>
        <w:t xml:space="preserve">AUTHORITIES </w:t>
      </w:r>
    </w:p>
    <w:p w:rsidR="003E4F79" w:rsidRPr="00D64627" w:rsidRDefault="003E4F79" w:rsidP="00CD052C">
      <w:pPr>
        <w:ind w:firstLine="720"/>
        <w:jc w:val="left"/>
        <w:rPr>
          <w:rFonts w:cs="Arial"/>
          <w:i/>
        </w:rPr>
      </w:pPr>
      <w:r w:rsidRPr="00D64627">
        <w:rPr>
          <w:rFonts w:cs="Arial"/>
          <w:i/>
        </w:rPr>
        <w:t xml:space="preserve">Financial Management Act (NT) </w:t>
      </w:r>
    </w:p>
    <w:p w:rsidR="003E4F79" w:rsidRPr="00D64627" w:rsidRDefault="003E4F79" w:rsidP="00CD052C">
      <w:pPr>
        <w:ind w:firstLine="720"/>
        <w:jc w:val="left"/>
        <w:rPr>
          <w:rFonts w:cs="Arial"/>
          <w:i/>
        </w:rPr>
      </w:pPr>
      <w:r w:rsidRPr="00D64627">
        <w:rPr>
          <w:rFonts w:cs="Arial"/>
          <w:i/>
        </w:rPr>
        <w:t>Procurement Act (NT)</w:t>
      </w:r>
    </w:p>
    <w:p w:rsidR="003E4F79" w:rsidRPr="00AF4CBE" w:rsidRDefault="003E4F79" w:rsidP="00CD052C">
      <w:pPr>
        <w:ind w:firstLine="720"/>
        <w:jc w:val="left"/>
        <w:rPr>
          <w:rFonts w:cs="Arial"/>
          <w:i/>
        </w:rPr>
      </w:pPr>
      <w:r>
        <w:rPr>
          <w:rFonts w:cs="Arial"/>
          <w:i/>
        </w:rPr>
        <w:t>NTG</w:t>
      </w:r>
      <w:r w:rsidRPr="00AF4CBE">
        <w:rPr>
          <w:rFonts w:cs="Arial"/>
          <w:i/>
        </w:rPr>
        <w:t xml:space="preserve"> ICT Governance Framework</w:t>
      </w:r>
    </w:p>
    <w:p w:rsidR="003E4F79" w:rsidRPr="00D64627" w:rsidRDefault="003E4F79" w:rsidP="003E4F79">
      <w:pPr>
        <w:rPr>
          <w:rFonts w:cs="Arial"/>
          <w:b/>
        </w:rPr>
      </w:pPr>
    </w:p>
    <w:p w:rsidR="003E4F79" w:rsidRDefault="003E4F79" w:rsidP="003E4F79">
      <w:pPr>
        <w:rPr>
          <w:rFonts w:cs="Arial"/>
          <w:b/>
        </w:rPr>
      </w:pPr>
      <w:r w:rsidRPr="00D64627">
        <w:rPr>
          <w:rFonts w:cs="Arial"/>
          <w:b/>
        </w:rPr>
        <w:t>ABBREVIATIONS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BBREVIATIONS"/>
      </w:tblPr>
      <w:tblGrid>
        <w:gridCol w:w="1809"/>
        <w:gridCol w:w="6263"/>
      </w:tblGrid>
      <w:tr w:rsidR="003E4F79" w:rsidRPr="00C02122" w:rsidTr="005F7F6C">
        <w:trPr>
          <w:trHeight w:val="459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 xml:space="preserve">ICT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 xml:space="preserve">Information </w:t>
            </w:r>
            <w:r>
              <w:rPr>
                <w:rFonts w:cs="Arial"/>
                <w:b w:val="0"/>
                <w:caps w:val="0"/>
              </w:rPr>
              <w:t xml:space="preserve">and </w:t>
            </w:r>
            <w:r w:rsidRPr="00D64627">
              <w:rPr>
                <w:rFonts w:cs="Arial"/>
                <w:b w:val="0"/>
                <w:caps w:val="0"/>
              </w:rPr>
              <w:t>Communications Technology</w:t>
            </w:r>
          </w:p>
        </w:tc>
      </w:tr>
      <w:tr w:rsidR="003E4F79" w:rsidRPr="00C02122" w:rsidTr="005F7F6C">
        <w:trPr>
          <w:trHeight w:val="46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>IGB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>ICT Governance Board</w:t>
            </w:r>
          </w:p>
        </w:tc>
      </w:tr>
      <w:tr w:rsidR="003E4F79" w:rsidRPr="00C02122" w:rsidTr="005F7F6C">
        <w:trPr>
          <w:trHeight w:val="46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>ILG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>ICT Leadership Group</w:t>
            </w:r>
          </w:p>
        </w:tc>
      </w:tr>
      <w:tr w:rsidR="003E4F79" w:rsidRPr="00C02122" w:rsidTr="005F7F6C">
        <w:trPr>
          <w:trHeight w:val="46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>NT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79" w:rsidRPr="00D64627" w:rsidRDefault="003E4F79" w:rsidP="0083518D">
            <w:pPr>
              <w:pStyle w:val="Direction-Heading"/>
              <w:jc w:val="left"/>
              <w:rPr>
                <w:rFonts w:cs="Arial"/>
                <w:b w:val="0"/>
                <w:caps w:val="0"/>
              </w:rPr>
            </w:pPr>
            <w:r w:rsidRPr="00D64627">
              <w:rPr>
                <w:rFonts w:cs="Arial"/>
                <w:b w:val="0"/>
                <w:caps w:val="0"/>
              </w:rPr>
              <w:t>Northern Territory</w:t>
            </w:r>
          </w:p>
        </w:tc>
      </w:tr>
      <w:tr w:rsidR="003E4F79" w:rsidRPr="00C02122" w:rsidTr="005F7F6C">
        <w:trPr>
          <w:trHeight w:val="46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79" w:rsidRPr="00D64627" w:rsidRDefault="003E4F79" w:rsidP="0083518D">
            <w:pPr>
              <w:pStyle w:val="Direction-Heading"/>
              <w:rPr>
                <w:rFonts w:cs="Arial"/>
                <w:b w:val="0"/>
                <w:caps w:val="0"/>
              </w:rPr>
            </w:pPr>
            <w:r>
              <w:rPr>
                <w:rFonts w:cs="Arial"/>
                <w:b w:val="0"/>
                <w:caps w:val="0"/>
              </w:rPr>
              <w:t>NTG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79" w:rsidRPr="00D64627" w:rsidRDefault="003E4F79" w:rsidP="0083518D">
            <w:pPr>
              <w:pStyle w:val="Direction-Heading"/>
              <w:rPr>
                <w:rFonts w:cs="Arial"/>
                <w:b w:val="0"/>
                <w:caps w:val="0"/>
              </w:rPr>
            </w:pPr>
            <w:r>
              <w:rPr>
                <w:rFonts w:cs="Arial"/>
                <w:b w:val="0"/>
                <w:caps w:val="0"/>
              </w:rPr>
              <w:t>Northern Territory Government</w:t>
            </w:r>
          </w:p>
        </w:tc>
      </w:tr>
    </w:tbl>
    <w:p w:rsidR="00BB70DD" w:rsidRPr="00242928" w:rsidRDefault="00BB70DD" w:rsidP="003E4F79">
      <w:pPr>
        <w:rPr>
          <w:rFonts w:cs="Arial"/>
        </w:rPr>
      </w:pPr>
    </w:p>
    <w:p w:rsidR="00CD052C" w:rsidRDefault="00CD052C">
      <w:pPr>
        <w:spacing w:before="0" w:after="200" w:line="276" w:lineRule="auto"/>
        <w:jc w:val="left"/>
        <w:rPr>
          <w:rFonts w:cs="Arial"/>
          <w:b/>
          <w:caps/>
        </w:rPr>
      </w:pPr>
      <w:r>
        <w:rPr>
          <w:rFonts w:cs="Arial"/>
        </w:rPr>
        <w:br w:type="page"/>
      </w:r>
    </w:p>
    <w:p w:rsidR="003E4F79" w:rsidRPr="00D64627" w:rsidRDefault="00CD052C" w:rsidP="00CD052C">
      <w:pPr>
        <w:spacing w:before="240"/>
        <w:rPr>
          <w:rFonts w:cs="Arial"/>
        </w:rPr>
      </w:pPr>
      <w:r w:rsidRPr="00CD052C">
        <w:rPr>
          <w:rFonts w:cs="Arial"/>
          <w:b/>
        </w:rPr>
        <w:lastRenderedPageBreak/>
        <w:t>OVERVIEW</w:t>
      </w:r>
      <w:r w:rsidRPr="00D64627">
        <w:rPr>
          <w:rFonts w:cs="Arial"/>
        </w:rPr>
        <w:t xml:space="preserve"> </w:t>
      </w:r>
      <w:r w:rsidR="00B50E61" w:rsidRPr="00F24C68">
        <w:rPr>
          <w:rFonts w:cs="Arial"/>
          <w:b/>
        </w:rPr>
        <w:t>– ICT GOVERNANCE PRINCIPLES</w:t>
      </w:r>
    </w:p>
    <w:p w:rsidR="00927FE4" w:rsidRDefault="00927FE4" w:rsidP="00927FE4">
      <w:r>
        <w:t>The NT Government adopts a principle</w:t>
      </w:r>
      <w:r w:rsidR="006C1E0F">
        <w:t>s</w:t>
      </w:r>
      <w:r>
        <w:t xml:space="preserve">-based approach to ICT governance to provide structure, guidance and </w:t>
      </w:r>
      <w:r w:rsidR="00CD052C">
        <w:t>rigour to assist agencies in making</w:t>
      </w:r>
      <w:r>
        <w:t xml:space="preserve"> </w:t>
      </w:r>
      <w:r w:rsidR="000B1A5D">
        <w:t xml:space="preserve">sound </w:t>
      </w:r>
      <w:r w:rsidR="006C1E0F">
        <w:t xml:space="preserve">ICT decisions </w:t>
      </w:r>
      <w:r w:rsidR="000B1A5D">
        <w:t xml:space="preserve">and </w:t>
      </w:r>
      <w:r w:rsidR="00CD052C">
        <w:t>in directing the</w:t>
      </w:r>
      <w:r>
        <w:t xml:space="preserve"> implementation of ICT </w:t>
      </w:r>
      <w:r w:rsidR="006C1E0F">
        <w:t>solution</w:t>
      </w:r>
      <w:r>
        <w:t>s within the NT</w:t>
      </w:r>
      <w:r w:rsidR="006C1E0F">
        <w:t xml:space="preserve"> </w:t>
      </w:r>
      <w:r>
        <w:t>G</w:t>
      </w:r>
      <w:r w:rsidR="006C1E0F">
        <w:t>overnment</w:t>
      </w:r>
      <w:r>
        <w:t xml:space="preserve"> ICT environment. </w:t>
      </w:r>
    </w:p>
    <w:p w:rsidR="00956ABC" w:rsidRDefault="006C1E0F" w:rsidP="003E4F79">
      <w:r>
        <w:t>The ICT governance principles set the core criteria for considering and measuring ICT activity</w:t>
      </w:r>
      <w:r w:rsidR="00CD052C">
        <w:t xml:space="preserve"> and for informing</w:t>
      </w:r>
      <w:r>
        <w:t xml:space="preserve"> decisions, including ICT investment proposals. The principles are the fundamental tenets on which ICT decisions are based and assessed.</w:t>
      </w:r>
    </w:p>
    <w:p w:rsidR="006C1E0F" w:rsidRDefault="006C1E0F" w:rsidP="003E4F79">
      <w:pPr>
        <w:rPr>
          <w:rFonts w:cs="Arial"/>
          <w:b/>
        </w:rPr>
      </w:pPr>
      <w:r>
        <w:t>Providing one set of cohesive principles for the NTG ensure</w:t>
      </w:r>
      <w:r w:rsidR="00CD052C">
        <w:t>s</w:t>
      </w:r>
      <w:r>
        <w:t xml:space="preserve"> a consistent and complete approach to the range of ICT decisions within and across agencies. This provides a standard frame of reference for </w:t>
      </w:r>
      <w:r w:rsidR="00CD052C">
        <w:t>a</w:t>
      </w:r>
      <w:r>
        <w:t>gency Accountable Officers and assists agencies to ensure that all requirements are fully considered.</w:t>
      </w:r>
    </w:p>
    <w:p w:rsidR="003E4F79" w:rsidRPr="00CC26CC" w:rsidRDefault="003E4F79" w:rsidP="00CD052C">
      <w:pPr>
        <w:spacing w:before="240"/>
        <w:rPr>
          <w:rFonts w:cs="Arial"/>
          <w:b/>
        </w:rPr>
      </w:pPr>
      <w:r w:rsidRPr="00CC26CC">
        <w:rPr>
          <w:rFonts w:cs="Arial"/>
          <w:b/>
        </w:rPr>
        <w:t>COMPATIBILITY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4F79" w:rsidRPr="001726B2" w:rsidTr="000E3916">
        <w:trPr>
          <w:trHeight w:val="1139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4F79" w:rsidRPr="00DD39C4" w:rsidRDefault="001C06A7" w:rsidP="0083518D">
            <w:pPr>
              <w:pStyle w:val="Direction-Number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DD39C4" w:rsidRPr="00CC26CC">
              <w:rPr>
                <w:rFonts w:cs="Arial"/>
                <w:szCs w:val="24"/>
              </w:rPr>
              <w:t>.3.1</w:t>
            </w:r>
          </w:p>
        </w:tc>
        <w:tc>
          <w:tcPr>
            <w:tcW w:w="7938" w:type="dxa"/>
          </w:tcPr>
          <w:p w:rsidR="003E4F79" w:rsidRPr="001726B2" w:rsidRDefault="003E4F79" w:rsidP="00D4652C">
            <w:pPr>
              <w:pStyle w:val="ListParagraph"/>
              <w:ind w:left="0"/>
              <w:jc w:val="left"/>
              <w:rPr>
                <w:b/>
              </w:rPr>
            </w:pPr>
            <w:r w:rsidRPr="00D64627">
              <w:rPr>
                <w:rFonts w:cs="Arial"/>
                <w:b/>
              </w:rPr>
              <w:t xml:space="preserve">Each agency </w:t>
            </w:r>
            <w:r>
              <w:rPr>
                <w:rFonts w:cs="Arial"/>
                <w:b/>
              </w:rPr>
              <w:t xml:space="preserve">is responsible for ensuring that </w:t>
            </w:r>
            <w:r w:rsidRPr="00D64627">
              <w:rPr>
                <w:rFonts w:cs="Arial"/>
                <w:b/>
              </w:rPr>
              <w:t xml:space="preserve">ICT solutions are compatible and able to operate </w:t>
            </w:r>
            <w:r>
              <w:rPr>
                <w:rFonts w:cs="Arial"/>
                <w:b/>
              </w:rPr>
              <w:t xml:space="preserve">in harmony </w:t>
            </w:r>
            <w:r w:rsidRPr="00D64627">
              <w:rPr>
                <w:rFonts w:cs="Arial"/>
                <w:b/>
              </w:rPr>
              <w:t xml:space="preserve">with </w:t>
            </w:r>
            <w:r w:rsidR="00D4652C">
              <w:rPr>
                <w:rFonts w:cs="Arial"/>
                <w:b/>
              </w:rPr>
              <w:t xml:space="preserve">the </w:t>
            </w:r>
            <w:r w:rsidRPr="00D64627">
              <w:rPr>
                <w:rFonts w:cs="Arial"/>
                <w:b/>
              </w:rPr>
              <w:t>existing NT</w:t>
            </w:r>
            <w:r>
              <w:rPr>
                <w:rFonts w:cs="Arial"/>
                <w:b/>
              </w:rPr>
              <w:t xml:space="preserve">G </w:t>
            </w:r>
            <w:r w:rsidR="004F060E">
              <w:rPr>
                <w:rFonts w:cs="Arial"/>
                <w:b/>
              </w:rPr>
              <w:t xml:space="preserve">ICT </w:t>
            </w:r>
            <w:r w:rsidR="00D4652C">
              <w:rPr>
                <w:rFonts w:cs="Arial"/>
                <w:b/>
              </w:rPr>
              <w:t xml:space="preserve">environment, </w:t>
            </w:r>
            <w:r w:rsidR="004F060E">
              <w:rPr>
                <w:rFonts w:cs="Arial"/>
                <w:b/>
              </w:rPr>
              <w:t>systems,</w:t>
            </w:r>
            <w:r w:rsidRPr="00D6462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and </w:t>
            </w:r>
            <w:r w:rsidRPr="00D64627">
              <w:rPr>
                <w:rFonts w:cs="Arial"/>
                <w:b/>
              </w:rPr>
              <w:t>architecture</w:t>
            </w:r>
            <w:r>
              <w:rPr>
                <w:rFonts w:cs="Arial"/>
                <w:b/>
              </w:rPr>
              <w:t>.</w:t>
            </w:r>
          </w:p>
        </w:tc>
      </w:tr>
    </w:tbl>
    <w:p w:rsidR="003E4F79" w:rsidRPr="00D64627" w:rsidRDefault="003E4F79" w:rsidP="000E3916">
      <w:pPr>
        <w:pStyle w:val="Commentry"/>
        <w:numPr>
          <w:ilvl w:val="0"/>
          <w:numId w:val="18"/>
        </w:numPr>
        <w:tabs>
          <w:tab w:val="clear" w:pos="1843"/>
          <w:tab w:val="left" w:pos="1418"/>
          <w:tab w:val="left" w:pos="1701"/>
          <w:tab w:val="left" w:pos="8789"/>
        </w:tabs>
        <w:ind w:left="1134" w:hanging="567"/>
        <w:rPr>
          <w:rFonts w:cs="Arial"/>
        </w:rPr>
      </w:pPr>
      <w:r w:rsidRPr="00D64627">
        <w:rPr>
          <w:rFonts w:cs="Arial"/>
        </w:rPr>
        <w:t>The NT</w:t>
      </w:r>
      <w:r>
        <w:rPr>
          <w:rFonts w:cs="Arial"/>
        </w:rPr>
        <w:t>G</w:t>
      </w:r>
      <w:r w:rsidRPr="00D64627">
        <w:rPr>
          <w:rFonts w:cs="Arial"/>
        </w:rPr>
        <w:t xml:space="preserve"> adopts a standard </w:t>
      </w:r>
      <w:r>
        <w:rPr>
          <w:rFonts w:cs="Arial"/>
        </w:rPr>
        <w:t>ICT</w:t>
      </w:r>
      <w:r w:rsidRPr="00D64627">
        <w:rPr>
          <w:rFonts w:cs="Arial"/>
        </w:rPr>
        <w:t xml:space="preserve"> environment across </w:t>
      </w:r>
      <w:r>
        <w:rPr>
          <w:rFonts w:cs="Arial"/>
        </w:rPr>
        <w:t>all-of-government</w:t>
      </w:r>
      <w:r w:rsidRPr="00D64627">
        <w:rPr>
          <w:rFonts w:cs="Arial"/>
        </w:rPr>
        <w:t xml:space="preserve"> which ensures </w:t>
      </w:r>
      <w:r>
        <w:rPr>
          <w:rFonts w:cs="Arial"/>
        </w:rPr>
        <w:t xml:space="preserve">ICT services and costs </w:t>
      </w:r>
      <w:r w:rsidR="00CD052C">
        <w:rPr>
          <w:rFonts w:cs="Arial"/>
        </w:rPr>
        <w:t xml:space="preserve">for agencies </w:t>
      </w:r>
      <w:r>
        <w:rPr>
          <w:rFonts w:cs="Arial"/>
        </w:rPr>
        <w:t>are consistent and includes a focus on</w:t>
      </w:r>
      <w:r w:rsidR="008E50E5">
        <w:rPr>
          <w:rFonts w:cs="Arial"/>
        </w:rPr>
        <w:t xml:space="preserve"> providing central</w:t>
      </w:r>
      <w:r>
        <w:rPr>
          <w:rFonts w:cs="Arial"/>
        </w:rPr>
        <w:t xml:space="preserve"> corporate </w:t>
      </w:r>
      <w:r w:rsidRPr="00D64627">
        <w:rPr>
          <w:rFonts w:cs="Arial"/>
        </w:rPr>
        <w:t>systems</w:t>
      </w:r>
      <w:r w:rsidR="008E50E5">
        <w:rPr>
          <w:rFonts w:cs="Arial"/>
        </w:rPr>
        <w:t xml:space="preserve"> and services</w:t>
      </w:r>
      <w:r>
        <w:rPr>
          <w:rFonts w:cs="Arial"/>
        </w:rPr>
        <w:t xml:space="preserve"> </w:t>
      </w:r>
      <w:r w:rsidRPr="00D64627">
        <w:rPr>
          <w:rFonts w:cs="Arial"/>
        </w:rPr>
        <w:t xml:space="preserve">to all agencies. </w:t>
      </w:r>
      <w:r w:rsidR="006C1E0F">
        <w:rPr>
          <w:rFonts w:cs="Arial"/>
        </w:rPr>
        <w:t xml:space="preserve">This </w:t>
      </w:r>
      <w:r w:rsidR="00CD052C">
        <w:rPr>
          <w:rFonts w:cs="Arial"/>
        </w:rPr>
        <w:t xml:space="preserve">model </w:t>
      </w:r>
      <w:r w:rsidR="006C1E0F">
        <w:rPr>
          <w:rFonts w:cs="Arial"/>
        </w:rPr>
        <w:t>provides economies of scale benefits and operational efficiencies</w:t>
      </w:r>
      <w:r w:rsidR="00CD052C">
        <w:rPr>
          <w:rFonts w:cs="Arial"/>
        </w:rPr>
        <w:t xml:space="preserve"> for all agencies</w:t>
      </w:r>
      <w:r w:rsidR="006C1E0F">
        <w:rPr>
          <w:rFonts w:cs="Arial"/>
        </w:rPr>
        <w:t>.</w:t>
      </w:r>
      <w:r w:rsidR="000B1A5D">
        <w:rPr>
          <w:rFonts w:cs="Arial"/>
        </w:rPr>
        <w:t xml:space="preserve"> Treasurer’s Direction ICT1.1.1 refers.</w:t>
      </w:r>
    </w:p>
    <w:p w:rsidR="003E4F79" w:rsidRPr="00D64627" w:rsidRDefault="003E4F79" w:rsidP="00CD052C">
      <w:pPr>
        <w:spacing w:before="240"/>
        <w:rPr>
          <w:rFonts w:cs="Arial"/>
          <w:b/>
        </w:rPr>
      </w:pPr>
      <w:r w:rsidRPr="00D64627">
        <w:rPr>
          <w:rFonts w:cs="Arial"/>
          <w:b/>
        </w:rPr>
        <w:t>COLLABORATION AND STANDARDISATION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4F79" w:rsidRPr="00C02122" w:rsidTr="000E3916">
        <w:trPr>
          <w:trHeight w:val="935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4F79" w:rsidRPr="00D64627" w:rsidRDefault="001C06A7">
            <w:pPr>
              <w:pStyle w:val="Direction-Number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szCs w:val="24"/>
              </w:rPr>
              <w:t>ICT1</w:t>
            </w:r>
            <w:r w:rsidR="00DD39C4">
              <w:rPr>
                <w:rFonts w:cs="Arial"/>
                <w:szCs w:val="24"/>
              </w:rPr>
              <w:t>.3.2</w:t>
            </w:r>
          </w:p>
        </w:tc>
        <w:tc>
          <w:tcPr>
            <w:tcW w:w="7938" w:type="dxa"/>
          </w:tcPr>
          <w:p w:rsidR="003E4F79" w:rsidRPr="00C02122" w:rsidRDefault="003E4F79" w:rsidP="0083518D">
            <w:pPr>
              <w:pStyle w:val="ListParagraph"/>
              <w:ind w:left="0"/>
              <w:rPr>
                <w:b/>
              </w:rPr>
            </w:pPr>
            <w:r>
              <w:rPr>
                <w:rFonts w:cs="Arial"/>
                <w:b/>
              </w:rPr>
              <w:t xml:space="preserve">Each agency must </w:t>
            </w:r>
            <w:r w:rsidRPr="00BA1B30">
              <w:rPr>
                <w:rFonts w:cs="Arial"/>
                <w:b/>
              </w:rPr>
              <w:t>maximise common solutions and processes through sourcing ICT solutions that service the needs of all or multiple agencies and the community.</w:t>
            </w:r>
          </w:p>
        </w:tc>
      </w:tr>
    </w:tbl>
    <w:p w:rsidR="003E4F79" w:rsidRPr="00D64627" w:rsidRDefault="003E4F79" w:rsidP="000E3916">
      <w:pPr>
        <w:pStyle w:val="Commentry"/>
        <w:numPr>
          <w:ilvl w:val="0"/>
          <w:numId w:val="16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>Agencies are encouraged to</w:t>
      </w:r>
      <w:r w:rsidRPr="00D64627">
        <w:rPr>
          <w:rFonts w:cs="Arial"/>
        </w:rPr>
        <w:t xml:space="preserve"> collaborate across government</w:t>
      </w:r>
      <w:r>
        <w:rPr>
          <w:rFonts w:cs="Arial"/>
        </w:rPr>
        <w:t xml:space="preserve"> or with other agencies</w:t>
      </w:r>
      <w:r w:rsidRPr="00D64627">
        <w:rPr>
          <w:rFonts w:cs="Arial"/>
        </w:rPr>
        <w:t xml:space="preserve"> through sourcing ICT solutions that service the needs of all or multiple agencies</w:t>
      </w:r>
      <w:r>
        <w:rPr>
          <w:rFonts w:cs="Arial"/>
        </w:rPr>
        <w:t xml:space="preserve"> and that maximise value to government.</w:t>
      </w:r>
      <w:r w:rsidR="006C1E0F">
        <w:rPr>
          <w:rFonts w:cs="Arial"/>
        </w:rPr>
        <w:t xml:space="preserve"> This approach leverages and enhances economies of scale to increase efficiency and reduce costs.</w:t>
      </w:r>
    </w:p>
    <w:p w:rsidR="003E4F79" w:rsidRPr="001726B2" w:rsidRDefault="003E4F79" w:rsidP="000E3916">
      <w:pPr>
        <w:pStyle w:val="Commentry"/>
        <w:numPr>
          <w:ilvl w:val="0"/>
          <w:numId w:val="16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>Agencies share ICT similarities across government and reuse or sharing of solutions should be the default position.</w:t>
      </w:r>
      <w:r w:rsidRPr="00D64627">
        <w:rPr>
          <w:rFonts w:cs="Arial"/>
        </w:rPr>
        <w:t xml:space="preserve"> </w:t>
      </w:r>
      <w:r>
        <w:rPr>
          <w:rFonts w:cs="Arial"/>
        </w:rPr>
        <w:t>S</w:t>
      </w:r>
      <w:r w:rsidRPr="00D64627">
        <w:rPr>
          <w:rFonts w:cs="Arial"/>
        </w:rPr>
        <w:t xml:space="preserve">tandardisation for any major investments </w:t>
      </w:r>
      <w:r>
        <w:rPr>
          <w:rFonts w:cs="Arial"/>
        </w:rPr>
        <w:t xml:space="preserve">in ICT systems is required unless the agency has unique or specialised business needs.  </w:t>
      </w:r>
    </w:p>
    <w:p w:rsidR="003E4F79" w:rsidRPr="00D64627" w:rsidRDefault="003E4F79" w:rsidP="00CD052C">
      <w:pPr>
        <w:spacing w:before="240"/>
        <w:rPr>
          <w:rFonts w:cs="Arial"/>
          <w:b/>
        </w:rPr>
      </w:pPr>
      <w:r w:rsidRPr="00D64627">
        <w:rPr>
          <w:rFonts w:cs="Arial"/>
          <w:b/>
        </w:rPr>
        <w:t>COST EFFECTIVENESS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4F79" w:rsidRPr="00C02122" w:rsidTr="000E3916">
        <w:trPr>
          <w:trHeight w:val="785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4F79" w:rsidRPr="00D64627" w:rsidRDefault="001C06A7">
            <w:pPr>
              <w:pStyle w:val="Direction-Number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szCs w:val="24"/>
              </w:rPr>
              <w:t>ICT1</w:t>
            </w:r>
            <w:r w:rsidR="00DD39C4">
              <w:rPr>
                <w:rFonts w:cs="Arial"/>
                <w:szCs w:val="24"/>
              </w:rPr>
              <w:t>.3.3</w:t>
            </w:r>
          </w:p>
        </w:tc>
        <w:tc>
          <w:tcPr>
            <w:tcW w:w="7938" w:type="dxa"/>
          </w:tcPr>
          <w:p w:rsidR="003E4F79" w:rsidRPr="00D64627" w:rsidRDefault="003E4F79" w:rsidP="0083518D">
            <w:pPr>
              <w:pStyle w:val="ListParagraph"/>
              <w:ind w:left="0"/>
              <w:rPr>
                <w:rFonts w:cs="Arial"/>
                <w:b/>
              </w:rPr>
            </w:pPr>
            <w:r w:rsidRPr="006C1F7E">
              <w:rPr>
                <w:rFonts w:cs="Arial"/>
                <w:b/>
              </w:rPr>
              <w:t xml:space="preserve">Each agency must ensure that its ICT solutions are cost effective to acquire, implement </w:t>
            </w:r>
            <w:r>
              <w:rPr>
                <w:rFonts w:cs="Arial"/>
                <w:b/>
              </w:rPr>
              <w:t>and operate, taking into account the total cost</w:t>
            </w:r>
            <w:r w:rsidR="00FF429B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of the solution.</w:t>
            </w:r>
            <w:r w:rsidRPr="00D64627">
              <w:rPr>
                <w:rFonts w:cs="Arial"/>
                <w:b/>
              </w:rPr>
              <w:t xml:space="preserve">  </w:t>
            </w:r>
          </w:p>
        </w:tc>
      </w:tr>
    </w:tbl>
    <w:p w:rsidR="003E4F79" w:rsidRDefault="003E4F79" w:rsidP="000E3916">
      <w:pPr>
        <w:pStyle w:val="Commentry"/>
        <w:numPr>
          <w:ilvl w:val="0"/>
          <w:numId w:val="9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>
        <w:rPr>
          <w:rFonts w:cs="Arial"/>
        </w:rPr>
        <w:t>Prior to committing to upgrading, replacing or acquiring a new ICT solution, e</w:t>
      </w:r>
      <w:r w:rsidRPr="00D64627">
        <w:rPr>
          <w:rFonts w:cs="Arial"/>
        </w:rPr>
        <w:t xml:space="preserve">ach agency is to </w:t>
      </w:r>
      <w:r>
        <w:rPr>
          <w:rFonts w:cs="Arial"/>
        </w:rPr>
        <w:t xml:space="preserve">determine and </w:t>
      </w:r>
      <w:r w:rsidRPr="00D64627">
        <w:rPr>
          <w:rFonts w:cs="Arial"/>
        </w:rPr>
        <w:t>consider the whole of life</w:t>
      </w:r>
      <w:r>
        <w:rPr>
          <w:rFonts w:cs="Arial"/>
        </w:rPr>
        <w:t xml:space="preserve"> costs,</w:t>
      </w:r>
      <w:r w:rsidRPr="00D64627">
        <w:rPr>
          <w:rFonts w:cs="Arial"/>
        </w:rPr>
        <w:t xml:space="preserve"> </w:t>
      </w:r>
      <w:r>
        <w:rPr>
          <w:rFonts w:cs="Arial"/>
        </w:rPr>
        <w:t xml:space="preserve">including implementation, training, </w:t>
      </w:r>
      <w:r w:rsidRPr="00D64627">
        <w:rPr>
          <w:rFonts w:cs="Arial"/>
        </w:rPr>
        <w:t>maintenance, support</w:t>
      </w:r>
      <w:r>
        <w:rPr>
          <w:rFonts w:cs="Arial"/>
        </w:rPr>
        <w:t xml:space="preserve"> and </w:t>
      </w:r>
      <w:r w:rsidRPr="00D64627">
        <w:rPr>
          <w:rFonts w:cs="Arial"/>
        </w:rPr>
        <w:t>enhancement</w:t>
      </w:r>
      <w:r>
        <w:rPr>
          <w:rFonts w:cs="Arial"/>
        </w:rPr>
        <w:t xml:space="preserve"> costs. </w:t>
      </w:r>
      <w:r w:rsidRPr="00D64627">
        <w:rPr>
          <w:rFonts w:cs="Arial"/>
        </w:rPr>
        <w:t xml:space="preserve"> </w:t>
      </w:r>
    </w:p>
    <w:p w:rsidR="003E4F79" w:rsidRPr="00444061" w:rsidRDefault="003E4F79" w:rsidP="003E4F79">
      <w:pPr>
        <w:pStyle w:val="Commentry"/>
        <w:numPr>
          <w:ilvl w:val="0"/>
          <w:numId w:val="9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444061">
        <w:rPr>
          <w:rFonts w:cs="Arial"/>
        </w:rPr>
        <w:t>Total cost of ownership includes hardware and software acquisition, management and support, communications, end-user expenses</w:t>
      </w:r>
      <w:r>
        <w:rPr>
          <w:rFonts w:cs="Arial"/>
        </w:rPr>
        <w:t>, data migration, change management,</w:t>
      </w:r>
      <w:r w:rsidRPr="00444061">
        <w:rPr>
          <w:rFonts w:cs="Arial"/>
        </w:rPr>
        <w:t xml:space="preserve"> training and other </w:t>
      </w:r>
      <w:r>
        <w:rPr>
          <w:rFonts w:cs="Arial"/>
        </w:rPr>
        <w:t xml:space="preserve">related business costs. </w:t>
      </w:r>
      <w:r w:rsidRPr="00444061">
        <w:rPr>
          <w:rFonts w:cs="Arial"/>
        </w:rPr>
        <w:t xml:space="preserve"> </w:t>
      </w:r>
    </w:p>
    <w:p w:rsidR="003E4F79" w:rsidRPr="00D21900" w:rsidRDefault="003E4F79" w:rsidP="003E4F79">
      <w:pPr>
        <w:pStyle w:val="Commentry"/>
        <w:numPr>
          <w:ilvl w:val="0"/>
          <w:numId w:val="9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D21900">
        <w:rPr>
          <w:rFonts w:cs="Arial"/>
        </w:rPr>
        <w:lastRenderedPageBreak/>
        <w:t>Total cost of ownership amounts are to be identified in the business case</w:t>
      </w:r>
      <w:r w:rsidR="000C57C0">
        <w:rPr>
          <w:rFonts w:cs="Arial"/>
        </w:rPr>
        <w:t xml:space="preserve"> for an ICT investment,</w:t>
      </w:r>
      <w:r w:rsidRPr="00D21900">
        <w:rPr>
          <w:rFonts w:cs="Arial"/>
        </w:rPr>
        <w:t xml:space="preserve"> advice to the </w:t>
      </w:r>
      <w:r w:rsidR="00CD052C">
        <w:rPr>
          <w:rFonts w:cs="Arial"/>
        </w:rPr>
        <w:t>IGB</w:t>
      </w:r>
      <w:r w:rsidR="006C1E0F">
        <w:rPr>
          <w:rFonts w:cs="Arial"/>
        </w:rPr>
        <w:t xml:space="preserve"> and in </w:t>
      </w:r>
      <w:r w:rsidRPr="00D21900">
        <w:rPr>
          <w:rFonts w:cs="Arial"/>
        </w:rPr>
        <w:t>funding submissions.</w:t>
      </w:r>
      <w:r w:rsidR="00B50E61">
        <w:rPr>
          <w:rFonts w:cs="Arial"/>
        </w:rPr>
        <w:t xml:space="preserve"> Treasurer’s Direction </w:t>
      </w:r>
      <w:r w:rsidR="00A663FB">
        <w:rPr>
          <w:rFonts w:cs="Arial"/>
        </w:rPr>
        <w:t>ICT</w:t>
      </w:r>
      <w:r w:rsidR="00F24C68">
        <w:rPr>
          <w:rFonts w:cs="Arial"/>
        </w:rPr>
        <w:t>2</w:t>
      </w:r>
      <w:r w:rsidR="00174565">
        <w:rPr>
          <w:rFonts w:cs="Arial"/>
        </w:rPr>
        <w:t xml:space="preserve">.1.2 </w:t>
      </w:r>
      <w:r w:rsidR="00B50E61">
        <w:rPr>
          <w:rFonts w:cs="Arial"/>
        </w:rPr>
        <w:t>refers.</w:t>
      </w:r>
    </w:p>
    <w:p w:rsidR="003E0168" w:rsidRPr="00D64627" w:rsidRDefault="003E0168" w:rsidP="003E0168">
      <w:pPr>
        <w:pStyle w:val="Commentry"/>
        <w:numPr>
          <w:ilvl w:val="0"/>
          <w:numId w:val="0"/>
        </w:numPr>
        <w:spacing w:before="240"/>
        <w:rPr>
          <w:rFonts w:cs="Arial"/>
          <w:b/>
        </w:rPr>
      </w:pPr>
      <w:r w:rsidRPr="00D64627">
        <w:rPr>
          <w:rFonts w:cs="Arial"/>
          <w:b/>
        </w:rPr>
        <w:t>RISK MINIMISATION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0168" w:rsidRPr="00C02122" w:rsidTr="00D749A5">
        <w:trPr>
          <w:trHeight w:val="785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0168" w:rsidRPr="00983040" w:rsidRDefault="003E0168" w:rsidP="00D749A5">
            <w:pPr>
              <w:pStyle w:val="Direction-Number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ICT1.3.4</w:t>
            </w:r>
          </w:p>
        </w:tc>
        <w:tc>
          <w:tcPr>
            <w:tcW w:w="7938" w:type="dxa"/>
          </w:tcPr>
          <w:p w:rsidR="003E0168" w:rsidRPr="00C02122" w:rsidRDefault="003E0168" w:rsidP="00D749A5">
            <w:pPr>
              <w:pStyle w:val="ListParagraph"/>
              <w:ind w:left="0"/>
              <w:rPr>
                <w:b/>
              </w:rPr>
            </w:pPr>
            <w:r w:rsidRPr="00D64627">
              <w:rPr>
                <w:rFonts w:cs="Arial"/>
                <w:b/>
              </w:rPr>
              <w:t>Each agency must manage</w:t>
            </w:r>
            <w:r>
              <w:rPr>
                <w:rFonts w:cs="Arial"/>
                <w:b/>
              </w:rPr>
              <w:t xml:space="preserve"> and mitigate</w:t>
            </w:r>
            <w:r w:rsidRPr="00D64627">
              <w:rPr>
                <w:rFonts w:cs="Arial"/>
                <w:b/>
              </w:rPr>
              <w:t xml:space="preserve"> ICT</w:t>
            </w:r>
            <w:r>
              <w:rPr>
                <w:rFonts w:cs="Arial"/>
                <w:b/>
              </w:rPr>
              <w:t xml:space="preserve"> acquisition,</w:t>
            </w:r>
            <w:r w:rsidRPr="00D64627">
              <w:rPr>
                <w:rFonts w:cs="Arial"/>
                <w:b/>
              </w:rPr>
              <w:t xml:space="preserve"> development, implementation and operational risks</w:t>
            </w:r>
            <w:r>
              <w:rPr>
                <w:rFonts w:cs="Arial"/>
                <w:b/>
              </w:rPr>
              <w:t xml:space="preserve">. </w:t>
            </w:r>
          </w:p>
        </w:tc>
      </w:tr>
    </w:tbl>
    <w:p w:rsidR="003E0168" w:rsidRPr="003E4F79" w:rsidRDefault="003E0168" w:rsidP="003E0168">
      <w:pPr>
        <w:pStyle w:val="Commentry"/>
        <w:numPr>
          <w:ilvl w:val="0"/>
          <w:numId w:val="14"/>
        </w:numPr>
        <w:tabs>
          <w:tab w:val="clear" w:pos="1843"/>
          <w:tab w:val="num" w:pos="1134"/>
          <w:tab w:val="left" w:pos="1418"/>
        </w:tabs>
        <w:ind w:left="1134" w:hanging="567"/>
      </w:pPr>
      <w:r w:rsidRPr="003E4F79">
        <w:t xml:space="preserve">Each agency must adopt an appropriate risk management methodology so as to mitigate </w:t>
      </w:r>
      <w:r>
        <w:t xml:space="preserve">ICT </w:t>
      </w:r>
      <w:r w:rsidRPr="003E4F79">
        <w:t xml:space="preserve">risks to the NTG. </w:t>
      </w:r>
    </w:p>
    <w:p w:rsidR="003E0168" w:rsidRDefault="003E0168" w:rsidP="003E0168">
      <w:pPr>
        <w:pStyle w:val="Commentry"/>
        <w:numPr>
          <w:ilvl w:val="0"/>
          <w:numId w:val="14"/>
        </w:numPr>
        <w:tabs>
          <w:tab w:val="clear" w:pos="1843"/>
          <w:tab w:val="num" w:pos="1134"/>
          <w:tab w:val="left" w:pos="1418"/>
        </w:tabs>
        <w:ind w:left="1134" w:hanging="567"/>
      </w:pPr>
      <w:r w:rsidRPr="003E4F79">
        <w:t xml:space="preserve">The methodology should include strategic, operational and resource planning activities to manage and reduce risks. </w:t>
      </w:r>
      <w:r>
        <w:t>An approach</w:t>
      </w:r>
      <w:r w:rsidRPr="003E4F79">
        <w:t xml:space="preserve"> to manage the escalation and mitigation of major risk</w:t>
      </w:r>
      <w:r>
        <w:t>s</w:t>
      </w:r>
      <w:r w:rsidRPr="003E4F79">
        <w:t xml:space="preserve"> and issues should be included in the methodology.</w:t>
      </w:r>
    </w:p>
    <w:p w:rsidR="003E0168" w:rsidRPr="003E4F79" w:rsidRDefault="003E0168" w:rsidP="003E0168">
      <w:pPr>
        <w:pStyle w:val="Commentry"/>
        <w:numPr>
          <w:ilvl w:val="0"/>
          <w:numId w:val="14"/>
        </w:numPr>
        <w:tabs>
          <w:tab w:val="clear" w:pos="1843"/>
          <w:tab w:val="num" w:pos="1134"/>
          <w:tab w:val="left" w:pos="1418"/>
        </w:tabs>
        <w:ind w:left="1134" w:hanging="567"/>
      </w:pPr>
      <w:r>
        <w:t>ICT risk management methodology and practices should align with established agency risk management models and requirements specified in the Treasurer’s Directions.</w:t>
      </w:r>
    </w:p>
    <w:p w:rsidR="003E4F79" w:rsidRPr="00D64627" w:rsidRDefault="003E4F79" w:rsidP="00CC26CC">
      <w:pPr>
        <w:spacing w:before="0" w:after="200" w:line="276" w:lineRule="auto"/>
        <w:jc w:val="left"/>
        <w:rPr>
          <w:rFonts w:cs="Arial"/>
          <w:b/>
        </w:rPr>
      </w:pPr>
      <w:r w:rsidRPr="00D64627">
        <w:rPr>
          <w:rFonts w:cs="Arial"/>
          <w:b/>
        </w:rPr>
        <w:t>BENEFITS REALISATION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4F79" w:rsidRPr="00C02122" w:rsidTr="003E0168">
        <w:trPr>
          <w:trHeight w:val="907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4F79" w:rsidRPr="00D64627" w:rsidRDefault="001C06A7" w:rsidP="003E0168">
            <w:pPr>
              <w:pStyle w:val="Direction-Number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szCs w:val="24"/>
              </w:rPr>
              <w:t>ICT1</w:t>
            </w:r>
            <w:r w:rsidR="00DD39C4">
              <w:rPr>
                <w:rFonts w:cs="Arial"/>
                <w:szCs w:val="24"/>
              </w:rPr>
              <w:t>.3.</w:t>
            </w:r>
            <w:r w:rsidR="003E0168">
              <w:rPr>
                <w:rFonts w:cs="Arial"/>
                <w:szCs w:val="24"/>
              </w:rPr>
              <w:t>5</w:t>
            </w:r>
          </w:p>
        </w:tc>
        <w:tc>
          <w:tcPr>
            <w:tcW w:w="7938" w:type="dxa"/>
            <w:vAlign w:val="center"/>
          </w:tcPr>
          <w:p w:rsidR="003E4F79" w:rsidRPr="00C02122" w:rsidRDefault="003E4F79" w:rsidP="003E0168">
            <w:pPr>
              <w:pStyle w:val="ListParagraph"/>
              <w:ind w:left="0"/>
              <w:jc w:val="left"/>
              <w:rPr>
                <w:b/>
              </w:rPr>
            </w:pPr>
            <w:r w:rsidRPr="00D64627">
              <w:rPr>
                <w:rFonts w:cs="Arial"/>
                <w:b/>
              </w:rPr>
              <w:t>Each agency must ensure that ICT solutions address a genuine business need and deliver continuing benefits and efficiencies over their lifecycle sufficient to warrant the investment and ongoing operation.</w:t>
            </w:r>
          </w:p>
        </w:tc>
      </w:tr>
    </w:tbl>
    <w:p w:rsidR="003E4F79" w:rsidRPr="003E4F79" w:rsidRDefault="003E4F79" w:rsidP="003E4F79">
      <w:pPr>
        <w:pStyle w:val="Commentry"/>
        <w:numPr>
          <w:ilvl w:val="0"/>
          <w:numId w:val="24"/>
        </w:numPr>
        <w:tabs>
          <w:tab w:val="clear" w:pos="1843"/>
          <w:tab w:val="num" w:pos="1134"/>
        </w:tabs>
        <w:ind w:left="1134" w:hanging="567"/>
      </w:pPr>
      <w:r w:rsidRPr="003E4F79">
        <w:t xml:space="preserve">Each agency </w:t>
      </w:r>
      <w:r w:rsidR="004D6F28">
        <w:t>is to</w:t>
      </w:r>
      <w:r w:rsidR="004D6F28" w:rsidRPr="003E4F79">
        <w:t xml:space="preserve"> </w:t>
      </w:r>
      <w:r w:rsidRPr="003E4F79">
        <w:t xml:space="preserve">develop a business case </w:t>
      </w:r>
      <w:r w:rsidR="004F060E">
        <w:t>for major</w:t>
      </w:r>
      <w:r w:rsidRPr="003E4F79">
        <w:t xml:space="preserve"> </w:t>
      </w:r>
      <w:r w:rsidR="00F62DFF">
        <w:t xml:space="preserve">ICT </w:t>
      </w:r>
      <w:r w:rsidR="004F060E">
        <w:t>proposals and projects</w:t>
      </w:r>
      <w:r w:rsidRPr="003E4F79">
        <w:t xml:space="preserve"> that defines the</w:t>
      </w:r>
      <w:r w:rsidR="000B1A5D">
        <w:t xml:space="preserve"> benefits</w:t>
      </w:r>
      <w:r w:rsidRPr="003E4F79">
        <w:t xml:space="preserve"> expected </w:t>
      </w:r>
      <w:r w:rsidR="000B1A5D">
        <w:t>to be realised</w:t>
      </w:r>
      <w:r w:rsidRPr="00C21CEF">
        <w:t>, aligned with</w:t>
      </w:r>
      <w:r w:rsidRPr="003E4F79">
        <w:t xml:space="preserve"> the agency’s strategic and business goals. </w:t>
      </w:r>
      <w:r w:rsidR="00D35F60">
        <w:rPr>
          <w:rFonts w:cs="Arial"/>
        </w:rPr>
        <w:t xml:space="preserve">Treasurer’s Direction </w:t>
      </w:r>
      <w:r w:rsidR="00A663FB">
        <w:rPr>
          <w:rFonts w:cs="Arial"/>
        </w:rPr>
        <w:t>ICT</w:t>
      </w:r>
      <w:r w:rsidR="00DE769A">
        <w:rPr>
          <w:rFonts w:cs="Arial"/>
        </w:rPr>
        <w:t>2</w:t>
      </w:r>
      <w:r w:rsidR="00D35F60">
        <w:rPr>
          <w:rFonts w:cs="Arial"/>
        </w:rPr>
        <w:t>.1.2 refers</w:t>
      </w:r>
      <w:r w:rsidR="00ED1267">
        <w:rPr>
          <w:rFonts w:cs="Arial"/>
        </w:rPr>
        <w:t>.</w:t>
      </w:r>
    </w:p>
    <w:p w:rsidR="003E0168" w:rsidRDefault="003E4F79" w:rsidP="003E4F79">
      <w:pPr>
        <w:pStyle w:val="Commentry"/>
        <w:numPr>
          <w:ilvl w:val="0"/>
          <w:numId w:val="24"/>
        </w:numPr>
        <w:tabs>
          <w:tab w:val="clear" w:pos="1843"/>
          <w:tab w:val="num" w:pos="1134"/>
          <w:tab w:val="num" w:pos="1276"/>
        </w:tabs>
        <w:ind w:left="1134" w:hanging="567"/>
      </w:pPr>
      <w:r w:rsidRPr="003E4F79">
        <w:t>Benefits</w:t>
      </w:r>
      <w:r w:rsidR="00F62DFF">
        <w:t>,</w:t>
      </w:r>
      <w:r w:rsidRPr="003E4F79">
        <w:t xml:space="preserve"> </w:t>
      </w:r>
      <w:r w:rsidR="004D6F28">
        <w:t>both quantitative and qualitative</w:t>
      </w:r>
      <w:r w:rsidR="00F62DFF">
        <w:t>,</w:t>
      </w:r>
      <w:r w:rsidRPr="003E4F79">
        <w:t xml:space="preserve"> should be measurable and linked to performance data and reporting frameworks. </w:t>
      </w:r>
    </w:p>
    <w:p w:rsidR="003E4F79" w:rsidRPr="003E4F79" w:rsidRDefault="003E0168" w:rsidP="003E0168">
      <w:pPr>
        <w:pStyle w:val="Commentry"/>
        <w:numPr>
          <w:ilvl w:val="0"/>
          <w:numId w:val="24"/>
        </w:numPr>
        <w:tabs>
          <w:tab w:val="clear" w:pos="1843"/>
          <w:tab w:val="num" w:pos="1134"/>
          <w:tab w:val="num" w:pos="1276"/>
        </w:tabs>
        <w:ind w:left="1134" w:hanging="567"/>
      </w:pPr>
      <w:r>
        <w:t>Many government ICT projects will have a</w:t>
      </w:r>
      <w:r w:rsidR="004D6F28">
        <w:t xml:space="preserve"> mixture of soft and hard benefits</w:t>
      </w:r>
      <w:r w:rsidR="000B1A5D">
        <w:t xml:space="preserve"> and will not be well suited to </w:t>
      </w:r>
      <w:r w:rsidR="00153D2A">
        <w:t xml:space="preserve">a </w:t>
      </w:r>
      <w:r w:rsidR="000B1A5D">
        <w:t>commercial return on financial investment focus for measuring solution benefits</w:t>
      </w:r>
      <w:r>
        <w:t xml:space="preserve">. Public sector ICT projects </w:t>
      </w:r>
      <w:r w:rsidR="000B1A5D">
        <w:t>can</w:t>
      </w:r>
      <w:r>
        <w:t xml:space="preserve"> have benefits that are altruistic in nature and </w:t>
      </w:r>
      <w:r w:rsidR="000B1A5D">
        <w:t xml:space="preserve">be </w:t>
      </w:r>
      <w:r>
        <w:t xml:space="preserve">expressed in broad community based outcomes that will be delivered over the long-term. Monitoring and assessing such benefits will require a broader consideration and a lengthened review cycle. </w:t>
      </w:r>
    </w:p>
    <w:p w:rsidR="003E4F79" w:rsidRPr="0076468D" w:rsidRDefault="003E4F79" w:rsidP="003E4F79">
      <w:pPr>
        <w:pStyle w:val="Commentry"/>
        <w:numPr>
          <w:ilvl w:val="0"/>
          <w:numId w:val="24"/>
        </w:numPr>
        <w:tabs>
          <w:tab w:val="clear" w:pos="1843"/>
          <w:tab w:val="num" w:pos="1134"/>
          <w:tab w:val="num" w:pos="1276"/>
        </w:tabs>
        <w:ind w:left="1134" w:hanging="567"/>
        <w:rPr>
          <w:rStyle w:val="CommentReference"/>
        </w:rPr>
      </w:pPr>
      <w:r w:rsidRPr="003E4F79">
        <w:t xml:space="preserve">In reporting on major projects to the IGB, agencies are to include the </w:t>
      </w:r>
      <w:r w:rsidR="0089405F">
        <w:t>progress of key deliverables</w:t>
      </w:r>
      <w:r w:rsidR="00045189">
        <w:t xml:space="preserve"> and benefits as they are realised</w:t>
      </w:r>
      <w:r w:rsidR="006B4CF9">
        <w:t>, as outlined in Treasurer’s Direction</w:t>
      </w:r>
      <w:r w:rsidR="001F5E3F">
        <w:t xml:space="preserve"> </w:t>
      </w:r>
      <w:r w:rsidR="0023777B" w:rsidRPr="00DE137C">
        <w:t>ICT</w:t>
      </w:r>
      <w:r w:rsidR="00DE769A">
        <w:t>3</w:t>
      </w:r>
      <w:r w:rsidR="006B4CF9" w:rsidRPr="00DE137C">
        <w:t>.</w:t>
      </w:r>
      <w:r w:rsidR="00B50E61">
        <w:t>1.5</w:t>
      </w:r>
      <w:r w:rsidR="006B4CF9" w:rsidRPr="00DE137C">
        <w:t>.</w:t>
      </w:r>
    </w:p>
    <w:p w:rsidR="006C1E0F" w:rsidRPr="00D64627" w:rsidRDefault="006C1E0F" w:rsidP="003E0168">
      <w:pPr>
        <w:pStyle w:val="Commentry"/>
        <w:numPr>
          <w:ilvl w:val="0"/>
          <w:numId w:val="0"/>
        </w:numPr>
        <w:spacing w:before="240"/>
        <w:rPr>
          <w:rFonts w:cs="Arial"/>
          <w:b/>
        </w:rPr>
      </w:pPr>
      <w:r w:rsidRPr="00D64627">
        <w:rPr>
          <w:rFonts w:cs="Arial"/>
          <w:b/>
        </w:rPr>
        <w:t>LONGEVITY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6C1E0F" w:rsidRPr="00C02122" w:rsidTr="003E0168">
        <w:trPr>
          <w:trHeight w:val="935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6C1E0F" w:rsidRPr="009C5FA1" w:rsidRDefault="001C06A7" w:rsidP="00F62DFF">
            <w:pPr>
              <w:pStyle w:val="Direction-Number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6C1E0F">
              <w:rPr>
                <w:rFonts w:cs="Arial"/>
                <w:szCs w:val="24"/>
              </w:rPr>
              <w:t>.3.</w:t>
            </w:r>
            <w:r w:rsidR="00F62DFF">
              <w:rPr>
                <w:rFonts w:cs="Arial"/>
                <w:szCs w:val="24"/>
              </w:rPr>
              <w:t>6</w:t>
            </w:r>
          </w:p>
        </w:tc>
        <w:tc>
          <w:tcPr>
            <w:tcW w:w="7938" w:type="dxa"/>
            <w:vAlign w:val="center"/>
          </w:tcPr>
          <w:p w:rsidR="006C1E0F" w:rsidRPr="00D64627" w:rsidRDefault="006C1E0F" w:rsidP="003E0168">
            <w:pPr>
              <w:pStyle w:val="ListParagraph"/>
              <w:ind w:left="0"/>
              <w:jc w:val="left"/>
              <w:rPr>
                <w:rFonts w:cs="Arial"/>
                <w:b/>
              </w:rPr>
            </w:pPr>
            <w:r w:rsidRPr="00D64627">
              <w:rPr>
                <w:rFonts w:cs="Arial"/>
                <w:b/>
              </w:rPr>
              <w:t>Each agency must ensure ICT solutions are capable of enduring and continuing to provide benefits over an extended period</w:t>
            </w:r>
            <w:r>
              <w:rPr>
                <w:rFonts w:cs="Arial"/>
                <w:b/>
              </w:rPr>
              <w:t>,</w:t>
            </w:r>
            <w:r w:rsidRPr="00D6462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consistent with</w:t>
            </w:r>
            <w:r w:rsidRPr="00D64627">
              <w:rPr>
                <w:rFonts w:cs="Arial"/>
                <w:b/>
              </w:rPr>
              <w:t xml:space="preserve"> the investment</w:t>
            </w:r>
            <w:r>
              <w:rPr>
                <w:rFonts w:cs="Arial"/>
                <w:b/>
              </w:rPr>
              <w:t xml:space="preserve"> to be made</w:t>
            </w:r>
            <w:r w:rsidRPr="00D64627">
              <w:rPr>
                <w:rFonts w:cs="Arial"/>
                <w:b/>
              </w:rPr>
              <w:t>.</w:t>
            </w:r>
          </w:p>
        </w:tc>
      </w:tr>
    </w:tbl>
    <w:p w:rsidR="006C1E0F" w:rsidRPr="003E4F79" w:rsidRDefault="006C1E0F" w:rsidP="006C1E0F">
      <w:pPr>
        <w:pStyle w:val="Commentry"/>
        <w:numPr>
          <w:ilvl w:val="0"/>
          <w:numId w:val="22"/>
        </w:numPr>
        <w:tabs>
          <w:tab w:val="clear" w:pos="1843"/>
          <w:tab w:val="num" w:pos="1134"/>
        </w:tabs>
        <w:ind w:left="1134" w:hanging="567"/>
      </w:pPr>
      <w:r w:rsidRPr="003E4F79">
        <w:t xml:space="preserve">Each agency is to ensure the longevity and efficiency of ICT solutions, through efficient use of resources, services and external support. </w:t>
      </w:r>
    </w:p>
    <w:p w:rsidR="006C1E0F" w:rsidRDefault="006C1E0F" w:rsidP="006C1E0F">
      <w:pPr>
        <w:pStyle w:val="Commentry"/>
        <w:numPr>
          <w:ilvl w:val="0"/>
          <w:numId w:val="22"/>
        </w:numPr>
        <w:tabs>
          <w:tab w:val="clear" w:pos="1843"/>
          <w:tab w:val="num" w:pos="1134"/>
        </w:tabs>
        <w:ind w:left="1134" w:hanging="567"/>
      </w:pPr>
      <w:r w:rsidRPr="003E4F79">
        <w:t xml:space="preserve">Agencies should </w:t>
      </w:r>
      <w:r>
        <w:t xml:space="preserve">consider </w:t>
      </w:r>
      <w:r w:rsidRPr="003E4F79">
        <w:t>the life span of ICT systems and</w:t>
      </w:r>
      <w:r>
        <w:t>, where required,</w:t>
      </w:r>
      <w:r w:rsidRPr="003E4F79">
        <w:t xml:space="preserve"> have a plan for service continuity at the end of life of the current system</w:t>
      </w:r>
      <w:r>
        <w:t xml:space="preserve">. For major business systems that are vital to the agency’s delivery of services, assessment of the system’s longevity, </w:t>
      </w:r>
      <w:r>
        <w:lastRenderedPageBreak/>
        <w:t>risks, future investments and business plans</w:t>
      </w:r>
      <w:r w:rsidRPr="003E4F79">
        <w:t xml:space="preserve"> (often termed a </w:t>
      </w:r>
      <w:r>
        <w:t>‘</w:t>
      </w:r>
      <w:r w:rsidRPr="003E4F79">
        <w:t>system roadmap</w:t>
      </w:r>
      <w:r>
        <w:t>’) will be needed.</w:t>
      </w:r>
    </w:p>
    <w:p w:rsidR="006C1E0F" w:rsidRPr="003E4F79" w:rsidRDefault="006C1E0F" w:rsidP="006C1E0F">
      <w:pPr>
        <w:pStyle w:val="Commentry"/>
        <w:numPr>
          <w:ilvl w:val="0"/>
          <w:numId w:val="22"/>
        </w:numPr>
        <w:tabs>
          <w:tab w:val="clear" w:pos="1843"/>
          <w:tab w:val="num" w:pos="1134"/>
        </w:tabs>
        <w:ind w:left="1134" w:hanging="567"/>
      </w:pPr>
      <w:r w:rsidRPr="003E4F79">
        <w:t xml:space="preserve">Agencies </w:t>
      </w:r>
      <w:r>
        <w:t>should</w:t>
      </w:r>
      <w:r w:rsidRPr="003E4F79">
        <w:t xml:space="preserve"> incorporate</w:t>
      </w:r>
      <w:r>
        <w:t xml:space="preserve"> requirements identified in system roadmaps</w:t>
      </w:r>
      <w:r w:rsidRPr="003E4F79">
        <w:t xml:space="preserve"> for their major ICT business systems in their </w:t>
      </w:r>
      <w:r w:rsidR="003E0168">
        <w:t>agency</w:t>
      </w:r>
      <w:r w:rsidR="003E0168" w:rsidRPr="003E4F79">
        <w:t xml:space="preserve"> </w:t>
      </w:r>
      <w:r w:rsidRPr="003E4F79">
        <w:t>strategic plan</w:t>
      </w:r>
      <w:r w:rsidR="003E0168">
        <w:t>s</w:t>
      </w:r>
      <w:r w:rsidRPr="003E4F79">
        <w:t xml:space="preserve"> </w:t>
      </w:r>
      <w:r>
        <w:t xml:space="preserve">and </w:t>
      </w:r>
      <w:r w:rsidR="003E0168">
        <w:t xml:space="preserve">annual </w:t>
      </w:r>
      <w:r>
        <w:t xml:space="preserve">business plans. The IGB can request agency ICT strategic plans as part of its across government ICT oversight role. </w:t>
      </w:r>
      <w:r w:rsidRPr="003E4F79">
        <w:t xml:space="preserve"> </w:t>
      </w:r>
    </w:p>
    <w:p w:rsidR="003E4F79" w:rsidRPr="00D64627" w:rsidRDefault="003E4F79" w:rsidP="003E0168">
      <w:pPr>
        <w:pStyle w:val="Commentry"/>
        <w:numPr>
          <w:ilvl w:val="0"/>
          <w:numId w:val="0"/>
        </w:numPr>
        <w:spacing w:before="240"/>
        <w:rPr>
          <w:rFonts w:cs="Arial"/>
          <w:b/>
        </w:rPr>
      </w:pPr>
      <w:r w:rsidRPr="00D64627">
        <w:rPr>
          <w:rFonts w:cs="Arial"/>
          <w:b/>
        </w:rPr>
        <w:t>INNOVATION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4F79" w:rsidRPr="00C02122" w:rsidTr="003E0168">
        <w:trPr>
          <w:trHeight w:val="737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4F79" w:rsidRPr="00983040" w:rsidRDefault="001C06A7" w:rsidP="001F5E3F">
            <w:pPr>
              <w:pStyle w:val="Direction-Number"/>
              <w:numPr>
                <w:ilvl w:val="0"/>
                <w:numId w:val="0"/>
              </w:numPr>
              <w:tabs>
                <w:tab w:val="left" w:pos="14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DD39C4">
              <w:rPr>
                <w:rFonts w:cs="Arial"/>
                <w:szCs w:val="24"/>
              </w:rPr>
              <w:t>.3.</w:t>
            </w:r>
            <w:r w:rsidR="00F62DFF">
              <w:rPr>
                <w:rFonts w:cs="Arial"/>
                <w:szCs w:val="24"/>
              </w:rPr>
              <w:t>7</w:t>
            </w:r>
          </w:p>
        </w:tc>
        <w:tc>
          <w:tcPr>
            <w:tcW w:w="7938" w:type="dxa"/>
            <w:vAlign w:val="center"/>
          </w:tcPr>
          <w:p w:rsidR="003E4F79" w:rsidRPr="00C02122" w:rsidRDefault="003E4F79" w:rsidP="003E0168">
            <w:pPr>
              <w:pStyle w:val="ListParagraph"/>
              <w:ind w:left="0"/>
              <w:jc w:val="left"/>
              <w:rPr>
                <w:b/>
              </w:rPr>
            </w:pPr>
            <w:r w:rsidRPr="00D64627">
              <w:rPr>
                <w:rFonts w:cs="Arial"/>
                <w:b/>
              </w:rPr>
              <w:t>Each agency must consider appropriate technologies and solutions that support business innovation.</w:t>
            </w:r>
          </w:p>
        </w:tc>
      </w:tr>
    </w:tbl>
    <w:p w:rsidR="003E4F79" w:rsidRPr="003E4F79" w:rsidRDefault="003E4F79" w:rsidP="001F5E3F">
      <w:pPr>
        <w:pStyle w:val="Commentry"/>
        <w:numPr>
          <w:ilvl w:val="0"/>
          <w:numId w:val="27"/>
        </w:numPr>
        <w:tabs>
          <w:tab w:val="clear" w:pos="1843"/>
          <w:tab w:val="left" w:pos="142"/>
          <w:tab w:val="num" w:pos="1134"/>
        </w:tabs>
        <w:ind w:left="1134" w:hanging="567"/>
      </w:pPr>
      <w:r w:rsidRPr="003E4F79">
        <w:t xml:space="preserve">When developing and implementing ICT solutions an agency should consider how the NTG manages information, delivers services and engages with the community. </w:t>
      </w:r>
    </w:p>
    <w:p w:rsidR="003E4F79" w:rsidRDefault="003E4F79" w:rsidP="003E4F79">
      <w:pPr>
        <w:pStyle w:val="Commentry"/>
        <w:numPr>
          <w:ilvl w:val="0"/>
          <w:numId w:val="27"/>
        </w:numPr>
        <w:tabs>
          <w:tab w:val="clear" w:pos="1843"/>
          <w:tab w:val="num" w:pos="1134"/>
        </w:tabs>
        <w:ind w:left="1134" w:hanging="567"/>
      </w:pPr>
      <w:r w:rsidRPr="003E4F79">
        <w:t>The NTG supports ICT solutions that harness opportunities to deliver benefits across all-of-government</w:t>
      </w:r>
      <w:r w:rsidR="004D6F28">
        <w:t xml:space="preserve"> and to the Territory community.</w:t>
      </w:r>
    </w:p>
    <w:p w:rsidR="00F62DFF" w:rsidRPr="003E4F79" w:rsidRDefault="0089530A" w:rsidP="003E4F79">
      <w:pPr>
        <w:pStyle w:val="Commentry"/>
        <w:numPr>
          <w:ilvl w:val="0"/>
          <w:numId w:val="27"/>
        </w:numPr>
        <w:tabs>
          <w:tab w:val="clear" w:pos="1843"/>
          <w:tab w:val="num" w:pos="1134"/>
        </w:tabs>
        <w:ind w:left="1134" w:hanging="567"/>
      </w:pPr>
      <w:r>
        <w:t>Innovation that improves government services, enhances user experiences and/or delivers efficiencies is encouraged. To be considered for adoption, innovative approaches must be compatible and in accord with the other ICT governance principles.</w:t>
      </w:r>
    </w:p>
    <w:p w:rsidR="003E4F79" w:rsidRPr="00D64627" w:rsidRDefault="003E4F79" w:rsidP="003E0168">
      <w:pPr>
        <w:pStyle w:val="Commentry"/>
        <w:numPr>
          <w:ilvl w:val="0"/>
          <w:numId w:val="0"/>
        </w:numPr>
        <w:spacing w:before="240"/>
        <w:rPr>
          <w:rFonts w:cs="Arial"/>
          <w:b/>
        </w:rPr>
      </w:pPr>
      <w:r w:rsidRPr="00D64627">
        <w:rPr>
          <w:rFonts w:cs="Arial"/>
          <w:b/>
        </w:rPr>
        <w:t>ACCOUNTABILITY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3E4F79" w:rsidRPr="00C02122" w:rsidTr="003E0168">
        <w:trPr>
          <w:trHeight w:val="737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E4F79" w:rsidRPr="00983040" w:rsidRDefault="001C06A7" w:rsidP="001F5E3F">
            <w:pPr>
              <w:pStyle w:val="Direction-Number"/>
              <w:numPr>
                <w:ilvl w:val="0"/>
                <w:numId w:val="0"/>
              </w:numPr>
              <w:tabs>
                <w:tab w:val="left" w:pos="14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ICT1</w:t>
            </w:r>
            <w:r w:rsidR="00DD39C4">
              <w:rPr>
                <w:rFonts w:cs="Arial"/>
                <w:szCs w:val="24"/>
              </w:rPr>
              <w:t>.3.8</w:t>
            </w:r>
          </w:p>
        </w:tc>
        <w:tc>
          <w:tcPr>
            <w:tcW w:w="7938" w:type="dxa"/>
            <w:vAlign w:val="center"/>
          </w:tcPr>
          <w:p w:rsidR="003E4F79" w:rsidRPr="00C02122" w:rsidRDefault="003E4F79" w:rsidP="003E0168">
            <w:pPr>
              <w:pStyle w:val="ListParagraph"/>
              <w:ind w:left="0"/>
              <w:jc w:val="left"/>
              <w:rPr>
                <w:b/>
              </w:rPr>
            </w:pPr>
            <w:r w:rsidRPr="00D64627">
              <w:rPr>
                <w:rFonts w:cs="Arial"/>
                <w:b/>
              </w:rPr>
              <w:t>Each agency Accountable Officer is responsible for the delivery and management of ICT</w:t>
            </w:r>
            <w:r>
              <w:rPr>
                <w:rFonts w:cs="Arial"/>
                <w:b/>
              </w:rPr>
              <w:t>, including ICT projects</w:t>
            </w:r>
            <w:r w:rsidR="004D6F28">
              <w:rPr>
                <w:rFonts w:cs="Arial"/>
                <w:b/>
              </w:rPr>
              <w:t>,</w:t>
            </w:r>
            <w:r w:rsidRPr="00D64627">
              <w:rPr>
                <w:rFonts w:cs="Arial"/>
                <w:b/>
              </w:rPr>
              <w:t xml:space="preserve"> in their agency. </w:t>
            </w:r>
          </w:p>
        </w:tc>
      </w:tr>
    </w:tbl>
    <w:p w:rsidR="003E4F79" w:rsidRPr="003E4F79" w:rsidRDefault="003E4F79" w:rsidP="008336AD">
      <w:pPr>
        <w:pStyle w:val="Commentry"/>
        <w:numPr>
          <w:ilvl w:val="0"/>
          <w:numId w:val="15"/>
        </w:numPr>
        <w:tabs>
          <w:tab w:val="clear" w:pos="1843"/>
          <w:tab w:val="num" w:pos="1134"/>
        </w:tabs>
        <w:ind w:left="1134" w:hanging="567"/>
        <w:rPr>
          <w:rFonts w:cs="Arial"/>
        </w:rPr>
      </w:pPr>
      <w:r w:rsidRPr="00D64627">
        <w:rPr>
          <w:rFonts w:cs="Arial"/>
        </w:rPr>
        <w:t>Accountable Officers must act in accordance with</w:t>
      </w:r>
      <w:r>
        <w:rPr>
          <w:rFonts w:cs="Arial"/>
        </w:rPr>
        <w:t xml:space="preserve"> </w:t>
      </w:r>
      <w:r w:rsidR="00153D2A">
        <w:rPr>
          <w:rFonts w:cs="Arial"/>
        </w:rPr>
        <w:t xml:space="preserve">the </w:t>
      </w:r>
      <w:r w:rsidRPr="00D64627">
        <w:rPr>
          <w:rFonts w:cs="Arial"/>
          <w:i/>
        </w:rPr>
        <w:t xml:space="preserve">Financial Management Act </w:t>
      </w:r>
      <w:r w:rsidRPr="00D64627">
        <w:rPr>
          <w:rFonts w:cs="Arial"/>
        </w:rPr>
        <w:t xml:space="preserve">and </w:t>
      </w:r>
      <w:r w:rsidRPr="00D64627">
        <w:rPr>
          <w:rFonts w:cs="Arial"/>
          <w:i/>
        </w:rPr>
        <w:t>Procurement Act</w:t>
      </w:r>
      <w:r w:rsidRPr="00D64627">
        <w:rPr>
          <w:rFonts w:cs="Arial"/>
        </w:rPr>
        <w:t>.</w:t>
      </w:r>
    </w:p>
    <w:p w:rsidR="00BB70DD" w:rsidRDefault="00BB70DD"/>
    <w:sectPr w:rsidR="00BB70DD" w:rsidSect="00BB70D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6C" w:rsidRDefault="009E3E6C" w:rsidP="00BB70DD">
      <w:pPr>
        <w:spacing w:before="0" w:after="0"/>
      </w:pPr>
      <w:r>
        <w:separator/>
      </w:r>
    </w:p>
  </w:endnote>
  <w:endnote w:type="continuationSeparator" w:id="0">
    <w:p w:rsidR="009E3E6C" w:rsidRDefault="009E3E6C" w:rsidP="00BB7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CEA" w:rsidRDefault="001F4CEA" w:rsidP="001F4CEA">
    <w:pPr>
      <w:pStyle w:val="Footer"/>
      <w:pBdr>
        <w:top w:val="single" w:sz="4" w:space="1" w:color="auto"/>
      </w:pBdr>
      <w:jc w:val="center"/>
    </w:pPr>
    <w:r>
      <w:t>Issued: July 2015</w:t>
    </w:r>
  </w:p>
  <w:p w:rsidR="001F4CEA" w:rsidRDefault="001F4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6C" w:rsidRDefault="009E3E6C" w:rsidP="00BB70DD">
      <w:pPr>
        <w:spacing w:before="0" w:after="0"/>
      </w:pPr>
      <w:r>
        <w:separator/>
      </w:r>
    </w:p>
  </w:footnote>
  <w:footnote w:type="continuationSeparator" w:id="0">
    <w:p w:rsidR="009E3E6C" w:rsidRDefault="009E3E6C" w:rsidP="00BB7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DD" w:rsidRPr="003E4F79" w:rsidRDefault="00AE7A28" w:rsidP="003E4F79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</w:rPr>
    </w:pPr>
    <w:r>
      <w:rPr>
        <w:b/>
      </w:rPr>
      <w:t xml:space="preserve">Section </w:t>
    </w:r>
    <w:r w:rsidR="001C06A7">
      <w:rPr>
        <w:b/>
      </w:rPr>
      <w:t>ICT1</w:t>
    </w:r>
    <w:r w:rsidR="00615B34">
      <w:rPr>
        <w:b/>
      </w:rPr>
      <w:t>.</w:t>
    </w:r>
    <w:r>
      <w:rPr>
        <w:b/>
      </w:rPr>
      <w:t>3</w:t>
    </w:r>
    <w:r w:rsidR="00CD052C">
      <w:rPr>
        <w:b/>
      </w:rPr>
      <w:t>:</w:t>
    </w:r>
    <w:r w:rsidR="003E4F79" w:rsidRPr="003E4F79">
      <w:rPr>
        <w:b/>
      </w:rPr>
      <w:t xml:space="preserve"> </w:t>
    </w:r>
    <w:r w:rsidR="002F34E9">
      <w:rPr>
        <w:b/>
      </w:rPr>
      <w:t xml:space="preserve">Governance - </w:t>
    </w:r>
    <w:r w:rsidR="003E4F79" w:rsidRPr="003E4F79">
      <w:rPr>
        <w:b/>
      </w:rPr>
      <w:t>ICT Governance</w:t>
    </w:r>
    <w:r w:rsidR="00615B34">
      <w:rPr>
        <w:b/>
      </w:rPr>
      <w:t xml:space="preserve"> Principles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217"/>
    <w:multiLevelType w:val="hybridMultilevel"/>
    <w:tmpl w:val="CAEEBEAE"/>
    <w:lvl w:ilvl="0" w:tplc="BC6CFFA2">
      <w:start w:val="1"/>
      <w:numFmt w:val="lowerRoman"/>
      <w:lvlText w:val="(%1)"/>
      <w:lvlJc w:val="left"/>
      <w:pPr>
        <w:ind w:left="2835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3195" w:hanging="360"/>
      </w:pPr>
    </w:lvl>
    <w:lvl w:ilvl="2" w:tplc="0C09001B" w:tentative="1">
      <w:start w:val="1"/>
      <w:numFmt w:val="lowerRoman"/>
      <w:lvlText w:val="%3."/>
      <w:lvlJc w:val="right"/>
      <w:pPr>
        <w:ind w:left="3915" w:hanging="180"/>
      </w:pPr>
    </w:lvl>
    <w:lvl w:ilvl="3" w:tplc="0C09000F" w:tentative="1">
      <w:start w:val="1"/>
      <w:numFmt w:val="decimal"/>
      <w:lvlText w:val="%4."/>
      <w:lvlJc w:val="left"/>
      <w:pPr>
        <w:ind w:left="4635" w:hanging="360"/>
      </w:pPr>
    </w:lvl>
    <w:lvl w:ilvl="4" w:tplc="0C090019" w:tentative="1">
      <w:start w:val="1"/>
      <w:numFmt w:val="lowerLetter"/>
      <w:lvlText w:val="%5."/>
      <w:lvlJc w:val="left"/>
      <w:pPr>
        <w:ind w:left="5355" w:hanging="360"/>
      </w:pPr>
    </w:lvl>
    <w:lvl w:ilvl="5" w:tplc="0C09001B" w:tentative="1">
      <w:start w:val="1"/>
      <w:numFmt w:val="lowerRoman"/>
      <w:lvlText w:val="%6."/>
      <w:lvlJc w:val="right"/>
      <w:pPr>
        <w:ind w:left="6075" w:hanging="180"/>
      </w:pPr>
    </w:lvl>
    <w:lvl w:ilvl="6" w:tplc="0C09000F" w:tentative="1">
      <w:start w:val="1"/>
      <w:numFmt w:val="decimal"/>
      <w:lvlText w:val="%7."/>
      <w:lvlJc w:val="left"/>
      <w:pPr>
        <w:ind w:left="6795" w:hanging="360"/>
      </w:pPr>
    </w:lvl>
    <w:lvl w:ilvl="7" w:tplc="0C090019" w:tentative="1">
      <w:start w:val="1"/>
      <w:numFmt w:val="lowerLetter"/>
      <w:lvlText w:val="%8."/>
      <w:lvlJc w:val="left"/>
      <w:pPr>
        <w:ind w:left="7515" w:hanging="360"/>
      </w:pPr>
    </w:lvl>
    <w:lvl w:ilvl="8" w:tplc="0C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">
    <w:nsid w:val="04F85646"/>
    <w:multiLevelType w:val="hybridMultilevel"/>
    <w:tmpl w:val="CAEEBEAE"/>
    <w:lvl w:ilvl="0" w:tplc="BC6CFFA2">
      <w:start w:val="1"/>
      <w:numFmt w:val="lowerRoman"/>
      <w:lvlText w:val="(%1)"/>
      <w:lvlJc w:val="left"/>
      <w:pPr>
        <w:ind w:left="2455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815" w:hanging="360"/>
      </w:pPr>
    </w:lvl>
    <w:lvl w:ilvl="2" w:tplc="0C09001B" w:tentative="1">
      <w:start w:val="1"/>
      <w:numFmt w:val="lowerRoman"/>
      <w:lvlText w:val="%3."/>
      <w:lvlJc w:val="right"/>
      <w:pPr>
        <w:ind w:left="3535" w:hanging="180"/>
      </w:pPr>
    </w:lvl>
    <w:lvl w:ilvl="3" w:tplc="0C09000F" w:tentative="1">
      <w:start w:val="1"/>
      <w:numFmt w:val="decimal"/>
      <w:lvlText w:val="%4."/>
      <w:lvlJc w:val="left"/>
      <w:pPr>
        <w:ind w:left="4255" w:hanging="360"/>
      </w:pPr>
    </w:lvl>
    <w:lvl w:ilvl="4" w:tplc="0C090019" w:tentative="1">
      <w:start w:val="1"/>
      <w:numFmt w:val="lowerLetter"/>
      <w:lvlText w:val="%5."/>
      <w:lvlJc w:val="left"/>
      <w:pPr>
        <w:ind w:left="4975" w:hanging="360"/>
      </w:pPr>
    </w:lvl>
    <w:lvl w:ilvl="5" w:tplc="0C09001B" w:tentative="1">
      <w:start w:val="1"/>
      <w:numFmt w:val="lowerRoman"/>
      <w:lvlText w:val="%6."/>
      <w:lvlJc w:val="right"/>
      <w:pPr>
        <w:ind w:left="5695" w:hanging="180"/>
      </w:pPr>
    </w:lvl>
    <w:lvl w:ilvl="6" w:tplc="0C09000F" w:tentative="1">
      <w:start w:val="1"/>
      <w:numFmt w:val="decimal"/>
      <w:lvlText w:val="%7."/>
      <w:lvlJc w:val="left"/>
      <w:pPr>
        <w:ind w:left="6415" w:hanging="360"/>
      </w:pPr>
    </w:lvl>
    <w:lvl w:ilvl="7" w:tplc="0C090019" w:tentative="1">
      <w:start w:val="1"/>
      <w:numFmt w:val="lowerLetter"/>
      <w:lvlText w:val="%8."/>
      <w:lvlJc w:val="left"/>
      <w:pPr>
        <w:ind w:left="7135" w:hanging="360"/>
      </w:pPr>
    </w:lvl>
    <w:lvl w:ilvl="8" w:tplc="0C0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2">
    <w:nsid w:val="0B5572E9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3">
    <w:nsid w:val="0DC85546"/>
    <w:multiLevelType w:val="singleLevel"/>
    <w:tmpl w:val="02DC0DA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  <w:b w:val="0"/>
      </w:rPr>
    </w:lvl>
  </w:abstractNum>
  <w:abstractNum w:abstractNumId="4">
    <w:nsid w:val="0F362CB0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5">
    <w:nsid w:val="1743196E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6">
    <w:nsid w:val="23F40C9C"/>
    <w:multiLevelType w:val="singleLevel"/>
    <w:tmpl w:val="02DC0DA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  <w:b w:val="0"/>
      </w:rPr>
    </w:lvl>
  </w:abstractNum>
  <w:abstractNum w:abstractNumId="7">
    <w:nsid w:val="2536306D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8">
    <w:nsid w:val="26536A50"/>
    <w:multiLevelType w:val="singleLevel"/>
    <w:tmpl w:val="32AA22AE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  <w:sz w:val="24"/>
        <w:szCs w:val="24"/>
      </w:rPr>
    </w:lvl>
  </w:abstractNum>
  <w:abstractNum w:abstractNumId="9">
    <w:nsid w:val="27174DF0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0">
    <w:nsid w:val="29A01706"/>
    <w:multiLevelType w:val="singleLevel"/>
    <w:tmpl w:val="F88E0E62"/>
    <w:lvl w:ilvl="0">
      <w:start w:val="1"/>
      <w:numFmt w:val="lowerRoman"/>
      <w:pStyle w:val="Commentry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1">
    <w:nsid w:val="2CB95EA0"/>
    <w:multiLevelType w:val="hybridMultilevel"/>
    <w:tmpl w:val="CAEEBEAE"/>
    <w:lvl w:ilvl="0" w:tplc="BC6CFFA2">
      <w:start w:val="1"/>
      <w:numFmt w:val="lowerRoman"/>
      <w:lvlText w:val="(%1)"/>
      <w:lvlJc w:val="left"/>
      <w:pPr>
        <w:ind w:left="2455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815" w:hanging="360"/>
      </w:pPr>
    </w:lvl>
    <w:lvl w:ilvl="2" w:tplc="0C09001B" w:tentative="1">
      <w:start w:val="1"/>
      <w:numFmt w:val="lowerRoman"/>
      <w:lvlText w:val="%3."/>
      <w:lvlJc w:val="right"/>
      <w:pPr>
        <w:ind w:left="3535" w:hanging="180"/>
      </w:pPr>
    </w:lvl>
    <w:lvl w:ilvl="3" w:tplc="0C09000F" w:tentative="1">
      <w:start w:val="1"/>
      <w:numFmt w:val="decimal"/>
      <w:lvlText w:val="%4."/>
      <w:lvlJc w:val="left"/>
      <w:pPr>
        <w:ind w:left="4255" w:hanging="360"/>
      </w:pPr>
    </w:lvl>
    <w:lvl w:ilvl="4" w:tplc="0C090019" w:tentative="1">
      <w:start w:val="1"/>
      <w:numFmt w:val="lowerLetter"/>
      <w:lvlText w:val="%5."/>
      <w:lvlJc w:val="left"/>
      <w:pPr>
        <w:ind w:left="4975" w:hanging="360"/>
      </w:pPr>
    </w:lvl>
    <w:lvl w:ilvl="5" w:tplc="0C09001B" w:tentative="1">
      <w:start w:val="1"/>
      <w:numFmt w:val="lowerRoman"/>
      <w:lvlText w:val="%6."/>
      <w:lvlJc w:val="right"/>
      <w:pPr>
        <w:ind w:left="5695" w:hanging="180"/>
      </w:pPr>
    </w:lvl>
    <w:lvl w:ilvl="6" w:tplc="0C09000F" w:tentative="1">
      <w:start w:val="1"/>
      <w:numFmt w:val="decimal"/>
      <w:lvlText w:val="%7."/>
      <w:lvlJc w:val="left"/>
      <w:pPr>
        <w:ind w:left="6415" w:hanging="360"/>
      </w:pPr>
    </w:lvl>
    <w:lvl w:ilvl="7" w:tplc="0C090019" w:tentative="1">
      <w:start w:val="1"/>
      <w:numFmt w:val="lowerLetter"/>
      <w:lvlText w:val="%8."/>
      <w:lvlJc w:val="left"/>
      <w:pPr>
        <w:ind w:left="7135" w:hanging="360"/>
      </w:pPr>
    </w:lvl>
    <w:lvl w:ilvl="8" w:tplc="0C0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12">
    <w:nsid w:val="2D344D33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3">
    <w:nsid w:val="3DA474F9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4">
    <w:nsid w:val="3ED11380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5">
    <w:nsid w:val="42590E52"/>
    <w:multiLevelType w:val="hybridMultilevel"/>
    <w:tmpl w:val="CAEEBEAE"/>
    <w:lvl w:ilvl="0" w:tplc="BC6CFFA2">
      <w:start w:val="1"/>
      <w:numFmt w:val="lowerRoman"/>
      <w:lvlText w:val="(%1)"/>
      <w:lvlJc w:val="left"/>
      <w:pPr>
        <w:ind w:left="2835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3195" w:hanging="360"/>
      </w:pPr>
    </w:lvl>
    <w:lvl w:ilvl="2" w:tplc="0C09001B" w:tentative="1">
      <w:start w:val="1"/>
      <w:numFmt w:val="lowerRoman"/>
      <w:lvlText w:val="%3."/>
      <w:lvlJc w:val="right"/>
      <w:pPr>
        <w:ind w:left="3915" w:hanging="180"/>
      </w:pPr>
    </w:lvl>
    <w:lvl w:ilvl="3" w:tplc="0C09000F" w:tentative="1">
      <w:start w:val="1"/>
      <w:numFmt w:val="decimal"/>
      <w:lvlText w:val="%4."/>
      <w:lvlJc w:val="left"/>
      <w:pPr>
        <w:ind w:left="4635" w:hanging="360"/>
      </w:pPr>
    </w:lvl>
    <w:lvl w:ilvl="4" w:tplc="0C090019" w:tentative="1">
      <w:start w:val="1"/>
      <w:numFmt w:val="lowerLetter"/>
      <w:lvlText w:val="%5."/>
      <w:lvlJc w:val="left"/>
      <w:pPr>
        <w:ind w:left="5355" w:hanging="360"/>
      </w:pPr>
    </w:lvl>
    <w:lvl w:ilvl="5" w:tplc="0C09001B" w:tentative="1">
      <w:start w:val="1"/>
      <w:numFmt w:val="lowerRoman"/>
      <w:lvlText w:val="%6."/>
      <w:lvlJc w:val="right"/>
      <w:pPr>
        <w:ind w:left="6075" w:hanging="180"/>
      </w:pPr>
    </w:lvl>
    <w:lvl w:ilvl="6" w:tplc="0C09000F" w:tentative="1">
      <w:start w:val="1"/>
      <w:numFmt w:val="decimal"/>
      <w:lvlText w:val="%7."/>
      <w:lvlJc w:val="left"/>
      <w:pPr>
        <w:ind w:left="6795" w:hanging="360"/>
      </w:pPr>
    </w:lvl>
    <w:lvl w:ilvl="7" w:tplc="0C090019" w:tentative="1">
      <w:start w:val="1"/>
      <w:numFmt w:val="lowerLetter"/>
      <w:lvlText w:val="%8."/>
      <w:lvlJc w:val="left"/>
      <w:pPr>
        <w:ind w:left="7515" w:hanging="360"/>
      </w:pPr>
    </w:lvl>
    <w:lvl w:ilvl="8" w:tplc="0C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6">
    <w:nsid w:val="45DF3262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17">
    <w:nsid w:val="4C2C7E92"/>
    <w:multiLevelType w:val="hybridMultilevel"/>
    <w:tmpl w:val="CAEEBEAE"/>
    <w:lvl w:ilvl="0" w:tplc="BC6CFFA2">
      <w:start w:val="1"/>
      <w:numFmt w:val="lowerRoman"/>
      <w:lvlText w:val="(%1)"/>
      <w:lvlJc w:val="left"/>
      <w:pPr>
        <w:ind w:left="2455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815" w:hanging="360"/>
      </w:pPr>
    </w:lvl>
    <w:lvl w:ilvl="2" w:tplc="0C09001B" w:tentative="1">
      <w:start w:val="1"/>
      <w:numFmt w:val="lowerRoman"/>
      <w:lvlText w:val="%3."/>
      <w:lvlJc w:val="right"/>
      <w:pPr>
        <w:ind w:left="3535" w:hanging="180"/>
      </w:pPr>
    </w:lvl>
    <w:lvl w:ilvl="3" w:tplc="0C09000F" w:tentative="1">
      <w:start w:val="1"/>
      <w:numFmt w:val="decimal"/>
      <w:lvlText w:val="%4."/>
      <w:lvlJc w:val="left"/>
      <w:pPr>
        <w:ind w:left="4255" w:hanging="360"/>
      </w:pPr>
    </w:lvl>
    <w:lvl w:ilvl="4" w:tplc="0C090019" w:tentative="1">
      <w:start w:val="1"/>
      <w:numFmt w:val="lowerLetter"/>
      <w:lvlText w:val="%5."/>
      <w:lvlJc w:val="left"/>
      <w:pPr>
        <w:ind w:left="4975" w:hanging="360"/>
      </w:pPr>
    </w:lvl>
    <w:lvl w:ilvl="5" w:tplc="0C09001B" w:tentative="1">
      <w:start w:val="1"/>
      <w:numFmt w:val="lowerRoman"/>
      <w:lvlText w:val="%6."/>
      <w:lvlJc w:val="right"/>
      <w:pPr>
        <w:ind w:left="5695" w:hanging="180"/>
      </w:pPr>
    </w:lvl>
    <w:lvl w:ilvl="6" w:tplc="0C09000F" w:tentative="1">
      <w:start w:val="1"/>
      <w:numFmt w:val="decimal"/>
      <w:lvlText w:val="%7."/>
      <w:lvlJc w:val="left"/>
      <w:pPr>
        <w:ind w:left="6415" w:hanging="360"/>
      </w:pPr>
    </w:lvl>
    <w:lvl w:ilvl="7" w:tplc="0C090019" w:tentative="1">
      <w:start w:val="1"/>
      <w:numFmt w:val="lowerLetter"/>
      <w:lvlText w:val="%8."/>
      <w:lvlJc w:val="left"/>
      <w:pPr>
        <w:ind w:left="7135" w:hanging="360"/>
      </w:pPr>
    </w:lvl>
    <w:lvl w:ilvl="8" w:tplc="0C0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18">
    <w:nsid w:val="552251EC"/>
    <w:multiLevelType w:val="multilevel"/>
    <w:tmpl w:val="12C0C602"/>
    <w:lvl w:ilvl="0">
      <w:start w:val="1"/>
      <w:numFmt w:val="decimal"/>
      <w:pStyle w:val="Direction-Number"/>
      <w:lvlText w:val="T2.1.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24753DF"/>
    <w:multiLevelType w:val="singleLevel"/>
    <w:tmpl w:val="4B30DFB0"/>
    <w:lvl w:ilvl="0">
      <w:start w:val="1"/>
      <w:numFmt w:val="bullet"/>
      <w:pStyle w:val="MainFeature-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AE61645"/>
    <w:multiLevelType w:val="singleLevel"/>
    <w:tmpl w:val="F88E0E62"/>
    <w:lvl w:ilvl="0">
      <w:start w:val="1"/>
      <w:numFmt w:val="lowerRoman"/>
      <w:lvlText w:val="(%1)"/>
      <w:lvlJc w:val="left"/>
      <w:pPr>
        <w:tabs>
          <w:tab w:val="num" w:pos="1843"/>
        </w:tabs>
        <w:ind w:left="1843" w:hanging="1134"/>
      </w:pPr>
      <w:rPr>
        <w:rFonts w:hint="default"/>
      </w:rPr>
    </w:lvl>
  </w:abstractNum>
  <w:abstractNum w:abstractNumId="21">
    <w:nsid w:val="7F79290C"/>
    <w:multiLevelType w:val="hybridMultilevel"/>
    <w:tmpl w:val="2C7C076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1"/>
  </w:num>
  <w:num w:numId="7">
    <w:abstractNumId w:val="4"/>
    <w:lvlOverride w:ilvl="0">
      <w:startOverride w:val="1"/>
    </w:lvlOverride>
  </w:num>
  <w:num w:numId="8">
    <w:abstractNumId w:val="15"/>
  </w:num>
  <w:num w:numId="9">
    <w:abstractNumId w:val="12"/>
  </w:num>
  <w:num w:numId="10">
    <w:abstractNumId w:val="20"/>
  </w:num>
  <w:num w:numId="11">
    <w:abstractNumId w:val="5"/>
  </w:num>
  <w:num w:numId="12">
    <w:abstractNumId w:val="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17"/>
  </w:num>
  <w:num w:numId="18">
    <w:abstractNumId w:val="3"/>
  </w:num>
  <w:num w:numId="19">
    <w:abstractNumId w:val="0"/>
  </w:num>
  <w:num w:numId="20">
    <w:abstractNumId w:val="11"/>
  </w:num>
  <w:num w:numId="21">
    <w:abstractNumId w:val="10"/>
  </w:num>
  <w:num w:numId="22">
    <w:abstractNumId w:val="9"/>
  </w:num>
  <w:num w:numId="23">
    <w:abstractNumId w:val="10"/>
  </w:num>
  <w:num w:numId="24">
    <w:abstractNumId w:val="8"/>
  </w:num>
  <w:num w:numId="25">
    <w:abstractNumId w:val="10"/>
  </w:num>
  <w:num w:numId="26">
    <w:abstractNumId w:val="10"/>
  </w:num>
  <w:num w:numId="27">
    <w:abstractNumId w:val="16"/>
  </w:num>
  <w:num w:numId="28">
    <w:abstractNumId w:val="10"/>
  </w:num>
  <w:num w:numId="29">
    <w:abstractNumId w:val="1"/>
  </w:num>
  <w:num w:numId="30">
    <w:abstractNumId w:val="10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47VvfBzdVt9dZ1FRwzj82T44cAU=" w:salt="PSdmgAKrCmcLhVFrl2O18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DD"/>
    <w:rsid w:val="00024944"/>
    <w:rsid w:val="00045189"/>
    <w:rsid w:val="000A6329"/>
    <w:rsid w:val="000B1A5D"/>
    <w:rsid w:val="000C57C0"/>
    <w:rsid w:val="000C609F"/>
    <w:rsid w:val="000C6BF5"/>
    <w:rsid w:val="000E136D"/>
    <w:rsid w:val="000E3916"/>
    <w:rsid w:val="00101821"/>
    <w:rsid w:val="00153D2A"/>
    <w:rsid w:val="00174565"/>
    <w:rsid w:val="001C06A7"/>
    <w:rsid w:val="001E5462"/>
    <w:rsid w:val="001F4CEA"/>
    <w:rsid w:val="001F5E3F"/>
    <w:rsid w:val="00220DF8"/>
    <w:rsid w:val="0023777B"/>
    <w:rsid w:val="00256EAA"/>
    <w:rsid w:val="002F34E9"/>
    <w:rsid w:val="0030165E"/>
    <w:rsid w:val="00341693"/>
    <w:rsid w:val="00354DC8"/>
    <w:rsid w:val="003626FF"/>
    <w:rsid w:val="00363FE2"/>
    <w:rsid w:val="00365114"/>
    <w:rsid w:val="003E0168"/>
    <w:rsid w:val="003E4F79"/>
    <w:rsid w:val="00440F6C"/>
    <w:rsid w:val="00461281"/>
    <w:rsid w:val="00487583"/>
    <w:rsid w:val="00497078"/>
    <w:rsid w:val="004A5CA5"/>
    <w:rsid w:val="004A772D"/>
    <w:rsid w:val="004B217F"/>
    <w:rsid w:val="004D6F28"/>
    <w:rsid w:val="004F060E"/>
    <w:rsid w:val="004F2247"/>
    <w:rsid w:val="005312B3"/>
    <w:rsid w:val="005768EA"/>
    <w:rsid w:val="005F7B35"/>
    <w:rsid w:val="005F7F6C"/>
    <w:rsid w:val="00615B34"/>
    <w:rsid w:val="0062473D"/>
    <w:rsid w:val="006B4CF9"/>
    <w:rsid w:val="006C1E0F"/>
    <w:rsid w:val="007231CE"/>
    <w:rsid w:val="007258DB"/>
    <w:rsid w:val="00752441"/>
    <w:rsid w:val="007731CA"/>
    <w:rsid w:val="007A2150"/>
    <w:rsid w:val="007B461B"/>
    <w:rsid w:val="00805E04"/>
    <w:rsid w:val="008336AD"/>
    <w:rsid w:val="00844154"/>
    <w:rsid w:val="00866F72"/>
    <w:rsid w:val="0089405F"/>
    <w:rsid w:val="0089530A"/>
    <w:rsid w:val="008A7D96"/>
    <w:rsid w:val="008E50E5"/>
    <w:rsid w:val="008E5849"/>
    <w:rsid w:val="008F5631"/>
    <w:rsid w:val="00905044"/>
    <w:rsid w:val="00927FE4"/>
    <w:rsid w:val="00956ABC"/>
    <w:rsid w:val="00967F0A"/>
    <w:rsid w:val="009E3E6C"/>
    <w:rsid w:val="009E7122"/>
    <w:rsid w:val="00A23370"/>
    <w:rsid w:val="00A365C0"/>
    <w:rsid w:val="00A41751"/>
    <w:rsid w:val="00A56351"/>
    <w:rsid w:val="00A663FB"/>
    <w:rsid w:val="00AE7A28"/>
    <w:rsid w:val="00B349D8"/>
    <w:rsid w:val="00B3590E"/>
    <w:rsid w:val="00B50E61"/>
    <w:rsid w:val="00B643BE"/>
    <w:rsid w:val="00B748CC"/>
    <w:rsid w:val="00B87D84"/>
    <w:rsid w:val="00B94C1B"/>
    <w:rsid w:val="00BB70DD"/>
    <w:rsid w:val="00C04F37"/>
    <w:rsid w:val="00C21CEF"/>
    <w:rsid w:val="00C92824"/>
    <w:rsid w:val="00CC26CC"/>
    <w:rsid w:val="00CD052C"/>
    <w:rsid w:val="00D20740"/>
    <w:rsid w:val="00D2747A"/>
    <w:rsid w:val="00D32965"/>
    <w:rsid w:val="00D35F60"/>
    <w:rsid w:val="00D4652C"/>
    <w:rsid w:val="00D728B1"/>
    <w:rsid w:val="00DA1E4C"/>
    <w:rsid w:val="00DA20BB"/>
    <w:rsid w:val="00DD39C4"/>
    <w:rsid w:val="00DE137C"/>
    <w:rsid w:val="00DE769A"/>
    <w:rsid w:val="00DF6BA7"/>
    <w:rsid w:val="00E10E87"/>
    <w:rsid w:val="00E85C8B"/>
    <w:rsid w:val="00EC4348"/>
    <w:rsid w:val="00ED1267"/>
    <w:rsid w:val="00EE485D"/>
    <w:rsid w:val="00F1413A"/>
    <w:rsid w:val="00F24C68"/>
    <w:rsid w:val="00F62DFF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DD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BB70DD"/>
    <w:pPr>
      <w:keepNext/>
      <w:numPr>
        <w:ilvl w:val="1"/>
        <w:numId w:val="2"/>
      </w:num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B70DD"/>
    <w:pPr>
      <w:keepNext/>
      <w:numPr>
        <w:ilvl w:val="2"/>
        <w:numId w:val="2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B70DD"/>
    <w:pPr>
      <w:keepNext/>
      <w:numPr>
        <w:ilvl w:val="3"/>
        <w:numId w:val="2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B70DD"/>
    <w:pPr>
      <w:keepNext/>
      <w:numPr>
        <w:ilvl w:val="4"/>
        <w:numId w:val="2"/>
      </w:numPr>
      <w:spacing w:before="40" w:after="1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B70DD"/>
    <w:pPr>
      <w:keepNext/>
      <w:numPr>
        <w:ilvl w:val="5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BB70DD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B70DD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BB70DD"/>
    <w:pPr>
      <w:keepNext/>
      <w:numPr>
        <w:ilvl w:val="8"/>
        <w:numId w:val="2"/>
      </w:numPr>
      <w:jc w:val="right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Heading">
    <w:name w:val="TD Heading"/>
    <w:basedOn w:val="Normal"/>
    <w:rsid w:val="00BB70DD"/>
    <w:pPr>
      <w:jc w:val="center"/>
    </w:pPr>
    <w:rPr>
      <w:b/>
      <w:sz w:val="32"/>
    </w:rPr>
  </w:style>
  <w:style w:type="paragraph" w:customStyle="1" w:styleId="SOI-Heading">
    <w:name w:val="SOI - Heading"/>
    <w:basedOn w:val="Normal"/>
    <w:rsid w:val="00BB70DD"/>
    <w:pPr>
      <w:spacing w:before="360" w:after="240"/>
      <w:jc w:val="center"/>
    </w:pPr>
    <w:rPr>
      <w:b/>
      <w:sz w:val="28"/>
    </w:rPr>
  </w:style>
  <w:style w:type="paragraph" w:customStyle="1" w:styleId="SOI-Text">
    <w:name w:val="SOI - Text"/>
    <w:basedOn w:val="Normal"/>
    <w:rsid w:val="00BB70DD"/>
    <w:rPr>
      <w:rFonts w:ascii="Times New Roman" w:hAnsi="Times New Roman"/>
      <w:i/>
    </w:rPr>
  </w:style>
  <w:style w:type="character" w:customStyle="1" w:styleId="Heading2Char">
    <w:name w:val="Heading 2 Char"/>
    <w:basedOn w:val="DefaultParagraphFont"/>
    <w:link w:val="Heading2"/>
    <w:rsid w:val="00BB70DD"/>
    <w:rPr>
      <w:rFonts w:ascii="Arial Narrow" w:eastAsia="Times New Roman" w:hAnsi="Arial Narrow" w:cs="Times New Roman"/>
      <w:i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BB70DD"/>
    <w:rPr>
      <w:rFonts w:ascii="Arial Narrow" w:eastAsia="Times New Roman" w:hAnsi="Arial Narrow" w:cs="Times New Roman"/>
      <w:b/>
      <w:sz w:val="2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B70DD"/>
    <w:rPr>
      <w:rFonts w:ascii="Arial Narrow" w:eastAsia="Times New Roman" w:hAnsi="Arial Narrow" w:cs="Times New Roman"/>
      <w:b/>
      <w:sz w:val="26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BB70DD"/>
    <w:rPr>
      <w:rFonts w:ascii="Arial Narrow" w:eastAsia="Times New Roman" w:hAnsi="Arial Narrow" w:cs="Times New Roman"/>
      <w:sz w:val="24"/>
      <w:szCs w:val="20"/>
      <w:u w:val="single"/>
      <w:lang w:eastAsia="en-AU"/>
    </w:rPr>
  </w:style>
  <w:style w:type="character" w:customStyle="1" w:styleId="Heading9Char">
    <w:name w:val="Heading 9 Char"/>
    <w:basedOn w:val="DefaultParagraphFont"/>
    <w:link w:val="Heading9"/>
    <w:rsid w:val="00BB70DD"/>
    <w:rPr>
      <w:rFonts w:ascii="Arial Narrow" w:eastAsia="Times New Roman" w:hAnsi="Arial Narrow" w:cs="Times New Roman"/>
      <w:b/>
      <w:sz w:val="24"/>
      <w:szCs w:val="20"/>
      <w:u w:val="single"/>
      <w:lang w:eastAsia="en-AU"/>
    </w:rPr>
  </w:style>
  <w:style w:type="paragraph" w:customStyle="1" w:styleId="Direction-Number">
    <w:name w:val="Direction-Number"/>
    <w:basedOn w:val="Normal"/>
    <w:next w:val="Normal"/>
    <w:rsid w:val="00BB70DD"/>
    <w:pPr>
      <w:numPr>
        <w:numId w:val="2"/>
      </w:numPr>
      <w:jc w:val="center"/>
    </w:pPr>
    <w:rPr>
      <w:b/>
    </w:rPr>
  </w:style>
  <w:style w:type="paragraph" w:customStyle="1" w:styleId="MainFeature-Text">
    <w:name w:val="Main Feature - Text"/>
    <w:basedOn w:val="Normal"/>
    <w:rsid w:val="00BB70DD"/>
    <w:pPr>
      <w:numPr>
        <w:numId w:val="1"/>
      </w:numPr>
      <w:spacing w:before="60" w:after="60"/>
    </w:pPr>
  </w:style>
  <w:style w:type="paragraph" w:customStyle="1" w:styleId="MainFeatures-FixedText">
    <w:name w:val="Main Features - Fixed Text"/>
    <w:next w:val="Normal"/>
    <w:rsid w:val="00BB70DD"/>
    <w:pPr>
      <w:spacing w:before="60" w:after="18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irection-Heading">
    <w:name w:val="Direction - Heading"/>
    <w:next w:val="Normal"/>
    <w:rsid w:val="00BB70DD"/>
    <w:pPr>
      <w:spacing w:before="120" w:after="120" w:line="240" w:lineRule="auto"/>
    </w:pPr>
    <w:rPr>
      <w:rFonts w:ascii="Arial Narrow" w:eastAsia="Times New Roman" w:hAnsi="Arial Narrow" w:cs="Times New Roman"/>
      <w:b/>
      <w:caps/>
      <w:sz w:val="24"/>
      <w:szCs w:val="20"/>
      <w:lang w:eastAsia="en-AU"/>
    </w:rPr>
  </w:style>
  <w:style w:type="character" w:styleId="Hyperlink">
    <w:name w:val="Hyperlink"/>
    <w:basedOn w:val="DefaultParagraphFont"/>
    <w:rsid w:val="00BB70DD"/>
    <w:rPr>
      <w:color w:val="0000FF"/>
      <w:u w:val="single"/>
    </w:rPr>
  </w:style>
  <w:style w:type="table" w:styleId="TableGrid">
    <w:name w:val="Table Grid"/>
    <w:basedOn w:val="TableNormal"/>
    <w:rsid w:val="00BB70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DD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Commentry">
    <w:name w:val="Commentry"/>
    <w:rsid w:val="00BB70DD"/>
    <w:pPr>
      <w:numPr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B70DD"/>
    <w:pPr>
      <w:ind w:left="720"/>
      <w:contextualSpacing/>
    </w:pPr>
  </w:style>
  <w:style w:type="paragraph" w:customStyle="1" w:styleId="MainFeature-Heading">
    <w:name w:val="Main Feature - Heading"/>
    <w:next w:val="MainFeature-Text"/>
    <w:rsid w:val="003E4F79"/>
    <w:pPr>
      <w:spacing w:before="6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styleId="CommentReference">
    <w:name w:val="annotation reference"/>
    <w:basedOn w:val="DefaultParagraphFont"/>
    <w:rsid w:val="003E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1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1CA"/>
    <w:rPr>
      <w:rFonts w:ascii="Arial Narrow" w:eastAsia="Times New Roman" w:hAnsi="Arial Narrow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CA"/>
    <w:rPr>
      <w:rFonts w:ascii="Arial Narrow" w:eastAsia="Times New Roman" w:hAnsi="Arial Narrow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DD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BB70DD"/>
    <w:pPr>
      <w:keepNext/>
      <w:numPr>
        <w:ilvl w:val="1"/>
        <w:numId w:val="2"/>
      </w:num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B70DD"/>
    <w:pPr>
      <w:keepNext/>
      <w:numPr>
        <w:ilvl w:val="2"/>
        <w:numId w:val="2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B70DD"/>
    <w:pPr>
      <w:keepNext/>
      <w:numPr>
        <w:ilvl w:val="3"/>
        <w:numId w:val="2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B70DD"/>
    <w:pPr>
      <w:keepNext/>
      <w:numPr>
        <w:ilvl w:val="4"/>
        <w:numId w:val="2"/>
      </w:numPr>
      <w:spacing w:before="40" w:after="1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B70DD"/>
    <w:pPr>
      <w:keepNext/>
      <w:numPr>
        <w:ilvl w:val="5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BB70DD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B70DD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BB70DD"/>
    <w:pPr>
      <w:keepNext/>
      <w:numPr>
        <w:ilvl w:val="8"/>
        <w:numId w:val="2"/>
      </w:numPr>
      <w:jc w:val="right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Heading">
    <w:name w:val="TD Heading"/>
    <w:basedOn w:val="Normal"/>
    <w:rsid w:val="00BB70DD"/>
    <w:pPr>
      <w:jc w:val="center"/>
    </w:pPr>
    <w:rPr>
      <w:b/>
      <w:sz w:val="32"/>
    </w:rPr>
  </w:style>
  <w:style w:type="paragraph" w:customStyle="1" w:styleId="SOI-Heading">
    <w:name w:val="SOI - Heading"/>
    <w:basedOn w:val="Normal"/>
    <w:rsid w:val="00BB70DD"/>
    <w:pPr>
      <w:spacing w:before="360" w:after="240"/>
      <w:jc w:val="center"/>
    </w:pPr>
    <w:rPr>
      <w:b/>
      <w:sz w:val="28"/>
    </w:rPr>
  </w:style>
  <w:style w:type="paragraph" w:customStyle="1" w:styleId="SOI-Text">
    <w:name w:val="SOI - Text"/>
    <w:basedOn w:val="Normal"/>
    <w:rsid w:val="00BB70DD"/>
    <w:rPr>
      <w:rFonts w:ascii="Times New Roman" w:hAnsi="Times New Roman"/>
      <w:i/>
    </w:rPr>
  </w:style>
  <w:style w:type="character" w:customStyle="1" w:styleId="Heading2Char">
    <w:name w:val="Heading 2 Char"/>
    <w:basedOn w:val="DefaultParagraphFont"/>
    <w:link w:val="Heading2"/>
    <w:rsid w:val="00BB70DD"/>
    <w:rPr>
      <w:rFonts w:ascii="Arial Narrow" w:eastAsia="Times New Roman" w:hAnsi="Arial Narrow" w:cs="Times New Roman"/>
      <w:i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BB70DD"/>
    <w:rPr>
      <w:rFonts w:ascii="Arial Narrow" w:eastAsia="Times New Roman" w:hAnsi="Arial Narrow" w:cs="Times New Roman"/>
      <w:b/>
      <w:sz w:val="2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B70DD"/>
    <w:rPr>
      <w:rFonts w:ascii="Arial Narrow" w:eastAsia="Times New Roman" w:hAnsi="Arial Narrow" w:cs="Times New Roman"/>
      <w:b/>
      <w:sz w:val="26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BB70DD"/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BB70DD"/>
    <w:rPr>
      <w:rFonts w:ascii="Arial Narrow" w:eastAsia="Times New Roman" w:hAnsi="Arial Narrow" w:cs="Times New Roman"/>
      <w:sz w:val="24"/>
      <w:szCs w:val="20"/>
      <w:u w:val="single"/>
      <w:lang w:eastAsia="en-AU"/>
    </w:rPr>
  </w:style>
  <w:style w:type="character" w:customStyle="1" w:styleId="Heading9Char">
    <w:name w:val="Heading 9 Char"/>
    <w:basedOn w:val="DefaultParagraphFont"/>
    <w:link w:val="Heading9"/>
    <w:rsid w:val="00BB70DD"/>
    <w:rPr>
      <w:rFonts w:ascii="Arial Narrow" w:eastAsia="Times New Roman" w:hAnsi="Arial Narrow" w:cs="Times New Roman"/>
      <w:b/>
      <w:sz w:val="24"/>
      <w:szCs w:val="20"/>
      <w:u w:val="single"/>
      <w:lang w:eastAsia="en-AU"/>
    </w:rPr>
  </w:style>
  <w:style w:type="paragraph" w:customStyle="1" w:styleId="Direction-Number">
    <w:name w:val="Direction-Number"/>
    <w:basedOn w:val="Normal"/>
    <w:next w:val="Normal"/>
    <w:rsid w:val="00BB70DD"/>
    <w:pPr>
      <w:numPr>
        <w:numId w:val="2"/>
      </w:numPr>
      <w:jc w:val="center"/>
    </w:pPr>
    <w:rPr>
      <w:b/>
    </w:rPr>
  </w:style>
  <w:style w:type="paragraph" w:customStyle="1" w:styleId="MainFeature-Text">
    <w:name w:val="Main Feature - Text"/>
    <w:basedOn w:val="Normal"/>
    <w:rsid w:val="00BB70DD"/>
    <w:pPr>
      <w:numPr>
        <w:numId w:val="1"/>
      </w:numPr>
      <w:spacing w:before="60" w:after="60"/>
    </w:pPr>
  </w:style>
  <w:style w:type="paragraph" w:customStyle="1" w:styleId="MainFeatures-FixedText">
    <w:name w:val="Main Features - Fixed Text"/>
    <w:next w:val="Normal"/>
    <w:rsid w:val="00BB70DD"/>
    <w:pPr>
      <w:spacing w:before="60" w:after="18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irection-Heading">
    <w:name w:val="Direction - Heading"/>
    <w:next w:val="Normal"/>
    <w:rsid w:val="00BB70DD"/>
    <w:pPr>
      <w:spacing w:before="120" w:after="120" w:line="240" w:lineRule="auto"/>
    </w:pPr>
    <w:rPr>
      <w:rFonts w:ascii="Arial Narrow" w:eastAsia="Times New Roman" w:hAnsi="Arial Narrow" w:cs="Times New Roman"/>
      <w:b/>
      <w:caps/>
      <w:sz w:val="24"/>
      <w:szCs w:val="20"/>
      <w:lang w:eastAsia="en-AU"/>
    </w:rPr>
  </w:style>
  <w:style w:type="character" w:styleId="Hyperlink">
    <w:name w:val="Hyperlink"/>
    <w:basedOn w:val="DefaultParagraphFont"/>
    <w:rsid w:val="00BB70DD"/>
    <w:rPr>
      <w:color w:val="0000FF"/>
      <w:u w:val="single"/>
    </w:rPr>
  </w:style>
  <w:style w:type="table" w:styleId="TableGrid">
    <w:name w:val="Table Grid"/>
    <w:basedOn w:val="TableNormal"/>
    <w:rsid w:val="00BB70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B70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70DD"/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DD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Commentry">
    <w:name w:val="Commentry"/>
    <w:rsid w:val="00BB70DD"/>
    <w:pPr>
      <w:numPr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B70DD"/>
    <w:pPr>
      <w:ind w:left="720"/>
      <w:contextualSpacing/>
    </w:pPr>
  </w:style>
  <w:style w:type="paragraph" w:customStyle="1" w:styleId="MainFeature-Heading">
    <w:name w:val="Main Feature - Heading"/>
    <w:next w:val="MainFeature-Text"/>
    <w:rsid w:val="003E4F79"/>
    <w:pPr>
      <w:spacing w:before="6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styleId="CommentReference">
    <w:name w:val="annotation reference"/>
    <w:basedOn w:val="DefaultParagraphFont"/>
    <w:rsid w:val="003E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1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1CA"/>
    <w:rPr>
      <w:rFonts w:ascii="Arial Narrow" w:eastAsia="Times New Roman" w:hAnsi="Arial Narrow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CA"/>
    <w:rPr>
      <w:rFonts w:ascii="Arial Narrow" w:eastAsia="Times New Roman" w:hAnsi="Arial Narrow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 xsi:nil="true"/>
    <Release_x0020_Date xmlns="378e824e-6e02-4c0d-8321-dd86fba681ee">2015-08-12T14:30:00+00:00</Release_x0020_Date>
    <Publication_x0020_Title xmlns="378e824e-6e02-4c0d-8321-dd86fba681ee">TD-ICT Section ICT1.3: Governance - ICT Governance Principles</Publication_x0020_Title>
    <Sub_x0020_Sub_x0020_Category xmlns="378e824e-6e02-4c0d-8321-dd86fba681ee" xsi:nil="true"/>
    <Details xmlns="378e824e-6e02-4c0d-8321-dd86fba681ee" xsi:nil="true"/>
    <Main_x0020_Category xmlns="378e824e-6e02-4c0d-8321-dd86fba681ee">3</Main_x0020_Category>
    <Tax_x0020_Type_x0020_Topic xmlns="378e824e-6e02-4c0d-8321-dd86fba681ee" xsi:nil="true"/>
    <Sub_x0020_Category xmlns="378e824e-6e02-4c0d-8321-dd86fba681ee">12</Sub_x0020_Category>
    <Identifier xmlns="378e824e-6e02-4c0d-8321-dd86fba681ee">TD-ICT1.3</Identifier>
    <Notify xmlns="378e824e-6e02-4c0d-8321-dd86fba681ee">true</Notify>
    <Publication_x0020_Type xmlns="378e824e-6e02-4c0d-8321-dd86fba681ee" xsi:nil="true"/>
  </documentManagement>
</p:properties>
</file>

<file path=customXml/itemProps1.xml><?xml version="1.0" encoding="utf-8"?>
<ds:datastoreItem xmlns:ds="http://schemas.openxmlformats.org/officeDocument/2006/customXml" ds:itemID="{FECED124-FA71-4DC3-B172-45BFE621A366}"/>
</file>

<file path=customXml/itemProps2.xml><?xml version="1.0" encoding="utf-8"?>
<ds:datastoreItem xmlns:ds="http://schemas.openxmlformats.org/officeDocument/2006/customXml" ds:itemID="{4FB932CA-8A4B-4443-A671-94393734AE17}"/>
</file>

<file path=customXml/itemProps3.xml><?xml version="1.0" encoding="utf-8"?>
<ds:datastoreItem xmlns:ds="http://schemas.openxmlformats.org/officeDocument/2006/customXml" ds:itemID="{E2B190A5-5CAD-43E1-B68B-70636BAC1079}"/>
</file>

<file path=customXml/itemProps4.xml><?xml version="1.0" encoding="utf-8"?>
<ds:datastoreItem xmlns:ds="http://schemas.openxmlformats.org/officeDocument/2006/customXml" ds:itemID="{103A6617-BD47-49A3-A2BE-0D7DDB34C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6327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TD-ICT Section ICT1.3: Governance - ICT Governance Principles</dc:title>
  <dc:creator>Ailish Finlay</dc:creator>
  <cp:lastModifiedBy>Barbara Beamsley</cp:lastModifiedBy>
  <cp:revision>5</cp:revision>
  <cp:lastPrinted>2015-07-16T03:13:00Z</cp:lastPrinted>
  <dcterms:created xsi:type="dcterms:W3CDTF">2015-08-10T00:44:00Z</dcterms:created>
  <dcterms:modified xsi:type="dcterms:W3CDTF">2015-08-12T06:55:00Z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