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220AA" w14:textId="4DA413F7" w:rsidR="00B14257" w:rsidRDefault="00B2229C" w:rsidP="00B2229C">
      <w:pPr>
        <w:pStyle w:val="Heading1"/>
        <w:spacing w:before="0"/>
      </w:pPr>
      <w:bookmarkStart w:id="0" w:name="_GoBack"/>
      <w:bookmarkEnd w:id="0"/>
      <w:r>
        <w:t>Treasurer’s Directions (mandatory)</w:t>
      </w:r>
    </w:p>
    <w:tbl>
      <w:tblPr>
        <w:tblStyle w:val="NTGtable"/>
        <w:tblW w:w="10343" w:type="dxa"/>
        <w:tblLook w:val="04A0" w:firstRow="1" w:lastRow="0" w:firstColumn="1" w:lastColumn="0" w:noHBand="0" w:noVBand="1"/>
        <w:tblDescription w:val="Details about this Treasurer's Direction."/>
      </w:tblPr>
      <w:tblGrid>
        <w:gridCol w:w="1980"/>
        <w:gridCol w:w="8363"/>
      </w:tblGrid>
      <w:tr w:rsidR="00B2229C" w:rsidRPr="00D133F4" w14:paraId="44E73CF7" w14:textId="77777777" w:rsidTr="00876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</w:tcPr>
          <w:p w14:paraId="7EABEA14" w14:textId="77777777" w:rsidR="00B2229C" w:rsidRPr="00343C61" w:rsidRDefault="00B2229C" w:rsidP="00B2229C">
            <w:pPr>
              <w:rPr>
                <w:bCs/>
              </w:rPr>
            </w:pPr>
            <w:r w:rsidRPr="00D133F4">
              <w:rPr>
                <w:bCs/>
              </w:rPr>
              <w:t>Purpose</w:t>
            </w:r>
          </w:p>
        </w:tc>
        <w:tc>
          <w:tcPr>
            <w:tcW w:w="8363" w:type="dxa"/>
            <w:shd w:val="clear" w:color="auto" w:fill="auto"/>
          </w:tcPr>
          <w:p w14:paraId="243FF6AE" w14:textId="42C526E8" w:rsidR="00B2229C" w:rsidRPr="002F5CE4" w:rsidRDefault="00765F4A" w:rsidP="00B222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F5CE4">
              <w:rPr>
                <w:b w:val="0"/>
                <w:bCs/>
              </w:rPr>
              <w:t>To establish a minimum standard for managing the risk and incidence of fraud.</w:t>
            </w:r>
          </w:p>
        </w:tc>
      </w:tr>
      <w:tr w:rsidR="00B2229C" w:rsidRPr="00D133F4" w14:paraId="6CFFF4CE" w14:textId="77777777" w:rsidTr="00B22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1F1F5F" w:themeFill="text1"/>
          </w:tcPr>
          <w:p w14:paraId="761A9BB4" w14:textId="77777777" w:rsidR="00B2229C" w:rsidRPr="00343C61" w:rsidRDefault="00B2229C" w:rsidP="00B2229C">
            <w:pPr>
              <w:rPr>
                <w:b/>
                <w:bCs/>
              </w:rPr>
            </w:pPr>
            <w:r w:rsidRPr="00343C61">
              <w:rPr>
                <w:b/>
                <w:bCs/>
              </w:rPr>
              <w:t>Last reviewed</w:t>
            </w:r>
          </w:p>
        </w:tc>
        <w:tc>
          <w:tcPr>
            <w:tcW w:w="8363" w:type="dxa"/>
          </w:tcPr>
          <w:p w14:paraId="75D44FA2" w14:textId="7D102430" w:rsidR="00B2229C" w:rsidRPr="002F5CE4" w:rsidRDefault="00640129" w:rsidP="00311A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May</w:t>
            </w:r>
            <w:r w:rsidR="00A56E9B">
              <w:rPr>
                <w:bCs/>
              </w:rPr>
              <w:t xml:space="preserve"> </w:t>
            </w:r>
            <w:r w:rsidR="00311A60">
              <w:rPr>
                <w:bCs/>
              </w:rPr>
              <w:t>2021</w:t>
            </w:r>
          </w:p>
        </w:tc>
      </w:tr>
      <w:tr w:rsidR="00B2229C" w:rsidRPr="00D133F4" w14:paraId="3B7D6971" w14:textId="77777777" w:rsidTr="00B222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1F1F5F" w:themeFill="text1"/>
          </w:tcPr>
          <w:p w14:paraId="325F85E3" w14:textId="77777777" w:rsidR="00B2229C" w:rsidRPr="00343C61" w:rsidRDefault="00B2229C" w:rsidP="00B2229C">
            <w:pPr>
              <w:rPr>
                <w:b/>
                <w:bCs/>
              </w:rPr>
            </w:pPr>
            <w:r w:rsidRPr="00343C61">
              <w:rPr>
                <w:b/>
                <w:bCs/>
              </w:rPr>
              <w:t>Operative date</w:t>
            </w:r>
          </w:p>
        </w:tc>
        <w:tc>
          <w:tcPr>
            <w:tcW w:w="8363" w:type="dxa"/>
            <w:shd w:val="clear" w:color="auto" w:fill="auto"/>
          </w:tcPr>
          <w:p w14:paraId="456383A2" w14:textId="032BF7F2" w:rsidR="00B2229C" w:rsidRPr="002F5CE4" w:rsidRDefault="00765F4A" w:rsidP="00B222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F5CE4">
              <w:t xml:space="preserve">Commencing from </w:t>
            </w:r>
            <w:r w:rsidR="00640129">
              <w:t>May</w:t>
            </w:r>
            <w:r w:rsidR="000E0798">
              <w:t xml:space="preserve"> 2021</w:t>
            </w:r>
          </w:p>
          <w:p w14:paraId="15A02378" w14:textId="34E0BB9B" w:rsidR="00765F4A" w:rsidRPr="002F5CE4" w:rsidRDefault="00765F4A" w:rsidP="00B222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F5CE4">
              <w:t>Not retrospective</w:t>
            </w:r>
          </w:p>
        </w:tc>
      </w:tr>
      <w:tr w:rsidR="00B2229C" w:rsidRPr="00710E5F" w14:paraId="1A2F46B4" w14:textId="77777777" w:rsidTr="00EB1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1F1F5F" w:themeFill="text1"/>
          </w:tcPr>
          <w:p w14:paraId="5542EC64" w14:textId="77777777" w:rsidR="00B2229C" w:rsidRPr="00710E5F" w:rsidRDefault="00B2229C" w:rsidP="00B2229C">
            <w:pPr>
              <w:rPr>
                <w:b/>
                <w:bCs/>
              </w:rPr>
            </w:pPr>
            <w:r w:rsidRPr="00710E5F">
              <w:rPr>
                <w:b/>
                <w:bCs/>
              </w:rPr>
              <w:t>References</w:t>
            </w:r>
          </w:p>
        </w:tc>
        <w:tc>
          <w:tcPr>
            <w:tcW w:w="8363" w:type="dxa"/>
          </w:tcPr>
          <w:p w14:paraId="0FD7B8F9" w14:textId="77777777" w:rsidR="00765F4A" w:rsidRPr="00710E5F" w:rsidRDefault="00765F4A" w:rsidP="00765F4A">
            <w:pPr>
              <w:pStyle w:val="NTGTableBulletLis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0E5F">
              <w:t xml:space="preserve">Guidance document – Fraud control </w:t>
            </w:r>
            <w:r w:rsidRPr="00710E5F">
              <w:rPr>
                <w:b/>
              </w:rPr>
              <w:t>(recommended to be read in conjunction with this Treasurer’s Direction)</w:t>
            </w:r>
          </w:p>
          <w:p w14:paraId="61DFCF6B" w14:textId="77777777" w:rsidR="00765F4A" w:rsidRPr="00710E5F" w:rsidRDefault="00765F4A" w:rsidP="00765F4A">
            <w:pPr>
              <w:pStyle w:val="NTGTableBulletLis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0E5F">
              <w:t>Treasurer’s Direction – G2-2 Internal controls</w:t>
            </w:r>
          </w:p>
          <w:p w14:paraId="62252717" w14:textId="3ECC78C3" w:rsidR="00765F4A" w:rsidRPr="00710E5F" w:rsidRDefault="00765F4A" w:rsidP="00765F4A">
            <w:pPr>
              <w:pStyle w:val="NTGTableBulletLis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0E5F">
              <w:t>Treasurer’s Direction – Part 3 Section 2 Internal audit</w:t>
            </w:r>
          </w:p>
          <w:p w14:paraId="46599AC9" w14:textId="42E528A6" w:rsidR="00765F4A" w:rsidRPr="00710E5F" w:rsidRDefault="00765F4A" w:rsidP="00765F4A">
            <w:pPr>
              <w:pStyle w:val="NTGTableBulletLis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0E5F">
              <w:t>Treasurer’s Direction – Part 3 Section 3 Audit committees</w:t>
            </w:r>
          </w:p>
          <w:p w14:paraId="77FA3380" w14:textId="206B6302" w:rsidR="00765F4A" w:rsidRPr="00710E5F" w:rsidRDefault="00765F4A" w:rsidP="00765F4A">
            <w:pPr>
              <w:pStyle w:val="NTGTableBulletLis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0E5F">
              <w:t>Treasurer’s Direction – Part 5 Section 5 Losses</w:t>
            </w:r>
            <w:r w:rsidRPr="00710E5F">
              <w:rPr>
                <w:i/>
              </w:rPr>
              <w:t xml:space="preserve"> </w:t>
            </w:r>
          </w:p>
          <w:p w14:paraId="665984E4" w14:textId="5E5B8495" w:rsidR="00765F4A" w:rsidRPr="00FD7223" w:rsidRDefault="00765F4A" w:rsidP="00765F4A">
            <w:pPr>
              <w:pStyle w:val="NTGTableBulletLis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223">
              <w:rPr>
                <w:i/>
              </w:rPr>
              <w:t xml:space="preserve">Independent Commissioner Against Corruption Act 2017 </w:t>
            </w:r>
            <w:r w:rsidRPr="00FD7223">
              <w:t>(ICAC Act)</w:t>
            </w:r>
          </w:p>
          <w:p w14:paraId="7D68BA79" w14:textId="77777777" w:rsidR="00B2229C" w:rsidRPr="00FD7223" w:rsidRDefault="00765F4A" w:rsidP="00765F4A">
            <w:pPr>
              <w:pStyle w:val="NTGTableBulletLis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i/>
              </w:rPr>
            </w:pPr>
            <w:r w:rsidRPr="00FD7223">
              <w:t>Mandatory reporting directions and guidelines for public officers, bodies and the community – pursuant section 22 of the ICAC Act)</w:t>
            </w:r>
          </w:p>
          <w:p w14:paraId="7157729A" w14:textId="77777777" w:rsidR="00765F4A" w:rsidRPr="00710E5F" w:rsidRDefault="00765F4A" w:rsidP="00765F4A">
            <w:pPr>
              <w:pStyle w:val="NTGTableBulletLis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223">
              <w:rPr>
                <w:i/>
              </w:rPr>
              <w:t>Public Sector Employment and Management Act 1993</w:t>
            </w:r>
            <w:r w:rsidRPr="00710E5F">
              <w:t xml:space="preserve"> (PSEMA)</w:t>
            </w:r>
          </w:p>
          <w:p w14:paraId="42D46B7E" w14:textId="77777777" w:rsidR="00765F4A" w:rsidRPr="00710E5F" w:rsidRDefault="00765F4A" w:rsidP="00765F4A">
            <w:pPr>
              <w:pStyle w:val="NTGTableBulletLis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0E5F">
              <w:t>PSEMA code of conduct</w:t>
            </w:r>
          </w:p>
          <w:p w14:paraId="08435562" w14:textId="6A2C89D4" w:rsidR="00765F4A" w:rsidRPr="00710E5F" w:rsidRDefault="00765F4A" w:rsidP="00765F4A">
            <w:pPr>
              <w:pStyle w:val="NTGTableBulletLis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i/>
              </w:rPr>
            </w:pPr>
            <w:r w:rsidRPr="00710E5F">
              <w:rPr>
                <w:i/>
              </w:rPr>
              <w:t>Procurement Act 1995</w:t>
            </w:r>
          </w:p>
        </w:tc>
      </w:tr>
    </w:tbl>
    <w:p w14:paraId="738D9E94" w14:textId="2A789E1F" w:rsidR="00CD28AE" w:rsidRPr="00710E5F" w:rsidRDefault="00CD28AE" w:rsidP="00B2229C">
      <w:pPr>
        <w:pStyle w:val="Heading1"/>
      </w:pPr>
      <w:r w:rsidRPr="00710E5F">
        <w:t xml:space="preserve">Scope </w:t>
      </w:r>
    </w:p>
    <w:p w14:paraId="22B8206A" w14:textId="5F73ABAB" w:rsidR="00B2229C" w:rsidRPr="00710E5F" w:rsidRDefault="00765F4A" w:rsidP="00CD28AE">
      <w:pPr>
        <w:pStyle w:val="Heading2"/>
      </w:pPr>
      <w:r w:rsidRPr="00710E5F">
        <w:t xml:space="preserve">Definition of fraud </w:t>
      </w:r>
    </w:p>
    <w:p w14:paraId="31BE8C13" w14:textId="19316332" w:rsidR="00765F4A" w:rsidRPr="00710E5F" w:rsidRDefault="00765F4A" w:rsidP="00765F4A">
      <w:r w:rsidRPr="00710E5F">
        <w:t>For the purposes of this Treasurer’s Direction:</w:t>
      </w:r>
    </w:p>
    <w:p w14:paraId="76107E41" w14:textId="45EE8CF5" w:rsidR="00765F4A" w:rsidRPr="00710E5F" w:rsidRDefault="00765F4A" w:rsidP="006113DD">
      <w:pPr>
        <w:pStyle w:val="ListNumber"/>
        <w:ind w:left="357" w:hanging="357"/>
      </w:pPr>
      <w:r w:rsidRPr="00710E5F">
        <w:t xml:space="preserve">Fraud is defined as obtaining (or attempting to obtain) a financial benefit, or causing (or attempting to cause) a </w:t>
      </w:r>
      <w:r w:rsidRPr="00710E5F">
        <w:rPr>
          <w:b/>
        </w:rPr>
        <w:t>financial</w:t>
      </w:r>
      <w:r w:rsidRPr="00710E5F">
        <w:t xml:space="preserve"> loss, by deception.</w:t>
      </w:r>
    </w:p>
    <w:p w14:paraId="71C87D25" w14:textId="2E43405D" w:rsidR="00765F4A" w:rsidRPr="00710E5F" w:rsidRDefault="00765F4A" w:rsidP="006113DD">
      <w:pPr>
        <w:pStyle w:val="ListNumber"/>
        <w:ind w:left="357" w:hanging="357"/>
      </w:pPr>
      <w:r w:rsidRPr="00710E5F">
        <w:t>Obtaining a financial benefit includes obtaining for oneself, another person, or a third party.</w:t>
      </w:r>
    </w:p>
    <w:p w14:paraId="3375E642" w14:textId="72327DC4" w:rsidR="00765F4A" w:rsidRPr="00FD7223" w:rsidRDefault="00765F4A" w:rsidP="006113DD">
      <w:pPr>
        <w:pStyle w:val="ListNumber"/>
        <w:ind w:left="357" w:hanging="357"/>
      </w:pPr>
      <w:r w:rsidRPr="00FD7223">
        <w:t>Fraud requires more than carelessness, accident, or error – in these cases, an incident may be non</w:t>
      </w:r>
      <w:r w:rsidR="001218DF" w:rsidRPr="00FD7223">
        <w:noBreakHyphen/>
      </w:r>
      <w:r w:rsidRPr="00FD7223">
        <w:t>compliance rather than fraud.</w:t>
      </w:r>
    </w:p>
    <w:p w14:paraId="47330774" w14:textId="402E4B1A" w:rsidR="00C40168" w:rsidRPr="00FD7223" w:rsidRDefault="00C40168" w:rsidP="00C40168">
      <w:pPr>
        <w:pStyle w:val="ListNumber"/>
        <w:ind w:left="357" w:hanging="357"/>
      </w:pPr>
      <w:r w:rsidRPr="00FD7223">
        <w:t xml:space="preserve">Fraud may </w:t>
      </w:r>
      <w:r w:rsidR="00635D39" w:rsidRPr="00FD7223">
        <w:t>arise</w:t>
      </w:r>
      <w:r w:rsidRPr="00FD7223">
        <w:t xml:space="preserve"> </w:t>
      </w:r>
      <w:r w:rsidR="00ED5C6B" w:rsidRPr="00FD7223">
        <w:t xml:space="preserve">from </w:t>
      </w:r>
      <w:r w:rsidRPr="00FD7223">
        <w:t>improper conduct such as corrupt conduct, misconduct, unsatisfactory conduct and anti-democratic conduct where paragraphs 1 to 3 are satisfied.</w:t>
      </w:r>
    </w:p>
    <w:p w14:paraId="5560107F" w14:textId="34060E75" w:rsidR="00CD28AE" w:rsidRPr="00FD7223" w:rsidRDefault="00CD28AE" w:rsidP="00CD28AE">
      <w:pPr>
        <w:pStyle w:val="Heading2"/>
      </w:pPr>
      <w:r w:rsidRPr="00FD7223">
        <w:t xml:space="preserve">Other </w:t>
      </w:r>
    </w:p>
    <w:p w14:paraId="19B458BF" w14:textId="13EF58FF" w:rsidR="00EB0CE4" w:rsidRPr="00FD7223" w:rsidRDefault="00AE6047" w:rsidP="00E9598E">
      <w:pPr>
        <w:pStyle w:val="ListNumber"/>
        <w:ind w:left="357" w:hanging="357"/>
      </w:pPr>
      <w:r w:rsidRPr="00FD7223">
        <w:t xml:space="preserve">Not all improper conduct satisfies the definition of fraud </w:t>
      </w:r>
      <w:r w:rsidR="005D4838" w:rsidRPr="00FD7223">
        <w:t>as per this</w:t>
      </w:r>
      <w:r w:rsidRPr="00FD7223">
        <w:t xml:space="preserve"> Treasurer’s Direction, however, a</w:t>
      </w:r>
      <w:r w:rsidR="00EB0CE4" w:rsidRPr="00FD7223">
        <w:t xml:space="preserve">n accountable officer must </w:t>
      </w:r>
      <w:r w:rsidR="00A038B6" w:rsidRPr="00FD7223">
        <w:t xml:space="preserve">comply with reporting obligations </w:t>
      </w:r>
      <w:r w:rsidR="004C589C" w:rsidRPr="00FD7223">
        <w:t xml:space="preserve">pursuant to section 22 of </w:t>
      </w:r>
      <w:r w:rsidR="00A038B6" w:rsidRPr="00FD7223">
        <w:t xml:space="preserve">the ICAC Act </w:t>
      </w:r>
      <w:r w:rsidR="00F16F03">
        <w:t xml:space="preserve">including those that are </w:t>
      </w:r>
      <w:r w:rsidR="00A038B6" w:rsidRPr="00FD7223">
        <w:t xml:space="preserve">beyond the scope of this Treasurer’s Direction. </w:t>
      </w:r>
    </w:p>
    <w:p w14:paraId="7938593E" w14:textId="1C50B5DE" w:rsidR="00765F4A" w:rsidRPr="00FD7223" w:rsidRDefault="00765F4A" w:rsidP="00765F4A">
      <w:pPr>
        <w:pStyle w:val="Heading1"/>
        <w:ind w:left="432" w:hanging="432"/>
      </w:pPr>
      <w:bookmarkStart w:id="1" w:name="_Toc500160687"/>
      <w:r w:rsidRPr="00FD7223">
        <w:t>Zero tolerance</w:t>
      </w:r>
      <w:bookmarkEnd w:id="1"/>
    </w:p>
    <w:p w14:paraId="01C498D6" w14:textId="3D56AE82" w:rsidR="00765F4A" w:rsidRPr="00FD7223" w:rsidRDefault="00765F4A" w:rsidP="006113DD">
      <w:pPr>
        <w:pStyle w:val="ListNumber"/>
        <w:ind w:left="357" w:hanging="357"/>
      </w:pPr>
      <w:r w:rsidRPr="00FD7223">
        <w:t>The Northern Territory Government has zero tolerance of fraud.</w:t>
      </w:r>
    </w:p>
    <w:p w14:paraId="6E280036" w14:textId="12FFADDF" w:rsidR="00765F4A" w:rsidRPr="00FD7223" w:rsidRDefault="00765F4A" w:rsidP="00765F4A">
      <w:pPr>
        <w:pStyle w:val="Heading1"/>
        <w:ind w:left="432" w:hanging="432"/>
      </w:pPr>
      <w:bookmarkStart w:id="2" w:name="_Toc500160688"/>
      <w:r w:rsidRPr="00FD7223">
        <w:lastRenderedPageBreak/>
        <w:t xml:space="preserve">Fraud control – </w:t>
      </w:r>
      <w:bookmarkEnd w:id="2"/>
      <w:r w:rsidRPr="00FD7223">
        <w:t>prevention</w:t>
      </w:r>
    </w:p>
    <w:p w14:paraId="12CC09EC" w14:textId="58ACE048" w:rsidR="00765F4A" w:rsidRPr="00FD7223" w:rsidRDefault="00765F4A" w:rsidP="006113DD">
      <w:pPr>
        <w:pStyle w:val="ListNumber"/>
        <w:ind w:left="357" w:hanging="357"/>
      </w:pPr>
      <w:r w:rsidRPr="00FD7223">
        <w:t>An accountable officer shall establish and maintain reasonable measures to prevent fraud in his or her agency, which at a minimum must include:</w:t>
      </w:r>
    </w:p>
    <w:p w14:paraId="0F1AC292" w14:textId="36AC9E78" w:rsidR="00765F4A" w:rsidRPr="00FD7223" w:rsidRDefault="00765F4A" w:rsidP="007E3FF3">
      <w:pPr>
        <w:pStyle w:val="ListNumber"/>
        <w:numPr>
          <w:ilvl w:val="1"/>
          <w:numId w:val="12"/>
        </w:numPr>
        <w:ind w:left="851"/>
      </w:pPr>
      <w:r w:rsidRPr="00FD7223">
        <w:t xml:space="preserve">a </w:t>
      </w:r>
      <w:r w:rsidRPr="00FD7223">
        <w:rPr>
          <w:b/>
        </w:rPr>
        <w:t>fraud control policy</w:t>
      </w:r>
      <w:r w:rsidRPr="00FD7223">
        <w:t xml:space="preserve"> and </w:t>
      </w:r>
      <w:r w:rsidRPr="00FD7223">
        <w:rPr>
          <w:b/>
        </w:rPr>
        <w:t>fraud control procedures</w:t>
      </w:r>
      <w:r w:rsidRPr="00FD7223">
        <w:t xml:space="preserve"> for managing the risk and incidence of fraud</w:t>
      </w:r>
    </w:p>
    <w:p w14:paraId="1752CDFA" w14:textId="3BA61361" w:rsidR="00765F4A" w:rsidRPr="00FD7223" w:rsidRDefault="00765F4A" w:rsidP="007E3FF3">
      <w:pPr>
        <w:pStyle w:val="ListNumber"/>
        <w:numPr>
          <w:ilvl w:val="1"/>
          <w:numId w:val="12"/>
        </w:numPr>
        <w:ind w:left="851"/>
      </w:pPr>
      <w:r w:rsidRPr="00FD7223">
        <w:rPr>
          <w:b/>
        </w:rPr>
        <w:t>fraud risk assessments</w:t>
      </w:r>
      <w:r w:rsidRPr="00FD7223">
        <w:t xml:space="preserve"> conducted at least once every two years and when there is a substantial change in the structure, functions or activities of the agency</w:t>
      </w:r>
    </w:p>
    <w:p w14:paraId="05C97F91" w14:textId="6641E624" w:rsidR="00765F4A" w:rsidRPr="00FD7223" w:rsidRDefault="00765F4A" w:rsidP="007E3FF3">
      <w:pPr>
        <w:pStyle w:val="ListNumber"/>
        <w:numPr>
          <w:ilvl w:val="1"/>
          <w:numId w:val="12"/>
        </w:numPr>
        <w:ind w:left="851"/>
      </w:pPr>
      <w:r w:rsidRPr="00FD7223">
        <w:t xml:space="preserve">a </w:t>
      </w:r>
      <w:r w:rsidRPr="00FD7223">
        <w:rPr>
          <w:b/>
        </w:rPr>
        <w:t>fraud control plan</w:t>
      </w:r>
      <w:r w:rsidRPr="00FD7223">
        <w:t xml:space="preserve"> that deals with identified risks as soon as practicable after conducting a fraud risk assessment</w:t>
      </w:r>
    </w:p>
    <w:p w14:paraId="64F986BB" w14:textId="6F7F0318" w:rsidR="00765F4A" w:rsidRPr="00FD7223" w:rsidRDefault="00765F4A" w:rsidP="007E3FF3">
      <w:pPr>
        <w:pStyle w:val="ListNumber"/>
        <w:numPr>
          <w:ilvl w:val="1"/>
          <w:numId w:val="12"/>
        </w:numPr>
        <w:ind w:left="851"/>
      </w:pPr>
      <w:r w:rsidRPr="00FD7223">
        <w:t>internal controls that assist in the prevention of fraud.</w:t>
      </w:r>
    </w:p>
    <w:p w14:paraId="43606C66" w14:textId="7177A9F6" w:rsidR="00765F4A" w:rsidRPr="00FD7223" w:rsidRDefault="00765F4A" w:rsidP="00765F4A">
      <w:pPr>
        <w:pStyle w:val="Heading2"/>
      </w:pPr>
      <w:bookmarkStart w:id="3" w:name="_Toc500160690"/>
      <w:r w:rsidRPr="00FD7223">
        <w:t>Fraud control policy</w:t>
      </w:r>
      <w:bookmarkEnd w:id="3"/>
    </w:p>
    <w:p w14:paraId="1FD87077" w14:textId="585C3345" w:rsidR="00765F4A" w:rsidRPr="00FD7223" w:rsidRDefault="00765F4A" w:rsidP="006113DD">
      <w:pPr>
        <w:pStyle w:val="ListNumber"/>
        <w:ind w:left="357" w:hanging="357"/>
      </w:pPr>
      <w:r w:rsidRPr="00FD7223">
        <w:t xml:space="preserve">A </w:t>
      </w:r>
      <w:r w:rsidRPr="00FD7223">
        <w:rPr>
          <w:b/>
        </w:rPr>
        <w:t>fraud control</w:t>
      </w:r>
      <w:r w:rsidRPr="00FD7223">
        <w:t xml:space="preserve"> policy, at a minimum, must:</w:t>
      </w:r>
    </w:p>
    <w:p w14:paraId="2693BAEF" w14:textId="3C7129C0" w:rsidR="00765F4A" w:rsidRPr="00FD7223" w:rsidRDefault="00765F4A" w:rsidP="007E3FF3">
      <w:pPr>
        <w:pStyle w:val="ListNumber"/>
        <w:numPr>
          <w:ilvl w:val="1"/>
          <w:numId w:val="12"/>
        </w:numPr>
        <w:ind w:left="851"/>
      </w:pPr>
      <w:r w:rsidRPr="00FD7223">
        <w:t>outline the overarching principles for the agency’s approach to fraud risk assessments and controls</w:t>
      </w:r>
    </w:p>
    <w:p w14:paraId="724882F4" w14:textId="6F70E172" w:rsidR="00765F4A" w:rsidRPr="00FD7223" w:rsidRDefault="00765F4A" w:rsidP="007E3FF3">
      <w:pPr>
        <w:pStyle w:val="ListNumber"/>
        <w:numPr>
          <w:ilvl w:val="1"/>
          <w:numId w:val="12"/>
        </w:numPr>
        <w:ind w:left="851"/>
      </w:pPr>
      <w:r w:rsidRPr="00FD7223">
        <w:t>promote an ethical culture consistent with the PSEMA code of conduct and other relevant policies and legislative requirements</w:t>
      </w:r>
    </w:p>
    <w:p w14:paraId="6FAE2CE0" w14:textId="19A497A5" w:rsidR="00765F4A" w:rsidRPr="00FD7223" w:rsidRDefault="00765F4A" w:rsidP="007E3FF3">
      <w:pPr>
        <w:pStyle w:val="ListNumber"/>
        <w:numPr>
          <w:ilvl w:val="1"/>
          <w:numId w:val="12"/>
        </w:numPr>
        <w:ind w:left="851"/>
      </w:pPr>
      <w:r w:rsidRPr="00FD7223">
        <w:t>mandate risks of fraud</w:t>
      </w:r>
      <w:r w:rsidR="00AE6047" w:rsidRPr="00FD7223">
        <w:t xml:space="preserve"> are</w:t>
      </w:r>
      <w:r w:rsidRPr="00FD7223">
        <w:t xml:space="preserve"> taken into account in planning and conducting the activities of the agency</w:t>
      </w:r>
    </w:p>
    <w:p w14:paraId="155CD968" w14:textId="52B4B481" w:rsidR="00765F4A" w:rsidRPr="00FD7223" w:rsidRDefault="00765F4A" w:rsidP="007E3FF3">
      <w:pPr>
        <w:pStyle w:val="ListNumber"/>
        <w:numPr>
          <w:ilvl w:val="1"/>
          <w:numId w:val="12"/>
        </w:numPr>
        <w:ind w:left="851"/>
      </w:pPr>
      <w:r w:rsidRPr="00FD7223">
        <w:t xml:space="preserve">commit to raising fraud awareness </w:t>
      </w:r>
      <w:r w:rsidR="001218DF" w:rsidRPr="00FD7223">
        <w:t xml:space="preserve">regularly </w:t>
      </w:r>
      <w:r w:rsidRPr="00FD7223">
        <w:t>in the agency</w:t>
      </w:r>
    </w:p>
    <w:p w14:paraId="41C68C95" w14:textId="22646A05" w:rsidR="00765F4A" w:rsidRPr="00FD7223" w:rsidRDefault="00765F4A" w:rsidP="007E3FF3">
      <w:pPr>
        <w:pStyle w:val="ListNumber"/>
        <w:numPr>
          <w:ilvl w:val="1"/>
          <w:numId w:val="12"/>
        </w:numPr>
        <w:ind w:left="851"/>
      </w:pPr>
      <w:r w:rsidRPr="00FD7223">
        <w:t>mandate employees responsible for fraud control activities</w:t>
      </w:r>
      <w:r w:rsidR="001218DF" w:rsidRPr="00FD7223">
        <w:t xml:space="preserve"> who</w:t>
      </w:r>
      <w:r w:rsidRPr="00FD7223">
        <w:t xml:space="preserve"> possess or attain relevant qualifications, training or experience to effectively carry out their duties</w:t>
      </w:r>
    </w:p>
    <w:p w14:paraId="4173A078" w14:textId="068E3D5D" w:rsidR="00765F4A" w:rsidRPr="00FD7223" w:rsidRDefault="00765F4A" w:rsidP="007E3FF3">
      <w:pPr>
        <w:pStyle w:val="ListNumber"/>
        <w:numPr>
          <w:ilvl w:val="1"/>
          <w:numId w:val="12"/>
        </w:numPr>
        <w:ind w:left="851"/>
      </w:pPr>
      <w:r w:rsidRPr="00FD7223">
        <w:t xml:space="preserve">identify roles and responsibilities in relation to fraud controls </w:t>
      </w:r>
    </w:p>
    <w:p w14:paraId="76A6B53D" w14:textId="4E612D30" w:rsidR="00765F4A" w:rsidRPr="00FD7223" w:rsidRDefault="00765F4A" w:rsidP="007E3FF3">
      <w:pPr>
        <w:pStyle w:val="ListNumber"/>
        <w:numPr>
          <w:ilvl w:val="1"/>
          <w:numId w:val="12"/>
        </w:numPr>
        <w:ind w:left="851"/>
      </w:pPr>
      <w:r w:rsidRPr="00FD7223">
        <w:t xml:space="preserve">mandate </w:t>
      </w:r>
      <w:r w:rsidR="001218DF" w:rsidRPr="00FD7223">
        <w:t xml:space="preserve">that </w:t>
      </w:r>
      <w:r w:rsidRPr="00FD7223">
        <w:t>fraud matters are managed by a person, group or entity who has the appropriate level of authority and is independent of the area of responsibility in which fraud is suspected or alleged to have occurred.</w:t>
      </w:r>
    </w:p>
    <w:p w14:paraId="0F87D783" w14:textId="7793AC5F" w:rsidR="00765F4A" w:rsidRPr="00FD7223" w:rsidRDefault="00765F4A" w:rsidP="00765F4A">
      <w:pPr>
        <w:pStyle w:val="Heading1"/>
        <w:ind w:left="432" w:hanging="432"/>
      </w:pPr>
      <w:bookmarkStart w:id="4" w:name="_Toc500160692"/>
      <w:r w:rsidRPr="00FD7223">
        <w:t xml:space="preserve">Fraud control – </w:t>
      </w:r>
      <w:bookmarkEnd w:id="4"/>
      <w:r w:rsidRPr="00FD7223">
        <w:t>detection</w:t>
      </w:r>
    </w:p>
    <w:p w14:paraId="78FD7067" w14:textId="152C7F43" w:rsidR="00765F4A" w:rsidRPr="00FD7223" w:rsidRDefault="00765F4A" w:rsidP="006113DD">
      <w:pPr>
        <w:pStyle w:val="ListNumber"/>
        <w:ind w:left="357" w:hanging="357"/>
      </w:pPr>
      <w:r w:rsidRPr="00FD7223">
        <w:t>An accountable officer shall establish and maintain reasonable measures to detect fraud in his or her agency, which at a minimum must include:</w:t>
      </w:r>
    </w:p>
    <w:p w14:paraId="0003E995" w14:textId="77777777" w:rsidR="00765F4A" w:rsidRPr="00FD7223" w:rsidRDefault="00765F4A" w:rsidP="007E3FF3">
      <w:pPr>
        <w:pStyle w:val="ListNumber"/>
        <w:numPr>
          <w:ilvl w:val="1"/>
          <w:numId w:val="12"/>
        </w:numPr>
        <w:ind w:left="851"/>
      </w:pPr>
      <w:r w:rsidRPr="00FD7223">
        <w:t>processes and systems to detect incidents of fraud or warning signs that fraud may be occurring</w:t>
      </w:r>
    </w:p>
    <w:p w14:paraId="25E59758" w14:textId="74B3B2FB" w:rsidR="00765F4A" w:rsidRPr="00FD7223" w:rsidRDefault="00765F4A" w:rsidP="007E3FF3">
      <w:pPr>
        <w:pStyle w:val="ListNumber"/>
        <w:numPr>
          <w:ilvl w:val="1"/>
          <w:numId w:val="12"/>
        </w:numPr>
        <w:ind w:left="851"/>
      </w:pPr>
      <w:r w:rsidRPr="00FD7223">
        <w:t xml:space="preserve">internal controls to aid in the detection of fraud </w:t>
      </w:r>
    </w:p>
    <w:p w14:paraId="643695FA" w14:textId="1D6D9DCD" w:rsidR="00765F4A" w:rsidRPr="00FD7223" w:rsidRDefault="00765F4A" w:rsidP="007E3FF3">
      <w:pPr>
        <w:pStyle w:val="ListNumber"/>
        <w:numPr>
          <w:ilvl w:val="1"/>
          <w:numId w:val="12"/>
        </w:numPr>
        <w:ind w:left="851"/>
      </w:pPr>
      <w:r w:rsidRPr="00FD7223">
        <w:t>processes and mechanisms to enable employees and third parties to report suspicions or allegations of fraud.</w:t>
      </w:r>
    </w:p>
    <w:p w14:paraId="1D24836B" w14:textId="0D529816" w:rsidR="00765F4A" w:rsidRPr="00FD7223" w:rsidRDefault="00765F4A" w:rsidP="00765F4A">
      <w:pPr>
        <w:pStyle w:val="Heading1"/>
        <w:ind w:left="432" w:hanging="432"/>
      </w:pPr>
      <w:bookmarkStart w:id="5" w:name="_Toc500160693"/>
      <w:r w:rsidRPr="00FD7223">
        <w:t xml:space="preserve">Fraud control – </w:t>
      </w:r>
      <w:bookmarkEnd w:id="5"/>
      <w:r w:rsidRPr="00FD7223">
        <w:t>response</w:t>
      </w:r>
    </w:p>
    <w:p w14:paraId="2A3FE091" w14:textId="5E11825B" w:rsidR="00765F4A" w:rsidRPr="00FD7223" w:rsidRDefault="00765F4A" w:rsidP="006113DD">
      <w:pPr>
        <w:pStyle w:val="ListNumber"/>
        <w:ind w:left="357" w:hanging="357"/>
      </w:pPr>
      <w:bookmarkStart w:id="6" w:name="_Ref500230837"/>
      <w:r w:rsidRPr="00FD7223">
        <w:t>An accountable officer shall establish and maintain reasonable measures to respond to a fraud matter, which, at a minimum, must include policies and procedures for:</w:t>
      </w:r>
      <w:bookmarkStart w:id="7" w:name="_Ref509395937"/>
      <w:bookmarkEnd w:id="6"/>
    </w:p>
    <w:p w14:paraId="5EA5C76C" w14:textId="43B96218" w:rsidR="00765F4A" w:rsidRPr="00FD7223" w:rsidRDefault="00765F4A" w:rsidP="007E3FF3">
      <w:pPr>
        <w:pStyle w:val="ListNumber"/>
        <w:numPr>
          <w:ilvl w:val="1"/>
          <w:numId w:val="12"/>
        </w:numPr>
        <w:ind w:left="851"/>
      </w:pPr>
      <w:bookmarkStart w:id="8" w:name="_Ref66452029"/>
      <w:r w:rsidRPr="00FD7223">
        <w:t>determining, in respect of a person suspected of committing or alleged to have committed fraud, whether there are reasonable grounds to the suspicion or allegation (see paragraph </w:t>
      </w:r>
      <w:r w:rsidR="005E2B3E" w:rsidRPr="00FD7223">
        <w:fldChar w:fldCharType="begin"/>
      </w:r>
      <w:r w:rsidR="005E2B3E" w:rsidRPr="00FD7223">
        <w:instrText xml:space="preserve"> REF _Ref508087736 \r \h </w:instrText>
      </w:r>
      <w:r w:rsidR="0045680F" w:rsidRPr="00FD7223">
        <w:instrText xml:space="preserve"> \* MERGEFORMAT </w:instrText>
      </w:r>
      <w:r w:rsidR="005E2B3E" w:rsidRPr="00FD7223">
        <w:fldChar w:fldCharType="separate"/>
      </w:r>
      <w:r w:rsidR="00FB6C86">
        <w:t>12</w:t>
      </w:r>
      <w:r w:rsidR="005E2B3E" w:rsidRPr="00FD7223">
        <w:fldChar w:fldCharType="end"/>
      </w:r>
      <w:r w:rsidRPr="00FD7223">
        <w:t>)</w:t>
      </w:r>
      <w:bookmarkEnd w:id="7"/>
      <w:bookmarkEnd w:id="8"/>
    </w:p>
    <w:p w14:paraId="08A0BBF6" w14:textId="09F5942A" w:rsidR="00765F4A" w:rsidRPr="00FD7223" w:rsidRDefault="00765F4A" w:rsidP="007E3FF3">
      <w:pPr>
        <w:pStyle w:val="ListNumber"/>
        <w:numPr>
          <w:ilvl w:val="1"/>
          <w:numId w:val="12"/>
        </w:numPr>
        <w:ind w:left="851"/>
      </w:pPr>
      <w:r w:rsidRPr="00FD7223">
        <w:t>reporting to internal parties and protocols for escalation (see paragraph </w:t>
      </w:r>
      <w:r w:rsidR="005E2B3E" w:rsidRPr="00FD7223">
        <w:fldChar w:fldCharType="begin"/>
      </w:r>
      <w:r w:rsidR="005E2B3E" w:rsidRPr="00FD7223">
        <w:instrText xml:space="preserve"> REF _Ref37069428 \r \h </w:instrText>
      </w:r>
      <w:r w:rsidR="0045680F" w:rsidRPr="00FD7223">
        <w:instrText xml:space="preserve"> \* MERGEFORMAT </w:instrText>
      </w:r>
      <w:r w:rsidR="005E2B3E" w:rsidRPr="00FD7223">
        <w:fldChar w:fldCharType="separate"/>
      </w:r>
      <w:r w:rsidR="00FB6C86">
        <w:t>13</w:t>
      </w:r>
      <w:r w:rsidR="005E2B3E" w:rsidRPr="00FD7223">
        <w:fldChar w:fldCharType="end"/>
      </w:r>
      <w:r w:rsidRPr="00FD7223">
        <w:t>)</w:t>
      </w:r>
    </w:p>
    <w:p w14:paraId="06B3D7CB" w14:textId="3EE92318" w:rsidR="00765F4A" w:rsidRPr="00FD7223" w:rsidRDefault="00765F4A" w:rsidP="007E3FF3">
      <w:pPr>
        <w:pStyle w:val="ListNumber"/>
        <w:numPr>
          <w:ilvl w:val="1"/>
          <w:numId w:val="12"/>
        </w:numPr>
        <w:ind w:left="851"/>
      </w:pPr>
      <w:r w:rsidRPr="00FD7223">
        <w:lastRenderedPageBreak/>
        <w:t>reporting to external parties, including the Office of the Independent Commissioner Against Corruption, the</w:t>
      </w:r>
      <w:r w:rsidRPr="00FD7223">
        <w:rPr>
          <w:rFonts w:ascii="Arial" w:hAnsi="Arial"/>
        </w:rPr>
        <w:t xml:space="preserve"> </w:t>
      </w:r>
      <w:r w:rsidRPr="00FD7223">
        <w:t>Northern Territory Police Force and other relevant regulatory or statutory bodies (see paragraphs </w:t>
      </w:r>
      <w:r w:rsidRPr="00FD7223">
        <w:fldChar w:fldCharType="begin"/>
      </w:r>
      <w:r w:rsidRPr="00FD7223">
        <w:instrText xml:space="preserve"> REF _Ref508017276 \r \h </w:instrText>
      </w:r>
      <w:r w:rsidR="003334CF" w:rsidRPr="00FD7223">
        <w:instrText xml:space="preserve"> \* MERGEFORMAT </w:instrText>
      </w:r>
      <w:r w:rsidRPr="00FD7223">
        <w:fldChar w:fldCharType="separate"/>
      </w:r>
      <w:r w:rsidR="00FB6C86">
        <w:t>14</w:t>
      </w:r>
      <w:r w:rsidRPr="00FD7223">
        <w:fldChar w:fldCharType="end"/>
      </w:r>
      <w:r w:rsidRPr="00FD7223">
        <w:t xml:space="preserve"> to </w:t>
      </w:r>
      <w:r w:rsidR="00C23014" w:rsidRPr="00FD7223">
        <w:fldChar w:fldCharType="begin"/>
      </w:r>
      <w:r w:rsidR="00C23014" w:rsidRPr="00FD7223">
        <w:instrText xml:space="preserve"> REF _Ref37152045 \r \h </w:instrText>
      </w:r>
      <w:r w:rsidR="002F5CE4" w:rsidRPr="00FD7223">
        <w:instrText xml:space="preserve"> \* MERGEFORMAT </w:instrText>
      </w:r>
      <w:r w:rsidR="00C23014" w:rsidRPr="00FD7223">
        <w:fldChar w:fldCharType="separate"/>
      </w:r>
      <w:r w:rsidR="008B22D7">
        <w:t>15</w:t>
      </w:r>
      <w:r w:rsidR="00C23014" w:rsidRPr="00FD7223">
        <w:fldChar w:fldCharType="end"/>
      </w:r>
      <w:r w:rsidRPr="00FD7223">
        <w:t>)</w:t>
      </w:r>
    </w:p>
    <w:p w14:paraId="3C6A4550" w14:textId="61BB5A05" w:rsidR="00765F4A" w:rsidRPr="00FD7223" w:rsidRDefault="00765F4A" w:rsidP="007E3FF3">
      <w:pPr>
        <w:pStyle w:val="ListNumber"/>
        <w:numPr>
          <w:ilvl w:val="1"/>
          <w:numId w:val="12"/>
        </w:numPr>
        <w:ind w:left="851"/>
      </w:pPr>
      <w:r w:rsidRPr="00FD7223">
        <w:t>assessing a fraud matter for administrative and or disciplinary actions (see paragraph </w:t>
      </w:r>
      <w:r w:rsidRPr="00FD7223">
        <w:fldChar w:fldCharType="begin"/>
      </w:r>
      <w:r w:rsidRPr="00FD7223">
        <w:instrText xml:space="preserve"> REF _Ref508017318 \r \h </w:instrText>
      </w:r>
      <w:r w:rsidR="0045680F" w:rsidRPr="00FD7223">
        <w:instrText xml:space="preserve"> \* MERGEFORMAT </w:instrText>
      </w:r>
      <w:r w:rsidRPr="00FD7223">
        <w:fldChar w:fldCharType="separate"/>
      </w:r>
      <w:r w:rsidR="00FB6C86">
        <w:t>17</w:t>
      </w:r>
      <w:r w:rsidRPr="00FD7223">
        <w:fldChar w:fldCharType="end"/>
      </w:r>
      <w:r w:rsidRPr="00FD7223">
        <w:t>)</w:t>
      </w:r>
    </w:p>
    <w:p w14:paraId="53F1DB3D" w14:textId="2CAD423E" w:rsidR="00765F4A" w:rsidRPr="00FD7223" w:rsidRDefault="00765F4A" w:rsidP="007E3FF3">
      <w:pPr>
        <w:pStyle w:val="ListNumber"/>
        <w:numPr>
          <w:ilvl w:val="1"/>
          <w:numId w:val="12"/>
        </w:numPr>
        <w:ind w:left="851"/>
      </w:pPr>
      <w:r w:rsidRPr="00FD7223">
        <w:t xml:space="preserve">recovery of financial losses in accordance with the Treasurer’s Direction on losses </w:t>
      </w:r>
    </w:p>
    <w:p w14:paraId="00749073" w14:textId="2AC21664" w:rsidR="00765F4A" w:rsidRPr="00FD7223" w:rsidRDefault="00765F4A" w:rsidP="007E3FF3">
      <w:pPr>
        <w:pStyle w:val="ListNumber"/>
        <w:numPr>
          <w:ilvl w:val="1"/>
          <w:numId w:val="12"/>
        </w:numPr>
        <w:ind w:left="851"/>
      </w:pPr>
      <w:r w:rsidRPr="00FD7223">
        <w:t>documenting fraud matters (see paragraph </w:t>
      </w:r>
      <w:r w:rsidRPr="00FD7223">
        <w:fldChar w:fldCharType="begin"/>
      </w:r>
      <w:r w:rsidRPr="00FD7223">
        <w:instrText xml:space="preserve"> REF _Ref508017369 \r \h </w:instrText>
      </w:r>
      <w:r w:rsidR="0045680F" w:rsidRPr="00FD7223">
        <w:instrText xml:space="preserve"> \* MERGEFORMAT </w:instrText>
      </w:r>
      <w:r w:rsidRPr="00FD7223">
        <w:fldChar w:fldCharType="separate"/>
      </w:r>
      <w:r w:rsidR="00FB6C86">
        <w:t>18</w:t>
      </w:r>
      <w:r w:rsidRPr="00FD7223">
        <w:fldChar w:fldCharType="end"/>
      </w:r>
      <w:r w:rsidRPr="00FD7223">
        <w:t>).</w:t>
      </w:r>
    </w:p>
    <w:p w14:paraId="78541253" w14:textId="77777777" w:rsidR="00765F4A" w:rsidRPr="00FD7223" w:rsidRDefault="00765F4A" w:rsidP="006113DD">
      <w:pPr>
        <w:pStyle w:val="ListNumber"/>
        <w:ind w:left="357" w:hanging="357"/>
      </w:pPr>
      <w:bookmarkStart w:id="9" w:name="_Ref508087761"/>
      <w:r w:rsidRPr="00FD7223">
        <w:t>Policies and procedures must give due consideration to ensuring any action taken by the agency:</w:t>
      </w:r>
      <w:bookmarkEnd w:id="9"/>
    </w:p>
    <w:p w14:paraId="06BE861E" w14:textId="05BE807E" w:rsidR="00765F4A" w:rsidRPr="00FD7223" w:rsidRDefault="00765F4A" w:rsidP="007E3FF3">
      <w:pPr>
        <w:pStyle w:val="ListNumber"/>
        <w:numPr>
          <w:ilvl w:val="1"/>
          <w:numId w:val="12"/>
        </w:numPr>
        <w:ind w:left="851"/>
      </w:pPr>
      <w:r w:rsidRPr="00FD7223">
        <w:t xml:space="preserve">does not prematurely alert a person suspected of having, or alleged to have, committed fraud </w:t>
      </w:r>
    </w:p>
    <w:p w14:paraId="6CB8F9C5" w14:textId="16A3401C" w:rsidR="00765F4A" w:rsidRPr="00FD7223" w:rsidRDefault="00765F4A" w:rsidP="007E3FF3">
      <w:pPr>
        <w:pStyle w:val="ListNumber"/>
        <w:numPr>
          <w:ilvl w:val="1"/>
          <w:numId w:val="12"/>
        </w:numPr>
        <w:ind w:left="851"/>
      </w:pPr>
      <w:r w:rsidRPr="00FD7223">
        <w:t xml:space="preserve">does not compromise a Northern Territory Police Force </w:t>
      </w:r>
      <w:r w:rsidR="00622E6F" w:rsidRPr="00FD7223">
        <w:t>or</w:t>
      </w:r>
      <w:r w:rsidRPr="00FD7223">
        <w:t xml:space="preserve"> Office of the Independent Commission</w:t>
      </w:r>
      <w:r w:rsidR="009D23AC">
        <w:t>er</w:t>
      </w:r>
      <w:r w:rsidRPr="00FD7223">
        <w:t xml:space="preserve"> Against Corruption investigation.</w:t>
      </w:r>
    </w:p>
    <w:p w14:paraId="172A5215" w14:textId="77777777" w:rsidR="00765F4A" w:rsidRPr="00FD7223" w:rsidRDefault="00765F4A" w:rsidP="00765F4A">
      <w:pPr>
        <w:pStyle w:val="Heading2"/>
      </w:pPr>
      <w:bookmarkStart w:id="10" w:name="_Toc500160695"/>
      <w:r w:rsidRPr="00FD7223">
        <w:t>Reasonable grounds to suspect fraud</w:t>
      </w:r>
      <w:bookmarkEnd w:id="10"/>
    </w:p>
    <w:p w14:paraId="0D9FE59B" w14:textId="1A8A9D4E" w:rsidR="00765F4A" w:rsidRPr="00FD7223" w:rsidRDefault="00765F4A" w:rsidP="006113DD">
      <w:pPr>
        <w:pStyle w:val="ListNumber"/>
        <w:ind w:left="357" w:hanging="357"/>
      </w:pPr>
      <w:bookmarkStart w:id="11" w:name="_Ref508087736"/>
      <w:r w:rsidRPr="00FD7223">
        <w:t>Measures to determine if there are reasonable grounds to suspect a person of fraud must, at a minimum, include</w:t>
      </w:r>
      <w:r w:rsidR="00351D9E" w:rsidRPr="00FD7223">
        <w:t xml:space="preserve"> assessment</w:t>
      </w:r>
      <w:r w:rsidRPr="00FD7223">
        <w:t>:</w:t>
      </w:r>
      <w:bookmarkEnd w:id="11"/>
    </w:p>
    <w:p w14:paraId="61889029" w14:textId="76975B26" w:rsidR="00E12EC1" w:rsidRPr="00FD7223" w:rsidRDefault="00E12EC1" w:rsidP="00E12EC1">
      <w:pPr>
        <w:pStyle w:val="ListNumber"/>
        <w:numPr>
          <w:ilvl w:val="1"/>
          <w:numId w:val="12"/>
        </w:numPr>
        <w:ind w:left="851"/>
      </w:pPr>
      <w:r w:rsidRPr="00FD7223">
        <w:t xml:space="preserve">if the </w:t>
      </w:r>
      <w:r w:rsidR="003A20B1" w:rsidRPr="00FD7223">
        <w:t>alleged conduct would tend to show that fraud may have occurred</w:t>
      </w:r>
    </w:p>
    <w:p w14:paraId="4F0F6B81" w14:textId="756CB615" w:rsidR="00E12EC1" w:rsidRPr="00FD7223" w:rsidRDefault="003A20B1" w:rsidP="00E12EC1">
      <w:pPr>
        <w:pStyle w:val="ListNumber"/>
        <w:numPr>
          <w:ilvl w:val="1"/>
          <w:numId w:val="12"/>
        </w:numPr>
        <w:ind w:left="851"/>
      </w:pPr>
      <w:r w:rsidRPr="00FD7223">
        <w:t>i</w:t>
      </w:r>
      <w:r w:rsidR="0059090C">
        <w:t xml:space="preserve">f </w:t>
      </w:r>
      <w:r w:rsidRPr="00FD7223">
        <w:t>there is reasonable basis to believe the information in respect of the alleged conduct.</w:t>
      </w:r>
    </w:p>
    <w:p w14:paraId="417C565C" w14:textId="2D55E418" w:rsidR="009378DB" w:rsidRPr="00FD7223" w:rsidRDefault="009378DB" w:rsidP="00FD7223">
      <w:pPr>
        <w:pStyle w:val="Heading2"/>
        <w:ind w:left="576" w:hanging="576"/>
      </w:pPr>
      <w:r w:rsidRPr="00FD7223">
        <w:t>Reporting</w:t>
      </w:r>
    </w:p>
    <w:p w14:paraId="598424E9" w14:textId="59404245" w:rsidR="001F6539" w:rsidRPr="00FD7223" w:rsidRDefault="001F6539" w:rsidP="00FD7223">
      <w:pPr>
        <w:pStyle w:val="Heading3"/>
      </w:pPr>
      <w:r w:rsidRPr="00FD7223">
        <w:t xml:space="preserve">Internal </w:t>
      </w:r>
    </w:p>
    <w:p w14:paraId="6C77BDA1" w14:textId="05784ACC" w:rsidR="001F6539" w:rsidRPr="00FD7223" w:rsidRDefault="001F6539" w:rsidP="006113DD">
      <w:pPr>
        <w:pStyle w:val="ListNumber"/>
        <w:ind w:left="357" w:hanging="357"/>
      </w:pPr>
      <w:bookmarkStart w:id="12" w:name="_Ref37069428"/>
      <w:r w:rsidRPr="00FD7223">
        <w:t xml:space="preserve">Systems for internal reporting must, at a minimum, require reporting of all fraud matters to the </w:t>
      </w:r>
      <w:r w:rsidR="00311DA6" w:rsidRPr="00FD7223">
        <w:t>agency’s internal audit and</w:t>
      </w:r>
      <w:r w:rsidRPr="00FD7223">
        <w:t xml:space="preserve"> risk assessment functions, the nominated recipient</w:t>
      </w:r>
      <w:r w:rsidR="00A038B6" w:rsidRPr="00FD7223">
        <w:t>(s)</w:t>
      </w:r>
      <w:r w:rsidRPr="00FD7223">
        <w:t xml:space="preserve"> of the agency or </w:t>
      </w:r>
      <w:r w:rsidR="00620EA1" w:rsidRPr="00FD7223">
        <w:t xml:space="preserve">directly to </w:t>
      </w:r>
      <w:r w:rsidR="00D62D60" w:rsidRPr="00FD7223">
        <w:t xml:space="preserve">the </w:t>
      </w:r>
      <w:r w:rsidR="00620EA1" w:rsidRPr="00FD7223">
        <w:t>Office of the Independent Commissioner Against Corruption</w:t>
      </w:r>
      <w:r w:rsidRPr="00FD7223">
        <w:t>.</w:t>
      </w:r>
      <w:bookmarkEnd w:id="12"/>
    </w:p>
    <w:p w14:paraId="1159BFB4" w14:textId="282E7DD5" w:rsidR="006113DD" w:rsidRPr="00710E5F" w:rsidRDefault="002C0602" w:rsidP="00FD7223">
      <w:pPr>
        <w:pStyle w:val="Heading3"/>
      </w:pPr>
      <w:r>
        <w:t>E</w:t>
      </w:r>
      <w:r w:rsidR="006113DD" w:rsidRPr="00710E5F">
        <w:t>xternal</w:t>
      </w:r>
    </w:p>
    <w:p w14:paraId="5D64B463" w14:textId="3D499B17" w:rsidR="006113DD" w:rsidRPr="00710E5F" w:rsidRDefault="004125DD" w:rsidP="006113DD">
      <w:pPr>
        <w:pStyle w:val="ListNumber"/>
        <w:ind w:left="357" w:hanging="357"/>
      </w:pPr>
      <w:bookmarkStart w:id="13" w:name="_Ref508017276"/>
      <w:r w:rsidRPr="00710E5F">
        <w:t xml:space="preserve">Where an accountable officer </w:t>
      </w:r>
      <w:r>
        <w:t>determines</w:t>
      </w:r>
      <w:r w:rsidRPr="00710E5F">
        <w:t xml:space="preserve"> there are reasonable grounds to suspect a person of fraud, the accountable officer must</w:t>
      </w:r>
      <w:r>
        <w:t>, as soon as practicable, inform and provide relevant details to</w:t>
      </w:r>
      <w:r w:rsidRPr="00710E5F">
        <w:t>:</w:t>
      </w:r>
      <w:bookmarkStart w:id="14" w:name="_Ref506225293"/>
      <w:bookmarkEnd w:id="13"/>
    </w:p>
    <w:p w14:paraId="333B2A88" w14:textId="77777777" w:rsidR="004125DD" w:rsidRPr="004C2E92" w:rsidRDefault="004125DD" w:rsidP="004125DD">
      <w:pPr>
        <w:pStyle w:val="ListNumber"/>
        <w:numPr>
          <w:ilvl w:val="1"/>
          <w:numId w:val="12"/>
        </w:numPr>
        <w:ind w:left="851"/>
      </w:pPr>
      <w:bookmarkStart w:id="15" w:name="_Ref37069497"/>
      <w:r>
        <w:t>t</w:t>
      </w:r>
      <w:r w:rsidRPr="004C2E92">
        <w:t>he Office of the Independent Commissioner Against Corruption</w:t>
      </w:r>
    </w:p>
    <w:p w14:paraId="7FDB814A" w14:textId="77777777" w:rsidR="004125DD" w:rsidRDefault="004125DD" w:rsidP="004125DD">
      <w:pPr>
        <w:pStyle w:val="ListNumber"/>
        <w:numPr>
          <w:ilvl w:val="1"/>
          <w:numId w:val="12"/>
        </w:numPr>
        <w:ind w:left="851"/>
      </w:pPr>
      <w:r>
        <w:t xml:space="preserve">the </w:t>
      </w:r>
      <w:r w:rsidRPr="00710E5F">
        <w:t>Northern Territory Police Force</w:t>
      </w:r>
    </w:p>
    <w:p w14:paraId="22FBE494" w14:textId="1FA9A508" w:rsidR="004125DD" w:rsidRPr="00710E5F" w:rsidRDefault="004125DD" w:rsidP="004125DD">
      <w:pPr>
        <w:pStyle w:val="ListNumber"/>
        <w:numPr>
          <w:ilvl w:val="1"/>
          <w:numId w:val="12"/>
        </w:numPr>
        <w:ind w:left="851"/>
      </w:pPr>
      <w:bookmarkStart w:id="16" w:name="_Ref66451712"/>
      <w:bookmarkStart w:id="17" w:name="_Ref68077392"/>
      <w:r>
        <w:t>the Northern Territory Auditor-General</w:t>
      </w:r>
      <w:bookmarkEnd w:id="16"/>
      <w:r w:rsidR="0051253C">
        <w:t xml:space="preserve"> subject to reporting </w:t>
      </w:r>
      <w:r w:rsidR="00422DAC">
        <w:t>threshold</w:t>
      </w:r>
      <w:r w:rsidR="0051253C">
        <w:t xml:space="preserve"> </w:t>
      </w:r>
      <w:r w:rsidR="00422DAC">
        <w:t>outlined in</w:t>
      </w:r>
      <w:r w:rsidR="0051253C">
        <w:t xml:space="preserve"> </w:t>
      </w:r>
      <w:r w:rsidR="0051253C">
        <w:br/>
        <w:t xml:space="preserve">Treasurer’s Direction - </w:t>
      </w:r>
      <w:r w:rsidR="00270154" w:rsidRPr="00710E5F">
        <w:t xml:space="preserve">Part 5 Section 5 </w:t>
      </w:r>
      <w:r w:rsidR="0051253C">
        <w:t>Losses</w:t>
      </w:r>
      <w:bookmarkEnd w:id="17"/>
    </w:p>
    <w:p w14:paraId="347CBC6F" w14:textId="77777777" w:rsidR="004125DD" w:rsidRDefault="004125DD" w:rsidP="004125DD">
      <w:pPr>
        <w:pStyle w:val="ListNumber"/>
        <w:numPr>
          <w:ilvl w:val="1"/>
          <w:numId w:val="12"/>
        </w:numPr>
        <w:ind w:left="851"/>
      </w:pPr>
      <w:bookmarkStart w:id="18" w:name="_Ref66451736"/>
      <w:r>
        <w:t>the Under Treasurer</w:t>
      </w:r>
      <w:bookmarkEnd w:id="18"/>
    </w:p>
    <w:p w14:paraId="3055D0C8" w14:textId="762305F0" w:rsidR="004125DD" w:rsidRDefault="004125DD" w:rsidP="004125DD">
      <w:pPr>
        <w:pStyle w:val="ListNumber"/>
        <w:numPr>
          <w:ilvl w:val="1"/>
          <w:numId w:val="12"/>
        </w:numPr>
        <w:ind w:left="851"/>
      </w:pPr>
      <w:r>
        <w:t>any other regulatory or statutory bod</w:t>
      </w:r>
      <w:r w:rsidR="00ED5C6B">
        <w:t>y</w:t>
      </w:r>
      <w:r>
        <w:t xml:space="preserve"> (as required by an Australian law)</w:t>
      </w:r>
    </w:p>
    <w:p w14:paraId="5A8EB19A" w14:textId="2129C9E2" w:rsidR="006113DD" w:rsidRPr="00710E5F" w:rsidRDefault="004125DD">
      <w:pPr>
        <w:pStyle w:val="ListNumber"/>
        <w:numPr>
          <w:ilvl w:val="1"/>
          <w:numId w:val="12"/>
        </w:numPr>
        <w:ind w:left="851"/>
      </w:pPr>
      <w:r w:rsidRPr="00710E5F">
        <w:t>an organisation, where an investigation discloses potential criminal activity involving that organisation’s activities or programs, to the extent possible subject to relevant requirements of any Australian law.</w:t>
      </w:r>
      <w:bookmarkEnd w:id="14"/>
      <w:bookmarkEnd w:id="15"/>
      <w:r w:rsidR="006113DD" w:rsidRPr="00710E5F">
        <w:t xml:space="preserve"> </w:t>
      </w:r>
    </w:p>
    <w:p w14:paraId="2F40504A" w14:textId="3C5BA293" w:rsidR="006113DD" w:rsidRPr="00710E5F" w:rsidRDefault="006113DD" w:rsidP="006113DD">
      <w:pPr>
        <w:pStyle w:val="ListNumber"/>
        <w:ind w:left="357" w:hanging="357"/>
      </w:pPr>
      <w:bookmarkStart w:id="19" w:name="_Ref37152045"/>
      <w:r w:rsidRPr="00710E5F">
        <w:t xml:space="preserve">Pursuant to paragraphs </w:t>
      </w:r>
      <w:r w:rsidR="00A31B58">
        <w:fldChar w:fldCharType="begin"/>
      </w:r>
      <w:r w:rsidR="00A31B58">
        <w:instrText xml:space="preserve"> REF _Ref68077392 \r \h </w:instrText>
      </w:r>
      <w:r w:rsidR="00A31B58">
        <w:fldChar w:fldCharType="separate"/>
      </w:r>
      <w:r w:rsidR="00FB6C86">
        <w:t>14.c</w:t>
      </w:r>
      <w:r w:rsidR="00A31B58">
        <w:fldChar w:fldCharType="end"/>
      </w:r>
      <w:r w:rsidR="00A31B58">
        <w:t xml:space="preserve"> </w:t>
      </w:r>
      <w:r w:rsidRPr="00710E5F">
        <w:t xml:space="preserve">and </w:t>
      </w:r>
      <w:r w:rsidR="004125DD">
        <w:fldChar w:fldCharType="begin"/>
      </w:r>
      <w:r w:rsidR="004125DD">
        <w:instrText xml:space="preserve"> REF _Ref66451736 \r \h </w:instrText>
      </w:r>
      <w:r w:rsidR="004125DD">
        <w:fldChar w:fldCharType="separate"/>
      </w:r>
      <w:r w:rsidR="00FB6C86">
        <w:t>14.d</w:t>
      </w:r>
      <w:r w:rsidR="004125DD">
        <w:fldChar w:fldCharType="end"/>
      </w:r>
      <w:r w:rsidRPr="00710E5F">
        <w:t>, an accountable officer must provide regular updates to the Northern Territory Auditor-General and Under Treasurer</w:t>
      </w:r>
      <w:r w:rsidR="000E3BA7">
        <w:t>.</w:t>
      </w:r>
      <w:r w:rsidRPr="00710E5F">
        <w:t xml:space="preserve"> </w:t>
      </w:r>
      <w:bookmarkEnd w:id="19"/>
    </w:p>
    <w:p w14:paraId="5154FD93" w14:textId="77777777" w:rsidR="006113DD" w:rsidRPr="00710E5F" w:rsidRDefault="006113DD" w:rsidP="006113DD">
      <w:pPr>
        <w:pStyle w:val="Heading3"/>
        <w:ind w:left="720" w:hanging="720"/>
      </w:pPr>
      <w:r w:rsidRPr="00710E5F">
        <w:lastRenderedPageBreak/>
        <w:t>Portfolio minister and Treasurer</w:t>
      </w:r>
    </w:p>
    <w:p w14:paraId="16440E84" w14:textId="77777777" w:rsidR="006113DD" w:rsidRPr="00710E5F" w:rsidRDefault="006113DD" w:rsidP="006113DD">
      <w:pPr>
        <w:pStyle w:val="ListNumber"/>
        <w:ind w:left="357" w:hanging="357"/>
      </w:pPr>
      <w:r w:rsidRPr="00710E5F">
        <w:t>An accountable officer must, as soon as practicable, advise their relevant portfolio minister and the Treasurer of suspicions, allegations or incidents of fraud, if the fraud matter:</w:t>
      </w:r>
    </w:p>
    <w:p w14:paraId="17E953CE" w14:textId="77777777" w:rsidR="006113DD" w:rsidRPr="00710E5F" w:rsidRDefault="006113DD" w:rsidP="007E3FF3">
      <w:pPr>
        <w:pStyle w:val="ListNumber"/>
        <w:numPr>
          <w:ilvl w:val="1"/>
          <w:numId w:val="12"/>
        </w:numPr>
        <w:ind w:left="851"/>
      </w:pPr>
      <w:r w:rsidRPr="00710E5F">
        <w:t>is complex</w:t>
      </w:r>
    </w:p>
    <w:p w14:paraId="06DBEC03" w14:textId="77777777" w:rsidR="006113DD" w:rsidRPr="00710E5F" w:rsidRDefault="006113DD" w:rsidP="007E3FF3">
      <w:pPr>
        <w:pStyle w:val="ListNumber"/>
        <w:numPr>
          <w:ilvl w:val="1"/>
          <w:numId w:val="12"/>
        </w:numPr>
        <w:ind w:left="851"/>
      </w:pPr>
      <w:r w:rsidRPr="00710E5F">
        <w:t>is significant or systemic</w:t>
      </w:r>
    </w:p>
    <w:p w14:paraId="7C5312E7" w14:textId="77777777" w:rsidR="006113DD" w:rsidRPr="00710E5F" w:rsidRDefault="006113DD" w:rsidP="007E3FF3">
      <w:pPr>
        <w:pStyle w:val="ListNumber"/>
        <w:numPr>
          <w:ilvl w:val="1"/>
          <w:numId w:val="12"/>
        </w:numPr>
        <w:ind w:left="851"/>
      </w:pPr>
      <w:r w:rsidRPr="00710E5F">
        <w:t xml:space="preserve">involves corrupt conduct </w:t>
      </w:r>
    </w:p>
    <w:p w14:paraId="0202581A" w14:textId="1ECB679F" w:rsidR="006113DD" w:rsidRPr="00710E5F" w:rsidRDefault="006113DD" w:rsidP="007E3FF3">
      <w:pPr>
        <w:pStyle w:val="ListNumber"/>
        <w:numPr>
          <w:ilvl w:val="1"/>
          <w:numId w:val="12"/>
        </w:numPr>
        <w:ind w:left="851"/>
      </w:pPr>
      <w:r w:rsidRPr="00710E5F">
        <w:t>or is considered politically sensitive.</w:t>
      </w:r>
    </w:p>
    <w:p w14:paraId="2EFA86E2" w14:textId="77777777" w:rsidR="006113DD" w:rsidRPr="00710E5F" w:rsidRDefault="006113DD" w:rsidP="006113DD">
      <w:pPr>
        <w:pStyle w:val="Heading2"/>
        <w:ind w:left="576" w:hanging="576"/>
      </w:pPr>
      <w:bookmarkStart w:id="20" w:name="_Toc500160698"/>
      <w:r w:rsidRPr="00710E5F">
        <w:t>Administrative and disciplinary actions</w:t>
      </w:r>
    </w:p>
    <w:p w14:paraId="5C1550BD" w14:textId="7CE83715" w:rsidR="006113DD" w:rsidRPr="00710E5F" w:rsidRDefault="006113DD" w:rsidP="006113DD">
      <w:pPr>
        <w:pStyle w:val="ListNumber"/>
        <w:ind w:left="357" w:hanging="357"/>
      </w:pPr>
      <w:bookmarkStart w:id="21" w:name="_Ref500230596"/>
      <w:bookmarkStart w:id="22" w:name="_Ref508017318"/>
      <w:r w:rsidRPr="00710E5F">
        <w:t xml:space="preserve">Pursuant to paragraph </w:t>
      </w:r>
      <w:r w:rsidR="003A70DF">
        <w:fldChar w:fldCharType="begin"/>
      </w:r>
      <w:r w:rsidR="003A70DF">
        <w:instrText xml:space="preserve"> REF _Ref66452029 \r \h </w:instrText>
      </w:r>
      <w:r w:rsidR="003A70DF">
        <w:fldChar w:fldCharType="separate"/>
      </w:r>
      <w:r w:rsidR="00FB6C86">
        <w:t>10.a</w:t>
      </w:r>
      <w:r w:rsidR="003A70DF">
        <w:fldChar w:fldCharType="end"/>
      </w:r>
      <w:r w:rsidRPr="00710E5F">
        <w:t xml:space="preserve">, an accountable officer must assess all fraud matters and take </w:t>
      </w:r>
      <w:bookmarkEnd w:id="21"/>
      <w:r w:rsidRPr="00710E5F">
        <w:t>administrative and or disciplinary action, if and when deemed appropriate, and in accordance with relevant legislation.</w:t>
      </w:r>
      <w:bookmarkEnd w:id="22"/>
    </w:p>
    <w:p w14:paraId="38C73BD3" w14:textId="77777777" w:rsidR="006113DD" w:rsidRPr="00710E5F" w:rsidRDefault="006113DD" w:rsidP="006113DD">
      <w:pPr>
        <w:pStyle w:val="Heading2"/>
        <w:ind w:left="576" w:hanging="576"/>
      </w:pPr>
      <w:bookmarkStart w:id="23" w:name="_Toc500160701"/>
      <w:bookmarkEnd w:id="20"/>
      <w:r w:rsidRPr="00710E5F">
        <w:t xml:space="preserve">Documenting fraud </w:t>
      </w:r>
      <w:bookmarkEnd w:id="23"/>
      <w:r w:rsidRPr="00710E5F">
        <w:t>matters</w:t>
      </w:r>
    </w:p>
    <w:p w14:paraId="4E4EED56" w14:textId="77777777" w:rsidR="006113DD" w:rsidRPr="00710E5F" w:rsidRDefault="006113DD" w:rsidP="006113DD">
      <w:pPr>
        <w:pStyle w:val="ListNumber"/>
        <w:ind w:left="357" w:hanging="357"/>
      </w:pPr>
      <w:bookmarkStart w:id="24" w:name="_Ref508017369"/>
      <w:r w:rsidRPr="00710E5F">
        <w:t>Processes for documenting fraud matters must require:</w:t>
      </w:r>
      <w:bookmarkEnd w:id="24"/>
    </w:p>
    <w:p w14:paraId="6C7FCB87" w14:textId="77777777" w:rsidR="006113DD" w:rsidRPr="00710E5F" w:rsidRDefault="006113DD" w:rsidP="007E3FF3">
      <w:pPr>
        <w:pStyle w:val="ListNumber"/>
        <w:numPr>
          <w:ilvl w:val="1"/>
          <w:numId w:val="12"/>
        </w:numPr>
        <w:ind w:left="851"/>
      </w:pPr>
      <w:r w:rsidRPr="00710E5F">
        <w:t>recording all fraud matters in a fraud incident register (refer to recordkeeping)</w:t>
      </w:r>
    </w:p>
    <w:p w14:paraId="2424B9F2" w14:textId="7659C24C" w:rsidR="006113DD" w:rsidRPr="00710E5F" w:rsidRDefault="006113DD" w:rsidP="007E3FF3">
      <w:pPr>
        <w:pStyle w:val="ListNumber"/>
        <w:numPr>
          <w:ilvl w:val="1"/>
          <w:numId w:val="12"/>
        </w:numPr>
        <w:ind w:left="851"/>
      </w:pPr>
      <w:r w:rsidRPr="00710E5F">
        <w:t>documenting critical stages in managing fraud matters, including key decisions, the basis on which these decisions were made, actions taken and outcomes.</w:t>
      </w:r>
    </w:p>
    <w:p w14:paraId="2FFE4F4F" w14:textId="77777777" w:rsidR="006113DD" w:rsidRPr="00710E5F" w:rsidRDefault="006113DD" w:rsidP="006113DD">
      <w:pPr>
        <w:pStyle w:val="Heading1"/>
        <w:ind w:left="432" w:hanging="432"/>
      </w:pPr>
      <w:bookmarkStart w:id="25" w:name="_Toc500160702"/>
      <w:r w:rsidRPr="00710E5F">
        <w:t>Fraud control – monitoring and evaluation</w:t>
      </w:r>
      <w:bookmarkEnd w:id="25"/>
    </w:p>
    <w:p w14:paraId="3E6280CB" w14:textId="77777777" w:rsidR="006113DD" w:rsidRPr="00710E5F" w:rsidRDefault="006113DD" w:rsidP="006113DD">
      <w:pPr>
        <w:pStyle w:val="ListNumber"/>
        <w:ind w:left="357" w:hanging="357"/>
      </w:pPr>
      <w:r w:rsidRPr="00710E5F">
        <w:t>An accountable officer shall establish and maintain reasonable measures to monitor and evaluate fraud controls, which at a minimum must include:</w:t>
      </w:r>
    </w:p>
    <w:p w14:paraId="4139F7D9" w14:textId="77777777" w:rsidR="006113DD" w:rsidRPr="00710E5F" w:rsidRDefault="006113DD" w:rsidP="007E3FF3">
      <w:pPr>
        <w:pStyle w:val="ListNumber"/>
        <w:numPr>
          <w:ilvl w:val="1"/>
          <w:numId w:val="12"/>
        </w:numPr>
        <w:ind w:left="851"/>
      </w:pPr>
      <w:r w:rsidRPr="00710E5F">
        <w:t xml:space="preserve">regular review of the agency’s fraud-related policies, procedures and fraud control plans to determine if they are suitable, up to date and effective </w:t>
      </w:r>
    </w:p>
    <w:p w14:paraId="2028380B" w14:textId="64483584" w:rsidR="006113DD" w:rsidRPr="0045680F" w:rsidRDefault="006113DD" w:rsidP="007E3FF3">
      <w:pPr>
        <w:pStyle w:val="ListNumber"/>
        <w:numPr>
          <w:ilvl w:val="1"/>
          <w:numId w:val="12"/>
        </w:numPr>
        <w:ind w:left="851"/>
      </w:pPr>
      <w:r w:rsidRPr="00710E5F">
        <w:t>evaluating all fraud matters and taking action to address a breakdown or lack of internal controls that may have contributed to the occurrence of fraud, carelessness</w:t>
      </w:r>
      <w:r w:rsidRPr="0045680F">
        <w:t>, accident or error, within a reasonable timeframe.</w:t>
      </w:r>
    </w:p>
    <w:p w14:paraId="41FAD271" w14:textId="77777777" w:rsidR="006113DD" w:rsidRDefault="006113DD" w:rsidP="006113DD">
      <w:pPr>
        <w:pStyle w:val="Heading1"/>
        <w:ind w:left="432" w:hanging="432"/>
      </w:pPr>
      <w:bookmarkStart w:id="26" w:name="_Toc500160704"/>
      <w:r>
        <w:t xml:space="preserve">Fraud control – </w:t>
      </w:r>
      <w:bookmarkEnd w:id="26"/>
      <w:r>
        <w:t>recordkeeping</w:t>
      </w:r>
    </w:p>
    <w:p w14:paraId="4E6807BA" w14:textId="77777777" w:rsidR="006113DD" w:rsidRDefault="006113DD" w:rsidP="006113DD">
      <w:pPr>
        <w:pStyle w:val="ListNumber"/>
        <w:ind w:left="357" w:hanging="357"/>
      </w:pPr>
      <w:bookmarkStart w:id="27" w:name="_Ref500230878"/>
      <w:r w:rsidRPr="0067054C">
        <w:t>A</w:t>
      </w:r>
      <w:r>
        <w:t>n accountable officer is</w:t>
      </w:r>
      <w:r w:rsidRPr="0067054C">
        <w:t xml:space="preserve"> responsible for keeping records </w:t>
      </w:r>
      <w:r>
        <w:t>regarding</w:t>
      </w:r>
      <w:r w:rsidRPr="0067054C">
        <w:t xml:space="preserve"> managing risk</w:t>
      </w:r>
      <w:r>
        <w:t>s and incidents</w:t>
      </w:r>
      <w:r w:rsidRPr="0067054C">
        <w:t xml:space="preserve"> of fraud in </w:t>
      </w:r>
      <w:r>
        <w:t>his or her</w:t>
      </w:r>
      <w:r w:rsidRPr="0067054C">
        <w:t xml:space="preserve"> agency and</w:t>
      </w:r>
      <w:r>
        <w:t>,</w:t>
      </w:r>
      <w:r w:rsidRPr="0067054C">
        <w:t xml:space="preserve"> at a minimum, must:</w:t>
      </w:r>
      <w:bookmarkEnd w:id="27"/>
    </w:p>
    <w:p w14:paraId="5AB61656" w14:textId="00BBDB08" w:rsidR="006113DD" w:rsidRDefault="006113DD" w:rsidP="007E3FF3">
      <w:pPr>
        <w:pStyle w:val="ListNumber"/>
        <w:numPr>
          <w:ilvl w:val="1"/>
          <w:numId w:val="12"/>
        </w:numPr>
        <w:ind w:left="851"/>
      </w:pPr>
      <w:r>
        <w:t>establish processes</w:t>
      </w:r>
      <w:r w:rsidRPr="0067054C">
        <w:t xml:space="preserve"> to collect and manage information gathered</w:t>
      </w:r>
      <w:r>
        <w:t xml:space="preserve"> about fraud matters</w:t>
      </w:r>
    </w:p>
    <w:p w14:paraId="41CE802C" w14:textId="37871842" w:rsidR="006113DD" w:rsidRDefault="006113DD" w:rsidP="007E3FF3">
      <w:pPr>
        <w:pStyle w:val="ListNumber"/>
        <w:numPr>
          <w:ilvl w:val="1"/>
          <w:numId w:val="12"/>
        </w:numPr>
        <w:ind w:left="851"/>
      </w:pPr>
      <w:r>
        <w:t>ensure records of fraud matters are maintained in a fraud incident register.</w:t>
      </w:r>
    </w:p>
    <w:p w14:paraId="72F9D1DA" w14:textId="77777777" w:rsidR="006113DD" w:rsidRDefault="006113DD" w:rsidP="007E3FF3">
      <w:pPr>
        <w:pStyle w:val="ListNumber"/>
        <w:ind w:left="357" w:hanging="357"/>
      </w:pPr>
      <w:r w:rsidRPr="00E824A9">
        <w:t xml:space="preserve">A fraud incident register </w:t>
      </w:r>
      <w:r>
        <w:t>is not required where an agency has never:</w:t>
      </w:r>
    </w:p>
    <w:p w14:paraId="0003E9AE" w14:textId="77777777" w:rsidR="006113DD" w:rsidRDefault="006113DD" w:rsidP="007E3FF3">
      <w:pPr>
        <w:pStyle w:val="ListNumber"/>
        <w:numPr>
          <w:ilvl w:val="1"/>
          <w:numId w:val="12"/>
        </w:numPr>
        <w:ind w:left="851"/>
      </w:pPr>
      <w:r>
        <w:t>had an incidence of fraud</w:t>
      </w:r>
    </w:p>
    <w:p w14:paraId="091C3C17" w14:textId="77777777" w:rsidR="006113DD" w:rsidRDefault="006113DD" w:rsidP="007E3FF3">
      <w:pPr>
        <w:pStyle w:val="ListNumber"/>
        <w:numPr>
          <w:ilvl w:val="1"/>
          <w:numId w:val="12"/>
        </w:numPr>
        <w:ind w:left="851"/>
      </w:pPr>
      <w:r>
        <w:t>suspected a person of committing fraud</w:t>
      </w:r>
    </w:p>
    <w:p w14:paraId="06CA7A1B" w14:textId="3175A3DE" w:rsidR="006113DD" w:rsidRPr="00E824A9" w:rsidRDefault="006113DD" w:rsidP="007E3FF3">
      <w:pPr>
        <w:pStyle w:val="ListNumber"/>
        <w:numPr>
          <w:ilvl w:val="1"/>
          <w:numId w:val="12"/>
        </w:numPr>
        <w:ind w:left="851"/>
      </w:pPr>
      <w:r>
        <w:t>received an allegation of a person committing fraud against the agency.</w:t>
      </w:r>
    </w:p>
    <w:p w14:paraId="40E1D2C3" w14:textId="1BE3F893" w:rsidR="00667C4A" w:rsidRDefault="006113DD" w:rsidP="007E3FF3">
      <w:pPr>
        <w:pStyle w:val="ListNumber"/>
        <w:ind w:left="357" w:hanging="357"/>
      </w:pPr>
      <w:r>
        <w:t>An accountable officer must retain records relating to or forming part of a fraud investigation, for the specified minimum period, in accordance with the agency’s records disposal schedule.</w:t>
      </w:r>
    </w:p>
    <w:p w14:paraId="0C3CC149" w14:textId="1C288F17" w:rsidR="00D133F4" w:rsidRDefault="00D133F4" w:rsidP="00343C61">
      <w:pPr>
        <w:pStyle w:val="Heading1"/>
      </w:pPr>
      <w:r>
        <w:lastRenderedPageBreak/>
        <w:t>Change history</w:t>
      </w:r>
    </w:p>
    <w:tbl>
      <w:tblPr>
        <w:tblStyle w:val="NTGtable"/>
        <w:tblW w:w="10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Description w:val="Document change history showing version, date, author and change details"/>
      </w:tblPr>
      <w:tblGrid>
        <w:gridCol w:w="1418"/>
        <w:gridCol w:w="2805"/>
        <w:gridCol w:w="2976"/>
        <w:gridCol w:w="3202"/>
      </w:tblGrid>
      <w:tr w:rsidR="00667C4A" w:rsidRPr="003A2424" w14:paraId="234D6C84" w14:textId="77777777" w:rsidTr="00343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18" w:type="dxa"/>
          </w:tcPr>
          <w:p w14:paraId="12DE696D" w14:textId="77777777" w:rsidR="00667C4A" w:rsidRPr="00667C4A" w:rsidRDefault="00667C4A" w:rsidP="00667C4A">
            <w:r w:rsidRPr="0008622A">
              <w:t>Version</w:t>
            </w:r>
          </w:p>
        </w:tc>
        <w:tc>
          <w:tcPr>
            <w:tcW w:w="2805" w:type="dxa"/>
          </w:tcPr>
          <w:p w14:paraId="797F3AE2" w14:textId="77777777" w:rsidR="00667C4A" w:rsidRPr="00667C4A" w:rsidRDefault="00667C4A" w:rsidP="00667C4A">
            <w:r w:rsidRPr="0008622A">
              <w:t>Date</w:t>
            </w:r>
          </w:p>
        </w:tc>
        <w:tc>
          <w:tcPr>
            <w:tcW w:w="2976" w:type="dxa"/>
          </w:tcPr>
          <w:p w14:paraId="2102EA76" w14:textId="77777777" w:rsidR="00667C4A" w:rsidRPr="00667C4A" w:rsidRDefault="00667C4A" w:rsidP="00667C4A">
            <w:r w:rsidRPr="0008622A">
              <w:t>Author</w:t>
            </w:r>
          </w:p>
        </w:tc>
        <w:tc>
          <w:tcPr>
            <w:tcW w:w="3202" w:type="dxa"/>
          </w:tcPr>
          <w:p w14:paraId="07E97C2D" w14:textId="77777777" w:rsidR="00667C4A" w:rsidRPr="00667C4A" w:rsidRDefault="00667C4A" w:rsidP="00667C4A">
            <w:r w:rsidRPr="0008622A">
              <w:t>Change details</w:t>
            </w:r>
          </w:p>
        </w:tc>
      </w:tr>
      <w:tr w:rsidR="006113DD" w:rsidRPr="003A2424" w14:paraId="1530D9BE" w14:textId="77777777" w:rsidTr="00667C4A">
        <w:tc>
          <w:tcPr>
            <w:tcW w:w="1418" w:type="dxa"/>
          </w:tcPr>
          <w:p w14:paraId="6C48D732" w14:textId="4803BBAB" w:rsidR="006113DD" w:rsidRPr="002F5CE4" w:rsidRDefault="006113DD" w:rsidP="006113DD">
            <w:pPr>
              <w:spacing w:before="60" w:after="60"/>
            </w:pPr>
            <w:r w:rsidRPr="002F5CE4">
              <w:t>1.0</w:t>
            </w:r>
          </w:p>
        </w:tc>
        <w:tc>
          <w:tcPr>
            <w:tcW w:w="2805" w:type="dxa"/>
          </w:tcPr>
          <w:p w14:paraId="417491CD" w14:textId="52435C5F" w:rsidR="006113DD" w:rsidRPr="002F5CE4" w:rsidRDefault="006113DD" w:rsidP="006113DD">
            <w:pPr>
              <w:spacing w:before="60" w:after="60"/>
            </w:pPr>
            <w:r w:rsidRPr="002F5CE4">
              <w:rPr>
                <w:bCs/>
              </w:rPr>
              <w:t>1 July 2018</w:t>
            </w:r>
          </w:p>
        </w:tc>
        <w:tc>
          <w:tcPr>
            <w:tcW w:w="2976" w:type="dxa"/>
          </w:tcPr>
          <w:p w14:paraId="300A2A09" w14:textId="70941663" w:rsidR="006113DD" w:rsidRPr="002F5CE4" w:rsidRDefault="006113DD" w:rsidP="006113DD">
            <w:pPr>
              <w:spacing w:before="60" w:after="60"/>
            </w:pPr>
            <w:r w:rsidRPr="002F5CE4">
              <w:t>DTF Financial Policy</w:t>
            </w:r>
          </w:p>
        </w:tc>
        <w:tc>
          <w:tcPr>
            <w:tcW w:w="3202" w:type="dxa"/>
          </w:tcPr>
          <w:p w14:paraId="10FB5677" w14:textId="38CD837D" w:rsidR="006113DD" w:rsidRPr="002F5CE4" w:rsidRDefault="006113DD" w:rsidP="006113DD">
            <w:pPr>
              <w:spacing w:before="60" w:after="60"/>
            </w:pPr>
            <w:r w:rsidRPr="002F5CE4">
              <w:t>Initial version</w:t>
            </w:r>
          </w:p>
        </w:tc>
      </w:tr>
      <w:tr w:rsidR="006113DD" w:rsidRPr="003A2424" w14:paraId="26ED38CF" w14:textId="77777777" w:rsidTr="00667C4A">
        <w:tc>
          <w:tcPr>
            <w:tcW w:w="1418" w:type="dxa"/>
          </w:tcPr>
          <w:p w14:paraId="0E1DFE95" w14:textId="45425E08" w:rsidR="006113DD" w:rsidRPr="002F5CE4" w:rsidRDefault="006113DD" w:rsidP="006113DD">
            <w:pPr>
              <w:spacing w:before="60" w:after="60"/>
            </w:pPr>
            <w:r w:rsidRPr="002F5CE4">
              <w:t>1.</w:t>
            </w:r>
            <w:r w:rsidR="00C00467">
              <w:t>1</w:t>
            </w:r>
          </w:p>
        </w:tc>
        <w:tc>
          <w:tcPr>
            <w:tcW w:w="2805" w:type="dxa"/>
          </w:tcPr>
          <w:p w14:paraId="2FBC4238" w14:textId="577F7577" w:rsidR="006113DD" w:rsidRPr="002F5CE4" w:rsidRDefault="00640129" w:rsidP="003C24C0">
            <w:pPr>
              <w:spacing w:before="60" w:after="60"/>
            </w:pPr>
            <w:r>
              <w:rPr>
                <w:bCs/>
              </w:rPr>
              <w:t>May</w:t>
            </w:r>
            <w:r w:rsidR="00A56E9B">
              <w:rPr>
                <w:bCs/>
              </w:rPr>
              <w:t xml:space="preserve"> </w:t>
            </w:r>
            <w:r w:rsidR="003C24C0">
              <w:rPr>
                <w:bCs/>
              </w:rPr>
              <w:t>2021</w:t>
            </w:r>
          </w:p>
        </w:tc>
        <w:tc>
          <w:tcPr>
            <w:tcW w:w="2976" w:type="dxa"/>
          </w:tcPr>
          <w:p w14:paraId="644518A3" w14:textId="224A4F82" w:rsidR="006113DD" w:rsidRPr="002F5CE4" w:rsidRDefault="006113DD" w:rsidP="006113DD">
            <w:pPr>
              <w:spacing w:before="60" w:after="60"/>
            </w:pPr>
            <w:r w:rsidRPr="002F5CE4">
              <w:t xml:space="preserve">DTF Financial Policy </w:t>
            </w:r>
          </w:p>
        </w:tc>
        <w:tc>
          <w:tcPr>
            <w:tcW w:w="3202" w:type="dxa"/>
          </w:tcPr>
          <w:p w14:paraId="49CF0B31" w14:textId="17D8E06E" w:rsidR="006113DD" w:rsidRPr="002F5CE4" w:rsidRDefault="006113DD" w:rsidP="006113DD">
            <w:pPr>
              <w:spacing w:before="60" w:after="60"/>
            </w:pPr>
            <w:r w:rsidRPr="002F5CE4">
              <w:t>Included requirements under the ICAC Act</w:t>
            </w:r>
          </w:p>
        </w:tc>
      </w:tr>
    </w:tbl>
    <w:p w14:paraId="6D5B78C5" w14:textId="77777777" w:rsidR="00667C4A" w:rsidRDefault="00667C4A" w:rsidP="0041647A">
      <w:pPr>
        <w:pStyle w:val="ListNumber"/>
        <w:numPr>
          <w:ilvl w:val="0"/>
          <w:numId w:val="0"/>
        </w:numPr>
      </w:pPr>
    </w:p>
    <w:sectPr w:rsidR="00667C4A" w:rsidSect="00B2229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B47C8" w14:textId="77777777" w:rsidR="001419CD" w:rsidRDefault="001419CD" w:rsidP="007332FF">
      <w:r>
        <w:separator/>
      </w:r>
    </w:p>
  </w:endnote>
  <w:endnote w:type="continuationSeparator" w:id="0">
    <w:p w14:paraId="508EA7E9" w14:textId="77777777" w:rsidR="001419CD" w:rsidRDefault="001419CD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6D38F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642504FE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516F0052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B2229C">
                <w:rPr>
                  <w:rStyle w:val="PageNumber"/>
                  <w:b/>
                </w:rPr>
                <w:t>TREASURY AND FINANCE</w:t>
              </w:r>
            </w:sdtContent>
          </w:sdt>
        </w:p>
        <w:p w14:paraId="1586964D" w14:textId="77777777" w:rsidR="00640129" w:rsidRPr="00CE6614" w:rsidRDefault="00640129" w:rsidP="00640129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May 2021 </w:t>
          </w:r>
          <w:r w:rsidRPr="00CE6614">
            <w:rPr>
              <w:rStyle w:val="PageNumber"/>
            </w:rPr>
            <w:t>|</w:t>
          </w:r>
          <w:r>
            <w:rPr>
              <w:rStyle w:val="PageNumber"/>
            </w:rPr>
            <w:t xml:space="preserve"> </w:t>
          </w:r>
          <w:r w:rsidRPr="00CE6614">
            <w:rPr>
              <w:rStyle w:val="PageNumber"/>
            </w:rPr>
            <w:t xml:space="preserve">Version </w:t>
          </w:r>
          <w:r>
            <w:rPr>
              <w:rStyle w:val="PageNumber"/>
            </w:rPr>
            <w:t>1.1</w:t>
          </w:r>
        </w:p>
        <w:p w14:paraId="134BF5E5" w14:textId="4093FC05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E192F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E192F">
            <w:rPr>
              <w:rStyle w:val="PageNumber"/>
              <w:noProof/>
            </w:rPr>
            <w:t>5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B3D63F4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04E06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4C4EDE5A" w14:textId="77777777" w:rsidTr="00B2229C">
      <w:trPr>
        <w:cantSplit/>
        <w:trHeight w:hRule="exact" w:val="1000"/>
      </w:trPr>
      <w:tc>
        <w:tcPr>
          <w:tcW w:w="7767" w:type="dxa"/>
          <w:vAlign w:val="bottom"/>
        </w:tcPr>
        <w:p w14:paraId="586E2E72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B2229C">
                <w:rPr>
                  <w:rStyle w:val="PageNumber"/>
                  <w:b/>
                </w:rPr>
                <w:t>TREASURY AND FINANCE</w:t>
              </w:r>
            </w:sdtContent>
          </w:sdt>
        </w:p>
        <w:p w14:paraId="15F8A568" w14:textId="216A7D9B" w:rsidR="00D47DC7" w:rsidRPr="00CE6614" w:rsidRDefault="00640129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May 2021 </w:t>
          </w:r>
          <w:r w:rsidRPr="00CE6614">
            <w:rPr>
              <w:rStyle w:val="PageNumber"/>
            </w:rPr>
            <w:t>|</w:t>
          </w:r>
          <w:r>
            <w:rPr>
              <w:rStyle w:val="PageNumber"/>
            </w:rPr>
            <w:t xml:space="preserve"> </w:t>
          </w:r>
          <w:r w:rsidR="00D47DC7" w:rsidRPr="00CE6614">
            <w:rPr>
              <w:rStyle w:val="PageNumber"/>
            </w:rPr>
            <w:t xml:space="preserve">Version </w:t>
          </w:r>
          <w:r w:rsidR="00B2229C">
            <w:rPr>
              <w:rStyle w:val="PageNumber"/>
            </w:rPr>
            <w:t>1.</w:t>
          </w:r>
          <w:r w:rsidR="00C00467">
            <w:rPr>
              <w:rStyle w:val="PageNumber"/>
            </w:rPr>
            <w:t>1</w:t>
          </w:r>
        </w:p>
        <w:p w14:paraId="7EEE4006" w14:textId="5D4A2110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E192F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E192F">
            <w:rPr>
              <w:rStyle w:val="PageNumber"/>
              <w:noProof/>
            </w:rPr>
            <w:t>5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151B1DB1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48B50E5F" wp14:editId="64F53497">
                <wp:extent cx="1572479" cy="561600"/>
                <wp:effectExtent l="0" t="0" r="8890" b="0"/>
                <wp:docPr id="4" name="Picture 4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8B4EE60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87783" w14:textId="77777777" w:rsidR="001419CD" w:rsidRDefault="001419CD" w:rsidP="007332FF">
      <w:r>
        <w:separator/>
      </w:r>
    </w:p>
  </w:footnote>
  <w:footnote w:type="continuationSeparator" w:id="0">
    <w:p w14:paraId="09434B65" w14:textId="77777777" w:rsidR="001419CD" w:rsidRDefault="001419CD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523EA" w14:textId="461A5C70" w:rsidR="00983000" w:rsidRPr="00162207" w:rsidRDefault="001419CD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65F4A">
          <w:t>Treasurer’s Directions – Fraud control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61E1D" w14:textId="4530ADA2" w:rsidR="00E54F9E" w:rsidRDefault="001419CD" w:rsidP="00435082">
    <w:pPr>
      <w:pStyle w:val="Title"/>
    </w:pPr>
    <w:sdt>
      <w:sdtPr>
        <w:rPr>
          <w:rStyle w:val="TitleChar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r w:rsidR="00B2229C">
          <w:rPr>
            <w:rStyle w:val="TitleChar"/>
          </w:rPr>
          <w:t xml:space="preserve">Treasurer’s Directions – </w:t>
        </w:r>
        <w:r w:rsidR="00765F4A">
          <w:rPr>
            <w:rStyle w:val="TitleChar"/>
          </w:rPr>
          <w:t>Fraud control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990"/>
    <w:multiLevelType w:val="multilevel"/>
    <w:tmpl w:val="0C78A7AC"/>
    <w:styleLink w:val="NTGTableLi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4E93944"/>
    <w:multiLevelType w:val="multilevel"/>
    <w:tmpl w:val="BD7A8414"/>
    <w:styleLink w:val="NTGStandardList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4" w15:restartNumberingAfterBreak="0">
    <w:nsid w:val="26345893"/>
    <w:multiLevelType w:val="multilevel"/>
    <w:tmpl w:val="4E6AC8F6"/>
    <w:name w:val="NTG Table Bullet List3322222222"/>
    <w:numStyleLink w:val="NTGStandardNumList"/>
  </w:abstractNum>
  <w:abstractNum w:abstractNumId="15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6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7" w15:restartNumberingAfterBreak="0">
    <w:nsid w:val="27D83E4D"/>
    <w:multiLevelType w:val="multilevel"/>
    <w:tmpl w:val="3928FD02"/>
    <w:numStyleLink w:val="Bulletlist"/>
  </w:abstractNum>
  <w:abstractNum w:abstractNumId="1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1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2" w15:restartNumberingAfterBreak="0">
    <w:nsid w:val="33AC0BD5"/>
    <w:multiLevelType w:val="multilevel"/>
    <w:tmpl w:val="39746A98"/>
    <w:styleLink w:val="NTGTableNum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5" w15:restartNumberingAfterBreak="0">
    <w:nsid w:val="461D0C8A"/>
    <w:multiLevelType w:val="multilevel"/>
    <w:tmpl w:val="39746A98"/>
    <w:lvl w:ilvl="0">
      <w:start w:val="1"/>
      <w:numFmt w:val="decimal"/>
      <w:pStyle w:val="NTGTableNum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TGTableNumList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NTGTableNumList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NTGTableNumList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NTGTableNumList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NTGTableNumList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NTGTableNumList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NTGTableNumList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NTGTableNumList9"/>
      <w:lvlText w:val="%9."/>
      <w:lvlJc w:val="left"/>
      <w:pPr>
        <w:ind w:left="2552" w:hanging="284"/>
      </w:pPr>
      <w:rPr>
        <w:rFonts w:hint="default"/>
      </w:rPr>
    </w:lvl>
  </w:abstractNum>
  <w:abstractNum w:abstractNumId="2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4D90555D"/>
    <w:multiLevelType w:val="multilevel"/>
    <w:tmpl w:val="4E6AC8F6"/>
    <w:styleLink w:val="NTGStandardNum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25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0" w15:restartNumberingAfterBreak="0">
    <w:nsid w:val="53842BC6"/>
    <w:multiLevelType w:val="multilevel"/>
    <w:tmpl w:val="0C78A7AC"/>
    <w:numStyleLink w:val="Tablebulletlist"/>
  </w:abstractNum>
  <w:abstractNum w:abstractNumId="3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2" w15:restartNumberingAfterBreak="0">
    <w:nsid w:val="55EE5AD0"/>
    <w:multiLevelType w:val="multilevel"/>
    <w:tmpl w:val="0C78A7AC"/>
    <w:lvl w:ilvl="0">
      <w:start w:val="1"/>
      <w:numFmt w:val="bullet"/>
      <w:pStyle w:val="NTGTableBulletLis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NTGTableBulletList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NTGTableBulletList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NTGTableBulletList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NTGTableBulletList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NTGTableBulletList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NTGTableBulletList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NTGTableBulletList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NTGTableBulletList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4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5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6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7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0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7FBC1511"/>
    <w:multiLevelType w:val="multilevel"/>
    <w:tmpl w:val="F3EE93D8"/>
    <w:lvl w:ilvl="0">
      <w:start w:val="1"/>
      <w:numFmt w:val="decimal"/>
      <w:pStyle w:val="ListNumber"/>
      <w:lvlText w:val="%1."/>
      <w:lvlJc w:val="left"/>
      <w:pPr>
        <w:ind w:left="879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5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59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13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7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2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5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29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483" w:hanging="454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40"/>
  </w:num>
  <w:num w:numId="4">
    <w:abstractNumId w:val="27"/>
  </w:num>
  <w:num w:numId="5">
    <w:abstractNumId w:val="18"/>
  </w:num>
  <w:num w:numId="6">
    <w:abstractNumId w:val="8"/>
  </w:num>
  <w:num w:numId="7">
    <w:abstractNumId w:val="30"/>
  </w:num>
  <w:num w:numId="8">
    <w:abstractNumId w:val="17"/>
  </w:num>
  <w:num w:numId="9">
    <w:abstractNumId w:val="29"/>
  </w:num>
  <w:num w:numId="10">
    <w:abstractNumId w:val="0"/>
  </w:num>
  <w:num w:numId="11">
    <w:abstractNumId w:val="32"/>
  </w:num>
  <w:num w:numId="12">
    <w:abstractNumId w:val="42"/>
  </w:num>
  <w:num w:numId="13">
    <w:abstractNumId w:val="25"/>
  </w:num>
  <w:num w:numId="14">
    <w:abstractNumId w:val="22"/>
  </w:num>
  <w:num w:numId="15">
    <w:abstractNumId w:val="13"/>
  </w:num>
  <w:num w:numId="16">
    <w:abstractNumId w:val="4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9C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0798"/>
    <w:rsid w:val="000E342B"/>
    <w:rsid w:val="000E3BA7"/>
    <w:rsid w:val="000E3ED2"/>
    <w:rsid w:val="000E5DD2"/>
    <w:rsid w:val="000F2841"/>
    <w:rsid w:val="000F2958"/>
    <w:rsid w:val="000F3850"/>
    <w:rsid w:val="000F604F"/>
    <w:rsid w:val="00104E7F"/>
    <w:rsid w:val="00107BEC"/>
    <w:rsid w:val="001137EC"/>
    <w:rsid w:val="001152F5"/>
    <w:rsid w:val="00117743"/>
    <w:rsid w:val="00117F5B"/>
    <w:rsid w:val="001218DF"/>
    <w:rsid w:val="00132658"/>
    <w:rsid w:val="001419CD"/>
    <w:rsid w:val="0014452B"/>
    <w:rsid w:val="00144816"/>
    <w:rsid w:val="00150DC0"/>
    <w:rsid w:val="0015394D"/>
    <w:rsid w:val="00154755"/>
    <w:rsid w:val="00156CD4"/>
    <w:rsid w:val="0016153B"/>
    <w:rsid w:val="00162207"/>
    <w:rsid w:val="00164A3E"/>
    <w:rsid w:val="00166FF6"/>
    <w:rsid w:val="00173471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1F6539"/>
    <w:rsid w:val="00203F1C"/>
    <w:rsid w:val="00206936"/>
    <w:rsid w:val="00206C6F"/>
    <w:rsid w:val="00206FBD"/>
    <w:rsid w:val="00207746"/>
    <w:rsid w:val="00230031"/>
    <w:rsid w:val="00235C01"/>
    <w:rsid w:val="00247343"/>
    <w:rsid w:val="00247E2D"/>
    <w:rsid w:val="00265C56"/>
    <w:rsid w:val="00270154"/>
    <w:rsid w:val="002716CD"/>
    <w:rsid w:val="00274D4B"/>
    <w:rsid w:val="00276FF7"/>
    <w:rsid w:val="002806F5"/>
    <w:rsid w:val="00281577"/>
    <w:rsid w:val="00287D73"/>
    <w:rsid w:val="002926BC"/>
    <w:rsid w:val="00293A72"/>
    <w:rsid w:val="0029500A"/>
    <w:rsid w:val="002A0160"/>
    <w:rsid w:val="002A30C3"/>
    <w:rsid w:val="002A6F6A"/>
    <w:rsid w:val="002A7712"/>
    <w:rsid w:val="002B38F7"/>
    <w:rsid w:val="002B4F50"/>
    <w:rsid w:val="002B5591"/>
    <w:rsid w:val="002B6AA4"/>
    <w:rsid w:val="002C0602"/>
    <w:rsid w:val="002C1FE9"/>
    <w:rsid w:val="002D3A57"/>
    <w:rsid w:val="002D6524"/>
    <w:rsid w:val="002D7D05"/>
    <w:rsid w:val="002E20C8"/>
    <w:rsid w:val="002E4290"/>
    <w:rsid w:val="002E577A"/>
    <w:rsid w:val="002E66A6"/>
    <w:rsid w:val="002F0DB1"/>
    <w:rsid w:val="002F2885"/>
    <w:rsid w:val="002F45A1"/>
    <w:rsid w:val="002F5CE4"/>
    <w:rsid w:val="0030203D"/>
    <w:rsid w:val="003037F9"/>
    <w:rsid w:val="0030583E"/>
    <w:rsid w:val="00307FE1"/>
    <w:rsid w:val="00311A60"/>
    <w:rsid w:val="00311DA6"/>
    <w:rsid w:val="003164BA"/>
    <w:rsid w:val="00322A1D"/>
    <w:rsid w:val="003258E6"/>
    <w:rsid w:val="003334CF"/>
    <w:rsid w:val="00342283"/>
    <w:rsid w:val="00343A87"/>
    <w:rsid w:val="00343C61"/>
    <w:rsid w:val="00344A36"/>
    <w:rsid w:val="003456F4"/>
    <w:rsid w:val="0034756F"/>
    <w:rsid w:val="00347FB6"/>
    <w:rsid w:val="003504FD"/>
    <w:rsid w:val="00350881"/>
    <w:rsid w:val="00351D9E"/>
    <w:rsid w:val="00357D55"/>
    <w:rsid w:val="00363513"/>
    <w:rsid w:val="003657E5"/>
    <w:rsid w:val="0036589C"/>
    <w:rsid w:val="00367A71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20B1"/>
    <w:rsid w:val="003A6341"/>
    <w:rsid w:val="003A70DF"/>
    <w:rsid w:val="003B67FD"/>
    <w:rsid w:val="003B6A61"/>
    <w:rsid w:val="003C2198"/>
    <w:rsid w:val="003C24C0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25DD"/>
    <w:rsid w:val="00414CB3"/>
    <w:rsid w:val="0041563D"/>
    <w:rsid w:val="0041647A"/>
    <w:rsid w:val="00422DAC"/>
    <w:rsid w:val="00426E25"/>
    <w:rsid w:val="00427D9C"/>
    <w:rsid w:val="00427E7E"/>
    <w:rsid w:val="0043465D"/>
    <w:rsid w:val="00435082"/>
    <w:rsid w:val="00443B6E"/>
    <w:rsid w:val="00450636"/>
    <w:rsid w:val="0045420A"/>
    <w:rsid w:val="00454873"/>
    <w:rsid w:val="004554D4"/>
    <w:rsid w:val="0045680F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1792"/>
    <w:rsid w:val="00482DF8"/>
    <w:rsid w:val="004864DE"/>
    <w:rsid w:val="00492507"/>
    <w:rsid w:val="00494BE5"/>
    <w:rsid w:val="004A0EBA"/>
    <w:rsid w:val="004A2538"/>
    <w:rsid w:val="004A331E"/>
    <w:rsid w:val="004B0C15"/>
    <w:rsid w:val="004B35EA"/>
    <w:rsid w:val="004B69E4"/>
    <w:rsid w:val="004B6E8A"/>
    <w:rsid w:val="004C589C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53C"/>
    <w:rsid w:val="00512A04"/>
    <w:rsid w:val="00520499"/>
    <w:rsid w:val="005249F5"/>
    <w:rsid w:val="005260F7"/>
    <w:rsid w:val="00543BD1"/>
    <w:rsid w:val="00552133"/>
    <w:rsid w:val="00556113"/>
    <w:rsid w:val="00564C12"/>
    <w:rsid w:val="005654B8"/>
    <w:rsid w:val="00570D94"/>
    <w:rsid w:val="005762CC"/>
    <w:rsid w:val="00582D3D"/>
    <w:rsid w:val="00590040"/>
    <w:rsid w:val="0059090C"/>
    <w:rsid w:val="00593AE7"/>
    <w:rsid w:val="00595386"/>
    <w:rsid w:val="00597234"/>
    <w:rsid w:val="005A4AC0"/>
    <w:rsid w:val="005A539B"/>
    <w:rsid w:val="005A5FDF"/>
    <w:rsid w:val="005B0FB7"/>
    <w:rsid w:val="005B10B5"/>
    <w:rsid w:val="005B122A"/>
    <w:rsid w:val="005B1FCB"/>
    <w:rsid w:val="005B469B"/>
    <w:rsid w:val="005B5AC2"/>
    <w:rsid w:val="005C2833"/>
    <w:rsid w:val="005D4838"/>
    <w:rsid w:val="005E144D"/>
    <w:rsid w:val="005E1500"/>
    <w:rsid w:val="005E2B3E"/>
    <w:rsid w:val="005E3A43"/>
    <w:rsid w:val="005F0B17"/>
    <w:rsid w:val="005F4309"/>
    <w:rsid w:val="005F6602"/>
    <w:rsid w:val="005F77C7"/>
    <w:rsid w:val="006113DD"/>
    <w:rsid w:val="00617B56"/>
    <w:rsid w:val="00620675"/>
    <w:rsid w:val="00620EA1"/>
    <w:rsid w:val="00622910"/>
    <w:rsid w:val="00622E6F"/>
    <w:rsid w:val="006254B6"/>
    <w:rsid w:val="00626942"/>
    <w:rsid w:val="00627FC8"/>
    <w:rsid w:val="006327B2"/>
    <w:rsid w:val="00635D39"/>
    <w:rsid w:val="00640129"/>
    <w:rsid w:val="006433C3"/>
    <w:rsid w:val="00650F5B"/>
    <w:rsid w:val="006670D7"/>
    <w:rsid w:val="00667C4A"/>
    <w:rsid w:val="006719EA"/>
    <w:rsid w:val="00671F13"/>
    <w:rsid w:val="0067400A"/>
    <w:rsid w:val="006847AD"/>
    <w:rsid w:val="0069114B"/>
    <w:rsid w:val="006944C1"/>
    <w:rsid w:val="006A5EEC"/>
    <w:rsid w:val="006A6679"/>
    <w:rsid w:val="006A756A"/>
    <w:rsid w:val="006C0EC2"/>
    <w:rsid w:val="006D66F7"/>
    <w:rsid w:val="00705C9D"/>
    <w:rsid w:val="00705F13"/>
    <w:rsid w:val="0070624C"/>
    <w:rsid w:val="00710E5F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1E3"/>
    <w:rsid w:val="0073182E"/>
    <w:rsid w:val="007332FF"/>
    <w:rsid w:val="007408F5"/>
    <w:rsid w:val="00741EAE"/>
    <w:rsid w:val="00755248"/>
    <w:rsid w:val="0076190B"/>
    <w:rsid w:val="0076355D"/>
    <w:rsid w:val="00763A2D"/>
    <w:rsid w:val="00765F4A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192F"/>
    <w:rsid w:val="007E3FF3"/>
    <w:rsid w:val="007E70CF"/>
    <w:rsid w:val="007E74A4"/>
    <w:rsid w:val="007F1B6F"/>
    <w:rsid w:val="007F263F"/>
    <w:rsid w:val="008015A8"/>
    <w:rsid w:val="00802675"/>
    <w:rsid w:val="0080766E"/>
    <w:rsid w:val="00811169"/>
    <w:rsid w:val="008148C0"/>
    <w:rsid w:val="00815297"/>
    <w:rsid w:val="008170DB"/>
    <w:rsid w:val="00817BA1"/>
    <w:rsid w:val="00820DEB"/>
    <w:rsid w:val="00823022"/>
    <w:rsid w:val="0082634E"/>
    <w:rsid w:val="008313C4"/>
    <w:rsid w:val="00835434"/>
    <w:rsid w:val="008358C0"/>
    <w:rsid w:val="00835FEE"/>
    <w:rsid w:val="00842838"/>
    <w:rsid w:val="0084527A"/>
    <w:rsid w:val="00854EC1"/>
    <w:rsid w:val="0085530C"/>
    <w:rsid w:val="0085797F"/>
    <w:rsid w:val="00861DC3"/>
    <w:rsid w:val="00866696"/>
    <w:rsid w:val="00867019"/>
    <w:rsid w:val="00872EF1"/>
    <w:rsid w:val="008735A9"/>
    <w:rsid w:val="008765D1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6DE4"/>
    <w:rsid w:val="008A7C12"/>
    <w:rsid w:val="008B03CE"/>
    <w:rsid w:val="008B22D7"/>
    <w:rsid w:val="008B529E"/>
    <w:rsid w:val="008C17FB"/>
    <w:rsid w:val="008C70BB"/>
    <w:rsid w:val="008D1B00"/>
    <w:rsid w:val="008D57B8"/>
    <w:rsid w:val="008E03FC"/>
    <w:rsid w:val="008E510B"/>
    <w:rsid w:val="008F1618"/>
    <w:rsid w:val="00902B13"/>
    <w:rsid w:val="00911941"/>
    <w:rsid w:val="0092024D"/>
    <w:rsid w:val="00925146"/>
    <w:rsid w:val="00925F0F"/>
    <w:rsid w:val="00932F6B"/>
    <w:rsid w:val="009378D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49DC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3AC"/>
    <w:rsid w:val="009D2B74"/>
    <w:rsid w:val="009D63FF"/>
    <w:rsid w:val="009E175D"/>
    <w:rsid w:val="009E3CC2"/>
    <w:rsid w:val="009F06BD"/>
    <w:rsid w:val="009F0D95"/>
    <w:rsid w:val="009F2A4D"/>
    <w:rsid w:val="00A00828"/>
    <w:rsid w:val="00A03290"/>
    <w:rsid w:val="00A0387E"/>
    <w:rsid w:val="00A038B6"/>
    <w:rsid w:val="00A05BFD"/>
    <w:rsid w:val="00A07490"/>
    <w:rsid w:val="00A10655"/>
    <w:rsid w:val="00A12B64"/>
    <w:rsid w:val="00A12D6F"/>
    <w:rsid w:val="00A22C38"/>
    <w:rsid w:val="00A25193"/>
    <w:rsid w:val="00A26E80"/>
    <w:rsid w:val="00A31AE8"/>
    <w:rsid w:val="00A31B58"/>
    <w:rsid w:val="00A3739D"/>
    <w:rsid w:val="00A37DDA"/>
    <w:rsid w:val="00A45005"/>
    <w:rsid w:val="00A567EE"/>
    <w:rsid w:val="00A56E9B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0DE"/>
    <w:rsid w:val="00AE25C6"/>
    <w:rsid w:val="00AE306C"/>
    <w:rsid w:val="00AE6047"/>
    <w:rsid w:val="00AF28C1"/>
    <w:rsid w:val="00B02EF1"/>
    <w:rsid w:val="00B07C97"/>
    <w:rsid w:val="00B11C67"/>
    <w:rsid w:val="00B14257"/>
    <w:rsid w:val="00B15754"/>
    <w:rsid w:val="00B15C2F"/>
    <w:rsid w:val="00B16002"/>
    <w:rsid w:val="00B2046E"/>
    <w:rsid w:val="00B20E8B"/>
    <w:rsid w:val="00B2229C"/>
    <w:rsid w:val="00B257E1"/>
    <w:rsid w:val="00B2599A"/>
    <w:rsid w:val="00B27AA6"/>
    <w:rsid w:val="00B27AC4"/>
    <w:rsid w:val="00B343CC"/>
    <w:rsid w:val="00B5084A"/>
    <w:rsid w:val="00B606A1"/>
    <w:rsid w:val="00B614F7"/>
    <w:rsid w:val="00B61B26"/>
    <w:rsid w:val="00B65E6B"/>
    <w:rsid w:val="00B675B2"/>
    <w:rsid w:val="00B71CA6"/>
    <w:rsid w:val="00B81261"/>
    <w:rsid w:val="00B8223E"/>
    <w:rsid w:val="00B832AE"/>
    <w:rsid w:val="00B845E8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4A51"/>
    <w:rsid w:val="00BE6144"/>
    <w:rsid w:val="00BE635A"/>
    <w:rsid w:val="00BF1290"/>
    <w:rsid w:val="00BF17E9"/>
    <w:rsid w:val="00BF2ABB"/>
    <w:rsid w:val="00BF5099"/>
    <w:rsid w:val="00C00467"/>
    <w:rsid w:val="00C10B5E"/>
    <w:rsid w:val="00C10F10"/>
    <w:rsid w:val="00C14DA8"/>
    <w:rsid w:val="00C15D4D"/>
    <w:rsid w:val="00C175DC"/>
    <w:rsid w:val="00C2146C"/>
    <w:rsid w:val="00C23014"/>
    <w:rsid w:val="00C30171"/>
    <w:rsid w:val="00C309D8"/>
    <w:rsid w:val="00C33F19"/>
    <w:rsid w:val="00C40168"/>
    <w:rsid w:val="00C43519"/>
    <w:rsid w:val="00C44778"/>
    <w:rsid w:val="00C45263"/>
    <w:rsid w:val="00C51537"/>
    <w:rsid w:val="00C52BC3"/>
    <w:rsid w:val="00C55410"/>
    <w:rsid w:val="00C61AFA"/>
    <w:rsid w:val="00C61D64"/>
    <w:rsid w:val="00C62099"/>
    <w:rsid w:val="00C62A34"/>
    <w:rsid w:val="00C635A9"/>
    <w:rsid w:val="00C64EA3"/>
    <w:rsid w:val="00C72867"/>
    <w:rsid w:val="00C75E81"/>
    <w:rsid w:val="00C83BB6"/>
    <w:rsid w:val="00C86609"/>
    <w:rsid w:val="00C8721B"/>
    <w:rsid w:val="00C92B4C"/>
    <w:rsid w:val="00C954F6"/>
    <w:rsid w:val="00CA36A0"/>
    <w:rsid w:val="00CA6BC5"/>
    <w:rsid w:val="00CC571B"/>
    <w:rsid w:val="00CC61CD"/>
    <w:rsid w:val="00CC6C02"/>
    <w:rsid w:val="00CC737B"/>
    <w:rsid w:val="00CD28AE"/>
    <w:rsid w:val="00CD5011"/>
    <w:rsid w:val="00CE640F"/>
    <w:rsid w:val="00CE76BC"/>
    <w:rsid w:val="00CF540E"/>
    <w:rsid w:val="00D02F07"/>
    <w:rsid w:val="00D070E9"/>
    <w:rsid w:val="00D133F4"/>
    <w:rsid w:val="00D155AD"/>
    <w:rsid w:val="00D15D88"/>
    <w:rsid w:val="00D27D49"/>
    <w:rsid w:val="00D27EBE"/>
    <w:rsid w:val="00D34F3D"/>
    <w:rsid w:val="00D36A49"/>
    <w:rsid w:val="00D47DC7"/>
    <w:rsid w:val="00D517C6"/>
    <w:rsid w:val="00D6032E"/>
    <w:rsid w:val="00D62D60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2EC1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28F8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98E"/>
    <w:rsid w:val="00E95C39"/>
    <w:rsid w:val="00EA2C39"/>
    <w:rsid w:val="00EB0539"/>
    <w:rsid w:val="00EB0A3C"/>
    <w:rsid w:val="00EB0A96"/>
    <w:rsid w:val="00EB0CE4"/>
    <w:rsid w:val="00EB1FFC"/>
    <w:rsid w:val="00EB77F9"/>
    <w:rsid w:val="00EC5769"/>
    <w:rsid w:val="00EC7D00"/>
    <w:rsid w:val="00ED0304"/>
    <w:rsid w:val="00ED4FF7"/>
    <w:rsid w:val="00ED5B7B"/>
    <w:rsid w:val="00ED5C6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6F03"/>
    <w:rsid w:val="00F2504D"/>
    <w:rsid w:val="00F30AE1"/>
    <w:rsid w:val="00F55B0A"/>
    <w:rsid w:val="00F5696E"/>
    <w:rsid w:val="00F56CAD"/>
    <w:rsid w:val="00F60EFF"/>
    <w:rsid w:val="00F67D2D"/>
    <w:rsid w:val="00F72F32"/>
    <w:rsid w:val="00F858F2"/>
    <w:rsid w:val="00F860CC"/>
    <w:rsid w:val="00F94398"/>
    <w:rsid w:val="00FB2B56"/>
    <w:rsid w:val="00FB55D5"/>
    <w:rsid w:val="00FB6C86"/>
    <w:rsid w:val="00FC12BF"/>
    <w:rsid w:val="00FC2C60"/>
    <w:rsid w:val="00FD1AC3"/>
    <w:rsid w:val="00FD3E6F"/>
    <w:rsid w:val="00FD51B9"/>
    <w:rsid w:val="00FD5849"/>
    <w:rsid w:val="00FD5F46"/>
    <w:rsid w:val="00FD7223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F7C25"/>
  <w15:docId w15:val="{22F9874C-A076-40BE-A698-59605C6C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1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9"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9"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9"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9"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9"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9"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99"/>
    <w:qFormat/>
    <w:rsid w:val="008765D1"/>
    <w:pPr>
      <w:numPr>
        <w:numId w:val="12"/>
      </w:numPr>
      <w:spacing w:after="120"/>
    </w:pPr>
  </w:style>
  <w:style w:type="paragraph" w:styleId="ListNumber2">
    <w:name w:val="List Number 2"/>
    <w:aliases w:val="Number list level 2"/>
    <w:basedOn w:val="Normal"/>
    <w:uiPriority w:val="99"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99"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99"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99"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99"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99"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99"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99"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99"/>
    <w:rsid w:val="004E2CB7"/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numbering" w:customStyle="1" w:styleId="NTGStandardNumList">
    <w:name w:val="NTG Standard Num List"/>
    <w:uiPriority w:val="99"/>
    <w:rsid w:val="00B2229C"/>
    <w:pPr>
      <w:numPr>
        <w:numId w:val="9"/>
      </w:numPr>
    </w:pPr>
  </w:style>
  <w:style w:type="paragraph" w:customStyle="1" w:styleId="NTGTableBulletList1">
    <w:name w:val="NTG Table Bullet List 1"/>
    <w:semiHidden/>
    <w:qFormat/>
    <w:rsid w:val="00B2229C"/>
    <w:pPr>
      <w:numPr>
        <w:numId w:val="11"/>
      </w:numPr>
      <w:spacing w:after="20"/>
    </w:pPr>
  </w:style>
  <w:style w:type="paragraph" w:customStyle="1" w:styleId="NTGTableBulletList2">
    <w:name w:val="NTG Table Bullet List 2"/>
    <w:basedOn w:val="NTGTableBulletList1"/>
    <w:semiHidden/>
    <w:qFormat/>
    <w:rsid w:val="00B2229C"/>
    <w:pPr>
      <w:numPr>
        <w:ilvl w:val="1"/>
      </w:numPr>
    </w:pPr>
  </w:style>
  <w:style w:type="paragraph" w:customStyle="1" w:styleId="NTGTableBulletList3">
    <w:name w:val="NTG Table Bullet List 3"/>
    <w:basedOn w:val="NTGTableBulletList2"/>
    <w:semiHidden/>
    <w:qFormat/>
    <w:rsid w:val="00B2229C"/>
    <w:pPr>
      <w:numPr>
        <w:ilvl w:val="2"/>
      </w:numPr>
    </w:pPr>
  </w:style>
  <w:style w:type="paragraph" w:customStyle="1" w:styleId="NTGTableBulletList4">
    <w:name w:val="NTG Table Bullet List 4"/>
    <w:basedOn w:val="NTGTableBulletList3"/>
    <w:semiHidden/>
    <w:qFormat/>
    <w:rsid w:val="00B2229C"/>
    <w:pPr>
      <w:numPr>
        <w:ilvl w:val="3"/>
      </w:numPr>
    </w:pPr>
  </w:style>
  <w:style w:type="paragraph" w:customStyle="1" w:styleId="NTGTableBulletList5">
    <w:name w:val="NTG Table Bullet List 5"/>
    <w:basedOn w:val="NTGTableBulletList4"/>
    <w:semiHidden/>
    <w:qFormat/>
    <w:rsid w:val="00B2229C"/>
    <w:pPr>
      <w:numPr>
        <w:ilvl w:val="4"/>
      </w:numPr>
    </w:pPr>
  </w:style>
  <w:style w:type="paragraph" w:customStyle="1" w:styleId="NTGTableBulletList6">
    <w:name w:val="NTG Table Bullet List 6"/>
    <w:basedOn w:val="NTGTableBulletList5"/>
    <w:semiHidden/>
    <w:qFormat/>
    <w:rsid w:val="00B2229C"/>
    <w:pPr>
      <w:numPr>
        <w:ilvl w:val="5"/>
      </w:numPr>
    </w:pPr>
  </w:style>
  <w:style w:type="paragraph" w:customStyle="1" w:styleId="NTGTableBulletList7">
    <w:name w:val="NTG Table Bullet List 7"/>
    <w:basedOn w:val="NTGTableBulletList6"/>
    <w:semiHidden/>
    <w:qFormat/>
    <w:rsid w:val="00B2229C"/>
    <w:pPr>
      <w:numPr>
        <w:ilvl w:val="6"/>
      </w:numPr>
    </w:pPr>
  </w:style>
  <w:style w:type="paragraph" w:customStyle="1" w:styleId="NTGTableBulletList8">
    <w:name w:val="NTG Table Bullet List 8"/>
    <w:basedOn w:val="NTGTableBulletList7"/>
    <w:semiHidden/>
    <w:qFormat/>
    <w:rsid w:val="00B2229C"/>
    <w:pPr>
      <w:numPr>
        <w:ilvl w:val="7"/>
      </w:numPr>
    </w:pPr>
  </w:style>
  <w:style w:type="paragraph" w:customStyle="1" w:styleId="NTGTableBulletList9">
    <w:name w:val="NTG Table Bullet List 9"/>
    <w:basedOn w:val="NTGTableBulletList8"/>
    <w:semiHidden/>
    <w:qFormat/>
    <w:rsid w:val="00B2229C"/>
    <w:pPr>
      <w:numPr>
        <w:ilvl w:val="8"/>
      </w:numPr>
    </w:pPr>
  </w:style>
  <w:style w:type="numbering" w:customStyle="1" w:styleId="NTGTableList">
    <w:name w:val="NTG Table List"/>
    <w:uiPriority w:val="99"/>
    <w:rsid w:val="00B2229C"/>
    <w:pPr>
      <w:numPr>
        <w:numId w:val="10"/>
      </w:numPr>
    </w:pPr>
  </w:style>
  <w:style w:type="paragraph" w:customStyle="1" w:styleId="NTGTableNumList1">
    <w:name w:val="NTG Table Num List 1"/>
    <w:semiHidden/>
    <w:qFormat/>
    <w:rsid w:val="00820DEB"/>
    <w:pPr>
      <w:numPr>
        <w:numId w:val="13"/>
      </w:numPr>
      <w:spacing w:after="20"/>
    </w:pPr>
  </w:style>
  <w:style w:type="paragraph" w:customStyle="1" w:styleId="NTGTableNumList2">
    <w:name w:val="NTG Table Num List 2"/>
    <w:basedOn w:val="NTGTableNumList1"/>
    <w:semiHidden/>
    <w:qFormat/>
    <w:rsid w:val="00820DEB"/>
    <w:pPr>
      <w:numPr>
        <w:ilvl w:val="1"/>
      </w:numPr>
    </w:pPr>
  </w:style>
  <w:style w:type="paragraph" w:customStyle="1" w:styleId="NTGTableNumList3">
    <w:name w:val="NTG Table Num List 3"/>
    <w:basedOn w:val="NTGTableNumList2"/>
    <w:semiHidden/>
    <w:qFormat/>
    <w:rsid w:val="00820DEB"/>
    <w:pPr>
      <w:numPr>
        <w:ilvl w:val="2"/>
      </w:numPr>
    </w:pPr>
  </w:style>
  <w:style w:type="paragraph" w:customStyle="1" w:styleId="NTGTableNumList4">
    <w:name w:val="NTG Table Num List 4"/>
    <w:basedOn w:val="NTGTableNumList3"/>
    <w:semiHidden/>
    <w:qFormat/>
    <w:rsid w:val="00820DEB"/>
    <w:pPr>
      <w:numPr>
        <w:ilvl w:val="3"/>
      </w:numPr>
    </w:pPr>
  </w:style>
  <w:style w:type="paragraph" w:customStyle="1" w:styleId="NTGTableNumList5">
    <w:name w:val="NTG Table Num List 5"/>
    <w:basedOn w:val="NTGTableNumList4"/>
    <w:semiHidden/>
    <w:qFormat/>
    <w:rsid w:val="00820DEB"/>
    <w:pPr>
      <w:numPr>
        <w:ilvl w:val="4"/>
      </w:numPr>
    </w:pPr>
  </w:style>
  <w:style w:type="paragraph" w:customStyle="1" w:styleId="NTGTableNumList6">
    <w:name w:val="NTG Table Num List 6"/>
    <w:basedOn w:val="NTGTableNumList5"/>
    <w:semiHidden/>
    <w:qFormat/>
    <w:rsid w:val="00820DEB"/>
    <w:pPr>
      <w:numPr>
        <w:ilvl w:val="5"/>
      </w:numPr>
    </w:pPr>
  </w:style>
  <w:style w:type="paragraph" w:customStyle="1" w:styleId="NTGTableNumList7">
    <w:name w:val="NTG Table Num List 7"/>
    <w:basedOn w:val="NTGTableNumList6"/>
    <w:semiHidden/>
    <w:qFormat/>
    <w:rsid w:val="00820DEB"/>
    <w:pPr>
      <w:numPr>
        <w:ilvl w:val="6"/>
      </w:numPr>
    </w:pPr>
  </w:style>
  <w:style w:type="paragraph" w:customStyle="1" w:styleId="NTGTableNumList8">
    <w:name w:val="NTG Table Num List 8"/>
    <w:basedOn w:val="NTGTableNumList7"/>
    <w:semiHidden/>
    <w:qFormat/>
    <w:rsid w:val="00820DEB"/>
    <w:pPr>
      <w:numPr>
        <w:ilvl w:val="7"/>
      </w:numPr>
    </w:pPr>
  </w:style>
  <w:style w:type="paragraph" w:customStyle="1" w:styleId="NTGTableNumList9">
    <w:name w:val="NTG Table Num List 9"/>
    <w:basedOn w:val="NTGTableNumList8"/>
    <w:semiHidden/>
    <w:qFormat/>
    <w:rsid w:val="00820DEB"/>
    <w:pPr>
      <w:numPr>
        <w:ilvl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20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DEB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DEB"/>
    <w:rPr>
      <w:sz w:val="20"/>
      <w:szCs w:val="20"/>
    </w:rPr>
  </w:style>
  <w:style w:type="table" w:customStyle="1" w:styleId="NTGTable0">
    <w:name w:val="NTG Table"/>
    <w:basedOn w:val="TableGrid"/>
    <w:uiPriority w:val="99"/>
    <w:rsid w:val="00667C4A"/>
    <w:pPr>
      <w:spacing w:after="40"/>
    </w:p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  <w:tblPr/>
      <w:tcPr>
        <w:shd w:val="clear" w:color="auto" w:fill="BFBFBF" w:themeFill="background1" w:themeFillShade="BF"/>
      </w:tc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Revision">
    <w:name w:val="Revision"/>
    <w:hidden/>
    <w:uiPriority w:val="99"/>
    <w:semiHidden/>
    <w:rsid w:val="00D133F4"/>
    <w:pPr>
      <w:spacing w:after="0"/>
    </w:pPr>
    <w:rPr>
      <w:rFonts w:ascii="Lato" w:hAnsi="Lato"/>
    </w:rPr>
  </w:style>
  <w:style w:type="numbering" w:customStyle="1" w:styleId="NTGTableNumList">
    <w:name w:val="NTG Table Num List"/>
    <w:uiPriority w:val="99"/>
    <w:rsid w:val="00765F4A"/>
    <w:pPr>
      <w:numPr>
        <w:numId w:val="14"/>
      </w:numPr>
    </w:pPr>
  </w:style>
  <w:style w:type="numbering" w:customStyle="1" w:styleId="NTGStandardList">
    <w:name w:val="NTG Standard List"/>
    <w:basedOn w:val="NoList"/>
    <w:rsid w:val="00765F4A"/>
    <w:pPr>
      <w:numPr>
        <w:numId w:val="15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D6F"/>
    <w:rPr>
      <w:rFonts w:ascii="Lato" w:hAnsi="Lato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D6F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48A52D-1DCC-46C4-8B61-B8BD18F3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0</TotalTime>
  <Pages>5</Pages>
  <Words>1346</Words>
  <Characters>7812</Characters>
  <Application>Microsoft Office Word</Application>
  <DocSecurity>0</DocSecurity>
  <Lines>223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Treasurer’s Directions – Fraud control</vt:lpstr>
    </vt:vector>
  </TitlesOfParts>
  <Company>TREASURY AND FINANCE</Company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Treasurer’s Directions – Fraud control</dc:title>
  <dc:creator>Department of Treasury and Finance</dc:creator>
  <cp:lastModifiedBy>Andrea Ruske</cp:lastModifiedBy>
  <cp:revision>2</cp:revision>
  <cp:lastPrinted>2021-03-31T00:33:00Z</cp:lastPrinted>
  <dcterms:created xsi:type="dcterms:W3CDTF">2021-05-21T05:41:00Z</dcterms:created>
  <dcterms:modified xsi:type="dcterms:W3CDTF">2021-05-21T05:41:00Z</dcterms:modified>
</cp:coreProperties>
</file>