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220AA" w14:textId="77777777" w:rsidR="00B14257" w:rsidRDefault="00B2229C" w:rsidP="00B2229C">
      <w:pPr>
        <w:pStyle w:val="Heading1"/>
        <w:spacing w:before="0"/>
      </w:pPr>
      <w:r>
        <w:t>Treasurer’s Directions (mandatory)</w:t>
      </w:r>
    </w:p>
    <w:tbl>
      <w:tblPr>
        <w:tblStyle w:val="NTGtable"/>
        <w:tblW w:w="10343" w:type="dxa"/>
        <w:tblLook w:val="04A0" w:firstRow="1" w:lastRow="0" w:firstColumn="1" w:lastColumn="0" w:noHBand="0" w:noVBand="1"/>
        <w:tblDescription w:val="Details about this Treasurer's Direction."/>
      </w:tblPr>
      <w:tblGrid>
        <w:gridCol w:w="1980"/>
        <w:gridCol w:w="8363"/>
      </w:tblGrid>
      <w:tr w:rsidR="00B2229C" w:rsidRPr="00D133F4" w14:paraId="44E73CF7" w14:textId="77777777" w:rsidTr="008765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tcPr>
          <w:p w14:paraId="7EABEA14" w14:textId="77777777" w:rsidR="00B2229C" w:rsidRPr="00343C61" w:rsidRDefault="00B2229C" w:rsidP="00B2229C">
            <w:pPr>
              <w:rPr>
                <w:bCs/>
              </w:rPr>
            </w:pPr>
            <w:r w:rsidRPr="00D133F4">
              <w:rPr>
                <w:bCs/>
              </w:rPr>
              <w:t>Purpose</w:t>
            </w:r>
          </w:p>
        </w:tc>
        <w:tc>
          <w:tcPr>
            <w:tcW w:w="8363" w:type="dxa"/>
            <w:shd w:val="clear" w:color="auto" w:fill="auto"/>
          </w:tcPr>
          <w:p w14:paraId="243FF6AE" w14:textId="5371CA11" w:rsidR="00B2229C" w:rsidRPr="00D133F4" w:rsidRDefault="0043605D" w:rsidP="00B2229C">
            <w:pPr>
              <w:cnfStyle w:val="100000000000" w:firstRow="1" w:lastRow="0" w:firstColumn="0" w:lastColumn="0" w:oddVBand="0" w:evenVBand="0" w:oddHBand="0" w:evenHBand="0" w:firstRowFirstColumn="0" w:firstRowLastColumn="0" w:lastRowFirstColumn="0" w:lastRowLastColumn="0"/>
              <w:rPr>
                <w:b w:val="0"/>
              </w:rPr>
            </w:pPr>
            <w:r w:rsidRPr="0043605D">
              <w:rPr>
                <w:b w:val="0"/>
                <w:bCs/>
              </w:rPr>
              <w:t>To establish minimum standards for managing the risk, approval process, and accounting requirements of guarantees and indemnities undertaken by the Northern Territory (NT) Government.</w:t>
            </w:r>
          </w:p>
        </w:tc>
      </w:tr>
      <w:tr w:rsidR="00B2229C" w:rsidRPr="00D133F4" w14:paraId="3B7D6971" w14:textId="77777777" w:rsidTr="00B22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325F85E3" w14:textId="77777777" w:rsidR="00B2229C" w:rsidRPr="00343C61" w:rsidRDefault="00B2229C" w:rsidP="00B2229C">
            <w:pPr>
              <w:rPr>
                <w:b/>
                <w:bCs/>
              </w:rPr>
            </w:pPr>
            <w:r w:rsidRPr="00343C61">
              <w:rPr>
                <w:b/>
                <w:bCs/>
              </w:rPr>
              <w:t>Operative date</w:t>
            </w:r>
          </w:p>
        </w:tc>
        <w:tc>
          <w:tcPr>
            <w:tcW w:w="8363" w:type="dxa"/>
          </w:tcPr>
          <w:p w14:paraId="15A02378" w14:textId="352CDA57" w:rsidR="00B2229C" w:rsidRPr="00CD0DBE" w:rsidRDefault="0043605D" w:rsidP="00B2229C">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D0DBE">
              <w:rPr>
                <w:rFonts w:asciiTheme="minorHAnsi" w:hAnsiTheme="minorHAnsi"/>
              </w:rPr>
              <w:t>December 2007</w:t>
            </w:r>
          </w:p>
        </w:tc>
      </w:tr>
      <w:tr w:rsidR="00B2229C" w:rsidRPr="00D133F4" w14:paraId="1A2F46B4" w14:textId="77777777" w:rsidTr="000F5D2D">
        <w:trPr>
          <w:cnfStyle w:val="000000010000" w:firstRow="0" w:lastRow="0" w:firstColumn="0" w:lastColumn="0" w:oddVBand="0" w:evenVBand="0" w:oddHBand="0" w:evenHBand="1"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5542EC64" w14:textId="77777777" w:rsidR="00B2229C" w:rsidRPr="00343C61" w:rsidRDefault="00B2229C" w:rsidP="00B2229C">
            <w:pPr>
              <w:rPr>
                <w:b/>
                <w:bCs/>
              </w:rPr>
            </w:pPr>
            <w:r w:rsidRPr="00343C61">
              <w:rPr>
                <w:b/>
                <w:bCs/>
              </w:rPr>
              <w:t>References</w:t>
            </w:r>
          </w:p>
        </w:tc>
        <w:tc>
          <w:tcPr>
            <w:tcW w:w="8363" w:type="dxa"/>
            <w:shd w:val="clear" w:color="auto" w:fill="auto"/>
          </w:tcPr>
          <w:p w14:paraId="212DA9C0" w14:textId="77777777" w:rsidR="00CD0DBE" w:rsidRDefault="0043605D" w:rsidP="0043605D">
            <w:pPr>
              <w:pStyle w:val="NTGTableBulletList1"/>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D0DBE">
              <w:rPr>
                <w:rFonts w:asciiTheme="minorHAnsi" w:hAnsiTheme="minorHAnsi"/>
              </w:rPr>
              <w:t>Treasurer’s Direction</w:t>
            </w:r>
            <w:r w:rsidR="00CD0DBE">
              <w:rPr>
                <w:rFonts w:asciiTheme="minorHAnsi" w:hAnsiTheme="minorHAnsi"/>
              </w:rPr>
              <w:t>s:</w:t>
            </w:r>
            <w:r w:rsidRPr="00CD0DBE">
              <w:rPr>
                <w:rFonts w:asciiTheme="minorHAnsi" w:hAnsiTheme="minorHAnsi"/>
              </w:rPr>
              <w:t xml:space="preserve"> </w:t>
            </w:r>
          </w:p>
          <w:p w14:paraId="5776DCDF" w14:textId="6E6EE013" w:rsidR="0043605D" w:rsidRPr="00CD0DBE" w:rsidRDefault="0043605D" w:rsidP="000F5D2D">
            <w:pPr>
              <w:pStyle w:val="NTGTableBulletList2"/>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D0DBE">
              <w:rPr>
                <w:rFonts w:asciiTheme="minorHAnsi" w:hAnsiTheme="minorHAnsi"/>
              </w:rPr>
              <w:t>A3.1 – Overview (liabilities)</w:t>
            </w:r>
          </w:p>
          <w:p w14:paraId="06044A55" w14:textId="2E973836" w:rsidR="0043605D" w:rsidRPr="00CD0DBE" w:rsidRDefault="0043605D" w:rsidP="000F5D2D">
            <w:pPr>
              <w:pStyle w:val="NTGTableBulletList2"/>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D0DBE">
              <w:rPr>
                <w:rFonts w:asciiTheme="minorHAnsi" w:hAnsiTheme="minorHAnsi"/>
              </w:rPr>
              <w:t>A3.7 – Contingent liabilities</w:t>
            </w:r>
          </w:p>
          <w:p w14:paraId="6DA440E5" w14:textId="7A542B08" w:rsidR="0043605D" w:rsidRPr="00CD0DBE" w:rsidRDefault="0043605D" w:rsidP="000F5D2D">
            <w:pPr>
              <w:pStyle w:val="NTGTableBulletList2"/>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D0DBE">
              <w:rPr>
                <w:rFonts w:asciiTheme="minorHAnsi" w:hAnsiTheme="minorHAnsi"/>
              </w:rPr>
              <w:t>M2.1 – Insurance arrangements</w:t>
            </w:r>
          </w:p>
          <w:p w14:paraId="515A7CDD" w14:textId="62967C65" w:rsidR="0043605D" w:rsidRPr="00CD0DBE" w:rsidRDefault="0043605D" w:rsidP="0043605D">
            <w:pPr>
              <w:pStyle w:val="NTGTableBulletList1"/>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D0DBE">
              <w:rPr>
                <w:rFonts w:asciiTheme="minorHAnsi" w:hAnsiTheme="minorHAnsi"/>
              </w:rPr>
              <w:t xml:space="preserve">Treasurer’s instruments of delegations </w:t>
            </w:r>
            <w:r w:rsidR="00CD0DBE">
              <w:rPr>
                <w:rFonts w:asciiTheme="minorHAnsi" w:hAnsiTheme="minorHAnsi"/>
              </w:rPr>
              <w:t>and relevant guidance document</w:t>
            </w:r>
          </w:p>
          <w:p w14:paraId="177504E0" w14:textId="77777777" w:rsidR="0043605D" w:rsidRPr="00CD0DBE" w:rsidRDefault="0043605D" w:rsidP="0043605D">
            <w:pPr>
              <w:pStyle w:val="NTGTableBulletList1"/>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D0DBE">
              <w:rPr>
                <w:rFonts w:asciiTheme="minorHAnsi" w:hAnsiTheme="minorHAnsi"/>
              </w:rPr>
              <w:t>Australian Accounting Standards:</w:t>
            </w:r>
          </w:p>
          <w:p w14:paraId="7F48D000" w14:textId="77777777" w:rsidR="0043605D" w:rsidRPr="00CD0DBE" w:rsidRDefault="0043605D" w:rsidP="0043605D">
            <w:pPr>
              <w:pStyle w:val="NTGTableBulletList2"/>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D0DBE">
              <w:rPr>
                <w:rFonts w:asciiTheme="minorHAnsi" w:hAnsiTheme="minorHAnsi"/>
              </w:rPr>
              <w:t>AASB 7 – Financial instruments: Disclosures</w:t>
            </w:r>
          </w:p>
          <w:p w14:paraId="27608CE8" w14:textId="77777777" w:rsidR="0043605D" w:rsidRPr="00CD0DBE" w:rsidRDefault="0043605D" w:rsidP="0043605D">
            <w:pPr>
              <w:pStyle w:val="NTGTableBulletList2"/>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D0DBE">
              <w:rPr>
                <w:rFonts w:asciiTheme="minorHAnsi" w:hAnsiTheme="minorHAnsi"/>
              </w:rPr>
              <w:t>AASB 9 – Financial instruments</w:t>
            </w:r>
          </w:p>
          <w:p w14:paraId="3E0A7254" w14:textId="77777777" w:rsidR="0043605D" w:rsidRPr="00CD0DBE" w:rsidRDefault="0043605D" w:rsidP="0043605D">
            <w:pPr>
              <w:pStyle w:val="NTGTableBulletList2"/>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D0DBE">
              <w:rPr>
                <w:rFonts w:asciiTheme="minorHAnsi" w:hAnsiTheme="minorHAnsi"/>
              </w:rPr>
              <w:t>AASB 13 – Fair value measurement</w:t>
            </w:r>
          </w:p>
          <w:p w14:paraId="31D0D662" w14:textId="77777777" w:rsidR="0043605D" w:rsidRPr="00CD0DBE" w:rsidRDefault="0043605D" w:rsidP="0043605D">
            <w:pPr>
              <w:pStyle w:val="NTGTableBulletList2"/>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D0DBE">
              <w:rPr>
                <w:rFonts w:asciiTheme="minorHAnsi" w:hAnsiTheme="minorHAnsi"/>
              </w:rPr>
              <w:t>AASB 132 – Financial instruments: Presentation</w:t>
            </w:r>
          </w:p>
          <w:p w14:paraId="33BD4D96" w14:textId="77777777" w:rsidR="0043605D" w:rsidRPr="00CD0DBE" w:rsidRDefault="0043605D" w:rsidP="0043605D">
            <w:pPr>
              <w:pStyle w:val="NTGTableBulletList2"/>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D0DBE">
              <w:rPr>
                <w:rFonts w:asciiTheme="minorHAnsi" w:hAnsiTheme="minorHAnsi"/>
              </w:rPr>
              <w:t>AASB 137 – Provisions, contingent liabilities and contingent assets</w:t>
            </w:r>
          </w:p>
          <w:p w14:paraId="08435562" w14:textId="0056411F" w:rsidR="0043605D" w:rsidRPr="00CD0DBE" w:rsidRDefault="0043605D" w:rsidP="00B14621">
            <w:pPr>
              <w:pStyle w:val="NTGTableBulletList1"/>
              <w:cnfStyle w:val="000000010000" w:firstRow="0" w:lastRow="0" w:firstColumn="0" w:lastColumn="0" w:oddVBand="0" w:evenVBand="0" w:oddHBand="0" w:evenHBand="1" w:firstRowFirstColumn="0" w:firstRowLastColumn="0" w:lastRowFirstColumn="0" w:lastRowLastColumn="0"/>
              <w:rPr>
                <w:rFonts w:asciiTheme="minorHAnsi" w:hAnsiTheme="minorHAnsi"/>
                <w:i/>
              </w:rPr>
            </w:pPr>
            <w:r w:rsidRPr="00CD0DBE">
              <w:rPr>
                <w:rFonts w:asciiTheme="minorHAnsi" w:hAnsiTheme="minorHAnsi"/>
                <w:i/>
              </w:rPr>
              <w:t>Financial Management Act 1995</w:t>
            </w:r>
            <w:r w:rsidRPr="00CD0DBE">
              <w:rPr>
                <w:rFonts w:asciiTheme="minorHAnsi" w:hAnsiTheme="minorHAnsi"/>
              </w:rPr>
              <w:t xml:space="preserve"> (FMA)</w:t>
            </w:r>
          </w:p>
        </w:tc>
      </w:tr>
    </w:tbl>
    <w:p w14:paraId="22B8206A" w14:textId="41B0B5C2" w:rsidR="00B2229C" w:rsidRDefault="0043605D" w:rsidP="00B2229C">
      <w:pPr>
        <w:pStyle w:val="Heading1"/>
      </w:pPr>
      <w:r>
        <w:t>Definitions</w:t>
      </w:r>
    </w:p>
    <w:p w14:paraId="54FA94C9" w14:textId="4ED0B87C" w:rsidR="00820DEB" w:rsidRDefault="0043605D" w:rsidP="00EB1FFC">
      <w:pPr>
        <w:pStyle w:val="Heading2"/>
      </w:pPr>
      <w:r>
        <w:t>Guarantee</w:t>
      </w:r>
    </w:p>
    <w:p w14:paraId="0074F83C" w14:textId="75016A7F" w:rsidR="00EB1FFC" w:rsidRDefault="0043605D" w:rsidP="0043605D">
      <w:pPr>
        <w:pStyle w:val="ListNumber"/>
        <w:ind w:left="357" w:hanging="357"/>
      </w:pPr>
      <w:bookmarkStart w:id="0" w:name="_Ref8378856"/>
      <w:r w:rsidRPr="009A53E3">
        <w:t>A guarantee is an undertaking to assume responsibility for the debt of, or performance of obligations by another party should the party default.</w:t>
      </w:r>
      <w:bookmarkEnd w:id="0"/>
    </w:p>
    <w:p w14:paraId="2C379EE0" w14:textId="561D8594" w:rsidR="0043605D" w:rsidRPr="0043605D" w:rsidRDefault="0043605D" w:rsidP="0043605D">
      <w:pPr>
        <w:pStyle w:val="Heading3"/>
      </w:pPr>
      <w:r>
        <w:t>Financial Guarantee</w:t>
      </w:r>
    </w:p>
    <w:p w14:paraId="392D7C6C" w14:textId="00F67FED" w:rsidR="0043605D" w:rsidRDefault="0043605D" w:rsidP="0043605D">
      <w:pPr>
        <w:pStyle w:val="ListNumber"/>
      </w:pPr>
      <w:r>
        <w:t>A financial guarantee is an undertaking to make payments to reimburse a lender for a loss incurred should a specified borrower default.</w:t>
      </w:r>
    </w:p>
    <w:p w14:paraId="0B965615" w14:textId="578D9FF2" w:rsidR="0043605D" w:rsidRDefault="0043605D" w:rsidP="0043605D">
      <w:pPr>
        <w:pStyle w:val="Heading3"/>
      </w:pPr>
      <w:r>
        <w:t>Default</w:t>
      </w:r>
    </w:p>
    <w:p w14:paraId="1F136B92" w14:textId="77777777" w:rsidR="0043605D" w:rsidRDefault="0043605D" w:rsidP="0043605D">
      <w:pPr>
        <w:pStyle w:val="ListNumber"/>
        <w:ind w:left="357" w:hanging="357"/>
      </w:pPr>
      <w:r>
        <w:t>Default refers to either:</w:t>
      </w:r>
    </w:p>
    <w:p w14:paraId="47127EAE" w14:textId="77777777" w:rsidR="0043605D" w:rsidRDefault="0043605D" w:rsidP="00B14621">
      <w:pPr>
        <w:pStyle w:val="ListNumber"/>
        <w:numPr>
          <w:ilvl w:val="0"/>
          <w:numId w:val="15"/>
        </w:numPr>
      </w:pPr>
      <w:bookmarkStart w:id="1" w:name="_Ref1381817"/>
      <w:bookmarkStart w:id="2" w:name="_Ref1398538"/>
      <w:proofErr w:type="spellStart"/>
      <w:r>
        <w:t>non payment</w:t>
      </w:r>
      <w:proofErr w:type="spellEnd"/>
      <w:r>
        <w:t xml:space="preserve"> of a debt</w:t>
      </w:r>
      <w:bookmarkEnd w:id="1"/>
      <w:bookmarkEnd w:id="2"/>
    </w:p>
    <w:p w14:paraId="6F3DF402" w14:textId="7FCBBE9D" w:rsidR="0043605D" w:rsidRPr="0043605D" w:rsidRDefault="0043605D" w:rsidP="00B14621">
      <w:pPr>
        <w:pStyle w:val="ListNumber"/>
        <w:numPr>
          <w:ilvl w:val="0"/>
          <w:numId w:val="15"/>
        </w:numPr>
      </w:pPr>
      <w:r>
        <w:t xml:space="preserve">or </w:t>
      </w:r>
      <w:proofErr w:type="spellStart"/>
      <w:r>
        <w:t>non performance</w:t>
      </w:r>
      <w:proofErr w:type="spellEnd"/>
      <w:r>
        <w:t xml:space="preserve"> of obligations.</w:t>
      </w:r>
    </w:p>
    <w:p w14:paraId="480295A6" w14:textId="3A812FBC" w:rsidR="0043605D" w:rsidRDefault="0043605D" w:rsidP="0043605D">
      <w:pPr>
        <w:pStyle w:val="Heading2"/>
      </w:pPr>
      <w:r>
        <w:t xml:space="preserve">Indemnity </w:t>
      </w:r>
    </w:p>
    <w:p w14:paraId="445F7417" w14:textId="77777777" w:rsidR="0043605D" w:rsidRDefault="0043605D" w:rsidP="0043605D">
      <w:pPr>
        <w:pStyle w:val="ListNumber"/>
      </w:pPr>
      <w:r w:rsidRPr="009A53E3">
        <w:t xml:space="preserve">An indemnity is an undertaking to compensate, protect or insure another person or entity against future financial loss, </w:t>
      </w:r>
      <w:proofErr w:type="gramStart"/>
      <w:r w:rsidRPr="009A53E3">
        <w:t>damage</w:t>
      </w:r>
      <w:proofErr w:type="gramEnd"/>
      <w:r w:rsidRPr="009A53E3">
        <w:t xml:space="preserve"> or liability.</w:t>
      </w:r>
    </w:p>
    <w:p w14:paraId="29301394" w14:textId="55014921" w:rsidR="0043605D" w:rsidRDefault="0043605D" w:rsidP="0043605D">
      <w:pPr>
        <w:pStyle w:val="Heading2"/>
      </w:pPr>
      <w:r>
        <w:lastRenderedPageBreak/>
        <w:t xml:space="preserve">Legal instrument </w:t>
      </w:r>
    </w:p>
    <w:p w14:paraId="14965A44" w14:textId="5B490DCA" w:rsidR="0043605D" w:rsidRDefault="0043605D" w:rsidP="0043605D">
      <w:pPr>
        <w:pStyle w:val="ListNumber"/>
      </w:pPr>
      <w:r>
        <w:t>A legal instrument is a formally executed legal document that expresses a legally enforceable act, process or contractual duty, obligation or right, and can include but is not limited to agreements, contracts and deeds.</w:t>
      </w:r>
    </w:p>
    <w:p w14:paraId="2D5F63B6" w14:textId="20062815" w:rsidR="0043605D" w:rsidRPr="0043605D" w:rsidRDefault="0043605D" w:rsidP="0043605D">
      <w:pPr>
        <w:pStyle w:val="Heading1"/>
      </w:pPr>
      <w:r>
        <w:t xml:space="preserve">Risk management </w:t>
      </w:r>
    </w:p>
    <w:p w14:paraId="327F5B78" w14:textId="0349D65E" w:rsidR="0043605D" w:rsidRDefault="0043605D" w:rsidP="0043605D">
      <w:pPr>
        <w:pStyle w:val="Heading2"/>
      </w:pPr>
      <w:r>
        <w:t xml:space="preserve">Risk assessment </w:t>
      </w:r>
    </w:p>
    <w:p w14:paraId="6F359383" w14:textId="796EFF49" w:rsidR="0043605D" w:rsidRPr="00C61949" w:rsidRDefault="0043605D" w:rsidP="0043605D">
      <w:pPr>
        <w:pStyle w:val="ListNumber"/>
      </w:pPr>
      <w:bookmarkStart w:id="3" w:name="_Ref8370904"/>
      <w:bookmarkStart w:id="4" w:name="_Ref2073180"/>
      <w:bookmarkStart w:id="5" w:name="_Ref2068688"/>
      <w:r>
        <w:t>Prior to following the relevant approval process (see paragraphs </w:t>
      </w:r>
      <w:r>
        <w:fldChar w:fldCharType="begin"/>
      </w:r>
      <w:r>
        <w:instrText xml:space="preserve"> REF _Ref8377442 \w \h </w:instrText>
      </w:r>
      <w:r>
        <w:fldChar w:fldCharType="separate"/>
      </w:r>
      <w:r w:rsidR="0037690A">
        <w:t>12</w:t>
      </w:r>
      <w:r>
        <w:fldChar w:fldCharType="end"/>
      </w:r>
      <w:r>
        <w:t xml:space="preserve"> to </w:t>
      </w:r>
      <w:r>
        <w:fldChar w:fldCharType="begin"/>
      </w:r>
      <w:r>
        <w:instrText xml:space="preserve"> REF _Ref2085144 \w \h </w:instrText>
      </w:r>
      <w:r>
        <w:fldChar w:fldCharType="separate"/>
      </w:r>
      <w:r w:rsidR="0037690A">
        <w:t>17</w:t>
      </w:r>
      <w:r>
        <w:fldChar w:fldCharType="end"/>
      </w:r>
      <w:r>
        <w:t>), an accountable officer must conduct and document a risk assessment for a guarantee or indemnity, giving consideration to paragraphs </w:t>
      </w:r>
      <w:r>
        <w:fldChar w:fldCharType="begin"/>
      </w:r>
      <w:r>
        <w:instrText xml:space="preserve"> REF _Ref8636227 \w \h </w:instrText>
      </w:r>
      <w:r>
        <w:fldChar w:fldCharType="separate"/>
      </w:r>
      <w:r w:rsidR="0037690A">
        <w:t>7</w:t>
      </w:r>
      <w:r>
        <w:fldChar w:fldCharType="end"/>
      </w:r>
      <w:r>
        <w:t xml:space="preserve"> </w:t>
      </w:r>
      <w:r w:rsidRPr="00C61949">
        <w:t>and </w:t>
      </w:r>
      <w:r w:rsidRPr="00C61949">
        <w:fldChar w:fldCharType="begin"/>
      </w:r>
      <w:r w:rsidRPr="00C61949">
        <w:instrText xml:space="preserve"> REF _Ref9934675 \r \h  \* MERGEFORMAT </w:instrText>
      </w:r>
      <w:r w:rsidRPr="00C61949">
        <w:fldChar w:fldCharType="separate"/>
      </w:r>
      <w:r w:rsidR="0037690A">
        <w:t>8</w:t>
      </w:r>
      <w:r w:rsidRPr="00C61949">
        <w:fldChar w:fldCharType="end"/>
      </w:r>
      <w:r w:rsidRPr="00C61949">
        <w:t>.</w:t>
      </w:r>
    </w:p>
    <w:p w14:paraId="7568FC20" w14:textId="77777777" w:rsidR="0043605D" w:rsidRPr="00C61949" w:rsidRDefault="0043605D" w:rsidP="0043605D">
      <w:pPr>
        <w:pStyle w:val="ListNumber"/>
      </w:pPr>
      <w:bookmarkStart w:id="6" w:name="_Ref8636227"/>
      <w:r w:rsidRPr="00C61949">
        <w:t>The risks assumed for a guarantee or indemnity must:</w:t>
      </w:r>
      <w:bookmarkEnd w:id="3"/>
      <w:bookmarkEnd w:id="6"/>
    </w:p>
    <w:bookmarkEnd w:id="4"/>
    <w:p w14:paraId="579D5B6C" w14:textId="77777777" w:rsidR="0043605D" w:rsidRPr="00C61949" w:rsidRDefault="0043605D" w:rsidP="000F16A8">
      <w:pPr>
        <w:pStyle w:val="ListNumber"/>
        <w:numPr>
          <w:ilvl w:val="0"/>
          <w:numId w:val="25"/>
        </w:numPr>
      </w:pPr>
      <w:r w:rsidRPr="00C61949">
        <w:t>be commensurate with the objectives, scope and benefits of providing the guarantee or indemnity</w:t>
      </w:r>
    </w:p>
    <w:p w14:paraId="4AC92B8E" w14:textId="77777777" w:rsidR="0043605D" w:rsidRPr="00C61949" w:rsidRDefault="0043605D" w:rsidP="000F16A8">
      <w:pPr>
        <w:pStyle w:val="ListNumber"/>
        <w:numPr>
          <w:ilvl w:val="0"/>
          <w:numId w:val="25"/>
        </w:numPr>
      </w:pPr>
      <w:r w:rsidRPr="00C61949">
        <w:t xml:space="preserve">be limited to matters </w:t>
      </w:r>
      <w:r>
        <w:t>that</w:t>
      </w:r>
      <w:r w:rsidRPr="00C61949">
        <w:t xml:space="preserve"> are within the NT Government’s control</w:t>
      </w:r>
    </w:p>
    <w:p w14:paraId="2298C0F4" w14:textId="77777777" w:rsidR="0043605D" w:rsidRPr="00C61949" w:rsidRDefault="0043605D" w:rsidP="000F16A8">
      <w:pPr>
        <w:pStyle w:val="ListNumber"/>
        <w:numPr>
          <w:ilvl w:val="0"/>
          <w:numId w:val="25"/>
        </w:numPr>
      </w:pPr>
      <w:r w:rsidRPr="00C61949">
        <w:t>not present unacceptable risk exposure to the NT Government.</w:t>
      </w:r>
    </w:p>
    <w:p w14:paraId="592F065D" w14:textId="77777777" w:rsidR="0043605D" w:rsidRPr="00C61949" w:rsidRDefault="0043605D" w:rsidP="0043605D">
      <w:pPr>
        <w:pStyle w:val="ListNumber"/>
      </w:pPr>
      <w:bookmarkStart w:id="7" w:name="_Ref9934675"/>
      <w:r w:rsidRPr="00C61949">
        <w:t>The accountable officer must consider if it is commercially appropriate to mitigate risks associated with a guarantee or indemnity through commercial insurance arrangements (see Treasurer’s Direction on insurance arrangements).</w:t>
      </w:r>
      <w:bookmarkEnd w:id="7"/>
    </w:p>
    <w:bookmarkEnd w:id="5"/>
    <w:p w14:paraId="26DF8EC1" w14:textId="40A82BAF" w:rsidR="0043605D" w:rsidRDefault="0043605D" w:rsidP="0043605D">
      <w:pPr>
        <w:pStyle w:val="Heading2"/>
      </w:pPr>
      <w:r>
        <w:t>Monitoring and evaluation</w:t>
      </w:r>
    </w:p>
    <w:p w14:paraId="48C89D5C" w14:textId="77777777" w:rsidR="0043605D" w:rsidRDefault="0043605D" w:rsidP="0043605D">
      <w:pPr>
        <w:pStyle w:val="ListNumber"/>
      </w:pPr>
      <w:r>
        <w:t>An accountable officer must:</w:t>
      </w:r>
    </w:p>
    <w:p w14:paraId="5349B613" w14:textId="554D5A10" w:rsidR="0043605D" w:rsidRDefault="0043605D" w:rsidP="000F16A8">
      <w:pPr>
        <w:pStyle w:val="ListNumber"/>
        <w:numPr>
          <w:ilvl w:val="0"/>
          <w:numId w:val="27"/>
        </w:numPr>
      </w:pPr>
      <w:r>
        <w:t>monitor and evaluate risks arising over the life of each guarantee and indemnity at least once every financial year</w:t>
      </w:r>
    </w:p>
    <w:p w14:paraId="4DDAE712" w14:textId="33A807F5" w:rsidR="0043605D" w:rsidRDefault="0043605D" w:rsidP="000F16A8">
      <w:pPr>
        <w:pStyle w:val="ListNumber"/>
        <w:numPr>
          <w:ilvl w:val="0"/>
          <w:numId w:val="27"/>
        </w:numPr>
      </w:pPr>
      <w:r>
        <w:t>assess if financial guarantees are impaired and, if applicable, recognise a loss allowance (see paragraph </w:t>
      </w:r>
      <w:r>
        <w:fldChar w:fldCharType="begin"/>
      </w:r>
      <w:r>
        <w:instrText xml:space="preserve"> REF _Ref8638357 \w \h </w:instrText>
      </w:r>
      <w:r w:rsidR="000F16A8">
        <w:instrText xml:space="preserve"> \* MERGEFORMAT </w:instrText>
      </w:r>
      <w:r>
        <w:fldChar w:fldCharType="separate"/>
      </w:r>
      <w:r w:rsidR="0037690A">
        <w:t>27</w:t>
      </w:r>
      <w:r>
        <w:fldChar w:fldCharType="end"/>
      </w:r>
      <w:r>
        <w:t>)</w:t>
      </w:r>
    </w:p>
    <w:p w14:paraId="61DF7428" w14:textId="2A87A62F" w:rsidR="0043605D" w:rsidRDefault="0043605D" w:rsidP="000F16A8">
      <w:pPr>
        <w:pStyle w:val="ListNumber"/>
        <w:numPr>
          <w:ilvl w:val="0"/>
          <w:numId w:val="27"/>
        </w:numPr>
      </w:pPr>
      <w:r>
        <w:t>where possible, take action to mitigate or minimise identified risks within a reasonable timeframe.</w:t>
      </w:r>
    </w:p>
    <w:p w14:paraId="30FF2773" w14:textId="299AB773" w:rsidR="0043605D" w:rsidRDefault="0043605D" w:rsidP="0043605D">
      <w:pPr>
        <w:pStyle w:val="Heading2"/>
      </w:pPr>
      <w:r>
        <w:t xml:space="preserve">Subsequent events </w:t>
      </w:r>
    </w:p>
    <w:p w14:paraId="5601DDBF" w14:textId="1CA2E2DD" w:rsidR="0043605D" w:rsidRPr="009771AC" w:rsidRDefault="0043605D" w:rsidP="0043605D">
      <w:pPr>
        <w:pStyle w:val="ListNumber"/>
        <w:ind w:left="357" w:hanging="357"/>
      </w:pPr>
      <w:r w:rsidRPr="009771AC">
        <w:t xml:space="preserve">Where there is a change in </w:t>
      </w:r>
      <w:r>
        <w:t xml:space="preserve">the </w:t>
      </w:r>
      <w:r w:rsidRPr="009771AC">
        <w:t xml:space="preserve">circumstances of a guarantee or indemnity </w:t>
      </w:r>
      <w:r>
        <w:t>that</w:t>
      </w:r>
      <w:r w:rsidRPr="009771AC">
        <w:t xml:space="preserve"> results in a material increase in the level of risk, the accountable officer must recognise the change i</w:t>
      </w:r>
      <w:r w:rsidR="00B14621">
        <w:t>n liability (and de</w:t>
      </w:r>
      <w:r w:rsidR="00B14621">
        <w:noBreakHyphen/>
      </w:r>
      <w:r w:rsidRPr="009771AC">
        <w:t>recognise a contingent liability where applicable</w:t>
      </w:r>
      <w:r>
        <w:t>,</w:t>
      </w:r>
      <w:r w:rsidRPr="009771AC">
        <w:t xml:space="preserve"> </w:t>
      </w:r>
      <w:r>
        <w:t xml:space="preserve">see </w:t>
      </w:r>
      <w:r w:rsidRPr="009771AC">
        <w:t>Treasurer’s Direction on contingent liabilities).</w:t>
      </w:r>
    </w:p>
    <w:p w14:paraId="20A4D077" w14:textId="77777777" w:rsidR="0043605D" w:rsidRDefault="0043605D" w:rsidP="0043605D">
      <w:pPr>
        <w:pStyle w:val="ListNumber"/>
        <w:ind w:left="357" w:hanging="357"/>
      </w:pPr>
      <w:r>
        <w:t>Where there is a change in the circumstances of a guarantee or indemnity, which results in an increase in the level of risk, to the extent that it is likely the NT Government will be called upon to make financial compensation, the accountable officer must:</w:t>
      </w:r>
    </w:p>
    <w:p w14:paraId="6DDE242B" w14:textId="77777777" w:rsidR="0043605D" w:rsidRDefault="0043605D" w:rsidP="000F16A8">
      <w:pPr>
        <w:pStyle w:val="ListNumber"/>
        <w:numPr>
          <w:ilvl w:val="0"/>
          <w:numId w:val="29"/>
        </w:numPr>
      </w:pPr>
      <w:r>
        <w:t>assess the likely demands that would be made by the beneficiaries of the guarantee or indemnity</w:t>
      </w:r>
    </w:p>
    <w:p w14:paraId="7E1E75A3" w14:textId="77777777" w:rsidR="0043605D" w:rsidRDefault="0043605D" w:rsidP="000F16A8">
      <w:pPr>
        <w:pStyle w:val="ListNumber"/>
        <w:numPr>
          <w:ilvl w:val="0"/>
          <w:numId w:val="29"/>
        </w:numPr>
      </w:pPr>
      <w:r>
        <w:t>develop contingency plans to mitigate against risks identified in the assessment</w:t>
      </w:r>
    </w:p>
    <w:p w14:paraId="7193DD55" w14:textId="77777777" w:rsidR="0043605D" w:rsidRDefault="0043605D" w:rsidP="000F16A8">
      <w:pPr>
        <w:pStyle w:val="ListNumber"/>
        <w:numPr>
          <w:ilvl w:val="0"/>
          <w:numId w:val="29"/>
        </w:numPr>
      </w:pPr>
      <w:r>
        <w:t>provide the Department of Treasury and Finance (DTF) with details of the changed circumstances and contingency plans, within a reasonable period after becoming aware of the change in circumstances.</w:t>
      </w:r>
    </w:p>
    <w:p w14:paraId="0EA0B75D" w14:textId="32ABB004" w:rsidR="0043605D" w:rsidRDefault="0043605D" w:rsidP="0043605D">
      <w:pPr>
        <w:pStyle w:val="Heading1"/>
      </w:pPr>
      <w:r>
        <w:lastRenderedPageBreak/>
        <w:t xml:space="preserve">Approval process </w:t>
      </w:r>
    </w:p>
    <w:p w14:paraId="59CC5BDF" w14:textId="77777777" w:rsidR="0043605D" w:rsidRDefault="0043605D" w:rsidP="0043605D">
      <w:pPr>
        <w:pStyle w:val="ListNumber"/>
      </w:pPr>
      <w:bookmarkStart w:id="8" w:name="_Ref8377442"/>
      <w:bookmarkStart w:id="9" w:name="_Ref2071476"/>
      <w:r>
        <w:t>A legal instrument containing a guarantee or indemnity can only be approved on behalf of the NT Government in accordance with section 34(1) of the FMA, by either:</w:t>
      </w:r>
      <w:bookmarkEnd w:id="8"/>
    </w:p>
    <w:p w14:paraId="0FED52F4" w14:textId="77777777" w:rsidR="0043605D" w:rsidRDefault="0043605D" w:rsidP="000F16A8">
      <w:pPr>
        <w:pStyle w:val="ListNumber"/>
        <w:numPr>
          <w:ilvl w:val="0"/>
          <w:numId w:val="31"/>
        </w:numPr>
      </w:pPr>
      <w:r>
        <w:t>the Treasurer</w:t>
      </w:r>
    </w:p>
    <w:p w14:paraId="1E94256C" w14:textId="77777777" w:rsidR="0043605D" w:rsidRDefault="0043605D" w:rsidP="000F16A8">
      <w:pPr>
        <w:pStyle w:val="ListNumber"/>
        <w:numPr>
          <w:ilvl w:val="0"/>
          <w:numId w:val="31"/>
        </w:numPr>
      </w:pPr>
      <w:bookmarkStart w:id="10" w:name="_Ref8378866"/>
      <w:r>
        <w:t>or a delegate authorised by section 39(1) of the FMA.</w:t>
      </w:r>
      <w:bookmarkEnd w:id="10"/>
    </w:p>
    <w:bookmarkEnd w:id="9"/>
    <w:p w14:paraId="346C5E5A" w14:textId="77777777" w:rsidR="0043605D" w:rsidRDefault="0043605D" w:rsidP="0043605D">
      <w:pPr>
        <w:pStyle w:val="ListNumber"/>
      </w:pPr>
      <w:r>
        <w:t>All requests seeking endorsement and approval relating to a guarantee or indemnity must be accompanied by a guarantee and indemnity approval form (see Appendix B).</w:t>
      </w:r>
    </w:p>
    <w:p w14:paraId="7D45D313" w14:textId="77777777" w:rsidR="005954CF" w:rsidRPr="005954CF" w:rsidRDefault="005954CF" w:rsidP="005954CF">
      <w:pPr>
        <w:pStyle w:val="Heading2"/>
      </w:pPr>
      <w:r w:rsidRPr="005954CF">
        <w:t>Delegate approval process</w:t>
      </w:r>
    </w:p>
    <w:p w14:paraId="2FD4C6B7" w14:textId="2B9E8B0A" w:rsidR="005954CF" w:rsidRDefault="005954CF" w:rsidP="005954CF">
      <w:pPr>
        <w:pStyle w:val="ListNumber"/>
        <w:ind w:left="357" w:hanging="357"/>
      </w:pPr>
      <w:bookmarkStart w:id="11" w:name="_Ref8373479"/>
      <w:bookmarkStart w:id="12" w:name="_Ref1396805"/>
      <w:bookmarkStart w:id="13" w:name="_Ref528248282"/>
      <w:r>
        <w:t>Pursuant to paragraph </w:t>
      </w:r>
      <w:r w:rsidR="00325E66">
        <w:t>12.</w:t>
      </w:r>
      <w:r>
        <w:fldChar w:fldCharType="begin"/>
      </w:r>
      <w:r>
        <w:instrText xml:space="preserve"> REF _Ref8378866 \w \h </w:instrText>
      </w:r>
      <w:r>
        <w:fldChar w:fldCharType="separate"/>
      </w:r>
      <w:r w:rsidR="0037690A">
        <w:t>b</w:t>
      </w:r>
      <w:r>
        <w:fldChar w:fldCharType="end"/>
      </w:r>
      <w:r>
        <w:t>, an accountable officer may:</w:t>
      </w:r>
      <w:bookmarkEnd w:id="11"/>
    </w:p>
    <w:p w14:paraId="10D82C88" w14:textId="77777777" w:rsidR="005954CF" w:rsidRDefault="005954CF" w:rsidP="00B14621">
      <w:pPr>
        <w:pStyle w:val="ListNumber2"/>
        <w:numPr>
          <w:ilvl w:val="0"/>
          <w:numId w:val="20"/>
        </w:numPr>
      </w:pPr>
      <w:bookmarkStart w:id="14" w:name="_Ref8377563"/>
      <w:r>
        <w:t>approve a guarantee or indemnity when each of the following criteria is satisfied:</w:t>
      </w:r>
      <w:bookmarkEnd w:id="14"/>
    </w:p>
    <w:p w14:paraId="50310CE9" w14:textId="6AC65094" w:rsidR="005954CF" w:rsidRPr="00C61949" w:rsidRDefault="005954CF" w:rsidP="00B14621">
      <w:pPr>
        <w:pStyle w:val="ListNumber3"/>
        <w:numPr>
          <w:ilvl w:val="0"/>
          <w:numId w:val="21"/>
        </w:numPr>
      </w:pPr>
      <w:r>
        <w:t xml:space="preserve">the risks assumed for the guarantee or indemnity are considered appropriate, per the requirements in </w:t>
      </w:r>
      <w:r w:rsidRPr="00C61949">
        <w:t>paragraphs </w:t>
      </w:r>
      <w:r w:rsidRPr="00C61949">
        <w:fldChar w:fldCharType="begin"/>
      </w:r>
      <w:r w:rsidRPr="00C61949">
        <w:instrText xml:space="preserve"> REF _Ref8636227 \w \h </w:instrText>
      </w:r>
      <w:r>
        <w:instrText xml:space="preserve"> \* MERGEFORMAT </w:instrText>
      </w:r>
      <w:r w:rsidRPr="00C61949">
        <w:fldChar w:fldCharType="separate"/>
      </w:r>
      <w:r w:rsidR="0037690A">
        <w:t>7</w:t>
      </w:r>
      <w:r w:rsidRPr="00C61949">
        <w:fldChar w:fldCharType="end"/>
      </w:r>
      <w:r w:rsidRPr="00C61949">
        <w:t xml:space="preserve"> and </w:t>
      </w:r>
      <w:r w:rsidRPr="00C61949">
        <w:fldChar w:fldCharType="begin"/>
      </w:r>
      <w:r w:rsidRPr="00C61949">
        <w:instrText xml:space="preserve"> REF _Ref9934675 \r \h  \* MERGEFORMAT </w:instrText>
      </w:r>
      <w:r w:rsidRPr="00C61949">
        <w:fldChar w:fldCharType="separate"/>
      </w:r>
      <w:r w:rsidR="0037690A">
        <w:t>8</w:t>
      </w:r>
      <w:r w:rsidRPr="00C61949">
        <w:fldChar w:fldCharType="end"/>
      </w:r>
    </w:p>
    <w:p w14:paraId="04C926A2" w14:textId="77777777" w:rsidR="005954CF" w:rsidRDefault="005954CF" w:rsidP="00B14621">
      <w:pPr>
        <w:pStyle w:val="ListNumber3"/>
        <w:numPr>
          <w:ilvl w:val="0"/>
          <w:numId w:val="21"/>
        </w:numPr>
      </w:pPr>
      <w:bookmarkStart w:id="15" w:name="_Ref1395301"/>
      <w:bookmarkEnd w:id="12"/>
      <w:r>
        <w:t>the guarantee or indemnity falls into a category listed in 1 to 5 of Appendix A</w:t>
      </w:r>
      <w:bookmarkEnd w:id="15"/>
    </w:p>
    <w:p w14:paraId="33DBBC1D" w14:textId="77777777" w:rsidR="005954CF" w:rsidRDefault="005954CF" w:rsidP="00B14621">
      <w:pPr>
        <w:pStyle w:val="ListNumber3"/>
        <w:numPr>
          <w:ilvl w:val="0"/>
          <w:numId w:val="21"/>
        </w:numPr>
      </w:pPr>
      <w:r>
        <w:t>the liability is assessed as having a value, or likely to have a value of</w:t>
      </w:r>
      <w:bookmarkEnd w:id="13"/>
      <w:r>
        <w:t xml:space="preserve"> less than </w:t>
      </w:r>
      <w:r w:rsidRPr="000357A0">
        <w:rPr>
          <w:b/>
        </w:rPr>
        <w:t>$5 million</w:t>
      </w:r>
    </w:p>
    <w:p w14:paraId="0FCC8545" w14:textId="403E3A5F" w:rsidR="005954CF" w:rsidRDefault="005954CF" w:rsidP="00B14621">
      <w:pPr>
        <w:pStyle w:val="ListNumber3"/>
        <w:numPr>
          <w:ilvl w:val="0"/>
          <w:numId w:val="21"/>
        </w:numPr>
      </w:pPr>
      <w:r>
        <w:t xml:space="preserve">the portfolio minister (or a delegate of the portfolio minister) forms a view </w:t>
      </w:r>
      <w:r w:rsidR="00A17D50">
        <w:t xml:space="preserve">that </w:t>
      </w:r>
      <w:r>
        <w:t>the Territory would benefit from the arrangement giving rise to the guarantee or indemnity, and provides his or her endorsement</w:t>
      </w:r>
    </w:p>
    <w:p w14:paraId="34216EA6" w14:textId="7F20FFBF" w:rsidR="005954CF" w:rsidRDefault="005954CF" w:rsidP="00B14621">
      <w:pPr>
        <w:pStyle w:val="ListNumber2"/>
        <w:numPr>
          <w:ilvl w:val="0"/>
          <w:numId w:val="20"/>
        </w:numPr>
      </w:pPr>
      <w:r>
        <w:t>subject to paragraph </w:t>
      </w:r>
      <w:r w:rsidR="00A67D17">
        <w:fldChar w:fldCharType="begin"/>
      </w:r>
      <w:r w:rsidR="00A67D17">
        <w:instrText xml:space="preserve"> REF _Ref8373479 \r \h </w:instrText>
      </w:r>
      <w:r w:rsidR="00A67D17">
        <w:fldChar w:fldCharType="separate"/>
      </w:r>
      <w:r w:rsidR="0037690A">
        <w:t>14</w:t>
      </w:r>
      <w:r w:rsidR="00A67D17">
        <w:fldChar w:fldCharType="end"/>
      </w:r>
      <w:r w:rsidR="00A67D17">
        <w:t>.</w:t>
      </w:r>
      <w:r w:rsidR="00A67D17">
        <w:fldChar w:fldCharType="begin"/>
      </w:r>
      <w:r w:rsidR="00A67D17">
        <w:instrText xml:space="preserve"> REF _Ref8377563 \r \h </w:instrText>
      </w:r>
      <w:r w:rsidR="00A67D17">
        <w:fldChar w:fldCharType="separate"/>
      </w:r>
      <w:r w:rsidR="0037690A">
        <w:t>a</w:t>
      </w:r>
      <w:r w:rsidR="00A67D17">
        <w:fldChar w:fldCharType="end"/>
      </w:r>
      <w:r>
        <w:t>, on approval, execute a legal instrument containing a guarantee or indemnity on behalf of the NT Government</w:t>
      </w:r>
      <w:bookmarkStart w:id="16" w:name="_Ref1396818"/>
      <w:r>
        <w:t>.</w:t>
      </w:r>
    </w:p>
    <w:bookmarkEnd w:id="16"/>
    <w:p w14:paraId="019EB432" w14:textId="77777777" w:rsidR="005954CF" w:rsidRPr="005954CF" w:rsidRDefault="005954CF" w:rsidP="005954CF">
      <w:pPr>
        <w:pStyle w:val="Heading2"/>
      </w:pPr>
      <w:r w:rsidRPr="005954CF">
        <w:t>Treasurer’s approval process</w:t>
      </w:r>
    </w:p>
    <w:p w14:paraId="40738621" w14:textId="14A2D10F" w:rsidR="005954CF" w:rsidRDefault="005954CF" w:rsidP="005954CF">
      <w:pPr>
        <w:pStyle w:val="ListNumber"/>
        <w:ind w:left="357" w:hanging="357"/>
      </w:pPr>
      <w:bookmarkStart w:id="17" w:name="_Ref1396832"/>
      <w:r>
        <w:t>Where the conditions in paragraph </w:t>
      </w:r>
      <w:r>
        <w:fldChar w:fldCharType="begin"/>
      </w:r>
      <w:r>
        <w:instrText xml:space="preserve"> REF _Ref8373479 \w \h </w:instrText>
      </w:r>
      <w:r>
        <w:fldChar w:fldCharType="separate"/>
      </w:r>
      <w:r w:rsidR="0037690A">
        <w:t>14</w:t>
      </w:r>
      <w:r>
        <w:fldChar w:fldCharType="end"/>
      </w:r>
      <w:r>
        <w:t xml:space="preserve"> are not met, an accountable officer must seek Treasurer’s approval for all other guarantees and indemnities, including those that either:</w:t>
      </w:r>
      <w:bookmarkEnd w:id="17"/>
    </w:p>
    <w:p w14:paraId="2AED8106" w14:textId="77777777" w:rsidR="005954CF" w:rsidRDefault="005954CF" w:rsidP="000F16A8">
      <w:pPr>
        <w:pStyle w:val="ListNumber"/>
        <w:numPr>
          <w:ilvl w:val="0"/>
          <w:numId w:val="33"/>
        </w:numPr>
      </w:pPr>
      <w:r>
        <w:t>are considered high risk</w:t>
      </w:r>
    </w:p>
    <w:p w14:paraId="747B8ABC" w14:textId="77777777" w:rsidR="005954CF" w:rsidRDefault="005954CF" w:rsidP="000F16A8">
      <w:pPr>
        <w:pStyle w:val="ListNumber"/>
        <w:numPr>
          <w:ilvl w:val="0"/>
          <w:numId w:val="33"/>
        </w:numPr>
      </w:pPr>
      <w:r>
        <w:t>are considered sensitive or unusual in nature</w:t>
      </w:r>
    </w:p>
    <w:p w14:paraId="42863A0B" w14:textId="77777777" w:rsidR="005954CF" w:rsidRDefault="005954CF" w:rsidP="000F16A8">
      <w:pPr>
        <w:pStyle w:val="ListNumber"/>
        <w:numPr>
          <w:ilvl w:val="0"/>
          <w:numId w:val="33"/>
        </w:numPr>
      </w:pPr>
      <w:r>
        <w:t>fall into a category listed in 6 to 9 of Appendix A</w:t>
      </w:r>
    </w:p>
    <w:p w14:paraId="326D99A1" w14:textId="77777777" w:rsidR="005954CF" w:rsidRDefault="005954CF" w:rsidP="000F16A8">
      <w:pPr>
        <w:pStyle w:val="ListNumber"/>
        <w:numPr>
          <w:ilvl w:val="0"/>
          <w:numId w:val="33"/>
        </w:numPr>
      </w:pPr>
      <w:r>
        <w:t xml:space="preserve">are assessed as having a value or likely to have a value of </w:t>
      </w:r>
      <w:r w:rsidRPr="000F16A8">
        <w:rPr>
          <w:b/>
        </w:rPr>
        <w:t>$5 million</w:t>
      </w:r>
      <w:r>
        <w:t xml:space="preserve"> or more.</w:t>
      </w:r>
    </w:p>
    <w:p w14:paraId="31AB82F7" w14:textId="77777777" w:rsidR="005954CF" w:rsidRDefault="005954CF" w:rsidP="005954CF">
      <w:pPr>
        <w:pStyle w:val="ListNumber"/>
        <w:ind w:left="357" w:hanging="357"/>
      </w:pPr>
      <w:bookmarkStart w:id="18" w:name="_Ref2085267"/>
      <w:r>
        <w:t>The portfolio minister (or a delegate of the portfolio minister) must endorse the submission to the Treasurer, confirming he or she has</w:t>
      </w:r>
      <w:r w:rsidRPr="00EE2F45">
        <w:t xml:space="preserve"> </w:t>
      </w:r>
      <w:r>
        <w:t>formed the view, in accordance with section 34(1) of the FMA, that the Territory would benefit from the arrangement giving rise to the guarantee or indemnity</w:t>
      </w:r>
      <w:bookmarkEnd w:id="18"/>
      <w:r>
        <w:t>.</w:t>
      </w:r>
    </w:p>
    <w:p w14:paraId="1BCC1087" w14:textId="77777777" w:rsidR="005954CF" w:rsidRDefault="005954CF" w:rsidP="005954CF">
      <w:pPr>
        <w:pStyle w:val="ListNumber"/>
        <w:ind w:left="357" w:hanging="357"/>
      </w:pPr>
      <w:bookmarkStart w:id="19" w:name="_Ref2085144"/>
      <w:r>
        <w:t>On approval by the Treasurer, a legal instrument giving effect to a guarantee or indemnity must be executed on behalf of the NT Government by either:</w:t>
      </w:r>
    </w:p>
    <w:p w14:paraId="7EA2D9DD" w14:textId="677E89E2" w:rsidR="005954CF" w:rsidRDefault="005954CF" w:rsidP="000F16A8">
      <w:pPr>
        <w:pStyle w:val="ListNumber"/>
        <w:numPr>
          <w:ilvl w:val="0"/>
          <w:numId w:val="35"/>
        </w:numPr>
      </w:pPr>
      <w:r>
        <w:t xml:space="preserve">the Treasurer </w:t>
      </w:r>
    </w:p>
    <w:p w14:paraId="488CF6C9" w14:textId="3DC0B6A2" w:rsidR="005954CF" w:rsidRDefault="005954CF" w:rsidP="000F16A8">
      <w:pPr>
        <w:pStyle w:val="ListNumber"/>
        <w:numPr>
          <w:ilvl w:val="0"/>
          <w:numId w:val="35"/>
        </w:numPr>
      </w:pPr>
      <w:r>
        <w:t>or subject to the Treasurer’s approval: the portfolio minister or some other person.</w:t>
      </w:r>
      <w:bookmarkEnd w:id="19"/>
    </w:p>
    <w:p w14:paraId="252B4BBB" w14:textId="796E337F" w:rsidR="005954CF" w:rsidRDefault="005954CF" w:rsidP="005954CF">
      <w:pPr>
        <w:pStyle w:val="Heading1"/>
      </w:pPr>
      <w:r>
        <w:t xml:space="preserve">Standing approval process </w:t>
      </w:r>
    </w:p>
    <w:p w14:paraId="06F6380D" w14:textId="0F5F1A7E" w:rsidR="005954CF" w:rsidRDefault="005954CF" w:rsidP="005954CF">
      <w:pPr>
        <w:pStyle w:val="ListNumber"/>
      </w:pPr>
      <w:bookmarkStart w:id="20" w:name="_Ref2241065"/>
      <w:bookmarkStart w:id="21" w:name="_Ref528249901"/>
      <w:r>
        <w:t>The Treasurer may provide standing approval for a particular guarantee or indemnity clause, being used consistently in a particular type of agreement.</w:t>
      </w:r>
      <w:bookmarkEnd w:id="20"/>
    </w:p>
    <w:p w14:paraId="2ED1088A" w14:textId="15DD987D" w:rsidR="005954CF" w:rsidRDefault="005954CF" w:rsidP="005954CF">
      <w:pPr>
        <w:pStyle w:val="ListNumber"/>
      </w:pPr>
      <w:r>
        <w:lastRenderedPageBreak/>
        <w:t>An accountable officer seeking standing approval from the Treasurer must use the Treasurer’s approval process (see paragraphs </w:t>
      </w:r>
      <w:r>
        <w:fldChar w:fldCharType="begin"/>
      </w:r>
      <w:r>
        <w:instrText xml:space="preserve"> REF _Ref1396832 \w \h </w:instrText>
      </w:r>
      <w:r>
        <w:fldChar w:fldCharType="separate"/>
      </w:r>
      <w:r w:rsidR="0037690A">
        <w:t>15</w:t>
      </w:r>
      <w:r>
        <w:fldChar w:fldCharType="end"/>
      </w:r>
      <w:r>
        <w:t xml:space="preserve"> to </w:t>
      </w:r>
      <w:r>
        <w:fldChar w:fldCharType="begin"/>
      </w:r>
      <w:r>
        <w:instrText xml:space="preserve"> REF _Ref2085144 \r \h </w:instrText>
      </w:r>
      <w:r>
        <w:fldChar w:fldCharType="separate"/>
      </w:r>
      <w:r w:rsidR="0037690A">
        <w:t>17</w:t>
      </w:r>
      <w:r>
        <w:fldChar w:fldCharType="end"/>
      </w:r>
      <w:r>
        <w:t>).</w:t>
      </w:r>
    </w:p>
    <w:bookmarkEnd w:id="21"/>
    <w:p w14:paraId="24416A5B" w14:textId="0A0D0DE2" w:rsidR="005954CF" w:rsidRDefault="005954CF" w:rsidP="005954CF">
      <w:pPr>
        <w:pStyle w:val="ListNumber"/>
      </w:pPr>
      <w:r>
        <w:t>For each guarantee or indemnity with a standing approval from the Treasurer, prior to executing the legal instrument the accountable officer must seek endorsement from the portfolio minister (or a delegate of the portfolio minister) in accordance with paragraph </w:t>
      </w:r>
      <w:r>
        <w:fldChar w:fldCharType="begin"/>
      </w:r>
      <w:r>
        <w:instrText xml:space="preserve"> REF _Ref2085267 \r \h </w:instrText>
      </w:r>
      <w:r>
        <w:fldChar w:fldCharType="separate"/>
      </w:r>
      <w:r w:rsidR="0037690A">
        <w:t>16</w:t>
      </w:r>
      <w:r>
        <w:fldChar w:fldCharType="end"/>
      </w:r>
      <w:r>
        <w:t>, unless the portfolio minister has provided a standing endorsement (see paragraph </w:t>
      </w:r>
      <w:r>
        <w:fldChar w:fldCharType="begin"/>
      </w:r>
      <w:r>
        <w:instrText xml:space="preserve"> REF _Ref2085320 \r \h </w:instrText>
      </w:r>
      <w:r>
        <w:fldChar w:fldCharType="separate"/>
      </w:r>
      <w:r w:rsidR="0037690A">
        <w:t>21</w:t>
      </w:r>
      <w:r>
        <w:fldChar w:fldCharType="end"/>
      </w:r>
      <w:r>
        <w:t>).</w:t>
      </w:r>
    </w:p>
    <w:p w14:paraId="7C99DED3" w14:textId="77777777" w:rsidR="005954CF" w:rsidRDefault="005954CF" w:rsidP="005954CF">
      <w:pPr>
        <w:pStyle w:val="ListNumber"/>
      </w:pPr>
      <w:bookmarkStart w:id="22" w:name="_Ref2085320"/>
      <w:r>
        <w:t>An accountable officer may seek standing endorsement from the portfolio minister for a particular guarantee or indemnity clause, being used consistently in a particular type of agreement.</w:t>
      </w:r>
      <w:bookmarkEnd w:id="22"/>
    </w:p>
    <w:p w14:paraId="36064694" w14:textId="77777777" w:rsidR="005954CF" w:rsidRDefault="005954CF" w:rsidP="005954CF">
      <w:pPr>
        <w:pStyle w:val="ListNumber"/>
      </w:pPr>
      <w:bookmarkStart w:id="23" w:name="_Ref2071536"/>
      <w:r>
        <w:t>A guarantee or indemnity subject to a standing approval must be similar in intent, effect and overall risk exposure to that which was approved</w:t>
      </w:r>
      <w:bookmarkEnd w:id="23"/>
      <w:r>
        <w:t>.</w:t>
      </w:r>
    </w:p>
    <w:p w14:paraId="13BA85FA" w14:textId="5868D077" w:rsidR="005954CF" w:rsidRPr="005954CF" w:rsidRDefault="005954CF" w:rsidP="005954CF">
      <w:pPr>
        <w:pStyle w:val="Heading1"/>
      </w:pPr>
      <w:r>
        <w:t xml:space="preserve">Recognition and measurement </w:t>
      </w:r>
    </w:p>
    <w:p w14:paraId="5B4ABC50" w14:textId="77777777" w:rsidR="005954CF" w:rsidRDefault="005954CF" w:rsidP="005954CF">
      <w:pPr>
        <w:pStyle w:val="Heading2"/>
        <w:ind w:left="576" w:hanging="576"/>
      </w:pPr>
      <w:r>
        <w:t>Guarantees and indemnities (excluding financial guarantees)</w:t>
      </w:r>
    </w:p>
    <w:p w14:paraId="5D272B11" w14:textId="77777777" w:rsidR="005954CF" w:rsidRPr="004D0BAE" w:rsidRDefault="005954CF" w:rsidP="005954CF">
      <w:pPr>
        <w:pStyle w:val="ListNumber"/>
      </w:pPr>
      <w:bookmarkStart w:id="24" w:name="_Ref9433651"/>
      <w:r>
        <w:t xml:space="preserve">Guarantees </w:t>
      </w:r>
      <w:r w:rsidRPr="004D0BAE">
        <w:t>(excluding financial guarantee</w:t>
      </w:r>
      <w:r>
        <w:t>s</w:t>
      </w:r>
      <w:r w:rsidRPr="004D0BAE">
        <w:t>) and indemnit</w:t>
      </w:r>
      <w:r>
        <w:t>ies are classified as contingent liabilities and</w:t>
      </w:r>
      <w:r w:rsidRPr="004D0BAE">
        <w:t xml:space="preserve"> must be recognised and measured in accordance with </w:t>
      </w:r>
      <w:r w:rsidRPr="00AB7900">
        <w:t>the Treasurer’s Direction on contingent liabilities</w:t>
      </w:r>
      <w:r w:rsidRPr="00AB7900" w:rsidDel="00A25DDF">
        <w:t xml:space="preserve"> </w:t>
      </w:r>
      <w:r w:rsidRPr="00AB7900">
        <w:t>and</w:t>
      </w:r>
      <w:r w:rsidRPr="00AB7900" w:rsidDel="00A25DDF">
        <w:t xml:space="preserve"> </w:t>
      </w:r>
      <w:r>
        <w:t>the</w:t>
      </w:r>
      <w:r w:rsidRPr="004D0BAE">
        <w:t xml:space="preserve"> Australian accounting standards.</w:t>
      </w:r>
      <w:bookmarkEnd w:id="24"/>
    </w:p>
    <w:p w14:paraId="42AC1B7E" w14:textId="77777777" w:rsidR="005954CF" w:rsidRPr="007928B2" w:rsidRDefault="005954CF" w:rsidP="005954CF">
      <w:pPr>
        <w:pStyle w:val="Heading2"/>
        <w:ind w:left="576" w:hanging="576"/>
      </w:pPr>
      <w:r w:rsidRPr="007928B2">
        <w:t>Financial guarantees</w:t>
      </w:r>
    </w:p>
    <w:p w14:paraId="5FA79553" w14:textId="77777777" w:rsidR="005954CF" w:rsidRPr="007928B2" w:rsidRDefault="005954CF" w:rsidP="005954CF">
      <w:pPr>
        <w:pStyle w:val="ListNumber"/>
      </w:pPr>
      <w:r w:rsidRPr="007928B2">
        <w:t>Financial guarantees are classified as financial liabilities.</w:t>
      </w:r>
    </w:p>
    <w:p w14:paraId="3B188837" w14:textId="77777777" w:rsidR="005954CF" w:rsidRPr="007928B2" w:rsidRDefault="005954CF" w:rsidP="005954CF">
      <w:pPr>
        <w:pStyle w:val="ListNumber"/>
      </w:pPr>
      <w:bookmarkStart w:id="25" w:name="_Ref9433869"/>
      <w:r w:rsidRPr="007928B2">
        <w:t xml:space="preserve">A financial guarantee must be recognised and measured in accordance with Australian accounting standards on financial instruments when the total loan value being guaranteed is greater than </w:t>
      </w:r>
      <w:r w:rsidRPr="007928B2">
        <w:rPr>
          <w:b/>
        </w:rPr>
        <w:t>$1 million</w:t>
      </w:r>
      <w:r w:rsidRPr="007928B2">
        <w:t>.</w:t>
      </w:r>
      <w:bookmarkEnd w:id="25"/>
    </w:p>
    <w:p w14:paraId="372E7182" w14:textId="25E22664" w:rsidR="005954CF" w:rsidRPr="007928B2" w:rsidRDefault="005954CF" w:rsidP="005954CF">
      <w:pPr>
        <w:pStyle w:val="ListNumber"/>
      </w:pPr>
      <w:r w:rsidRPr="007928B2">
        <w:t>Pursuant to paragraph </w:t>
      </w:r>
      <w:r w:rsidRPr="007928B2">
        <w:fldChar w:fldCharType="begin"/>
      </w:r>
      <w:r w:rsidRPr="007928B2">
        <w:instrText xml:space="preserve"> REF _Ref9433869 \r \h  \* MERGEFORMAT </w:instrText>
      </w:r>
      <w:r w:rsidRPr="007928B2">
        <w:fldChar w:fldCharType="separate"/>
      </w:r>
      <w:r w:rsidR="0037690A">
        <w:t>25</w:t>
      </w:r>
      <w:r w:rsidRPr="007928B2">
        <w:fldChar w:fldCharType="end"/>
      </w:r>
      <w:r w:rsidRPr="007928B2">
        <w:t>, a financial guarantee that does not meet the recognition criteria shall be treated as a contingent liability in accordance with paragraph </w:t>
      </w:r>
      <w:r w:rsidRPr="007928B2">
        <w:fldChar w:fldCharType="begin"/>
      </w:r>
      <w:r w:rsidRPr="007928B2">
        <w:instrText xml:space="preserve"> REF _Ref9433651 \r \h  \* MERGEFORMAT </w:instrText>
      </w:r>
      <w:r w:rsidRPr="007928B2">
        <w:fldChar w:fldCharType="separate"/>
      </w:r>
      <w:r w:rsidR="0037690A">
        <w:t>23</w:t>
      </w:r>
      <w:r w:rsidRPr="007928B2">
        <w:fldChar w:fldCharType="end"/>
      </w:r>
      <w:r w:rsidRPr="007928B2">
        <w:t>.</w:t>
      </w:r>
    </w:p>
    <w:p w14:paraId="0BC565AA" w14:textId="77777777" w:rsidR="005954CF" w:rsidRPr="008A6FE6" w:rsidRDefault="005954CF" w:rsidP="005954CF">
      <w:pPr>
        <w:pStyle w:val="Heading3"/>
        <w:ind w:left="720" w:hanging="720"/>
      </w:pPr>
      <w:bookmarkStart w:id="26" w:name="_Ref2267626"/>
      <w:r w:rsidRPr="008A6FE6">
        <w:t>Impairment</w:t>
      </w:r>
      <w:bookmarkEnd w:id="26"/>
    </w:p>
    <w:p w14:paraId="2ED9F1A4" w14:textId="77777777" w:rsidR="005954CF" w:rsidRDefault="005954CF" w:rsidP="005954CF">
      <w:pPr>
        <w:pStyle w:val="ListNumber"/>
      </w:pPr>
      <w:bookmarkStart w:id="27" w:name="_Ref8638357"/>
      <w:r>
        <w:t>An accountable officer must ensure at each reporting date:</w:t>
      </w:r>
      <w:bookmarkEnd w:id="27"/>
    </w:p>
    <w:p w14:paraId="7A17F3F8" w14:textId="77777777" w:rsidR="005954CF" w:rsidRDefault="005954CF" w:rsidP="000F16A8">
      <w:pPr>
        <w:pStyle w:val="ListNumber"/>
        <w:numPr>
          <w:ilvl w:val="0"/>
          <w:numId w:val="37"/>
        </w:numPr>
      </w:pPr>
      <w:r>
        <w:t>the credit risk for financial guarantees is assessed for impairment and the outcome documented</w:t>
      </w:r>
    </w:p>
    <w:p w14:paraId="03F777AB" w14:textId="77777777" w:rsidR="005954CF" w:rsidRDefault="005954CF" w:rsidP="000F16A8">
      <w:pPr>
        <w:pStyle w:val="ListNumber"/>
        <w:numPr>
          <w:ilvl w:val="0"/>
          <w:numId w:val="37"/>
        </w:numPr>
      </w:pPr>
      <w:r>
        <w:t>a loss allowance is measured and recognised (if applicable).</w:t>
      </w:r>
    </w:p>
    <w:p w14:paraId="47B6974A" w14:textId="77777777" w:rsidR="005954CF" w:rsidRDefault="005954CF" w:rsidP="005954CF">
      <w:pPr>
        <w:pStyle w:val="Heading2"/>
        <w:ind w:left="576" w:hanging="576"/>
      </w:pPr>
      <w:r>
        <w:t>Disclosures</w:t>
      </w:r>
    </w:p>
    <w:p w14:paraId="42D6C641" w14:textId="77777777" w:rsidR="005954CF" w:rsidRPr="008A6FE6" w:rsidRDefault="005954CF" w:rsidP="005954CF">
      <w:pPr>
        <w:pStyle w:val="ListNumber"/>
      </w:pPr>
      <w:r>
        <w:t>An accountable officer must classify and present guarantees and indemnities in accordance with the Treasurer’s Direction on agency (or government business division) financial statements.</w:t>
      </w:r>
    </w:p>
    <w:p w14:paraId="0ED4E41D" w14:textId="6310B878" w:rsidR="005954CF" w:rsidRPr="005954CF" w:rsidRDefault="005954CF" w:rsidP="005954CF">
      <w:pPr>
        <w:pStyle w:val="Heading1"/>
        <w:rPr>
          <w:rFonts w:eastAsiaTheme="majorEastAsia" w:cstheme="majorBidi"/>
          <w:b/>
          <w:bCs/>
          <w:sz w:val="32"/>
        </w:rPr>
      </w:pPr>
      <w:r>
        <w:t>Recordkeeping</w:t>
      </w:r>
    </w:p>
    <w:p w14:paraId="183FDF6A" w14:textId="77777777" w:rsidR="005954CF" w:rsidRDefault="005954CF" w:rsidP="005954CF">
      <w:pPr>
        <w:pStyle w:val="ListNumber"/>
      </w:pPr>
      <w:bookmarkStart w:id="28" w:name="_Ref8637773"/>
      <w:r>
        <w:t>An accountable officer is responsible for keeping records relating to the agency’s guarantees and indemnities and, at a minimum, must:</w:t>
      </w:r>
      <w:bookmarkEnd w:id="28"/>
    </w:p>
    <w:p w14:paraId="656AA5CB" w14:textId="77777777" w:rsidR="005954CF" w:rsidRDefault="005954CF" w:rsidP="000F16A8">
      <w:pPr>
        <w:pStyle w:val="ListNumber"/>
        <w:numPr>
          <w:ilvl w:val="0"/>
          <w:numId w:val="39"/>
        </w:numPr>
      </w:pPr>
      <w:r>
        <w:t>ensure records are maintained in a register of contingent liabilities (including records on financial guarantees), in accordance with the Treasurer’s Direction on contingent liabilities</w:t>
      </w:r>
    </w:p>
    <w:p w14:paraId="4767571B" w14:textId="77777777" w:rsidR="005954CF" w:rsidRDefault="005954CF" w:rsidP="000F16A8">
      <w:pPr>
        <w:pStyle w:val="ListNumber"/>
        <w:numPr>
          <w:ilvl w:val="0"/>
          <w:numId w:val="39"/>
        </w:numPr>
      </w:pPr>
      <w:r>
        <w:t>establish processes to collect and manage records, including documenting assumptions and calculations used for the valuation and impairment of guarantees and indemnities.</w:t>
      </w:r>
    </w:p>
    <w:p w14:paraId="62857209" w14:textId="22F3E9EB" w:rsidR="005954CF" w:rsidRDefault="005954CF" w:rsidP="005954CF">
      <w:pPr>
        <w:pStyle w:val="ListNumber"/>
      </w:pPr>
      <w:r>
        <w:lastRenderedPageBreak/>
        <w:t>Pursuant to paragraph </w:t>
      </w:r>
      <w:r>
        <w:fldChar w:fldCharType="begin"/>
      </w:r>
      <w:r>
        <w:instrText xml:space="preserve"> REF _Ref8637773 \w \h </w:instrText>
      </w:r>
      <w:r>
        <w:fldChar w:fldCharType="separate"/>
      </w:r>
      <w:r w:rsidR="0037690A">
        <w:t>29</w:t>
      </w:r>
      <w:r>
        <w:fldChar w:fldCharType="end"/>
      </w:r>
      <w:r>
        <w:t>, an accountable officer must retain records for the specified minimum period, in accordance with the agency’s records disposal schedule.</w:t>
      </w:r>
    </w:p>
    <w:p w14:paraId="3474AB32" w14:textId="77777777" w:rsidR="005954CF" w:rsidRDefault="005954CF" w:rsidP="005954CF">
      <w:pPr>
        <w:pStyle w:val="Heading1"/>
        <w:ind w:left="432" w:hanging="432"/>
      </w:pPr>
      <w:r>
        <w:t>Reporting</w:t>
      </w:r>
    </w:p>
    <w:p w14:paraId="43ED570C" w14:textId="5F695F0F" w:rsidR="0043605D" w:rsidRPr="005954CF" w:rsidRDefault="005954CF" w:rsidP="005954CF">
      <w:pPr>
        <w:pStyle w:val="ListNumber"/>
      </w:pPr>
      <w:r>
        <w:t>Upon request, an accountable officer must provide DTF with a copy of the register of contingent liabilities (if applicable) and any other relevant information as necessary.</w:t>
      </w:r>
    </w:p>
    <w:p w14:paraId="3DEBAD78" w14:textId="6A205D24" w:rsidR="00820DEB" w:rsidRDefault="00820DEB" w:rsidP="005954CF">
      <w:pPr>
        <w:pStyle w:val="ListNumber"/>
        <w:numPr>
          <w:ilvl w:val="0"/>
          <w:numId w:val="0"/>
        </w:numPr>
      </w:pPr>
    </w:p>
    <w:tbl>
      <w:tblPr>
        <w:tblStyle w:val="NTGtable"/>
        <w:tblW w:w="10391" w:type="dxa"/>
        <w:tblLook w:val="04A0" w:firstRow="1" w:lastRow="0" w:firstColumn="1" w:lastColumn="0" w:noHBand="0" w:noVBand="1"/>
        <w:tblDescription w:val="Minor works: reporting period, due date and percentage of works."/>
      </w:tblPr>
      <w:tblGrid>
        <w:gridCol w:w="2989"/>
        <w:gridCol w:w="7402"/>
      </w:tblGrid>
      <w:tr w:rsidR="005954CF" w14:paraId="1A3F3416" w14:textId="77777777" w:rsidTr="008F33E6">
        <w:trPr>
          <w:cnfStyle w:val="100000000000" w:firstRow="1" w:lastRow="0" w:firstColumn="0" w:lastColumn="0" w:oddVBand="0" w:evenVBand="0" w:oddHBand="0" w:evenHBand="0" w:firstRowFirstColumn="0" w:firstRowLastColumn="0" w:lastRowFirstColumn="0" w:lastRowLastColumn="0"/>
          <w:trHeight w:val="355"/>
          <w:tblHeader/>
        </w:trPr>
        <w:tc>
          <w:tcPr>
            <w:cnfStyle w:val="001000000100" w:firstRow="0" w:lastRow="0" w:firstColumn="1" w:lastColumn="0" w:oddVBand="0" w:evenVBand="0" w:oddHBand="0" w:evenHBand="0" w:firstRowFirstColumn="1" w:firstRowLastColumn="0" w:lastRowFirstColumn="0" w:lastRowLastColumn="0"/>
            <w:tcW w:w="2989" w:type="dxa"/>
            <w:tcBorders>
              <w:bottom w:val="nil"/>
            </w:tcBorders>
          </w:tcPr>
          <w:p w14:paraId="156AB182" w14:textId="7777482A" w:rsidR="005954CF" w:rsidRPr="00BB3A07" w:rsidRDefault="005954CF" w:rsidP="00E03CFD">
            <w:pPr>
              <w:pStyle w:val="ListNumber"/>
              <w:numPr>
                <w:ilvl w:val="0"/>
                <w:numId w:val="0"/>
              </w:numPr>
              <w:spacing w:after="60"/>
              <w:rPr>
                <w:b w:val="0"/>
              </w:rPr>
            </w:pPr>
            <w:r>
              <w:t>Table</w:t>
            </w:r>
          </w:p>
        </w:tc>
        <w:tc>
          <w:tcPr>
            <w:tcW w:w="7402" w:type="dxa"/>
            <w:tcBorders>
              <w:bottom w:val="nil"/>
            </w:tcBorders>
          </w:tcPr>
          <w:p w14:paraId="392884B2" w14:textId="41A032F1" w:rsidR="005954CF" w:rsidRPr="00BB3A07" w:rsidRDefault="005954CF" w:rsidP="00E03CFD">
            <w:pPr>
              <w:pStyle w:val="ListNumber"/>
              <w:numPr>
                <w:ilvl w:val="0"/>
                <w:numId w:val="0"/>
              </w:numPr>
              <w:spacing w:after="60"/>
              <w:cnfStyle w:val="100000000000" w:firstRow="1" w:lastRow="0" w:firstColumn="0" w:lastColumn="0" w:oddVBand="0" w:evenVBand="0" w:oddHBand="0" w:evenHBand="0" w:firstRowFirstColumn="0" w:firstRowLastColumn="0" w:lastRowFirstColumn="0" w:lastRowLastColumn="0"/>
              <w:rPr>
                <w:b w:val="0"/>
              </w:rPr>
            </w:pPr>
            <w:r>
              <w:t>Table</w:t>
            </w:r>
          </w:p>
        </w:tc>
      </w:tr>
      <w:tr w:rsidR="005954CF" w14:paraId="0B876F5D" w14:textId="77777777" w:rsidTr="008F33E6">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989" w:type="dxa"/>
            <w:tcBorders>
              <w:top w:val="nil"/>
              <w:bottom w:val="single" w:sz="4" w:space="0" w:color="1F1F5F" w:themeColor="text1"/>
            </w:tcBorders>
          </w:tcPr>
          <w:p w14:paraId="05BDDE74" w14:textId="7ABD8FF7" w:rsidR="005954CF" w:rsidRDefault="005954CF" w:rsidP="005954CF">
            <w:pPr>
              <w:pStyle w:val="ListNumber"/>
              <w:numPr>
                <w:ilvl w:val="0"/>
                <w:numId w:val="0"/>
              </w:numPr>
              <w:spacing w:before="60" w:after="60"/>
            </w:pPr>
            <w:r>
              <w:t>Appendix A</w:t>
            </w:r>
          </w:p>
        </w:tc>
        <w:tc>
          <w:tcPr>
            <w:tcW w:w="7402" w:type="dxa"/>
            <w:tcBorders>
              <w:top w:val="nil"/>
              <w:bottom w:val="single" w:sz="4" w:space="0" w:color="1F1F5F" w:themeColor="text1"/>
            </w:tcBorders>
          </w:tcPr>
          <w:p w14:paraId="600BACEE" w14:textId="5548F13D" w:rsidR="005954CF" w:rsidRDefault="005954CF" w:rsidP="005954CF">
            <w:pPr>
              <w:pStyle w:val="ListNumber"/>
              <w:numPr>
                <w:ilvl w:val="0"/>
                <w:numId w:val="0"/>
              </w:numPr>
              <w:spacing w:before="60" w:after="60"/>
              <w:cnfStyle w:val="000000100000" w:firstRow="0" w:lastRow="0" w:firstColumn="0" w:lastColumn="0" w:oddVBand="0" w:evenVBand="0" w:oddHBand="1" w:evenHBand="0" w:firstRowFirstColumn="0" w:firstRowLastColumn="0" w:lastRowFirstColumn="0" w:lastRowLastColumn="0"/>
            </w:pPr>
            <w:r>
              <w:t>Categories of instruments</w:t>
            </w:r>
          </w:p>
        </w:tc>
      </w:tr>
      <w:tr w:rsidR="005954CF" w14:paraId="3A9B9C67" w14:textId="77777777" w:rsidTr="008F33E6">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989" w:type="dxa"/>
            <w:tcBorders>
              <w:top w:val="single" w:sz="4" w:space="0" w:color="1F1F5F" w:themeColor="text1"/>
            </w:tcBorders>
            <w:shd w:val="clear" w:color="auto" w:fill="auto"/>
          </w:tcPr>
          <w:p w14:paraId="65C7EDF1" w14:textId="70BFF251" w:rsidR="005954CF" w:rsidRDefault="005954CF" w:rsidP="005954CF">
            <w:r>
              <w:t>Appendix B</w:t>
            </w:r>
          </w:p>
        </w:tc>
        <w:tc>
          <w:tcPr>
            <w:tcW w:w="7402" w:type="dxa"/>
            <w:tcBorders>
              <w:top w:val="single" w:sz="4" w:space="0" w:color="1F1F5F" w:themeColor="text1"/>
            </w:tcBorders>
            <w:shd w:val="clear" w:color="auto" w:fill="auto"/>
          </w:tcPr>
          <w:p w14:paraId="4200285E" w14:textId="0EC010A1" w:rsidR="005954CF" w:rsidRDefault="005954CF" w:rsidP="005954CF">
            <w:pPr>
              <w:pStyle w:val="ListNumber"/>
              <w:numPr>
                <w:ilvl w:val="0"/>
                <w:numId w:val="0"/>
              </w:numPr>
              <w:spacing w:before="60" w:after="60"/>
              <w:cnfStyle w:val="000000010000" w:firstRow="0" w:lastRow="0" w:firstColumn="0" w:lastColumn="0" w:oddVBand="0" w:evenVBand="0" w:oddHBand="0" w:evenHBand="1" w:firstRowFirstColumn="0" w:firstRowLastColumn="0" w:lastRowFirstColumn="0" w:lastRowLastColumn="0"/>
            </w:pPr>
            <w:r>
              <w:t>Guarantee and indemnity approval form</w:t>
            </w:r>
          </w:p>
        </w:tc>
      </w:tr>
    </w:tbl>
    <w:p w14:paraId="40E1D2C3" w14:textId="77777777" w:rsidR="00667C4A" w:rsidRDefault="00667C4A" w:rsidP="00667C4A">
      <w:pPr>
        <w:pStyle w:val="ListNumber"/>
        <w:numPr>
          <w:ilvl w:val="0"/>
          <w:numId w:val="0"/>
        </w:numPr>
        <w:ind w:left="851"/>
      </w:pPr>
    </w:p>
    <w:p w14:paraId="0C3CC149" w14:textId="1C288F17" w:rsidR="00D133F4" w:rsidRDefault="00D133F4" w:rsidP="00343C61">
      <w:pPr>
        <w:pStyle w:val="Heading1"/>
      </w:pPr>
      <w:r>
        <w:t>Change history</w:t>
      </w:r>
    </w:p>
    <w:tbl>
      <w:tblPr>
        <w:tblStyle w:val="NTGtable"/>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Document change history showing version, date, author and change details"/>
      </w:tblPr>
      <w:tblGrid>
        <w:gridCol w:w="972"/>
        <w:gridCol w:w="1837"/>
        <w:gridCol w:w="1581"/>
        <w:gridCol w:w="6011"/>
      </w:tblGrid>
      <w:tr w:rsidR="00667C4A" w:rsidRPr="003A2424" w14:paraId="234D6C84" w14:textId="77777777" w:rsidTr="005954CF">
        <w:trPr>
          <w:cnfStyle w:val="100000000000" w:firstRow="1" w:lastRow="0" w:firstColumn="0" w:lastColumn="0" w:oddVBand="0" w:evenVBand="0" w:oddHBand="0" w:evenHBand="0" w:firstRowFirstColumn="0" w:firstRowLastColumn="0" w:lastRowFirstColumn="0" w:lastRowLastColumn="0"/>
          <w:tblHeader/>
        </w:trPr>
        <w:tc>
          <w:tcPr>
            <w:tcW w:w="972" w:type="dxa"/>
          </w:tcPr>
          <w:p w14:paraId="12DE696D" w14:textId="77777777" w:rsidR="00667C4A" w:rsidRPr="00667C4A" w:rsidRDefault="00667C4A" w:rsidP="00667C4A">
            <w:r w:rsidRPr="0008622A">
              <w:t>Version</w:t>
            </w:r>
          </w:p>
        </w:tc>
        <w:tc>
          <w:tcPr>
            <w:tcW w:w="1837" w:type="dxa"/>
          </w:tcPr>
          <w:p w14:paraId="797F3AE2" w14:textId="77777777" w:rsidR="00667C4A" w:rsidRPr="00667C4A" w:rsidRDefault="00667C4A" w:rsidP="00667C4A">
            <w:r w:rsidRPr="0008622A">
              <w:t>Date</w:t>
            </w:r>
          </w:p>
        </w:tc>
        <w:tc>
          <w:tcPr>
            <w:tcW w:w="1581" w:type="dxa"/>
          </w:tcPr>
          <w:p w14:paraId="2102EA76" w14:textId="77777777" w:rsidR="00667C4A" w:rsidRPr="00667C4A" w:rsidRDefault="00667C4A" w:rsidP="00667C4A">
            <w:r w:rsidRPr="0008622A">
              <w:t>Author</w:t>
            </w:r>
          </w:p>
        </w:tc>
        <w:tc>
          <w:tcPr>
            <w:tcW w:w="6011" w:type="dxa"/>
          </w:tcPr>
          <w:p w14:paraId="07E97C2D" w14:textId="77777777" w:rsidR="00667C4A" w:rsidRPr="00667C4A" w:rsidRDefault="00667C4A" w:rsidP="00667C4A">
            <w:r w:rsidRPr="0008622A">
              <w:t>Change details</w:t>
            </w:r>
          </w:p>
        </w:tc>
      </w:tr>
      <w:tr w:rsidR="005954CF" w:rsidRPr="003A2424" w14:paraId="1530D9BE" w14:textId="77777777" w:rsidTr="005954CF">
        <w:tc>
          <w:tcPr>
            <w:tcW w:w="972" w:type="dxa"/>
          </w:tcPr>
          <w:p w14:paraId="6C48D732" w14:textId="4F08EF6C" w:rsidR="005954CF" w:rsidRDefault="005954CF" w:rsidP="005954CF">
            <w:pPr>
              <w:spacing w:before="60" w:after="60"/>
            </w:pPr>
            <w:r>
              <w:t>1.0</w:t>
            </w:r>
          </w:p>
        </w:tc>
        <w:tc>
          <w:tcPr>
            <w:tcW w:w="1837" w:type="dxa"/>
          </w:tcPr>
          <w:p w14:paraId="417491CD" w14:textId="24D5DCF9" w:rsidR="005954CF" w:rsidRDefault="005954CF" w:rsidP="005954CF">
            <w:pPr>
              <w:spacing w:before="60" w:after="60"/>
            </w:pPr>
            <w:r>
              <w:t>December 2007</w:t>
            </w:r>
          </w:p>
        </w:tc>
        <w:tc>
          <w:tcPr>
            <w:tcW w:w="1581" w:type="dxa"/>
          </w:tcPr>
          <w:p w14:paraId="300A2A09" w14:textId="61B2557A" w:rsidR="005954CF" w:rsidRDefault="005954CF" w:rsidP="005954CF">
            <w:pPr>
              <w:spacing w:before="60" w:after="60"/>
            </w:pPr>
            <w:r>
              <w:t>DTF</w:t>
            </w:r>
          </w:p>
        </w:tc>
        <w:tc>
          <w:tcPr>
            <w:tcW w:w="6011" w:type="dxa"/>
          </w:tcPr>
          <w:p w14:paraId="10FB5677" w14:textId="61E2B7A3" w:rsidR="005954CF" w:rsidRPr="003A2424" w:rsidRDefault="005954CF" w:rsidP="005954CF">
            <w:pPr>
              <w:spacing w:before="60" w:after="60"/>
            </w:pPr>
            <w:r>
              <w:t>Issue of new Treasurer’s Direction – refer Treasury Circular L03/07</w:t>
            </w:r>
          </w:p>
        </w:tc>
      </w:tr>
      <w:tr w:rsidR="005954CF" w:rsidRPr="003A2424" w14:paraId="26ED38CF" w14:textId="77777777" w:rsidTr="005954CF">
        <w:tc>
          <w:tcPr>
            <w:tcW w:w="972" w:type="dxa"/>
          </w:tcPr>
          <w:p w14:paraId="0E1DFE95" w14:textId="465CF7F4" w:rsidR="005954CF" w:rsidRDefault="005954CF" w:rsidP="005954CF">
            <w:pPr>
              <w:spacing w:before="60" w:after="60"/>
            </w:pPr>
            <w:r>
              <w:t>1.1</w:t>
            </w:r>
          </w:p>
        </w:tc>
        <w:tc>
          <w:tcPr>
            <w:tcW w:w="1837" w:type="dxa"/>
          </w:tcPr>
          <w:p w14:paraId="2FBC4238" w14:textId="77A1330A" w:rsidR="005954CF" w:rsidRDefault="005954CF" w:rsidP="005954CF">
            <w:pPr>
              <w:spacing w:before="60" w:after="60"/>
            </w:pPr>
            <w:r>
              <w:rPr>
                <w:bCs/>
              </w:rPr>
              <w:t>December 2010</w:t>
            </w:r>
          </w:p>
        </w:tc>
        <w:tc>
          <w:tcPr>
            <w:tcW w:w="1581" w:type="dxa"/>
          </w:tcPr>
          <w:p w14:paraId="644518A3" w14:textId="1194A7BC" w:rsidR="005954CF" w:rsidRDefault="005954CF" w:rsidP="005954CF">
            <w:pPr>
              <w:spacing w:before="60" w:after="60"/>
            </w:pPr>
            <w:r>
              <w:t>DTF</w:t>
            </w:r>
          </w:p>
        </w:tc>
        <w:tc>
          <w:tcPr>
            <w:tcW w:w="6011" w:type="dxa"/>
          </w:tcPr>
          <w:p w14:paraId="49CF0B31" w14:textId="0EF3A3A7" w:rsidR="005954CF" w:rsidRPr="003A2424" w:rsidRDefault="005954CF" w:rsidP="005954CF">
            <w:pPr>
              <w:spacing w:before="60" w:after="60"/>
            </w:pPr>
            <w:r>
              <w:t>Clarify description of category 4 indemnities – refer Treasury Circular L05/10</w:t>
            </w:r>
          </w:p>
        </w:tc>
      </w:tr>
      <w:tr w:rsidR="005954CF" w:rsidRPr="003A2424" w14:paraId="121991D3" w14:textId="77777777" w:rsidTr="005954CF">
        <w:tc>
          <w:tcPr>
            <w:tcW w:w="972" w:type="dxa"/>
          </w:tcPr>
          <w:p w14:paraId="3352ADB3" w14:textId="33D9F4AB" w:rsidR="005954CF" w:rsidRDefault="005954CF" w:rsidP="005954CF">
            <w:pPr>
              <w:spacing w:before="60" w:after="60"/>
            </w:pPr>
            <w:r>
              <w:t>1.2</w:t>
            </w:r>
          </w:p>
        </w:tc>
        <w:tc>
          <w:tcPr>
            <w:tcW w:w="1837" w:type="dxa"/>
          </w:tcPr>
          <w:p w14:paraId="05DE7D54" w14:textId="4B8C0409" w:rsidR="005954CF" w:rsidRDefault="005954CF" w:rsidP="005954CF">
            <w:pPr>
              <w:spacing w:before="60" w:after="60"/>
            </w:pPr>
            <w:r>
              <w:rPr>
                <w:bCs/>
              </w:rPr>
              <w:t>September 2011</w:t>
            </w:r>
          </w:p>
        </w:tc>
        <w:tc>
          <w:tcPr>
            <w:tcW w:w="1581" w:type="dxa"/>
          </w:tcPr>
          <w:p w14:paraId="437AB610" w14:textId="5583A4C9" w:rsidR="005954CF" w:rsidRDefault="005954CF" w:rsidP="005954CF">
            <w:pPr>
              <w:spacing w:before="60" w:after="60"/>
            </w:pPr>
            <w:r>
              <w:t>DTF</w:t>
            </w:r>
          </w:p>
        </w:tc>
        <w:tc>
          <w:tcPr>
            <w:tcW w:w="6011" w:type="dxa"/>
          </w:tcPr>
          <w:p w14:paraId="55A766A4" w14:textId="365592DB" w:rsidR="005954CF" w:rsidRPr="003A2424" w:rsidRDefault="005954CF" w:rsidP="005954CF">
            <w:pPr>
              <w:spacing w:before="60" w:after="60"/>
            </w:pPr>
            <w:r>
              <w:t>Expand examples of instruments that may contain a guarantee or indemnity – refer Treasury Circular L04/11</w:t>
            </w:r>
          </w:p>
        </w:tc>
      </w:tr>
      <w:tr w:rsidR="005954CF" w:rsidRPr="003A2424" w14:paraId="718BABEB" w14:textId="77777777" w:rsidTr="005954CF">
        <w:tc>
          <w:tcPr>
            <w:tcW w:w="972" w:type="dxa"/>
          </w:tcPr>
          <w:p w14:paraId="59E44E60" w14:textId="0BEF9B40" w:rsidR="005954CF" w:rsidRDefault="005954CF" w:rsidP="005954CF">
            <w:pPr>
              <w:spacing w:before="60" w:after="60"/>
            </w:pPr>
            <w:r>
              <w:t>1.3</w:t>
            </w:r>
          </w:p>
        </w:tc>
        <w:tc>
          <w:tcPr>
            <w:tcW w:w="1837" w:type="dxa"/>
          </w:tcPr>
          <w:p w14:paraId="269F96B0" w14:textId="0223A8DE" w:rsidR="005954CF" w:rsidRDefault="005954CF" w:rsidP="005954CF">
            <w:pPr>
              <w:spacing w:before="60" w:after="60"/>
            </w:pPr>
            <w:r>
              <w:rPr>
                <w:bCs/>
              </w:rPr>
              <w:t>June 2019</w:t>
            </w:r>
          </w:p>
        </w:tc>
        <w:tc>
          <w:tcPr>
            <w:tcW w:w="1581" w:type="dxa"/>
          </w:tcPr>
          <w:p w14:paraId="5364A14C" w14:textId="2D11EC1F" w:rsidR="005954CF" w:rsidRDefault="005954CF" w:rsidP="005954CF">
            <w:pPr>
              <w:spacing w:before="60" w:after="60"/>
            </w:pPr>
            <w:r>
              <w:t>DTF Financial Policy</w:t>
            </w:r>
          </w:p>
        </w:tc>
        <w:tc>
          <w:tcPr>
            <w:tcW w:w="6011" w:type="dxa"/>
          </w:tcPr>
          <w:p w14:paraId="568CC5C3" w14:textId="239C1FD5" w:rsidR="005954CF" w:rsidRPr="003A2424" w:rsidRDefault="005954CF" w:rsidP="005954CF">
            <w:pPr>
              <w:spacing w:before="60" w:after="60"/>
            </w:pPr>
            <w:r>
              <w:t>Clarify which category relates to venue hire; minor formatting edits; address recognition and measurement requirements for financial guarantees – refer Treasury Circular L06-19</w:t>
            </w:r>
          </w:p>
        </w:tc>
      </w:tr>
      <w:tr w:rsidR="008B5201" w:rsidRPr="003A2424" w14:paraId="46FFCCA5" w14:textId="77777777" w:rsidTr="005954CF">
        <w:tc>
          <w:tcPr>
            <w:tcW w:w="972" w:type="dxa"/>
          </w:tcPr>
          <w:p w14:paraId="62E61605" w14:textId="13C6F162" w:rsidR="008B5201" w:rsidRDefault="008B5201" w:rsidP="005954CF">
            <w:pPr>
              <w:spacing w:before="60" w:after="60"/>
            </w:pPr>
            <w:r>
              <w:t>1.4</w:t>
            </w:r>
          </w:p>
        </w:tc>
        <w:tc>
          <w:tcPr>
            <w:tcW w:w="1837" w:type="dxa"/>
          </w:tcPr>
          <w:p w14:paraId="2FE7A18C" w14:textId="77A3D98B" w:rsidR="008B5201" w:rsidRDefault="008B5201" w:rsidP="005954CF">
            <w:pPr>
              <w:spacing w:before="60" w:after="60"/>
              <w:rPr>
                <w:bCs/>
              </w:rPr>
            </w:pPr>
            <w:r>
              <w:rPr>
                <w:bCs/>
              </w:rPr>
              <w:t>June 2021</w:t>
            </w:r>
          </w:p>
        </w:tc>
        <w:tc>
          <w:tcPr>
            <w:tcW w:w="1581" w:type="dxa"/>
          </w:tcPr>
          <w:p w14:paraId="642D48A1" w14:textId="481EB354" w:rsidR="008B5201" w:rsidRDefault="008B5201" w:rsidP="005954CF">
            <w:pPr>
              <w:spacing w:before="60" w:after="60"/>
            </w:pPr>
            <w:r>
              <w:t>DTF Financial policy</w:t>
            </w:r>
          </w:p>
        </w:tc>
        <w:tc>
          <w:tcPr>
            <w:tcW w:w="6011" w:type="dxa"/>
          </w:tcPr>
          <w:p w14:paraId="38484159" w14:textId="7A1CC6C3" w:rsidR="008B5201" w:rsidRDefault="00F749EF" w:rsidP="008B5201">
            <w:pPr>
              <w:spacing w:before="60" w:after="60"/>
            </w:pPr>
            <w:r>
              <w:t>Clarify that standing approval process can only be approved by the Treasurer – refer to Treasury Circular L08-21</w:t>
            </w:r>
          </w:p>
        </w:tc>
      </w:tr>
      <w:tr w:rsidR="005C461A" w:rsidRPr="003A2424" w14:paraId="118A9C28" w14:textId="77777777" w:rsidTr="005954CF">
        <w:tc>
          <w:tcPr>
            <w:tcW w:w="972" w:type="dxa"/>
          </w:tcPr>
          <w:p w14:paraId="6E9E2D55" w14:textId="191DD41F" w:rsidR="005C461A" w:rsidRDefault="005C461A" w:rsidP="005954CF">
            <w:pPr>
              <w:spacing w:before="60" w:after="60"/>
            </w:pPr>
            <w:r>
              <w:t>1.5</w:t>
            </w:r>
          </w:p>
        </w:tc>
        <w:tc>
          <w:tcPr>
            <w:tcW w:w="1837" w:type="dxa"/>
          </w:tcPr>
          <w:p w14:paraId="453E00BA" w14:textId="72E0EF71" w:rsidR="005C461A" w:rsidRDefault="0043096D" w:rsidP="005954CF">
            <w:pPr>
              <w:spacing w:before="60" w:after="60"/>
              <w:rPr>
                <w:bCs/>
              </w:rPr>
            </w:pPr>
            <w:r>
              <w:rPr>
                <w:bCs/>
              </w:rPr>
              <w:t>May 2024</w:t>
            </w:r>
          </w:p>
        </w:tc>
        <w:tc>
          <w:tcPr>
            <w:tcW w:w="1581" w:type="dxa"/>
          </w:tcPr>
          <w:p w14:paraId="76AEBA4E" w14:textId="75D71367" w:rsidR="005C461A" w:rsidRDefault="0043096D" w:rsidP="005954CF">
            <w:pPr>
              <w:spacing w:before="60" w:after="60"/>
            </w:pPr>
            <w:r>
              <w:t>DTF</w:t>
            </w:r>
          </w:p>
        </w:tc>
        <w:tc>
          <w:tcPr>
            <w:tcW w:w="6011" w:type="dxa"/>
          </w:tcPr>
          <w:p w14:paraId="282E4144" w14:textId="1297AF3B" w:rsidR="005C461A" w:rsidRDefault="0043096D" w:rsidP="008B5201">
            <w:pPr>
              <w:spacing w:before="60" w:after="60"/>
            </w:pPr>
            <w:r>
              <w:t xml:space="preserve">Clarify </w:t>
            </w:r>
            <w:r w:rsidR="00B54749">
              <w:t>Appendix A</w:t>
            </w:r>
            <w:r w:rsidR="00806F2E">
              <w:t xml:space="preserve"> - </w:t>
            </w:r>
            <w:r w:rsidR="00806F2E">
              <w:t>category 4</w:t>
            </w:r>
            <w:r w:rsidR="00B54749">
              <w:t xml:space="preserve"> to include</w:t>
            </w:r>
            <w:r>
              <w:t xml:space="preserve"> venue hire agreements</w:t>
            </w:r>
            <w:r w:rsidR="00806F2E">
              <w:t xml:space="preserve"> </w:t>
            </w:r>
            <w:r w:rsidR="0037690A">
              <w:t>used for electoral purposes</w:t>
            </w:r>
          </w:p>
        </w:tc>
      </w:tr>
    </w:tbl>
    <w:p w14:paraId="6D5B78C5" w14:textId="77777777" w:rsidR="00667C4A" w:rsidRDefault="00667C4A" w:rsidP="0041647A">
      <w:pPr>
        <w:pStyle w:val="ListNumber"/>
        <w:numPr>
          <w:ilvl w:val="0"/>
          <w:numId w:val="0"/>
        </w:numPr>
      </w:pPr>
    </w:p>
    <w:sectPr w:rsidR="00667C4A" w:rsidSect="00B2229C">
      <w:headerReference w:type="default" r:id="rId9"/>
      <w:footerReference w:type="default" r:id="rId10"/>
      <w:headerReference w:type="first" r:id="rId11"/>
      <w:footerReference w:type="first" r:id="rId12"/>
      <w:pgSz w:w="11906" w:h="16838" w:code="9"/>
      <w:pgMar w:top="794" w:right="794" w:bottom="794" w:left="794" w:header="794"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C983" w14:textId="77777777" w:rsidR="00C37E0A" w:rsidRDefault="00C37E0A" w:rsidP="007332FF">
      <w:r>
        <w:separator/>
      </w:r>
    </w:p>
  </w:endnote>
  <w:endnote w:type="continuationSeparator" w:id="0">
    <w:p w14:paraId="15471341" w14:textId="77777777" w:rsidR="00C37E0A" w:rsidRDefault="00C37E0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D38F"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42504FE" w14:textId="77777777" w:rsidTr="00D47DC7">
      <w:trPr>
        <w:cantSplit/>
        <w:trHeight w:hRule="exact" w:val="850"/>
      </w:trPr>
      <w:tc>
        <w:tcPr>
          <w:tcW w:w="10318" w:type="dxa"/>
          <w:vAlign w:val="bottom"/>
        </w:tcPr>
        <w:p w14:paraId="516F0052"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B2229C">
                <w:rPr>
                  <w:rStyle w:val="PageNumber"/>
                  <w:b/>
                </w:rPr>
                <w:t>TREASURY AND FINANCE</w:t>
              </w:r>
            </w:sdtContent>
          </w:sdt>
        </w:p>
        <w:p w14:paraId="51E9F7D6" w14:textId="5488AA83" w:rsidR="00C619CA" w:rsidRDefault="00B54749" w:rsidP="00D47DC7">
          <w:pPr>
            <w:spacing w:after="0"/>
            <w:rPr>
              <w:rStyle w:val="PageNumber"/>
            </w:rPr>
          </w:pPr>
          <w:r w:rsidRPr="00B54749">
            <w:rPr>
              <w:rStyle w:val="PageNumber"/>
            </w:rPr>
            <w:t>May 2024</w:t>
          </w:r>
          <w:r w:rsidR="00C619CA" w:rsidRPr="00B54749">
            <w:rPr>
              <w:rStyle w:val="PageNumber"/>
            </w:rPr>
            <w:t xml:space="preserve"> | Version 1.</w:t>
          </w:r>
          <w:r w:rsidRPr="00B54749">
            <w:rPr>
              <w:rStyle w:val="PageNumber"/>
            </w:rPr>
            <w:t>5</w:t>
          </w:r>
        </w:p>
        <w:p w14:paraId="134BF5E5" w14:textId="1690E28C"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F33E6">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F33E6">
            <w:rPr>
              <w:rStyle w:val="PageNumber"/>
              <w:noProof/>
            </w:rPr>
            <w:t>5</w:t>
          </w:r>
          <w:r w:rsidRPr="00AC4488">
            <w:rPr>
              <w:rStyle w:val="PageNumber"/>
            </w:rPr>
            <w:fldChar w:fldCharType="end"/>
          </w:r>
        </w:p>
      </w:tc>
    </w:tr>
  </w:tbl>
  <w:p w14:paraId="7B3D63F4"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4E06"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4C4EDE5A" w14:textId="77777777" w:rsidTr="00B2229C">
      <w:trPr>
        <w:cantSplit/>
        <w:trHeight w:hRule="exact" w:val="1000"/>
      </w:trPr>
      <w:tc>
        <w:tcPr>
          <w:tcW w:w="7767" w:type="dxa"/>
          <w:vAlign w:val="bottom"/>
        </w:tcPr>
        <w:p w14:paraId="586E2E72"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sidR="00B2229C">
                <w:rPr>
                  <w:rStyle w:val="PageNumber"/>
                  <w:b/>
                </w:rPr>
                <w:t>TREASURY AND FINANCE</w:t>
              </w:r>
            </w:sdtContent>
          </w:sdt>
        </w:p>
        <w:p w14:paraId="15F8A568" w14:textId="6C53B4FE" w:rsidR="00D47DC7" w:rsidRPr="00CE6614" w:rsidRDefault="00B54749" w:rsidP="00D47DC7">
          <w:pPr>
            <w:spacing w:after="0"/>
            <w:rPr>
              <w:rStyle w:val="PageNumber"/>
            </w:rPr>
          </w:pPr>
          <w:r>
            <w:rPr>
              <w:rStyle w:val="PageNumber"/>
            </w:rPr>
            <w:t>May</w:t>
          </w:r>
          <w:r w:rsidR="00C619CA">
            <w:rPr>
              <w:rStyle w:val="PageNumber"/>
            </w:rPr>
            <w:t xml:space="preserve"> 202</w:t>
          </w:r>
          <w:r>
            <w:rPr>
              <w:rStyle w:val="PageNumber"/>
            </w:rPr>
            <w:t>4</w:t>
          </w:r>
          <w:r w:rsidR="00C619CA">
            <w:rPr>
              <w:rStyle w:val="PageNumber"/>
            </w:rPr>
            <w:t xml:space="preserve"> </w:t>
          </w:r>
          <w:r w:rsidR="00D47DC7" w:rsidRPr="00CE6614">
            <w:rPr>
              <w:rStyle w:val="PageNumber"/>
            </w:rPr>
            <w:t xml:space="preserve">| Version </w:t>
          </w:r>
          <w:r w:rsidR="00B2229C">
            <w:rPr>
              <w:rStyle w:val="PageNumber"/>
            </w:rPr>
            <w:t>1.</w:t>
          </w:r>
          <w:r>
            <w:rPr>
              <w:rStyle w:val="PageNumber"/>
            </w:rPr>
            <w:t>5</w:t>
          </w:r>
        </w:p>
        <w:p w14:paraId="7EEE4006" w14:textId="12CE5D89"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F33E6">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F33E6">
            <w:rPr>
              <w:rStyle w:val="PageNumber"/>
              <w:noProof/>
            </w:rPr>
            <w:t>5</w:t>
          </w:r>
          <w:r w:rsidRPr="00AC4488">
            <w:rPr>
              <w:rStyle w:val="PageNumber"/>
            </w:rPr>
            <w:fldChar w:fldCharType="end"/>
          </w:r>
        </w:p>
      </w:tc>
      <w:tc>
        <w:tcPr>
          <w:tcW w:w="2551" w:type="dxa"/>
          <w:vAlign w:val="bottom"/>
        </w:tcPr>
        <w:p w14:paraId="151B1DB1" w14:textId="77777777" w:rsidR="0071700C" w:rsidRPr="001E14EB" w:rsidRDefault="0071700C" w:rsidP="0071700C">
          <w:pPr>
            <w:spacing w:after="0"/>
            <w:jc w:val="right"/>
          </w:pPr>
          <w:r>
            <w:rPr>
              <w:noProof/>
              <w:lang w:eastAsia="en-AU"/>
            </w:rPr>
            <w:drawing>
              <wp:inline distT="0" distB="0" distL="0" distR="0" wp14:anchorId="48B50E5F" wp14:editId="64F53497">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8B4EE60"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012B" w14:textId="77777777" w:rsidR="00C37E0A" w:rsidRDefault="00C37E0A" w:rsidP="007332FF">
      <w:r>
        <w:separator/>
      </w:r>
    </w:p>
  </w:footnote>
  <w:footnote w:type="continuationSeparator" w:id="0">
    <w:p w14:paraId="36AEDC58" w14:textId="77777777" w:rsidR="00C37E0A" w:rsidRDefault="00C37E0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23EA" w14:textId="3C58E028"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B14621">
          <w:t>Treasurer’s Directions – Guarantees and indemnities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49961E1D" w14:textId="594007CF" w:rsidR="00E54F9E" w:rsidRDefault="00B14621" w:rsidP="00435082">
        <w:pPr>
          <w:pStyle w:val="Title"/>
        </w:pPr>
        <w:r>
          <w:rPr>
            <w:rStyle w:val="TitleChar"/>
          </w:rPr>
          <w:t>Treasurer’s Directions – Guarantees and indemnities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CDE"/>
    <w:multiLevelType w:val="hybridMultilevel"/>
    <w:tmpl w:val="A03A4B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F0990"/>
    <w:multiLevelType w:val="multilevel"/>
    <w:tmpl w:val="0C78A7AC"/>
    <w:styleLink w:val="NTGTableList"/>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2" w15:restartNumberingAfterBreak="0">
    <w:nsid w:val="0387033F"/>
    <w:multiLevelType w:val="hybridMultilevel"/>
    <w:tmpl w:val="A03A4B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410463"/>
    <w:multiLevelType w:val="hybridMultilevel"/>
    <w:tmpl w:val="D7E88C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1CF6F92"/>
    <w:multiLevelType w:val="hybridMultilevel"/>
    <w:tmpl w:val="2CD2E87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1E37D29"/>
    <w:multiLevelType w:val="hybridMultilevel"/>
    <w:tmpl w:val="CB3A1C7C"/>
    <w:lvl w:ilvl="0" w:tplc="0C090019">
      <w:start w:val="1"/>
      <w:numFmt w:val="lowerLetter"/>
      <w:lvlText w:val="%1."/>
      <w:lvlJc w:val="left"/>
      <w:pPr>
        <w:ind w:left="814" w:hanging="360"/>
      </w:p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3AC0BD5"/>
    <w:multiLevelType w:val="multilevel"/>
    <w:tmpl w:val="39746A98"/>
    <w:styleLink w:val="NTGTableNum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3C316324"/>
    <w:multiLevelType w:val="hybridMultilevel"/>
    <w:tmpl w:val="A03A4B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3D808F8"/>
    <w:multiLevelType w:val="hybridMultilevel"/>
    <w:tmpl w:val="A03A4B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61D0C8A"/>
    <w:multiLevelType w:val="multilevel"/>
    <w:tmpl w:val="39746A98"/>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31" w15:restartNumberingAfterBreak="0">
    <w:nsid w:val="49FD3A20"/>
    <w:multiLevelType w:val="multilevel"/>
    <w:tmpl w:val="3E5E177A"/>
    <w:name w:val="NTG Table Bullet List3322222222222"/>
    <w:numStyleLink w:val="Tablenumberlist"/>
  </w:abstractNum>
  <w:abstractNum w:abstractNumId="3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925"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5" w15:restartNumberingAfterBreak="0">
    <w:nsid w:val="4E8B7BF6"/>
    <w:multiLevelType w:val="hybridMultilevel"/>
    <w:tmpl w:val="A2865D96"/>
    <w:lvl w:ilvl="0" w:tplc="0C090019">
      <w:start w:val="1"/>
      <w:numFmt w:val="lowerLetter"/>
      <w:lvlText w:val="%1."/>
      <w:lvlJc w:val="left"/>
      <w:pPr>
        <w:ind w:left="814" w:hanging="360"/>
      </w:p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6" w15:restartNumberingAfterBreak="0">
    <w:nsid w:val="52F95C1E"/>
    <w:multiLevelType w:val="hybridMultilevel"/>
    <w:tmpl w:val="A03A4B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3842BC6"/>
    <w:multiLevelType w:val="multilevel"/>
    <w:tmpl w:val="0C78A7AC"/>
    <w:numStyleLink w:val="Tablebulletlist"/>
  </w:abstractNum>
  <w:abstractNum w:abstractNumId="3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5EE5AD0"/>
    <w:multiLevelType w:val="multilevel"/>
    <w:tmpl w:val="0C78A7AC"/>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40" w15:restartNumberingAfterBreak="0">
    <w:nsid w:val="56DA2CAE"/>
    <w:multiLevelType w:val="multilevel"/>
    <w:tmpl w:val="3E5E177A"/>
    <w:name w:val="NTG Table Bullet List332222222222222"/>
    <w:numStyleLink w:val="Tablenumberlist"/>
  </w:abstractNum>
  <w:abstractNum w:abstractNumId="41" w15:restartNumberingAfterBreak="0">
    <w:nsid w:val="583359D9"/>
    <w:multiLevelType w:val="multilevel"/>
    <w:tmpl w:val="3E5E177A"/>
    <w:name w:val="NTG Table Bullet List332222222"/>
    <w:numStyleLink w:val="Tablenumberlist"/>
  </w:abstractNum>
  <w:abstractNum w:abstractNumId="42" w15:restartNumberingAfterBreak="0">
    <w:nsid w:val="5A104F11"/>
    <w:multiLevelType w:val="hybridMultilevel"/>
    <w:tmpl w:val="FB52151C"/>
    <w:lvl w:ilvl="0" w:tplc="0C090019">
      <w:start w:val="1"/>
      <w:numFmt w:val="lowerLetter"/>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3" w15:restartNumberingAfterBreak="0">
    <w:nsid w:val="5A2B7CBF"/>
    <w:multiLevelType w:val="hybridMultilevel"/>
    <w:tmpl w:val="3396829C"/>
    <w:lvl w:ilvl="0" w:tplc="0C09001B">
      <w:start w:val="1"/>
      <w:numFmt w:val="lowerRoman"/>
      <w:lvlText w:val="%1."/>
      <w:lvlJc w:val="right"/>
      <w:pPr>
        <w:ind w:left="1212" w:hanging="360"/>
      </w:pPr>
    </w:lvl>
    <w:lvl w:ilvl="1" w:tplc="0C090019" w:tentative="1">
      <w:start w:val="1"/>
      <w:numFmt w:val="lowerLetter"/>
      <w:lvlText w:val="%2."/>
      <w:lvlJc w:val="left"/>
      <w:pPr>
        <w:ind w:left="1932" w:hanging="360"/>
      </w:p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44" w15:restartNumberingAfterBreak="0">
    <w:nsid w:val="5B5F1546"/>
    <w:multiLevelType w:val="hybridMultilevel"/>
    <w:tmpl w:val="E7AEC346"/>
    <w:lvl w:ilvl="0" w:tplc="0C090019">
      <w:start w:val="1"/>
      <w:numFmt w:val="lowerLetter"/>
      <w:lvlText w:val="%1."/>
      <w:lvlJc w:val="left"/>
      <w:pPr>
        <w:ind w:left="717" w:hanging="360"/>
      </w:p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5" w15:restartNumberingAfterBreak="0">
    <w:nsid w:val="5B9A5FFE"/>
    <w:multiLevelType w:val="multilevel"/>
    <w:tmpl w:val="0C78A7AC"/>
    <w:name w:val="NTG Table Bullet List33222222222222"/>
    <w:numStyleLink w:val="Tablebulletlist"/>
  </w:abstractNum>
  <w:abstractNum w:abstractNumId="46" w15:restartNumberingAfterBreak="0">
    <w:nsid w:val="5D444259"/>
    <w:multiLevelType w:val="multilevel"/>
    <w:tmpl w:val="0C78A7AC"/>
    <w:name w:val="NTG Table Bullet List332222"/>
    <w:numStyleLink w:val="Tablebulletlist"/>
  </w:abstractNum>
  <w:abstractNum w:abstractNumId="47" w15:restartNumberingAfterBreak="0">
    <w:nsid w:val="5F8130B2"/>
    <w:multiLevelType w:val="hybridMultilevel"/>
    <w:tmpl w:val="A03A4B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3515995"/>
    <w:multiLevelType w:val="hybridMultilevel"/>
    <w:tmpl w:val="A03A4B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7B1370D"/>
    <w:multiLevelType w:val="hybridMultilevel"/>
    <w:tmpl w:val="A03A4B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9262556"/>
    <w:multiLevelType w:val="multilevel"/>
    <w:tmpl w:val="3E5E177A"/>
    <w:name w:val="NTG Table Bullet List3322222222222222"/>
    <w:numStyleLink w:val="Tablenumberlist"/>
  </w:abstractNum>
  <w:abstractNum w:abstractNumId="51" w15:restartNumberingAfterBreak="0">
    <w:nsid w:val="6CAD64BF"/>
    <w:multiLevelType w:val="hybridMultilevel"/>
    <w:tmpl w:val="A03A4B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453664D"/>
    <w:multiLevelType w:val="multilevel"/>
    <w:tmpl w:val="0C78A7AC"/>
    <w:name w:val="NTG Table Bullet List3322222222222222222"/>
    <w:numStyleLink w:val="Tablebulletlist"/>
  </w:abstractNum>
  <w:abstractNum w:abstractNumId="53" w15:restartNumberingAfterBreak="0">
    <w:nsid w:val="76141D1E"/>
    <w:multiLevelType w:val="multilevel"/>
    <w:tmpl w:val="0C78A7AC"/>
    <w:name w:val="NTG Table Bullet List332222222222"/>
    <w:numStyleLink w:val="Tablebulletlist"/>
  </w:abstractNum>
  <w:abstractNum w:abstractNumId="5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6" w15:restartNumberingAfterBreak="0">
    <w:nsid w:val="7F634071"/>
    <w:multiLevelType w:val="hybridMultilevel"/>
    <w:tmpl w:val="F2AA1F9A"/>
    <w:lvl w:ilvl="0" w:tplc="0C090019">
      <w:start w:val="1"/>
      <w:numFmt w:val="lowerLetter"/>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7" w15:restartNumberingAfterBreak="0">
    <w:nsid w:val="7FBC1511"/>
    <w:multiLevelType w:val="multilevel"/>
    <w:tmpl w:val="F3EE93D8"/>
    <w:lvl w:ilvl="0">
      <w:start w:val="1"/>
      <w:numFmt w:val="decimal"/>
      <w:pStyle w:val="ListNumber"/>
      <w:lvlText w:val="%1."/>
      <w:lvlJc w:val="left"/>
      <w:pPr>
        <w:ind w:left="454" w:hanging="454"/>
      </w:pPr>
      <w:rPr>
        <w:rFonts w:hint="default"/>
      </w:rPr>
    </w:lvl>
    <w:lvl w:ilvl="1">
      <w:start w:val="1"/>
      <w:numFmt w:val="lowerLetter"/>
      <w:lvlText w:val="%2."/>
      <w:lvlJc w:val="left"/>
      <w:pPr>
        <w:ind w:left="737" w:hanging="454"/>
      </w:pPr>
      <w:rPr>
        <w:rFonts w:hint="default"/>
      </w:rPr>
    </w:lvl>
    <w:lvl w:ilvl="2">
      <w:start w:val="1"/>
      <w:numFmt w:val="lowerRoman"/>
      <w:lvlText w:val="%3."/>
      <w:lvlJc w:val="left"/>
      <w:pPr>
        <w:ind w:left="1191" w:hanging="454"/>
      </w:pPr>
      <w:rPr>
        <w:rFonts w:hint="default"/>
      </w:rPr>
    </w:lvl>
    <w:lvl w:ilvl="3">
      <w:start w:val="1"/>
      <w:numFmt w:val="decimal"/>
      <w:lvlText w:val="%4."/>
      <w:lvlJc w:val="left"/>
      <w:pPr>
        <w:ind w:left="1645" w:hanging="454"/>
      </w:pPr>
      <w:rPr>
        <w:rFonts w:hint="default"/>
      </w:rPr>
    </w:lvl>
    <w:lvl w:ilvl="4">
      <w:start w:val="1"/>
      <w:numFmt w:val="lowerLetter"/>
      <w:lvlText w:val="%5."/>
      <w:lvlJc w:val="left"/>
      <w:pPr>
        <w:ind w:left="2099" w:hanging="454"/>
      </w:pPr>
      <w:rPr>
        <w:rFonts w:hint="default"/>
      </w:rPr>
    </w:lvl>
    <w:lvl w:ilvl="5">
      <w:start w:val="1"/>
      <w:numFmt w:val="lowerRoman"/>
      <w:lvlText w:val="%6."/>
      <w:lvlJc w:val="right"/>
      <w:pPr>
        <w:ind w:left="2553" w:hanging="454"/>
      </w:pPr>
      <w:rPr>
        <w:rFonts w:hint="default"/>
      </w:rPr>
    </w:lvl>
    <w:lvl w:ilvl="6">
      <w:start w:val="1"/>
      <w:numFmt w:val="decimal"/>
      <w:lvlText w:val="%7."/>
      <w:lvlJc w:val="left"/>
      <w:pPr>
        <w:ind w:left="3007" w:hanging="454"/>
      </w:pPr>
      <w:rPr>
        <w:rFonts w:hint="default"/>
      </w:rPr>
    </w:lvl>
    <w:lvl w:ilvl="7">
      <w:start w:val="1"/>
      <w:numFmt w:val="lowerLetter"/>
      <w:lvlText w:val="%8."/>
      <w:lvlJc w:val="left"/>
      <w:pPr>
        <w:ind w:left="3461" w:hanging="454"/>
      </w:pPr>
      <w:rPr>
        <w:rFonts w:hint="default"/>
      </w:rPr>
    </w:lvl>
    <w:lvl w:ilvl="8">
      <w:start w:val="1"/>
      <w:numFmt w:val="lowerRoman"/>
      <w:lvlText w:val="%9."/>
      <w:lvlJc w:val="right"/>
      <w:pPr>
        <w:ind w:left="3915" w:hanging="454"/>
      </w:pPr>
      <w:rPr>
        <w:rFonts w:hint="default"/>
      </w:rPr>
    </w:lvl>
  </w:abstractNum>
  <w:num w:numId="1" w16cid:durableId="1016425666">
    <w:abstractNumId w:val="26"/>
  </w:num>
  <w:num w:numId="2" w16cid:durableId="259488100">
    <w:abstractNumId w:val="16"/>
  </w:num>
  <w:num w:numId="3" w16cid:durableId="1599215830">
    <w:abstractNumId w:val="54"/>
  </w:num>
  <w:num w:numId="4" w16cid:durableId="1504860475">
    <w:abstractNumId w:val="32"/>
  </w:num>
  <w:num w:numId="5" w16cid:durableId="779642804">
    <w:abstractNumId w:val="20"/>
  </w:num>
  <w:num w:numId="6" w16cid:durableId="1483690579">
    <w:abstractNumId w:val="12"/>
  </w:num>
  <w:num w:numId="7" w16cid:durableId="1324431862">
    <w:abstractNumId w:val="37"/>
  </w:num>
  <w:num w:numId="8" w16cid:durableId="1989091065">
    <w:abstractNumId w:val="19"/>
  </w:num>
  <w:num w:numId="9" w16cid:durableId="1414426185">
    <w:abstractNumId w:val="34"/>
  </w:num>
  <w:num w:numId="10" w16cid:durableId="253562111">
    <w:abstractNumId w:val="1"/>
  </w:num>
  <w:num w:numId="11" w16cid:durableId="1796022422">
    <w:abstractNumId w:val="39"/>
  </w:num>
  <w:num w:numId="12" w16cid:durableId="1091856120">
    <w:abstractNumId w:val="57"/>
  </w:num>
  <w:num w:numId="13" w16cid:durableId="167529548">
    <w:abstractNumId w:val="30"/>
  </w:num>
  <w:num w:numId="14" w16cid:durableId="495194106">
    <w:abstractNumId w:val="25"/>
  </w:num>
  <w:num w:numId="15" w16cid:durableId="1078399613">
    <w:abstractNumId w:val="51"/>
  </w:num>
  <w:num w:numId="16" w16cid:durableId="1945071687">
    <w:abstractNumId w:val="3"/>
  </w:num>
  <w:num w:numId="17" w16cid:durableId="2030251678">
    <w:abstractNumId w:val="8"/>
  </w:num>
  <w:num w:numId="18" w16cid:durableId="2089569557">
    <w:abstractNumId w:val="35"/>
  </w:num>
  <w:num w:numId="19" w16cid:durableId="702630948">
    <w:abstractNumId w:val="23"/>
  </w:num>
  <w:num w:numId="20" w16cid:durableId="1396929731">
    <w:abstractNumId w:val="44"/>
  </w:num>
  <w:num w:numId="21" w16cid:durableId="938757649">
    <w:abstractNumId w:val="43"/>
  </w:num>
  <w:num w:numId="22" w16cid:durableId="1223322149">
    <w:abstractNumId w:val="42"/>
  </w:num>
  <w:num w:numId="23" w16cid:durableId="1838423687">
    <w:abstractNumId w:val="56"/>
  </w:num>
  <w:num w:numId="24" w16cid:durableId="1581910401">
    <w:abstractNumId w:val="57"/>
  </w:num>
  <w:num w:numId="25" w16cid:durableId="5639894">
    <w:abstractNumId w:val="49"/>
  </w:num>
  <w:num w:numId="26" w16cid:durableId="1192495502">
    <w:abstractNumId w:val="57"/>
  </w:num>
  <w:num w:numId="27" w16cid:durableId="16663429">
    <w:abstractNumId w:val="36"/>
  </w:num>
  <w:num w:numId="28" w16cid:durableId="46496519">
    <w:abstractNumId w:val="57"/>
  </w:num>
  <w:num w:numId="29" w16cid:durableId="1073969756">
    <w:abstractNumId w:val="28"/>
  </w:num>
  <w:num w:numId="30" w16cid:durableId="592712621">
    <w:abstractNumId w:val="57"/>
  </w:num>
  <w:num w:numId="31" w16cid:durableId="1510873782">
    <w:abstractNumId w:val="47"/>
  </w:num>
  <w:num w:numId="32" w16cid:durableId="1503010197">
    <w:abstractNumId w:val="57"/>
  </w:num>
  <w:num w:numId="33" w16cid:durableId="1148857369">
    <w:abstractNumId w:val="2"/>
  </w:num>
  <w:num w:numId="34" w16cid:durableId="349111361">
    <w:abstractNumId w:val="57"/>
  </w:num>
  <w:num w:numId="35" w16cid:durableId="280110706">
    <w:abstractNumId w:val="29"/>
  </w:num>
  <w:num w:numId="36" w16cid:durableId="2137987554">
    <w:abstractNumId w:val="57"/>
  </w:num>
  <w:num w:numId="37" w16cid:durableId="1580407111">
    <w:abstractNumId w:val="48"/>
  </w:num>
  <w:num w:numId="38" w16cid:durableId="1696494212">
    <w:abstractNumId w:val="57"/>
  </w:num>
  <w:num w:numId="39" w16cid:durableId="212469291">
    <w:abstractNumId w:val="0"/>
  </w:num>
  <w:num w:numId="40" w16cid:durableId="2019236227">
    <w:abstractNumId w:val="39"/>
  </w:num>
  <w:num w:numId="41" w16cid:durableId="713894415">
    <w:abstractNumId w:val="39"/>
  </w:num>
  <w:num w:numId="42" w16cid:durableId="826481081">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9C"/>
    <w:rsid w:val="00001DDF"/>
    <w:rsid w:val="0000322D"/>
    <w:rsid w:val="00007670"/>
    <w:rsid w:val="00010665"/>
    <w:rsid w:val="0001143E"/>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99C"/>
    <w:rsid w:val="000B2CA1"/>
    <w:rsid w:val="000D1F29"/>
    <w:rsid w:val="000D633D"/>
    <w:rsid w:val="000E342B"/>
    <w:rsid w:val="000E3ED2"/>
    <w:rsid w:val="000E5DD2"/>
    <w:rsid w:val="000F16A8"/>
    <w:rsid w:val="000F2958"/>
    <w:rsid w:val="000F3850"/>
    <w:rsid w:val="000F5D2D"/>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0E9"/>
    <w:rsid w:val="001D7CA4"/>
    <w:rsid w:val="001E057F"/>
    <w:rsid w:val="001E14EB"/>
    <w:rsid w:val="001F59E6"/>
    <w:rsid w:val="00203F1C"/>
    <w:rsid w:val="00206936"/>
    <w:rsid w:val="00206C6F"/>
    <w:rsid w:val="00206FBD"/>
    <w:rsid w:val="00207746"/>
    <w:rsid w:val="00230031"/>
    <w:rsid w:val="00235C01"/>
    <w:rsid w:val="00247343"/>
    <w:rsid w:val="00252216"/>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4618"/>
    <w:rsid w:val="003164BA"/>
    <w:rsid w:val="00324200"/>
    <w:rsid w:val="003258E6"/>
    <w:rsid w:val="00325E66"/>
    <w:rsid w:val="00342283"/>
    <w:rsid w:val="00343A87"/>
    <w:rsid w:val="00343C61"/>
    <w:rsid w:val="00344A36"/>
    <w:rsid w:val="003456F4"/>
    <w:rsid w:val="0034756F"/>
    <w:rsid w:val="00347FB6"/>
    <w:rsid w:val="003504FD"/>
    <w:rsid w:val="00350881"/>
    <w:rsid w:val="00357D55"/>
    <w:rsid w:val="00363513"/>
    <w:rsid w:val="003657E5"/>
    <w:rsid w:val="0036589C"/>
    <w:rsid w:val="00371312"/>
    <w:rsid w:val="00371DC7"/>
    <w:rsid w:val="0037690A"/>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1647A"/>
    <w:rsid w:val="00426E25"/>
    <w:rsid w:val="00427D9C"/>
    <w:rsid w:val="00427E7E"/>
    <w:rsid w:val="0043093E"/>
    <w:rsid w:val="0043096D"/>
    <w:rsid w:val="0043465D"/>
    <w:rsid w:val="00435082"/>
    <w:rsid w:val="0043605D"/>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1792"/>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1A8"/>
    <w:rsid w:val="00503DE9"/>
    <w:rsid w:val="0050530C"/>
    <w:rsid w:val="00505DEA"/>
    <w:rsid w:val="00507782"/>
    <w:rsid w:val="00512A04"/>
    <w:rsid w:val="00520499"/>
    <w:rsid w:val="005249F5"/>
    <w:rsid w:val="005260F7"/>
    <w:rsid w:val="00543BD1"/>
    <w:rsid w:val="00556113"/>
    <w:rsid w:val="00564C12"/>
    <w:rsid w:val="005654B8"/>
    <w:rsid w:val="00570D94"/>
    <w:rsid w:val="00571826"/>
    <w:rsid w:val="005762CC"/>
    <w:rsid w:val="00582D3D"/>
    <w:rsid w:val="00590040"/>
    <w:rsid w:val="00595386"/>
    <w:rsid w:val="005954CF"/>
    <w:rsid w:val="00597234"/>
    <w:rsid w:val="005A4AC0"/>
    <w:rsid w:val="005A539B"/>
    <w:rsid w:val="005A5FDF"/>
    <w:rsid w:val="005B0FB7"/>
    <w:rsid w:val="005B122A"/>
    <w:rsid w:val="005B1FCB"/>
    <w:rsid w:val="005B5AC2"/>
    <w:rsid w:val="005C2833"/>
    <w:rsid w:val="005C461A"/>
    <w:rsid w:val="005E144D"/>
    <w:rsid w:val="005E1500"/>
    <w:rsid w:val="005E3A43"/>
    <w:rsid w:val="005F0B17"/>
    <w:rsid w:val="005F4309"/>
    <w:rsid w:val="005F6602"/>
    <w:rsid w:val="005F77C7"/>
    <w:rsid w:val="00620675"/>
    <w:rsid w:val="00622910"/>
    <w:rsid w:val="006254B6"/>
    <w:rsid w:val="00625E80"/>
    <w:rsid w:val="00627FC8"/>
    <w:rsid w:val="006433C3"/>
    <w:rsid w:val="00650F5B"/>
    <w:rsid w:val="006670D7"/>
    <w:rsid w:val="00667C4A"/>
    <w:rsid w:val="006719EA"/>
    <w:rsid w:val="00671F13"/>
    <w:rsid w:val="0067400A"/>
    <w:rsid w:val="006847AD"/>
    <w:rsid w:val="0069114B"/>
    <w:rsid w:val="006944C1"/>
    <w:rsid w:val="006A756A"/>
    <w:rsid w:val="006C0EC2"/>
    <w:rsid w:val="006D66F7"/>
    <w:rsid w:val="006F2605"/>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3D4"/>
    <w:rsid w:val="007907E4"/>
    <w:rsid w:val="00796461"/>
    <w:rsid w:val="007A6A4F"/>
    <w:rsid w:val="007B03F5"/>
    <w:rsid w:val="007B2787"/>
    <w:rsid w:val="007B5C09"/>
    <w:rsid w:val="007B5DA2"/>
    <w:rsid w:val="007C0966"/>
    <w:rsid w:val="007C19E7"/>
    <w:rsid w:val="007C5CFD"/>
    <w:rsid w:val="007C6D9F"/>
    <w:rsid w:val="007D4893"/>
    <w:rsid w:val="007E70CF"/>
    <w:rsid w:val="007E74A4"/>
    <w:rsid w:val="007F1B6F"/>
    <w:rsid w:val="007F263F"/>
    <w:rsid w:val="008015A8"/>
    <w:rsid w:val="00806F2E"/>
    <w:rsid w:val="0080766E"/>
    <w:rsid w:val="00811169"/>
    <w:rsid w:val="00815297"/>
    <w:rsid w:val="008170DB"/>
    <w:rsid w:val="00817BA1"/>
    <w:rsid w:val="00820DEB"/>
    <w:rsid w:val="00823022"/>
    <w:rsid w:val="0082634E"/>
    <w:rsid w:val="008313C4"/>
    <w:rsid w:val="00835434"/>
    <w:rsid w:val="008358C0"/>
    <w:rsid w:val="00835FEE"/>
    <w:rsid w:val="00842838"/>
    <w:rsid w:val="00854EC1"/>
    <w:rsid w:val="0085797F"/>
    <w:rsid w:val="00861DC3"/>
    <w:rsid w:val="00867019"/>
    <w:rsid w:val="00872EF1"/>
    <w:rsid w:val="008735A9"/>
    <w:rsid w:val="008765D1"/>
    <w:rsid w:val="00877BC5"/>
    <w:rsid w:val="00877D20"/>
    <w:rsid w:val="00881C48"/>
    <w:rsid w:val="00885B80"/>
    <w:rsid w:val="00885C30"/>
    <w:rsid w:val="00885E9B"/>
    <w:rsid w:val="0089368E"/>
    <w:rsid w:val="00893C96"/>
    <w:rsid w:val="0089500A"/>
    <w:rsid w:val="00897C94"/>
    <w:rsid w:val="008A4B30"/>
    <w:rsid w:val="008A7C12"/>
    <w:rsid w:val="008B03CE"/>
    <w:rsid w:val="008B5201"/>
    <w:rsid w:val="008B529E"/>
    <w:rsid w:val="008C17FB"/>
    <w:rsid w:val="008C70BB"/>
    <w:rsid w:val="008D1B00"/>
    <w:rsid w:val="008D57B8"/>
    <w:rsid w:val="008E03FC"/>
    <w:rsid w:val="008E510B"/>
    <w:rsid w:val="008F33E6"/>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17D50"/>
    <w:rsid w:val="00A22C38"/>
    <w:rsid w:val="00A25193"/>
    <w:rsid w:val="00A26E80"/>
    <w:rsid w:val="00A31AE8"/>
    <w:rsid w:val="00A3739D"/>
    <w:rsid w:val="00A37DDA"/>
    <w:rsid w:val="00A45005"/>
    <w:rsid w:val="00A567EE"/>
    <w:rsid w:val="00A67D17"/>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4621"/>
    <w:rsid w:val="00B15754"/>
    <w:rsid w:val="00B16002"/>
    <w:rsid w:val="00B2046E"/>
    <w:rsid w:val="00B204A5"/>
    <w:rsid w:val="00B20E8B"/>
    <w:rsid w:val="00B2229C"/>
    <w:rsid w:val="00B257E1"/>
    <w:rsid w:val="00B2599A"/>
    <w:rsid w:val="00B27AC4"/>
    <w:rsid w:val="00B343CC"/>
    <w:rsid w:val="00B5084A"/>
    <w:rsid w:val="00B54749"/>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37E0A"/>
    <w:rsid w:val="00C43519"/>
    <w:rsid w:val="00C45263"/>
    <w:rsid w:val="00C51537"/>
    <w:rsid w:val="00C52BC3"/>
    <w:rsid w:val="00C619CA"/>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0DBE"/>
    <w:rsid w:val="00CD5011"/>
    <w:rsid w:val="00CE640F"/>
    <w:rsid w:val="00CE76BC"/>
    <w:rsid w:val="00CF540E"/>
    <w:rsid w:val="00D02F07"/>
    <w:rsid w:val="00D133F4"/>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2C1E"/>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1FFC"/>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14FA8"/>
    <w:rsid w:val="00F30AE1"/>
    <w:rsid w:val="00F5696E"/>
    <w:rsid w:val="00F60EFF"/>
    <w:rsid w:val="00F64279"/>
    <w:rsid w:val="00F67D2D"/>
    <w:rsid w:val="00F749EF"/>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F7C25"/>
  <w15:docId w15:val="{22F9874C-A076-40BE-A698-59605C6C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1"/>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1"/>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1"/>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1"/>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9"/>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9"/>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E750D"/>
    <w:rPr>
      <w:rFonts w:ascii="Lato" w:hAnsi="Lato"/>
      <w:b/>
      <w:color w:val="1F1F5F" w:themeColor="text1"/>
    </w:rPr>
  </w:style>
  <w:style w:type="character" w:customStyle="1" w:styleId="Heading6Char">
    <w:name w:val="Heading 6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8765D1"/>
    <w:pPr>
      <w:numPr>
        <w:numId w:val="12"/>
      </w:num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numbering" w:customStyle="1" w:styleId="NTGStandardNumList">
    <w:name w:val="NTG Standard Num List"/>
    <w:uiPriority w:val="99"/>
    <w:rsid w:val="00B2229C"/>
    <w:pPr>
      <w:numPr>
        <w:numId w:val="9"/>
      </w:numPr>
    </w:pPr>
  </w:style>
  <w:style w:type="paragraph" w:customStyle="1" w:styleId="NTGTableBulletList1">
    <w:name w:val="NTG Table Bullet List 1"/>
    <w:semiHidden/>
    <w:qFormat/>
    <w:rsid w:val="00B2229C"/>
    <w:pPr>
      <w:numPr>
        <w:numId w:val="11"/>
      </w:numPr>
      <w:spacing w:after="20"/>
    </w:pPr>
  </w:style>
  <w:style w:type="paragraph" w:customStyle="1" w:styleId="NTGTableBulletList2">
    <w:name w:val="NTG Table Bullet List 2"/>
    <w:basedOn w:val="NTGTableBulletList1"/>
    <w:semiHidden/>
    <w:qFormat/>
    <w:rsid w:val="00B2229C"/>
    <w:pPr>
      <w:numPr>
        <w:ilvl w:val="1"/>
      </w:numPr>
    </w:pPr>
  </w:style>
  <w:style w:type="paragraph" w:customStyle="1" w:styleId="NTGTableBulletList3">
    <w:name w:val="NTG Table Bullet List 3"/>
    <w:basedOn w:val="NTGTableBulletList2"/>
    <w:semiHidden/>
    <w:qFormat/>
    <w:rsid w:val="00B2229C"/>
    <w:pPr>
      <w:numPr>
        <w:ilvl w:val="2"/>
      </w:numPr>
    </w:pPr>
  </w:style>
  <w:style w:type="paragraph" w:customStyle="1" w:styleId="NTGTableBulletList4">
    <w:name w:val="NTG Table Bullet List 4"/>
    <w:basedOn w:val="NTGTableBulletList3"/>
    <w:semiHidden/>
    <w:qFormat/>
    <w:rsid w:val="00B2229C"/>
    <w:pPr>
      <w:numPr>
        <w:ilvl w:val="3"/>
      </w:numPr>
    </w:pPr>
  </w:style>
  <w:style w:type="paragraph" w:customStyle="1" w:styleId="NTGTableBulletList5">
    <w:name w:val="NTG Table Bullet List 5"/>
    <w:basedOn w:val="NTGTableBulletList4"/>
    <w:semiHidden/>
    <w:qFormat/>
    <w:rsid w:val="00B2229C"/>
    <w:pPr>
      <w:numPr>
        <w:ilvl w:val="4"/>
      </w:numPr>
    </w:pPr>
  </w:style>
  <w:style w:type="paragraph" w:customStyle="1" w:styleId="NTGTableBulletList6">
    <w:name w:val="NTG Table Bullet List 6"/>
    <w:basedOn w:val="NTGTableBulletList5"/>
    <w:semiHidden/>
    <w:qFormat/>
    <w:rsid w:val="00B2229C"/>
    <w:pPr>
      <w:numPr>
        <w:ilvl w:val="5"/>
      </w:numPr>
    </w:pPr>
  </w:style>
  <w:style w:type="paragraph" w:customStyle="1" w:styleId="NTGTableBulletList7">
    <w:name w:val="NTG Table Bullet List 7"/>
    <w:basedOn w:val="NTGTableBulletList6"/>
    <w:semiHidden/>
    <w:qFormat/>
    <w:rsid w:val="00B2229C"/>
    <w:pPr>
      <w:numPr>
        <w:ilvl w:val="6"/>
      </w:numPr>
    </w:pPr>
  </w:style>
  <w:style w:type="paragraph" w:customStyle="1" w:styleId="NTGTableBulletList8">
    <w:name w:val="NTG Table Bullet List 8"/>
    <w:basedOn w:val="NTGTableBulletList7"/>
    <w:semiHidden/>
    <w:qFormat/>
    <w:rsid w:val="00B2229C"/>
    <w:pPr>
      <w:numPr>
        <w:ilvl w:val="7"/>
      </w:numPr>
    </w:pPr>
  </w:style>
  <w:style w:type="paragraph" w:customStyle="1" w:styleId="NTGTableBulletList9">
    <w:name w:val="NTG Table Bullet List 9"/>
    <w:basedOn w:val="NTGTableBulletList8"/>
    <w:semiHidden/>
    <w:qFormat/>
    <w:rsid w:val="00B2229C"/>
    <w:pPr>
      <w:numPr>
        <w:ilvl w:val="8"/>
      </w:numPr>
    </w:pPr>
  </w:style>
  <w:style w:type="numbering" w:customStyle="1" w:styleId="NTGTableList">
    <w:name w:val="NTG Table List"/>
    <w:uiPriority w:val="99"/>
    <w:rsid w:val="00B2229C"/>
    <w:pPr>
      <w:numPr>
        <w:numId w:val="10"/>
      </w:numPr>
    </w:pPr>
  </w:style>
  <w:style w:type="paragraph" w:customStyle="1" w:styleId="NTGTableNumList1">
    <w:name w:val="NTG Table Num List 1"/>
    <w:semiHidden/>
    <w:qFormat/>
    <w:rsid w:val="00820DEB"/>
    <w:pPr>
      <w:numPr>
        <w:numId w:val="13"/>
      </w:numPr>
      <w:spacing w:after="20"/>
    </w:pPr>
  </w:style>
  <w:style w:type="paragraph" w:customStyle="1" w:styleId="NTGTableNumList2">
    <w:name w:val="NTG Table Num List 2"/>
    <w:basedOn w:val="NTGTableNumList1"/>
    <w:semiHidden/>
    <w:qFormat/>
    <w:rsid w:val="00820DEB"/>
    <w:pPr>
      <w:numPr>
        <w:ilvl w:val="1"/>
      </w:numPr>
    </w:pPr>
  </w:style>
  <w:style w:type="paragraph" w:customStyle="1" w:styleId="NTGTableNumList3">
    <w:name w:val="NTG Table Num List 3"/>
    <w:basedOn w:val="NTGTableNumList2"/>
    <w:semiHidden/>
    <w:qFormat/>
    <w:rsid w:val="00820DEB"/>
    <w:pPr>
      <w:numPr>
        <w:ilvl w:val="2"/>
      </w:numPr>
    </w:pPr>
  </w:style>
  <w:style w:type="paragraph" w:customStyle="1" w:styleId="NTGTableNumList4">
    <w:name w:val="NTG Table Num List 4"/>
    <w:basedOn w:val="NTGTableNumList3"/>
    <w:semiHidden/>
    <w:qFormat/>
    <w:rsid w:val="00820DEB"/>
    <w:pPr>
      <w:numPr>
        <w:ilvl w:val="3"/>
      </w:numPr>
    </w:pPr>
  </w:style>
  <w:style w:type="paragraph" w:customStyle="1" w:styleId="NTGTableNumList5">
    <w:name w:val="NTG Table Num List 5"/>
    <w:basedOn w:val="NTGTableNumList4"/>
    <w:semiHidden/>
    <w:qFormat/>
    <w:rsid w:val="00820DEB"/>
    <w:pPr>
      <w:numPr>
        <w:ilvl w:val="4"/>
      </w:numPr>
    </w:pPr>
  </w:style>
  <w:style w:type="paragraph" w:customStyle="1" w:styleId="NTGTableNumList6">
    <w:name w:val="NTG Table Num List 6"/>
    <w:basedOn w:val="NTGTableNumList5"/>
    <w:semiHidden/>
    <w:qFormat/>
    <w:rsid w:val="00820DEB"/>
    <w:pPr>
      <w:numPr>
        <w:ilvl w:val="5"/>
      </w:numPr>
    </w:pPr>
  </w:style>
  <w:style w:type="paragraph" w:customStyle="1" w:styleId="NTGTableNumList7">
    <w:name w:val="NTG Table Num List 7"/>
    <w:basedOn w:val="NTGTableNumList6"/>
    <w:semiHidden/>
    <w:qFormat/>
    <w:rsid w:val="00820DEB"/>
    <w:pPr>
      <w:numPr>
        <w:ilvl w:val="6"/>
      </w:numPr>
    </w:pPr>
  </w:style>
  <w:style w:type="paragraph" w:customStyle="1" w:styleId="NTGTableNumList8">
    <w:name w:val="NTG Table Num List 8"/>
    <w:basedOn w:val="NTGTableNumList7"/>
    <w:semiHidden/>
    <w:qFormat/>
    <w:rsid w:val="00820DEB"/>
    <w:pPr>
      <w:numPr>
        <w:ilvl w:val="7"/>
      </w:numPr>
    </w:pPr>
  </w:style>
  <w:style w:type="paragraph" w:customStyle="1" w:styleId="NTGTableNumList9">
    <w:name w:val="NTG Table Num List 9"/>
    <w:basedOn w:val="NTGTableNumList8"/>
    <w:semiHidden/>
    <w:qFormat/>
    <w:rsid w:val="00820DEB"/>
    <w:pPr>
      <w:numPr>
        <w:ilvl w:val="8"/>
      </w:numPr>
    </w:pPr>
  </w:style>
  <w:style w:type="character" w:styleId="CommentReference">
    <w:name w:val="annotation reference"/>
    <w:basedOn w:val="DefaultParagraphFont"/>
    <w:uiPriority w:val="99"/>
    <w:semiHidden/>
    <w:unhideWhenUsed/>
    <w:rsid w:val="00820DEB"/>
    <w:rPr>
      <w:sz w:val="16"/>
      <w:szCs w:val="16"/>
    </w:rPr>
  </w:style>
  <w:style w:type="paragraph" w:styleId="CommentText">
    <w:name w:val="annotation text"/>
    <w:basedOn w:val="Normal"/>
    <w:link w:val="CommentTextChar"/>
    <w:uiPriority w:val="99"/>
    <w:unhideWhenUsed/>
    <w:rsid w:val="00820DEB"/>
    <w:rPr>
      <w:rFonts w:ascii="Arial" w:hAnsi="Arial"/>
      <w:sz w:val="20"/>
      <w:szCs w:val="20"/>
    </w:rPr>
  </w:style>
  <w:style w:type="character" w:customStyle="1" w:styleId="CommentTextChar">
    <w:name w:val="Comment Text Char"/>
    <w:basedOn w:val="DefaultParagraphFont"/>
    <w:link w:val="CommentText"/>
    <w:uiPriority w:val="99"/>
    <w:rsid w:val="00820DEB"/>
    <w:rPr>
      <w:sz w:val="20"/>
      <w:szCs w:val="20"/>
    </w:rPr>
  </w:style>
  <w:style w:type="table" w:customStyle="1" w:styleId="NTGTable0">
    <w:name w:val="NTG Table"/>
    <w:basedOn w:val="TableGrid"/>
    <w:uiPriority w:val="99"/>
    <w:rsid w:val="00667C4A"/>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Revision">
    <w:name w:val="Revision"/>
    <w:hidden/>
    <w:uiPriority w:val="99"/>
    <w:semiHidden/>
    <w:rsid w:val="00D133F4"/>
    <w:pPr>
      <w:spacing w:after="0"/>
    </w:pPr>
    <w:rPr>
      <w:rFonts w:ascii="Lato" w:hAnsi="Lato"/>
    </w:rPr>
  </w:style>
  <w:style w:type="numbering" w:customStyle="1" w:styleId="NTGTableNumList">
    <w:name w:val="NTG Table Num List"/>
    <w:uiPriority w:val="99"/>
    <w:rsid w:val="0043605D"/>
    <w:pPr>
      <w:numPr>
        <w:numId w:val="14"/>
      </w:numPr>
    </w:pPr>
  </w:style>
  <w:style w:type="character" w:customStyle="1" w:styleId="ListParagraphChar">
    <w:name w:val="List Paragraph Char"/>
    <w:basedOn w:val="DefaultParagraphFont"/>
    <w:link w:val="ListParagraph"/>
    <w:uiPriority w:val="34"/>
    <w:rsid w:val="0043605D"/>
    <w:rPr>
      <w:rFonts w:ascii="Lato" w:eastAsiaTheme="minorEastAsia" w:hAnsi="Lato"/>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9598153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05F5F6-C1C9-4AAD-BDEF-2701F75B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Treasurer’s Directions – Guarantees and indemnities</vt:lpstr>
    </vt:vector>
  </TitlesOfParts>
  <Company>TREASURY AND FINANCE</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Directions – Guarantees and indemnities</dc:title>
  <dc:creator>Department of Treasury and Finance</dc:creator>
  <cp:lastModifiedBy>Tim McMeel</cp:lastModifiedBy>
  <cp:revision>6</cp:revision>
  <cp:lastPrinted>2024-05-10T00:22:00Z</cp:lastPrinted>
  <dcterms:created xsi:type="dcterms:W3CDTF">2024-05-08T01:31:00Z</dcterms:created>
  <dcterms:modified xsi:type="dcterms:W3CDTF">2024-05-10T00:28:00Z</dcterms:modified>
</cp:coreProperties>
</file>