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4BE92" w14:textId="77777777" w:rsidR="001A612C" w:rsidRPr="005C41D7" w:rsidRDefault="001A612C" w:rsidP="009D50A1">
      <w:pPr>
        <w:pStyle w:val="DTFHeading1"/>
      </w:pPr>
      <w:r w:rsidRPr="005C41D7">
        <w:t>Cash Management – Banking</w:t>
      </w:r>
      <w:r w:rsidRPr="005C41D7">
        <w:br/>
        <w:t>C2.2: Bank Accounts</w:t>
      </w:r>
    </w:p>
    <w:p w14:paraId="5F34BE93" w14:textId="77777777" w:rsidR="001A612C" w:rsidRDefault="001A612C" w:rsidP="009D50A1">
      <w:pPr>
        <w:pStyle w:val="DTFHeading2"/>
      </w:pPr>
      <w:bookmarkStart w:id="0" w:name="_Toc444591643"/>
      <w:bookmarkStart w:id="1" w:name="_Toc446321236"/>
      <w:r>
        <w:t>Statement of Intent</w:t>
      </w:r>
      <w:bookmarkEnd w:id="0"/>
      <w:bookmarkEnd w:id="1"/>
      <w:r>
        <w:t xml:space="preserve"> </w:t>
      </w:r>
    </w:p>
    <w:p w14:paraId="5F34BE94" w14:textId="77777777" w:rsidR="001A612C" w:rsidRDefault="001A612C" w:rsidP="009D50A1">
      <w:pPr>
        <w:pStyle w:val="DTFBodyText"/>
      </w:pPr>
      <w:r w:rsidRPr="00FA48EF">
        <w:t xml:space="preserve">All public money and money held in trust is required to be deposited into an official bank account. This </w:t>
      </w:r>
      <w:r w:rsidR="00BC06FE">
        <w:t>s</w:t>
      </w:r>
      <w:r w:rsidRPr="00FA48EF">
        <w:t>ection provides the minimum control requirements for official bank accounts.</w:t>
      </w:r>
    </w:p>
    <w:tbl>
      <w:tblPr>
        <w:tblStyle w:val="TableGrid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Main features including Cash Management and Elements of Cash Management&#10;"/>
      </w:tblPr>
      <w:tblGrid>
        <w:gridCol w:w="9639"/>
      </w:tblGrid>
      <w:tr w:rsidR="001A612C" w14:paraId="5F34BEA0" w14:textId="77777777" w:rsidTr="00821583">
        <w:trPr>
          <w:tblHeader/>
        </w:trPr>
        <w:tc>
          <w:tcPr>
            <w:tcW w:w="9639" w:type="dxa"/>
            <w:tcMar>
              <w:left w:w="0" w:type="dxa"/>
              <w:right w:w="0" w:type="dxa"/>
            </w:tcMar>
            <w:vAlign w:val="center"/>
          </w:tcPr>
          <w:p w14:paraId="5F34BE95" w14:textId="77777777" w:rsidR="001A612C" w:rsidRPr="00D27C27" w:rsidRDefault="001A612C" w:rsidP="009D50A1">
            <w:pPr>
              <w:pStyle w:val="DTFHeading2-HighlightText"/>
            </w:pPr>
            <w:r>
              <w:t>Main Features</w:t>
            </w:r>
          </w:p>
          <w:p w14:paraId="5F34BE96" w14:textId="77777777" w:rsidR="001A612C" w:rsidRPr="009D50A1" w:rsidRDefault="001A612C" w:rsidP="009D50A1">
            <w:pPr>
              <w:pStyle w:val="DTFBodyText"/>
            </w:pPr>
            <w:r w:rsidRPr="009D50A1">
              <w:t xml:space="preserve">Section 38 of the </w:t>
            </w:r>
            <w:r w:rsidRPr="009D50A1">
              <w:rPr>
                <w:rStyle w:val="DTFItalic"/>
              </w:rPr>
              <w:t>Financial Management Act</w:t>
            </w:r>
            <w:r w:rsidR="00BC06FE">
              <w:t xml:space="preserve"> requires every </w:t>
            </w:r>
            <w:r w:rsidR="00344A72">
              <w:t>A</w:t>
            </w:r>
            <w:r w:rsidRPr="009D50A1">
              <w:t xml:space="preserve">ccountable </w:t>
            </w:r>
            <w:r w:rsidR="00344A72">
              <w:t>O</w:t>
            </w:r>
            <w:r w:rsidRPr="009D50A1">
              <w:t>f</w:t>
            </w:r>
            <w:r w:rsidR="00BC06FE">
              <w:t>ficer and every employee of an a</w:t>
            </w:r>
            <w:r w:rsidRPr="009D50A1">
              <w:t>gency to comply with the Treasurer’s Directions.</w:t>
            </w:r>
          </w:p>
          <w:p w14:paraId="5F34BE97" w14:textId="77777777" w:rsidR="001A612C" w:rsidRDefault="001A612C" w:rsidP="009D50A1">
            <w:pPr>
              <w:pStyle w:val="DTFHeading3-HighlightText"/>
              <w:framePr w:wrap="around"/>
            </w:pPr>
            <w:r>
              <w:t>Official Bank Accounts</w:t>
            </w:r>
          </w:p>
          <w:p w14:paraId="5F34BE98" w14:textId="77777777" w:rsidR="001A612C" w:rsidRPr="009D50A1" w:rsidRDefault="001A612C" w:rsidP="009D50A1">
            <w:pPr>
              <w:pStyle w:val="DTFListBullet1-Orange"/>
            </w:pPr>
            <w:r w:rsidRPr="009D50A1">
              <w:t>An official bank account is an account opened by the Treasurer at an authorised deposit</w:t>
            </w:r>
            <w:r w:rsidR="0021480A" w:rsidRPr="009D50A1">
              <w:noBreakHyphen/>
            </w:r>
            <w:r w:rsidRPr="009D50A1">
              <w:t xml:space="preserve">taking institution (ADI) in accordance with the </w:t>
            </w:r>
            <w:r w:rsidRPr="008421F4">
              <w:rPr>
                <w:rStyle w:val="DTFItalic"/>
              </w:rPr>
              <w:t>Financial Management Act</w:t>
            </w:r>
            <w:r w:rsidRPr="009D50A1">
              <w:t>.</w:t>
            </w:r>
          </w:p>
          <w:p w14:paraId="5F34BE99" w14:textId="77777777" w:rsidR="001A612C" w:rsidRPr="00FA48EF" w:rsidRDefault="001A612C" w:rsidP="009D50A1">
            <w:pPr>
              <w:pStyle w:val="DTFHeading3-HighlightText"/>
              <w:framePr w:wrap="around"/>
            </w:pPr>
            <w:r w:rsidRPr="00FA48EF">
              <w:t>Opening and Closing Official Bank Accounts</w:t>
            </w:r>
          </w:p>
          <w:p w14:paraId="5F34BE9A" w14:textId="77777777" w:rsidR="001A612C" w:rsidRDefault="001A612C" w:rsidP="009D50A1">
            <w:pPr>
              <w:pStyle w:val="DTFListBullet1-Orange"/>
            </w:pPr>
            <w:r>
              <w:t xml:space="preserve">Official bank accounts are only to be opened by the Treasurer in accordance with the </w:t>
            </w:r>
            <w:r w:rsidRPr="008421F4">
              <w:rPr>
                <w:rStyle w:val="DTFItalic"/>
              </w:rPr>
              <w:t>Financial Management Act</w:t>
            </w:r>
            <w:r>
              <w:t>.</w:t>
            </w:r>
          </w:p>
          <w:p w14:paraId="5F34BE9B" w14:textId="77777777" w:rsidR="001A612C" w:rsidRDefault="001A612C" w:rsidP="009D50A1">
            <w:pPr>
              <w:pStyle w:val="DTFListBullet1-Orange"/>
            </w:pPr>
            <w:r>
              <w:t xml:space="preserve">An </w:t>
            </w:r>
            <w:r w:rsidR="00BC06FE">
              <w:t>a</w:t>
            </w:r>
            <w:r>
              <w:t xml:space="preserve">gency is to provide written notification to the Department of Corporate and Information Services </w:t>
            </w:r>
            <w:r w:rsidR="008421F4">
              <w:t xml:space="preserve">(DCIS) </w:t>
            </w:r>
            <w:r>
              <w:t>where an official bank account is to be opened or closed.</w:t>
            </w:r>
          </w:p>
          <w:p w14:paraId="5F34BE9C" w14:textId="77777777" w:rsidR="001A612C" w:rsidRDefault="001A612C" w:rsidP="009D50A1">
            <w:pPr>
              <w:pStyle w:val="DTFHeading3-HighlightText"/>
              <w:framePr w:wrap="around"/>
            </w:pPr>
            <w:r>
              <w:t>Management of Official Bank Accounts</w:t>
            </w:r>
          </w:p>
          <w:p w14:paraId="5F34BE9D" w14:textId="77777777" w:rsidR="001A612C" w:rsidRPr="00421F8E" w:rsidRDefault="001A612C" w:rsidP="009D50A1">
            <w:pPr>
              <w:pStyle w:val="DTFListBullet1-Orange"/>
            </w:pPr>
            <w:r w:rsidRPr="00421F8E">
              <w:t xml:space="preserve">An official bank account is not to be overdrawn unless an overdraft facility has been approved by the Treasurer in accordance with the </w:t>
            </w:r>
            <w:r w:rsidRPr="008421F4">
              <w:rPr>
                <w:rStyle w:val="DTFItalic"/>
              </w:rPr>
              <w:t>Financial Management Act</w:t>
            </w:r>
            <w:r w:rsidRPr="00421F8E">
              <w:t>.</w:t>
            </w:r>
          </w:p>
          <w:p w14:paraId="5F34BE9E" w14:textId="77777777" w:rsidR="001A612C" w:rsidRPr="00421F8E" w:rsidRDefault="001A612C" w:rsidP="009D50A1">
            <w:pPr>
              <w:pStyle w:val="DTFListBullet1-Orange"/>
            </w:pPr>
            <w:r w:rsidRPr="00421F8E">
              <w:t>Reconciliations of each official bank account are to be undertaken regularly and on a timely basis, and are to be appropriately evidenced by the preparer and independent reviewer.</w:t>
            </w:r>
          </w:p>
          <w:p w14:paraId="5F34BE9F" w14:textId="77777777" w:rsidR="001A612C" w:rsidRDefault="001A612C" w:rsidP="009D50A1">
            <w:pPr>
              <w:pStyle w:val="DTFBodyText"/>
            </w:pPr>
            <w:r>
              <w:t>For authoritative instruction and guidance, reference should be made to related Treasurer's Directions and associated commentary.</w:t>
            </w:r>
          </w:p>
        </w:tc>
      </w:tr>
    </w:tbl>
    <w:p w14:paraId="5F34BEA1" w14:textId="77777777" w:rsidR="001A612C" w:rsidRDefault="001A612C" w:rsidP="003530D3">
      <w:pPr>
        <w:pStyle w:val="DTFBodyText"/>
      </w:pPr>
    </w:p>
    <w:p w14:paraId="5F34BEA2" w14:textId="77777777" w:rsidR="001A612C" w:rsidRDefault="001A612C" w:rsidP="00614EE6">
      <w:r>
        <w:br w:type="page"/>
      </w:r>
    </w:p>
    <w:p w14:paraId="5F34BEA3" w14:textId="77777777" w:rsidR="001A612C" w:rsidRDefault="001A612C" w:rsidP="00EA0101">
      <w:pPr>
        <w:pStyle w:val="DTFHeading3"/>
      </w:pPr>
      <w:r>
        <w:lastRenderedPageBreak/>
        <w:t xml:space="preserve">Contents </w:t>
      </w:r>
    </w:p>
    <w:p w14:paraId="5F34BEA4" w14:textId="77777777" w:rsidR="00392812" w:rsidRDefault="001A612C" w:rsidP="003530D3">
      <w:pPr>
        <w:pStyle w:val="DTFTOC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\h \z \t "Heading 2,1" </w:instrText>
      </w:r>
      <w:r>
        <w:fldChar w:fldCharType="separate"/>
      </w:r>
      <w:hyperlink w:anchor="_Toc446321237" w:history="1">
        <w:r w:rsidR="00392812" w:rsidRPr="00513AB6">
          <w:rPr>
            <w:rStyle w:val="Hyperlink"/>
            <w:noProof/>
          </w:rPr>
          <w:t>What is an Official Bank Account?</w:t>
        </w:r>
        <w:r w:rsidR="00392812">
          <w:rPr>
            <w:noProof/>
            <w:webHidden/>
          </w:rPr>
          <w:tab/>
        </w:r>
        <w:r w:rsidR="00392812">
          <w:rPr>
            <w:noProof/>
            <w:webHidden/>
          </w:rPr>
          <w:fldChar w:fldCharType="begin"/>
        </w:r>
        <w:r w:rsidR="00392812">
          <w:rPr>
            <w:noProof/>
            <w:webHidden/>
          </w:rPr>
          <w:instrText xml:space="preserve"> PAGEREF _Toc446321237 \h </w:instrText>
        </w:r>
        <w:r w:rsidR="00392812">
          <w:rPr>
            <w:noProof/>
            <w:webHidden/>
          </w:rPr>
        </w:r>
        <w:r w:rsidR="00392812">
          <w:rPr>
            <w:noProof/>
            <w:webHidden/>
          </w:rPr>
          <w:fldChar w:fldCharType="separate"/>
        </w:r>
        <w:r w:rsidR="001406F9">
          <w:rPr>
            <w:noProof/>
            <w:webHidden/>
          </w:rPr>
          <w:t>3</w:t>
        </w:r>
        <w:r w:rsidR="00392812">
          <w:rPr>
            <w:noProof/>
            <w:webHidden/>
          </w:rPr>
          <w:fldChar w:fldCharType="end"/>
        </w:r>
      </w:hyperlink>
    </w:p>
    <w:p w14:paraId="5F34BEA5" w14:textId="77777777" w:rsidR="00392812" w:rsidRDefault="00AA3FCB" w:rsidP="003530D3">
      <w:pPr>
        <w:pStyle w:val="DTFTOC1"/>
        <w:rPr>
          <w:rFonts w:asciiTheme="minorHAnsi" w:eastAsiaTheme="minorEastAsia" w:hAnsiTheme="minorHAnsi" w:cstheme="minorBidi"/>
          <w:noProof/>
          <w:szCs w:val="22"/>
        </w:rPr>
      </w:pPr>
      <w:hyperlink w:anchor="_Toc446321238" w:history="1">
        <w:r w:rsidR="00392812" w:rsidRPr="00513AB6">
          <w:rPr>
            <w:rStyle w:val="Hyperlink"/>
            <w:noProof/>
          </w:rPr>
          <w:t>Opening and Closing Official Bank Accounts</w:t>
        </w:r>
        <w:r w:rsidR="00392812">
          <w:rPr>
            <w:noProof/>
            <w:webHidden/>
          </w:rPr>
          <w:tab/>
        </w:r>
        <w:r w:rsidR="00392812">
          <w:rPr>
            <w:noProof/>
            <w:webHidden/>
          </w:rPr>
          <w:fldChar w:fldCharType="begin"/>
        </w:r>
        <w:r w:rsidR="00392812">
          <w:rPr>
            <w:noProof/>
            <w:webHidden/>
          </w:rPr>
          <w:instrText xml:space="preserve"> PAGEREF _Toc446321238 \h </w:instrText>
        </w:r>
        <w:r w:rsidR="00392812">
          <w:rPr>
            <w:noProof/>
            <w:webHidden/>
          </w:rPr>
        </w:r>
        <w:r w:rsidR="00392812">
          <w:rPr>
            <w:noProof/>
            <w:webHidden/>
          </w:rPr>
          <w:fldChar w:fldCharType="separate"/>
        </w:r>
        <w:r w:rsidR="001406F9">
          <w:rPr>
            <w:noProof/>
            <w:webHidden/>
          </w:rPr>
          <w:t>3</w:t>
        </w:r>
        <w:r w:rsidR="00392812">
          <w:rPr>
            <w:noProof/>
            <w:webHidden/>
          </w:rPr>
          <w:fldChar w:fldCharType="end"/>
        </w:r>
      </w:hyperlink>
    </w:p>
    <w:p w14:paraId="5F34BEA6" w14:textId="77777777" w:rsidR="00392812" w:rsidRDefault="00AA3FCB" w:rsidP="003530D3">
      <w:pPr>
        <w:pStyle w:val="DTFTOC1"/>
        <w:rPr>
          <w:rFonts w:asciiTheme="minorHAnsi" w:eastAsiaTheme="minorEastAsia" w:hAnsiTheme="minorHAnsi" w:cstheme="minorBidi"/>
          <w:noProof/>
          <w:szCs w:val="22"/>
        </w:rPr>
      </w:pPr>
      <w:hyperlink w:anchor="_Toc446321239" w:history="1">
        <w:r w:rsidR="00392812" w:rsidRPr="00513AB6">
          <w:rPr>
            <w:rStyle w:val="Hyperlink"/>
            <w:noProof/>
          </w:rPr>
          <w:t>Management of Official Bank Accounts</w:t>
        </w:r>
        <w:r w:rsidR="00392812">
          <w:rPr>
            <w:noProof/>
            <w:webHidden/>
          </w:rPr>
          <w:tab/>
        </w:r>
        <w:r w:rsidR="00392812">
          <w:rPr>
            <w:noProof/>
            <w:webHidden/>
          </w:rPr>
          <w:fldChar w:fldCharType="begin"/>
        </w:r>
        <w:r w:rsidR="00392812">
          <w:rPr>
            <w:noProof/>
            <w:webHidden/>
          </w:rPr>
          <w:instrText xml:space="preserve"> PAGEREF _Toc446321239 \h </w:instrText>
        </w:r>
        <w:r w:rsidR="00392812">
          <w:rPr>
            <w:noProof/>
            <w:webHidden/>
          </w:rPr>
        </w:r>
        <w:r w:rsidR="00392812">
          <w:rPr>
            <w:noProof/>
            <w:webHidden/>
          </w:rPr>
          <w:fldChar w:fldCharType="separate"/>
        </w:r>
        <w:r w:rsidR="001406F9">
          <w:rPr>
            <w:noProof/>
            <w:webHidden/>
          </w:rPr>
          <w:t>5</w:t>
        </w:r>
        <w:r w:rsidR="00392812">
          <w:rPr>
            <w:noProof/>
            <w:webHidden/>
          </w:rPr>
          <w:fldChar w:fldCharType="end"/>
        </w:r>
      </w:hyperlink>
    </w:p>
    <w:p w14:paraId="5F34BEA7" w14:textId="4CB209E0" w:rsidR="00392812" w:rsidRDefault="00AA3FCB" w:rsidP="003530D3">
      <w:pPr>
        <w:pStyle w:val="DTFTOC1"/>
        <w:rPr>
          <w:rFonts w:asciiTheme="minorHAnsi" w:eastAsiaTheme="minorEastAsia" w:hAnsiTheme="minorHAnsi" w:cstheme="minorBidi"/>
          <w:noProof/>
          <w:szCs w:val="22"/>
        </w:rPr>
      </w:pPr>
      <w:hyperlink w:anchor="_Toc446321240" w:history="1">
        <w:r w:rsidR="00392812" w:rsidRPr="00513AB6">
          <w:rPr>
            <w:rStyle w:val="Hyperlink"/>
            <w:noProof/>
          </w:rPr>
          <w:t xml:space="preserve">Appendix A: Bank Reconciliation </w:t>
        </w:r>
        <w:r w:rsidR="009C58A5">
          <w:rPr>
            <w:rStyle w:val="Hyperlink"/>
            <w:noProof/>
          </w:rPr>
          <w:t>Guid</w:t>
        </w:r>
        <w:r w:rsidR="00B76507">
          <w:rPr>
            <w:rStyle w:val="Hyperlink"/>
            <w:noProof/>
          </w:rPr>
          <w:t>e</w:t>
        </w:r>
        <w:r w:rsidR="009C58A5">
          <w:rPr>
            <w:rStyle w:val="Hyperlink"/>
            <w:noProof/>
          </w:rPr>
          <w:t>lines</w:t>
        </w:r>
        <w:r w:rsidR="00392812">
          <w:rPr>
            <w:noProof/>
            <w:webHidden/>
          </w:rPr>
          <w:tab/>
        </w:r>
        <w:r w:rsidR="00392812">
          <w:rPr>
            <w:noProof/>
            <w:webHidden/>
          </w:rPr>
          <w:fldChar w:fldCharType="begin"/>
        </w:r>
        <w:r w:rsidR="00392812">
          <w:rPr>
            <w:noProof/>
            <w:webHidden/>
          </w:rPr>
          <w:instrText xml:space="preserve"> PAGEREF _Toc446321240 \h </w:instrText>
        </w:r>
        <w:r w:rsidR="00392812">
          <w:rPr>
            <w:noProof/>
            <w:webHidden/>
          </w:rPr>
        </w:r>
        <w:r w:rsidR="00392812">
          <w:rPr>
            <w:noProof/>
            <w:webHidden/>
          </w:rPr>
          <w:fldChar w:fldCharType="separate"/>
        </w:r>
        <w:r w:rsidR="001406F9">
          <w:rPr>
            <w:noProof/>
            <w:webHidden/>
          </w:rPr>
          <w:t>6</w:t>
        </w:r>
        <w:r w:rsidR="00392812">
          <w:rPr>
            <w:noProof/>
            <w:webHidden/>
          </w:rPr>
          <w:fldChar w:fldCharType="end"/>
        </w:r>
      </w:hyperlink>
    </w:p>
    <w:p w14:paraId="5F34BEA8" w14:textId="77777777" w:rsidR="001A612C" w:rsidRDefault="001A612C" w:rsidP="00EA0101">
      <w:pPr>
        <w:pStyle w:val="DTFHeading3"/>
      </w:pPr>
      <w:r>
        <w:fldChar w:fldCharType="end"/>
      </w:r>
      <w:r>
        <w:t xml:space="preserve">Authorities </w:t>
      </w:r>
    </w:p>
    <w:p w14:paraId="5F34BEA9" w14:textId="77777777" w:rsidR="001A612C" w:rsidRPr="00EA0101" w:rsidRDefault="001A612C" w:rsidP="00EA0101">
      <w:pPr>
        <w:pStyle w:val="DTFBodyText"/>
      </w:pPr>
      <w:r w:rsidRPr="00EA0101">
        <w:t xml:space="preserve">Section 27 of the </w:t>
      </w:r>
      <w:r w:rsidRPr="00EA0101">
        <w:rPr>
          <w:rStyle w:val="DTFItalic"/>
        </w:rPr>
        <w:t>Financial Management Act</w:t>
      </w:r>
      <w:bookmarkStart w:id="2" w:name="_GoBack"/>
      <w:bookmarkEnd w:id="2"/>
    </w:p>
    <w:p w14:paraId="5F34BEAA" w14:textId="77777777" w:rsidR="001A612C" w:rsidRPr="00EA0101" w:rsidRDefault="001A612C" w:rsidP="00EA0101">
      <w:pPr>
        <w:pStyle w:val="DTFBodyText"/>
      </w:pPr>
      <w:r w:rsidRPr="00EA0101">
        <w:t xml:space="preserve">Section 38 of the </w:t>
      </w:r>
      <w:r w:rsidRPr="00EA0101">
        <w:rPr>
          <w:rStyle w:val="DTFItalic"/>
        </w:rPr>
        <w:t>Financial Management Act</w:t>
      </w:r>
    </w:p>
    <w:p w14:paraId="5F34BEAB" w14:textId="77777777" w:rsidR="001A612C" w:rsidRDefault="001A612C" w:rsidP="00EA0101">
      <w:pPr>
        <w:pStyle w:val="DTFBodyText"/>
        <w:rPr>
          <w:rStyle w:val="DTFItalic"/>
        </w:rPr>
      </w:pPr>
      <w:r w:rsidRPr="00EA0101">
        <w:rPr>
          <w:rStyle w:val="DTFItalic"/>
        </w:rPr>
        <w:t>Banking Act (Aust) 1959</w:t>
      </w:r>
    </w:p>
    <w:p w14:paraId="5F34BEAC" w14:textId="77777777" w:rsidR="001A612C" w:rsidRDefault="001A612C" w:rsidP="00EA0101">
      <w:pPr>
        <w:pStyle w:val="DTFHeading3"/>
      </w:pPr>
      <w:r>
        <w:t xml:space="preserve">References </w:t>
      </w:r>
    </w:p>
    <w:p w14:paraId="5F34BEAD" w14:textId="77777777" w:rsidR="001A612C" w:rsidRPr="00FA48EF" w:rsidRDefault="001A612C" w:rsidP="00EA0101">
      <w:pPr>
        <w:pStyle w:val="DTFBodyText"/>
      </w:pPr>
      <w:r w:rsidRPr="00FA48EF">
        <w:t xml:space="preserve">Related Treasurer’s Directions: </w:t>
      </w:r>
    </w:p>
    <w:p w14:paraId="5F34BEAE" w14:textId="77777777" w:rsidR="001A612C" w:rsidRPr="00FA48EF" w:rsidRDefault="001A612C" w:rsidP="00EA0101">
      <w:pPr>
        <w:pStyle w:val="DTFBodyText"/>
      </w:pPr>
      <w:r w:rsidRPr="00FA48EF">
        <w:t>F3.3</w:t>
      </w:r>
      <w:r w:rsidRPr="00FA48EF">
        <w:tab/>
        <w:t>Framework – Legislative Structure: Delegations</w:t>
      </w:r>
    </w:p>
    <w:p w14:paraId="5F34BEAF" w14:textId="77777777" w:rsidR="001A612C" w:rsidRPr="00FA48EF" w:rsidRDefault="001A612C" w:rsidP="00EA0101">
      <w:pPr>
        <w:pStyle w:val="DTFBodyText"/>
      </w:pPr>
      <w:r w:rsidRPr="00FA48EF">
        <w:t>C1.1</w:t>
      </w:r>
      <w:r w:rsidRPr="00FA48EF">
        <w:tab/>
        <w:t>Cash Management – Introduction: Overview</w:t>
      </w:r>
    </w:p>
    <w:p w14:paraId="5F34BEB0" w14:textId="77777777" w:rsidR="001A612C" w:rsidRPr="00FA48EF" w:rsidRDefault="001A612C" w:rsidP="00EA0101">
      <w:pPr>
        <w:pStyle w:val="DTFBodyText"/>
      </w:pPr>
      <w:r w:rsidRPr="00FA48EF">
        <w:t>C2.1</w:t>
      </w:r>
      <w:r w:rsidRPr="00FA48EF">
        <w:tab/>
        <w:t>Cash Management – Banking: Central Banking Arrangements</w:t>
      </w:r>
    </w:p>
    <w:p w14:paraId="5F34BEB1" w14:textId="77777777" w:rsidR="001A612C" w:rsidRPr="00FA48EF" w:rsidRDefault="001A612C" w:rsidP="00EA0101">
      <w:pPr>
        <w:pStyle w:val="DTFBodyText"/>
      </w:pPr>
      <w:r w:rsidRPr="00FA48EF">
        <w:t>C3.1</w:t>
      </w:r>
      <w:r w:rsidRPr="00FA48EF">
        <w:tab/>
        <w:t>Cash Management – Transaction Management: Receipting</w:t>
      </w:r>
    </w:p>
    <w:p w14:paraId="5F34BEB2" w14:textId="77777777" w:rsidR="001A612C" w:rsidRDefault="001A612C" w:rsidP="00EA0101">
      <w:pPr>
        <w:pStyle w:val="DTFBodyText"/>
      </w:pPr>
      <w:r w:rsidRPr="00FA48EF">
        <w:t>C3.2</w:t>
      </w:r>
      <w:r w:rsidRPr="00FA48EF">
        <w:tab/>
        <w:t>Cash Management – Transaction Management: Payments</w:t>
      </w:r>
    </w:p>
    <w:p w14:paraId="5F34BEB3" w14:textId="77777777" w:rsidR="00851D87" w:rsidRPr="00FA48EF" w:rsidRDefault="00851D87" w:rsidP="00EA0101">
      <w:pPr>
        <w:pStyle w:val="DTFBodyText"/>
      </w:pPr>
      <w:r>
        <w:t>Financial Management Principles</w:t>
      </w:r>
    </w:p>
    <w:p w14:paraId="5F34BEB4" w14:textId="77777777" w:rsidR="001A612C" w:rsidRDefault="001A612C" w:rsidP="00614EE6">
      <w:pPr>
        <w:rPr>
          <w:rFonts w:eastAsiaTheme="majorEastAsia"/>
        </w:rPr>
      </w:pPr>
      <w:r>
        <w:br w:type="page"/>
      </w:r>
    </w:p>
    <w:p w14:paraId="5F34BEB5" w14:textId="77777777" w:rsidR="001A612C" w:rsidRDefault="001A612C" w:rsidP="00EA0101">
      <w:pPr>
        <w:pStyle w:val="DTFHeading2"/>
      </w:pPr>
      <w:bookmarkStart w:id="3" w:name="_Toc446321237"/>
      <w:r>
        <w:lastRenderedPageBreak/>
        <w:t>What is an Official Bank Account?</w:t>
      </w:r>
      <w:bookmarkEnd w:id="3"/>
    </w:p>
    <w:tbl>
      <w:tblPr>
        <w:tblStyle w:val="TableGrid"/>
        <w:tblpPr w:leftFromText="181" w:rightFromText="181" w:bottomFromText="142" w:vertAnchor="text" w:tblpY="1"/>
        <w:tblOverlap w:val="never"/>
        <w:tblW w:w="0" w:type="auto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8"/>
      </w:tblGrid>
      <w:tr w:rsidR="001A612C" w14:paraId="5F34BEB8" w14:textId="77777777" w:rsidTr="005A4DA7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5F34BEB6" w14:textId="77777777" w:rsidR="001A612C" w:rsidRDefault="001A612C" w:rsidP="00EA0101">
            <w:pPr>
              <w:pStyle w:val="DTFHeading3-HighlightText"/>
              <w:framePr w:hSpace="0" w:wrap="auto" w:vAnchor="margin" w:yAlign="inline"/>
              <w:suppressOverlap w:val="0"/>
            </w:pPr>
            <w:r w:rsidRPr="00FA48EF">
              <w:t>C2.2.1</w:t>
            </w:r>
          </w:p>
          <w:p w14:paraId="5F34BEB7" w14:textId="77777777" w:rsidR="001A612C" w:rsidRPr="00C43882" w:rsidRDefault="001A612C" w:rsidP="00C43882">
            <w:pPr>
              <w:pStyle w:val="DTFBodyText"/>
              <w:rPr>
                <w:rStyle w:val="DTFStrong"/>
              </w:rPr>
            </w:pPr>
            <w:r w:rsidRPr="00C43882">
              <w:rPr>
                <w:rStyle w:val="DTFStrong"/>
              </w:rPr>
              <w:t>An official bank account is an account opened by the Treasurer at an authorised deposit</w:t>
            </w:r>
            <w:r w:rsidR="00C43882" w:rsidRPr="00C43882">
              <w:rPr>
                <w:rStyle w:val="DTFStrong"/>
              </w:rPr>
              <w:noBreakHyphen/>
            </w:r>
            <w:r w:rsidRPr="00C43882">
              <w:rPr>
                <w:rStyle w:val="DTFStrong"/>
              </w:rPr>
              <w:t xml:space="preserve">taking institution in accordance with the </w:t>
            </w:r>
            <w:r w:rsidRPr="00C43882">
              <w:rPr>
                <w:rStyle w:val="DTFItalic"/>
                <w:b/>
                <w:bCs/>
                <w:iCs/>
              </w:rPr>
              <w:t>Financial Management Act</w:t>
            </w:r>
            <w:r w:rsidRPr="00C43882">
              <w:rPr>
                <w:rStyle w:val="DTFStrong"/>
              </w:rPr>
              <w:t xml:space="preserve">. </w:t>
            </w:r>
          </w:p>
        </w:tc>
      </w:tr>
    </w:tbl>
    <w:p w14:paraId="5F34BEB9" w14:textId="77777777" w:rsidR="008642EE" w:rsidRPr="00491FFC" w:rsidRDefault="008642EE" w:rsidP="008642EE">
      <w:pPr>
        <w:pStyle w:val="DTFListNumber1-Roman"/>
      </w:pPr>
      <w:r>
        <w:t>Official bank accounts include the Public account which incorporates the Central Holding Authority and agency operating accounts.</w:t>
      </w:r>
    </w:p>
    <w:p w14:paraId="5F34BEBA" w14:textId="77777777" w:rsidR="001A612C" w:rsidRDefault="001A612C" w:rsidP="00AC2AA7">
      <w:pPr>
        <w:pStyle w:val="DTFListNumber1-Roman"/>
      </w:pPr>
      <w:r>
        <w:t xml:space="preserve">All </w:t>
      </w:r>
      <w:r w:rsidRPr="00491FFC">
        <w:t xml:space="preserve">public money and money held in trust is required by the </w:t>
      </w:r>
      <w:r w:rsidRPr="00FD4139">
        <w:rPr>
          <w:rStyle w:val="DTFItalic"/>
        </w:rPr>
        <w:t>Financial Management Act</w:t>
      </w:r>
      <w:r w:rsidRPr="00491FFC">
        <w:t xml:space="preserve"> (section 27) to be deposited into an official bank account at an authorised deposit-taking institution (ADI)</w:t>
      </w:r>
      <w:r w:rsidR="00491FFC">
        <w:t xml:space="preserve">. </w:t>
      </w:r>
      <w:r w:rsidRPr="00491FFC">
        <w:t xml:space="preserve">An ADI is a corporation such as a bank, building society or credit union authorised under the </w:t>
      </w:r>
      <w:r w:rsidRPr="00BC06FE">
        <w:rPr>
          <w:rStyle w:val="DTFItalic"/>
        </w:rPr>
        <w:t>Australian Government’s Banking Act</w:t>
      </w:r>
      <w:r w:rsidRPr="00491FFC">
        <w:t>.</w:t>
      </w:r>
    </w:p>
    <w:p w14:paraId="5F34BEBB" w14:textId="77777777" w:rsidR="001A612C" w:rsidRPr="00491FFC" w:rsidRDefault="001A612C" w:rsidP="00AC2AA7">
      <w:pPr>
        <w:pStyle w:val="DTFListNumber1-Roman"/>
      </w:pPr>
      <w:r w:rsidRPr="00491FFC">
        <w:t xml:space="preserve">All official bank accounts are managed by way of a central Banking Contract. Treasury is responsible for whole of government banking policy and </w:t>
      </w:r>
      <w:r w:rsidR="008421F4">
        <w:t>DCIS</w:t>
      </w:r>
      <w:r w:rsidRPr="00491FFC">
        <w:t xml:space="preserve"> manages the c</w:t>
      </w:r>
      <w:r w:rsidR="00BC06FE">
        <w:t>entral Banking Contract and day-to-</w:t>
      </w:r>
      <w:r w:rsidRPr="00491FFC">
        <w:t>day operational banking fun</w:t>
      </w:r>
      <w:r w:rsidR="00BC06FE">
        <w:t xml:space="preserve">ctions. Treasurer’s Direction </w:t>
      </w:r>
      <w:r w:rsidRPr="00491FFC">
        <w:t>C2.1 provides instruction and guidance in relation to the central banking arrangements.</w:t>
      </w:r>
    </w:p>
    <w:p w14:paraId="5F34BEBC" w14:textId="77777777" w:rsidR="001A612C" w:rsidRDefault="001A612C" w:rsidP="00AC2AA7">
      <w:pPr>
        <w:pStyle w:val="DTFListNumber1-Roman"/>
      </w:pPr>
      <w:r w:rsidRPr="00491FFC">
        <w:t xml:space="preserve">The central Banking Contract requires all official bank accounts to be </w:t>
      </w:r>
      <w:r w:rsidR="00BC06FE">
        <w:t>domiciled with the Territory’s b</w:t>
      </w:r>
      <w:r w:rsidRPr="00491FFC">
        <w:t xml:space="preserve">anking </w:t>
      </w:r>
      <w:r w:rsidR="00BC06FE">
        <w:t>p</w:t>
      </w:r>
      <w:r w:rsidRPr="00491FFC">
        <w:t>rovider</w:t>
      </w:r>
      <w:r w:rsidR="00491FFC">
        <w:t xml:space="preserve">. </w:t>
      </w:r>
      <w:r w:rsidRPr="00491FFC">
        <w:t xml:space="preserve">In locations where the </w:t>
      </w:r>
      <w:r w:rsidR="00BC06FE">
        <w:t>b</w:t>
      </w:r>
      <w:r w:rsidRPr="00491FFC">
        <w:t xml:space="preserve">anking </w:t>
      </w:r>
      <w:r w:rsidR="00BC06FE">
        <w:t>p</w:t>
      </w:r>
      <w:r w:rsidRPr="00491FFC">
        <w:t xml:space="preserve">rovider is not represented, the Treasurer can approve the creation of </w:t>
      </w:r>
      <w:r>
        <w:t>an official bank account with an alternative ADI (bank, building society or credit union).</w:t>
      </w:r>
    </w:p>
    <w:p w14:paraId="5F34BEBD" w14:textId="77777777" w:rsidR="001A612C" w:rsidRPr="005C41D7" w:rsidRDefault="001A612C" w:rsidP="00EA0101">
      <w:pPr>
        <w:pStyle w:val="DTFHeading2"/>
      </w:pPr>
      <w:bookmarkStart w:id="4" w:name="_Toc446321238"/>
      <w:r w:rsidRPr="005C41D7">
        <w:t>Opening and Closing Official Bank Accounts</w:t>
      </w:r>
      <w:bookmarkEnd w:id="4"/>
    </w:p>
    <w:tbl>
      <w:tblPr>
        <w:tblStyle w:val="TableGrid"/>
        <w:tblpPr w:leftFromText="181" w:rightFromText="181" w:bottomFromText="142" w:vertAnchor="text" w:tblpY="1"/>
        <w:tblOverlap w:val="never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9"/>
      </w:tblGrid>
      <w:tr w:rsidR="001A612C" w14:paraId="5F34BEC0" w14:textId="77777777" w:rsidTr="005A4DA7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5F34BEBE" w14:textId="77777777" w:rsidR="001A612C" w:rsidRDefault="001A612C" w:rsidP="00EA0101">
            <w:pPr>
              <w:pStyle w:val="DTFHeading3-HighlightText"/>
              <w:framePr w:hSpace="0" w:wrap="auto" w:vAnchor="margin" w:yAlign="inline"/>
              <w:suppressOverlap w:val="0"/>
            </w:pPr>
            <w:r>
              <w:t>C2.2.2</w:t>
            </w:r>
          </w:p>
          <w:p w14:paraId="5F34BEBF" w14:textId="77777777" w:rsidR="001A612C" w:rsidRPr="00DC76B0" w:rsidRDefault="001A612C" w:rsidP="00EA0101">
            <w:pPr>
              <w:pStyle w:val="DTFBodyText"/>
              <w:rPr>
                <w:b/>
              </w:rPr>
            </w:pPr>
            <w:r w:rsidRPr="00C43882">
              <w:rPr>
                <w:rStyle w:val="DTFStrong"/>
              </w:rPr>
              <w:t>Official bank accounts are only to be opened by the Treasurer in accordance with the</w:t>
            </w:r>
            <w:r w:rsidRPr="00DC76B0">
              <w:rPr>
                <w:b/>
              </w:rPr>
              <w:t xml:space="preserve"> </w:t>
            </w:r>
            <w:r w:rsidRPr="00DC76B0">
              <w:rPr>
                <w:rStyle w:val="DTFItalic"/>
                <w:b/>
              </w:rPr>
              <w:t>Financial Management Act</w:t>
            </w:r>
            <w:r w:rsidRPr="00DC76B0">
              <w:rPr>
                <w:b/>
              </w:rPr>
              <w:t>.</w:t>
            </w:r>
          </w:p>
        </w:tc>
      </w:tr>
    </w:tbl>
    <w:p w14:paraId="5F34BEC1" w14:textId="77777777" w:rsidR="001A612C" w:rsidRPr="00A633CC" w:rsidRDefault="001A612C" w:rsidP="00AC2AA7">
      <w:pPr>
        <w:pStyle w:val="DTFListNumber1-Roman"/>
        <w:numPr>
          <w:ilvl w:val="0"/>
          <w:numId w:val="30"/>
        </w:numPr>
      </w:pPr>
      <w:r w:rsidRPr="00A633CC">
        <w:t xml:space="preserve">The Treasurer may open an official bank account in accordance with sections 27(1) and 27(2) of the </w:t>
      </w:r>
      <w:r w:rsidRPr="00AB15CC">
        <w:rPr>
          <w:rStyle w:val="DTFItalic"/>
        </w:rPr>
        <w:t>Financial Management Act</w:t>
      </w:r>
      <w:r w:rsidR="00491FFC" w:rsidRPr="00A633CC">
        <w:t xml:space="preserve">. </w:t>
      </w:r>
      <w:r w:rsidRPr="00A633CC">
        <w:t>In practice, certain persons are delegated to open official bank accounts</w:t>
      </w:r>
      <w:r w:rsidR="00491FFC" w:rsidRPr="00A633CC">
        <w:t xml:space="preserve">. </w:t>
      </w:r>
      <w:r w:rsidRPr="00A633CC">
        <w:t xml:space="preserve">Treasurer’s </w:t>
      </w:r>
      <w:r w:rsidR="00BC06FE">
        <w:t>Direction</w:t>
      </w:r>
      <w:r w:rsidRPr="00A633CC">
        <w:t xml:space="preserve"> F3.3 provides instruction and guidance in relation to delegations by the Treasurer.</w:t>
      </w:r>
    </w:p>
    <w:p w14:paraId="5F34BEC2" w14:textId="77777777" w:rsidR="001A612C" w:rsidRPr="00A633CC" w:rsidRDefault="001A612C" w:rsidP="00AC2AA7">
      <w:pPr>
        <w:pStyle w:val="DTFListNumber1-Roman"/>
      </w:pPr>
      <w:r w:rsidRPr="00A633CC">
        <w:t xml:space="preserve">Where an official bank account is considered necessary, a written request should be submitted to </w:t>
      </w:r>
      <w:r w:rsidR="00BC06FE">
        <w:t>DCIS</w:t>
      </w:r>
      <w:r w:rsidR="00250C04">
        <w:t xml:space="preserve"> to coordinate the appropriate approvals</w:t>
      </w:r>
      <w:r w:rsidRPr="00A633CC">
        <w:t>. This request will give details of the requirements, including the reason for the request, allowing an assessment of the need for an official bank account to be made.</w:t>
      </w:r>
    </w:p>
    <w:p w14:paraId="5F34BEC3" w14:textId="77777777" w:rsidR="001A612C" w:rsidRPr="00A633CC" w:rsidRDefault="001A612C" w:rsidP="00AC2AA7">
      <w:pPr>
        <w:pStyle w:val="DTFListNumber1-Roman"/>
      </w:pPr>
      <w:r w:rsidRPr="00A633CC">
        <w:t>Situations where the opening of an official bank account (</w:t>
      </w:r>
      <w:r w:rsidR="00BC06FE">
        <w:t>rather than</w:t>
      </w:r>
      <w:r w:rsidRPr="00A633CC">
        <w:t xml:space="preserve"> a new ledger account) may be considered necessary include:</w:t>
      </w:r>
    </w:p>
    <w:p w14:paraId="5F34BEC4" w14:textId="77777777" w:rsidR="001A612C" w:rsidRPr="00491FFC" w:rsidRDefault="00BC06FE" w:rsidP="00EA0101">
      <w:pPr>
        <w:pStyle w:val="DTFListBullet2-Black"/>
      </w:pPr>
      <w:r>
        <w:t>the creation of a new agency or government business d</w:t>
      </w:r>
      <w:r w:rsidR="001A612C" w:rsidRPr="00491FFC">
        <w:t>ivision;</w:t>
      </w:r>
    </w:p>
    <w:p w14:paraId="5F34BEC5" w14:textId="77777777" w:rsidR="001A612C" w:rsidRPr="00491FFC" w:rsidRDefault="001A612C" w:rsidP="00EA0101">
      <w:pPr>
        <w:pStyle w:val="DTFListBullet2-Black"/>
      </w:pPr>
      <w:r w:rsidRPr="00491FFC">
        <w:t>collection of a new category of receipts involving significant transactions and/or amounts; or</w:t>
      </w:r>
    </w:p>
    <w:p w14:paraId="5F34BEC6" w14:textId="77777777" w:rsidR="001A612C" w:rsidRDefault="001A612C" w:rsidP="00EA0101">
      <w:pPr>
        <w:pStyle w:val="DTFListBullet2-Black"/>
      </w:pPr>
      <w:r w:rsidRPr="00491FFC">
        <w:t>improvements and efficiencies in associated administrative process would be achieved (for example, facilitating r</w:t>
      </w:r>
      <w:r>
        <w:t>econciliation of a category of receipts).</w:t>
      </w:r>
    </w:p>
    <w:tbl>
      <w:tblPr>
        <w:tblStyle w:val="TableGrid"/>
        <w:tblpPr w:leftFromText="181" w:rightFromText="181" w:bottomFromText="142" w:vertAnchor="text" w:tblpY="1"/>
        <w:tblOverlap w:val="never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9"/>
      </w:tblGrid>
      <w:tr w:rsidR="001A612C" w14:paraId="5F34BECC" w14:textId="77777777" w:rsidTr="005A4DA7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5F34BEC7" w14:textId="77777777" w:rsidR="001A612C" w:rsidRDefault="001A612C" w:rsidP="00EA0101">
            <w:pPr>
              <w:pStyle w:val="DTFHeading3-HighlightText"/>
              <w:framePr w:hSpace="0" w:wrap="auto" w:vAnchor="margin" w:yAlign="inline"/>
              <w:suppressOverlap w:val="0"/>
            </w:pPr>
            <w:r>
              <w:lastRenderedPageBreak/>
              <w:t>C2.2.3</w:t>
            </w:r>
          </w:p>
          <w:p w14:paraId="5F34BEC8" w14:textId="77777777" w:rsidR="001A612C" w:rsidRPr="00C43882" w:rsidRDefault="001A612C" w:rsidP="00EA0101">
            <w:pPr>
              <w:pStyle w:val="DTFBodyText"/>
              <w:rPr>
                <w:rStyle w:val="DTFStrong"/>
              </w:rPr>
            </w:pPr>
            <w:r w:rsidRPr="00C43882">
              <w:rPr>
                <w:rStyle w:val="DTFStrong"/>
              </w:rPr>
              <w:t>Where an offic</w:t>
            </w:r>
            <w:r w:rsidR="001450FD" w:rsidRPr="00C43882">
              <w:rPr>
                <w:rStyle w:val="DTFStrong"/>
              </w:rPr>
              <w:t>ial bank account is opened, an a</w:t>
            </w:r>
            <w:r w:rsidRPr="00C43882">
              <w:rPr>
                <w:rStyle w:val="DTFStrong"/>
              </w:rPr>
              <w:t>gency is to:</w:t>
            </w:r>
          </w:p>
          <w:p w14:paraId="5F34BEC9" w14:textId="77777777" w:rsidR="001A612C" w:rsidRPr="00C43882" w:rsidRDefault="001A612C" w:rsidP="00EA0101">
            <w:pPr>
              <w:pStyle w:val="DTFListBullet1-Black"/>
              <w:rPr>
                <w:rStyle w:val="DTFStrong"/>
              </w:rPr>
            </w:pPr>
            <w:r w:rsidRPr="00C43882">
              <w:rPr>
                <w:rStyle w:val="DTFStrong"/>
              </w:rPr>
              <w:t xml:space="preserve">appoint </w:t>
            </w:r>
            <w:r w:rsidR="00344A72" w:rsidRPr="00C43882">
              <w:rPr>
                <w:rStyle w:val="DTFStrong"/>
              </w:rPr>
              <w:t xml:space="preserve">two </w:t>
            </w:r>
            <w:r w:rsidRPr="00C43882">
              <w:rPr>
                <w:rStyle w:val="DTFStrong"/>
              </w:rPr>
              <w:t>or more signatories to the official bank account;</w:t>
            </w:r>
          </w:p>
          <w:p w14:paraId="5F34BECA" w14:textId="77777777" w:rsidR="001A612C" w:rsidRPr="00C43882" w:rsidRDefault="001A612C" w:rsidP="00EA0101">
            <w:pPr>
              <w:pStyle w:val="DTFListBullet1-Black"/>
              <w:rPr>
                <w:rStyle w:val="DTFStrong"/>
              </w:rPr>
            </w:pPr>
            <w:r w:rsidRPr="00C43882">
              <w:rPr>
                <w:rStyle w:val="DTFStrong"/>
              </w:rPr>
              <w:t>provide specimen signatures of al</w:t>
            </w:r>
            <w:r w:rsidR="001450FD" w:rsidRPr="00C43882">
              <w:rPr>
                <w:rStyle w:val="DTFStrong"/>
              </w:rPr>
              <w:t>l signatories to the b</w:t>
            </w:r>
            <w:r w:rsidRPr="00C43882">
              <w:rPr>
                <w:rStyle w:val="DTFStrong"/>
              </w:rPr>
              <w:t xml:space="preserve">anking </w:t>
            </w:r>
            <w:r w:rsidR="001450FD" w:rsidRPr="00C43882">
              <w:rPr>
                <w:rStyle w:val="DTFStrong"/>
              </w:rPr>
              <w:t>p</w:t>
            </w:r>
            <w:r w:rsidRPr="00C43882">
              <w:rPr>
                <w:rStyle w:val="DTFStrong"/>
              </w:rPr>
              <w:t>rovider (or ADI)</w:t>
            </w:r>
            <w:r w:rsidR="00655421" w:rsidRPr="00C43882">
              <w:rPr>
                <w:rStyle w:val="DTFStrong"/>
              </w:rPr>
              <w:t xml:space="preserve"> </w:t>
            </w:r>
            <w:r w:rsidR="00A1111F" w:rsidRPr="00C43882">
              <w:rPr>
                <w:rStyle w:val="DTFStrong"/>
              </w:rPr>
              <w:t>including</w:t>
            </w:r>
            <w:r w:rsidR="00655421" w:rsidRPr="00C43882">
              <w:rPr>
                <w:rStyle w:val="DTFStrong"/>
              </w:rPr>
              <w:t xml:space="preserve"> </w:t>
            </w:r>
            <w:r w:rsidR="00A1111F" w:rsidRPr="00C43882">
              <w:rPr>
                <w:rStyle w:val="DTFStrong"/>
              </w:rPr>
              <w:t xml:space="preserve">proof of identity documentation to satisfy </w:t>
            </w:r>
            <w:r w:rsidR="00655421" w:rsidRPr="00C43882">
              <w:rPr>
                <w:rStyle w:val="DTFStrong"/>
              </w:rPr>
              <w:t>100 point checklis</w:t>
            </w:r>
            <w:r w:rsidR="00A1111F" w:rsidRPr="00C43882">
              <w:rPr>
                <w:rStyle w:val="DTFStrong"/>
              </w:rPr>
              <w:t>t requirements</w:t>
            </w:r>
            <w:r w:rsidRPr="00C43882">
              <w:rPr>
                <w:rStyle w:val="DTFStrong"/>
              </w:rPr>
              <w:t>;</w:t>
            </w:r>
            <w:r w:rsidR="00614EE6" w:rsidRPr="00C43882">
              <w:rPr>
                <w:rStyle w:val="DTFStrong"/>
              </w:rPr>
              <w:t xml:space="preserve"> </w:t>
            </w:r>
            <w:r w:rsidRPr="00C43882">
              <w:rPr>
                <w:rStyle w:val="DTFStrong"/>
              </w:rPr>
              <w:t>and</w:t>
            </w:r>
          </w:p>
          <w:p w14:paraId="5F34BECB" w14:textId="77777777" w:rsidR="001A612C" w:rsidRDefault="001A612C" w:rsidP="00EA0101">
            <w:pPr>
              <w:pStyle w:val="DTFListBullet1-Black"/>
            </w:pPr>
            <w:r w:rsidRPr="00C43882">
              <w:rPr>
                <w:rStyle w:val="DTFStrong"/>
              </w:rPr>
              <w:t>provide signatories with appropriate instructions and guidance to ensure the safeguarding of public money.</w:t>
            </w:r>
          </w:p>
        </w:tc>
      </w:tr>
    </w:tbl>
    <w:p w14:paraId="5F34BECD" w14:textId="77777777" w:rsidR="001A612C" w:rsidRPr="00A633CC" w:rsidRDefault="001A612C" w:rsidP="00AC2AA7">
      <w:pPr>
        <w:pStyle w:val="DTFListNumber1-Roman"/>
        <w:numPr>
          <w:ilvl w:val="0"/>
          <w:numId w:val="31"/>
        </w:numPr>
      </w:pPr>
      <w:r w:rsidRPr="00A633CC">
        <w:t>The appointment of more than one signatory to an official bank account reduces risk and increases the level of control associated with the operation of the account</w:t>
      </w:r>
      <w:r w:rsidR="00491FFC" w:rsidRPr="00A633CC">
        <w:t xml:space="preserve">. </w:t>
      </w:r>
      <w:r w:rsidR="001450FD">
        <w:t>Therefore</w:t>
      </w:r>
      <w:r w:rsidRPr="00A633CC">
        <w:t xml:space="preserve">, an </w:t>
      </w:r>
      <w:r w:rsidR="001450FD">
        <w:t>a</w:t>
      </w:r>
      <w:r w:rsidRPr="00A633CC">
        <w:t>gency will need to assess the appropriate number of signatories required, taking into account risk factors and other practical considerations.</w:t>
      </w:r>
    </w:p>
    <w:p w14:paraId="5F34BECE" w14:textId="77777777" w:rsidR="001A612C" w:rsidRPr="00A633CC" w:rsidRDefault="001A612C" w:rsidP="00AC2AA7">
      <w:pPr>
        <w:pStyle w:val="DTFListNumber1-Roman"/>
      </w:pPr>
      <w:r w:rsidRPr="00A633CC">
        <w:t>When appointing signatories, internal control issues, as well as the employee’s suitability to perform the duties and assume the responsibilities will al</w:t>
      </w:r>
      <w:r w:rsidR="001450FD">
        <w:t>so need to be considered by an a</w:t>
      </w:r>
      <w:r w:rsidRPr="00A633CC">
        <w:t>gency</w:t>
      </w:r>
      <w:r w:rsidR="00491FFC" w:rsidRPr="00A633CC">
        <w:t xml:space="preserve">. </w:t>
      </w:r>
      <w:r w:rsidRPr="00A633CC">
        <w:t>For instance:</w:t>
      </w:r>
    </w:p>
    <w:p w14:paraId="5F34BECF" w14:textId="77777777" w:rsidR="001A612C" w:rsidRDefault="001A612C" w:rsidP="00EA0101">
      <w:pPr>
        <w:pStyle w:val="DTFListBullet2-Black"/>
      </w:pPr>
      <w:r>
        <w:t>appropriate segregation of duties requires that an employee who authorises purchases will not also be appointed as a signatory; and</w:t>
      </w:r>
    </w:p>
    <w:p w14:paraId="5F34BED0" w14:textId="77777777" w:rsidR="001A612C" w:rsidRDefault="001A612C" w:rsidP="00EA0101">
      <w:pPr>
        <w:pStyle w:val="DTFListBullet2-Black"/>
      </w:pPr>
      <w:r>
        <w:t>only employees with an appropriate level of experience should be assigned as signatories.</w:t>
      </w:r>
    </w:p>
    <w:p w14:paraId="5F34BED1" w14:textId="77777777" w:rsidR="001A612C" w:rsidRPr="000C2D3C" w:rsidRDefault="001A612C" w:rsidP="00AC2AA7">
      <w:pPr>
        <w:pStyle w:val="DTFListNumber1-Roman"/>
      </w:pPr>
      <w:r w:rsidRPr="000C2D3C">
        <w:t>All signatories should have a clear understanding of their role and responsibilities and should also be provided with appropri</w:t>
      </w:r>
      <w:r w:rsidR="001450FD">
        <w:t>ate instruction and guidance in</w:t>
      </w:r>
      <w:r w:rsidR="008421F4">
        <w:t xml:space="preserve"> </w:t>
      </w:r>
      <w:r w:rsidRPr="000C2D3C">
        <w:t>the operation of the official bank account</w:t>
      </w:r>
      <w:r w:rsidR="00491FFC">
        <w:t xml:space="preserve">. </w:t>
      </w:r>
      <w:r w:rsidRPr="000C2D3C">
        <w:t>For example, a signatory should only sign cheques in respect of authorised claims</w:t>
      </w:r>
      <w:r w:rsidR="00491FFC">
        <w:t xml:space="preserve">. </w:t>
      </w:r>
      <w:r w:rsidR="001450FD">
        <w:t>Treasurer’s Direction</w:t>
      </w:r>
      <w:r w:rsidRPr="000C2D3C">
        <w:t xml:space="preserve"> C3.2 provides further instruction and guidance in relation to payments.</w:t>
      </w:r>
    </w:p>
    <w:tbl>
      <w:tblPr>
        <w:tblStyle w:val="TableGrid"/>
        <w:tblpPr w:leftFromText="181" w:rightFromText="181" w:bottomFromText="142" w:vertAnchor="text" w:tblpY="1"/>
        <w:tblOverlap w:val="never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9"/>
      </w:tblGrid>
      <w:tr w:rsidR="001A612C" w14:paraId="5F34BED4" w14:textId="77777777" w:rsidTr="005A4DA7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5F34BED2" w14:textId="77777777" w:rsidR="001A612C" w:rsidRPr="00112BF1" w:rsidRDefault="001A612C" w:rsidP="005011B7">
            <w:pPr>
              <w:pStyle w:val="DTFHeading3-HighlightText"/>
              <w:framePr w:hSpace="0" w:wrap="auto" w:vAnchor="margin" w:yAlign="inline"/>
              <w:suppressOverlap w:val="0"/>
            </w:pPr>
            <w:r w:rsidRPr="00112BF1">
              <w:t>C2.2.4</w:t>
            </w:r>
          </w:p>
          <w:p w14:paraId="5F34BED3" w14:textId="77777777" w:rsidR="001A612C" w:rsidRPr="00C43882" w:rsidRDefault="001450FD" w:rsidP="00344A72">
            <w:pPr>
              <w:pStyle w:val="DTFBodyText"/>
              <w:rPr>
                <w:rStyle w:val="DTFStrong"/>
              </w:rPr>
            </w:pPr>
            <w:r w:rsidRPr="00C43882">
              <w:rPr>
                <w:rStyle w:val="DTFStrong"/>
              </w:rPr>
              <w:t xml:space="preserve">An </w:t>
            </w:r>
            <w:r w:rsidR="00344A72" w:rsidRPr="00C43882">
              <w:rPr>
                <w:rStyle w:val="DTFStrong"/>
              </w:rPr>
              <w:t>A</w:t>
            </w:r>
            <w:r w:rsidR="001A612C" w:rsidRPr="00C43882">
              <w:rPr>
                <w:rStyle w:val="DTFStrong"/>
              </w:rPr>
              <w:t xml:space="preserve">gency is to provide written notification to </w:t>
            </w:r>
            <w:r w:rsidR="008421F4" w:rsidRPr="00C43882">
              <w:rPr>
                <w:rStyle w:val="DTFStrong"/>
              </w:rPr>
              <w:t>DCIS</w:t>
            </w:r>
            <w:r w:rsidR="001A612C" w:rsidRPr="00C43882">
              <w:rPr>
                <w:rStyle w:val="DTFStrong"/>
              </w:rPr>
              <w:t xml:space="preserve"> where an official bank account is to be closed.</w:t>
            </w:r>
          </w:p>
        </w:tc>
      </w:tr>
    </w:tbl>
    <w:p w14:paraId="5F34BED5" w14:textId="77777777" w:rsidR="001A612C" w:rsidRPr="00A633CC" w:rsidRDefault="001A612C" w:rsidP="00AC2AA7">
      <w:pPr>
        <w:pStyle w:val="DTFListNumber1-Roman"/>
        <w:numPr>
          <w:ilvl w:val="0"/>
          <w:numId w:val="32"/>
        </w:numPr>
      </w:pPr>
      <w:r w:rsidRPr="00A633CC">
        <w:t xml:space="preserve">An official bank account will not be formally closed until all transactions on the account </w:t>
      </w:r>
      <w:r w:rsidR="001450FD">
        <w:t>are</w:t>
      </w:r>
      <w:r w:rsidRPr="00A633CC">
        <w:t xml:space="preserve"> finalised, including the clearance of all cheques drawn against the account</w:t>
      </w:r>
      <w:r w:rsidR="00491FFC" w:rsidRPr="00A633CC">
        <w:t xml:space="preserve">. </w:t>
      </w:r>
      <w:r w:rsidRPr="00A633CC">
        <w:t>Any balance remaining in an official bank account at the time it is closed will be transferred to an official</w:t>
      </w:r>
      <w:r w:rsidR="001450FD">
        <w:t xml:space="preserve"> bank account nominated by the </w:t>
      </w:r>
      <w:r w:rsidR="00344A72">
        <w:t>A</w:t>
      </w:r>
      <w:r w:rsidRPr="00A633CC">
        <w:t>gency.</w:t>
      </w:r>
    </w:p>
    <w:p w14:paraId="5F34BED6" w14:textId="77777777" w:rsidR="00A633CC" w:rsidRPr="00A633CC" w:rsidRDefault="001A612C" w:rsidP="00AC2AA7">
      <w:pPr>
        <w:pStyle w:val="DTFListNumber1-Roman"/>
      </w:pPr>
      <w:r w:rsidRPr="00A633CC">
        <w:t xml:space="preserve">As part of </w:t>
      </w:r>
      <w:r w:rsidR="001450FD">
        <w:t>a</w:t>
      </w:r>
      <w:r w:rsidRPr="00A633CC">
        <w:t>gency processes for closing an official bank account, unused cheque forms relating to a closed official bank account should be cancelled and retained for accountability purposes and as evidence of the transactions undertaken.</w:t>
      </w:r>
    </w:p>
    <w:p w14:paraId="5F34BED7" w14:textId="77777777" w:rsidR="001A612C" w:rsidRDefault="005011B7" w:rsidP="005011B7">
      <w:pPr>
        <w:pStyle w:val="DTFHeading2"/>
      </w:pPr>
      <w:bookmarkStart w:id="5" w:name="_Toc446321239"/>
      <w:r>
        <w:br w:type="page"/>
      </w:r>
      <w:r w:rsidR="001A612C">
        <w:lastRenderedPageBreak/>
        <w:t>Management of Official Bank Accounts</w:t>
      </w:r>
      <w:bookmarkEnd w:id="5"/>
    </w:p>
    <w:tbl>
      <w:tblPr>
        <w:tblStyle w:val="TableGrid"/>
        <w:tblpPr w:leftFromText="181" w:rightFromText="181" w:bottomFromText="142" w:vertAnchor="text" w:tblpY="1"/>
        <w:tblOverlap w:val="never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9"/>
      </w:tblGrid>
      <w:tr w:rsidR="001A612C" w14:paraId="5F34BEDC" w14:textId="77777777" w:rsidTr="005A4DA7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14:paraId="5F34BED8" w14:textId="77777777" w:rsidR="001A612C" w:rsidRDefault="001A612C" w:rsidP="005011B7">
            <w:pPr>
              <w:pStyle w:val="DTFHeading3-HighlightText"/>
              <w:framePr w:hSpace="0" w:wrap="auto" w:vAnchor="margin" w:yAlign="inline"/>
              <w:suppressOverlap w:val="0"/>
            </w:pPr>
            <w:r w:rsidRPr="00BE0687">
              <w:t>C2.2.5</w:t>
            </w:r>
            <w:r w:rsidRPr="00BE0687">
              <w:tab/>
            </w:r>
          </w:p>
          <w:p w14:paraId="5F34BED9" w14:textId="77777777" w:rsidR="001A612C" w:rsidRPr="00DC76B0" w:rsidRDefault="001A612C" w:rsidP="005011B7">
            <w:pPr>
              <w:pStyle w:val="DTFBodyText"/>
              <w:rPr>
                <w:b/>
              </w:rPr>
            </w:pPr>
            <w:r w:rsidRPr="00C43882">
              <w:rPr>
                <w:rStyle w:val="DTFStrong"/>
              </w:rPr>
              <w:t>An official bank account is not to be overdrawn unless an overdraft facility has been approved by the Treasurer in accordance with the</w:t>
            </w:r>
            <w:r w:rsidRPr="00DC76B0">
              <w:rPr>
                <w:b/>
              </w:rPr>
              <w:t xml:space="preserve"> </w:t>
            </w:r>
            <w:r w:rsidRPr="00DC76B0">
              <w:rPr>
                <w:rStyle w:val="DTFItalic"/>
                <w:b/>
              </w:rPr>
              <w:t>Financial Management Act</w:t>
            </w:r>
            <w:r w:rsidRPr="00DC76B0">
              <w:rPr>
                <w:b/>
              </w:rPr>
              <w:t>.</w:t>
            </w:r>
            <w:r w:rsidR="00970681" w:rsidRPr="00DC76B0">
              <w:rPr>
                <w:b/>
              </w:rPr>
              <w:t xml:space="preserve"> </w:t>
            </w:r>
          </w:p>
          <w:p w14:paraId="5F34BEDA" w14:textId="77777777" w:rsidR="001A612C" w:rsidRDefault="001A612C" w:rsidP="005011B7">
            <w:pPr>
              <w:pStyle w:val="DTFHeading3-HighlightText"/>
              <w:framePr w:hSpace="0" w:wrap="auto" w:vAnchor="margin" w:yAlign="inline"/>
              <w:suppressOverlap w:val="0"/>
            </w:pPr>
            <w:r w:rsidRPr="00BE0687">
              <w:t>C2.2.6</w:t>
            </w:r>
          </w:p>
          <w:p w14:paraId="5F34BEDB" w14:textId="77777777" w:rsidR="001A612C" w:rsidRPr="00C43882" w:rsidRDefault="001A612C" w:rsidP="005011B7">
            <w:pPr>
              <w:pStyle w:val="DTFBodyText"/>
              <w:rPr>
                <w:rStyle w:val="DTFStrong"/>
              </w:rPr>
            </w:pPr>
            <w:r w:rsidRPr="00C43882">
              <w:rPr>
                <w:rStyle w:val="DTFStrong"/>
              </w:rPr>
              <w:t>In situations where an overdraft facility has been approved by the Treasurer in relation to an official bank account, the specified overdraft limit is not to be exceeded.</w:t>
            </w:r>
          </w:p>
        </w:tc>
      </w:tr>
    </w:tbl>
    <w:p w14:paraId="5F34BEDD" w14:textId="77777777" w:rsidR="001A612C" w:rsidRDefault="001A612C" w:rsidP="00AC2AA7">
      <w:pPr>
        <w:pStyle w:val="DTFListNumber1-Roman"/>
        <w:numPr>
          <w:ilvl w:val="0"/>
          <w:numId w:val="33"/>
        </w:numPr>
      </w:pPr>
      <w:r>
        <w:t>An official bank account will not be overdrawn unless prior approval has been received from the Treasurer to establish an overdraft facility</w:t>
      </w:r>
      <w:r w:rsidR="00491FFC">
        <w:t xml:space="preserve">. </w:t>
      </w:r>
    </w:p>
    <w:p w14:paraId="5F34BEDE" w14:textId="77777777" w:rsidR="00C80969" w:rsidRDefault="00C80969" w:rsidP="00AC2AA7">
      <w:pPr>
        <w:pStyle w:val="DTFListNumber1-Roman"/>
      </w:pPr>
      <w:r>
        <w:t>Agency operating</w:t>
      </w:r>
      <w:r w:rsidR="009C58A5">
        <w:t>/advance</w:t>
      </w:r>
      <w:r>
        <w:t xml:space="preserve"> accounts</w:t>
      </w:r>
      <w:r w:rsidR="00105821">
        <w:t xml:space="preserve"> form part of the public account,</w:t>
      </w:r>
      <w:r>
        <w:t xml:space="preserve"> </w:t>
      </w:r>
      <w:r w:rsidR="00105821">
        <w:t>and are not to</w:t>
      </w:r>
      <w:r>
        <w:t xml:space="preserve"> be overdrawn without </w:t>
      </w:r>
      <w:r w:rsidR="00105821">
        <w:t>notifying or seeking prior approval from the Department of Treasury and Finance.</w:t>
      </w:r>
      <w:r>
        <w:t xml:space="preserve"> </w:t>
      </w:r>
      <w:r w:rsidR="00105821">
        <w:t xml:space="preserve">In </w:t>
      </w:r>
      <w:r>
        <w:t xml:space="preserve">this regard, accurate cash forecasting by </w:t>
      </w:r>
      <w:r w:rsidR="009D0ADD">
        <w:t>A</w:t>
      </w:r>
      <w:r>
        <w:t>gencies will assist in avoiding official bank accounts being overdrawn</w:t>
      </w:r>
    </w:p>
    <w:p w14:paraId="5F34BEDF" w14:textId="77777777" w:rsidR="001A612C" w:rsidRPr="00421F8E" w:rsidRDefault="001A612C" w:rsidP="00AC2AA7">
      <w:pPr>
        <w:pStyle w:val="DTFListNumber1-Roman"/>
      </w:pPr>
      <w:r>
        <w:t xml:space="preserve">In rare situations, the Treasurer may approve an overdraft facility for an official bank account (section 27(4) of the </w:t>
      </w:r>
      <w:r w:rsidRPr="005011B7">
        <w:rPr>
          <w:rStyle w:val="DTFItalic"/>
        </w:rPr>
        <w:t>Financial Management Act</w:t>
      </w:r>
      <w:r w:rsidR="001450FD">
        <w:rPr>
          <w:rStyle w:val="DTFItalic"/>
        </w:rPr>
        <w:t>)</w:t>
      </w:r>
      <w:r w:rsidR="00491FFC" w:rsidRPr="005011B7">
        <w:rPr>
          <w:rStyle w:val="DTFItalic"/>
        </w:rPr>
        <w:t>.</w:t>
      </w:r>
      <w:r w:rsidR="00491FFC">
        <w:t xml:space="preserve"> </w:t>
      </w:r>
      <w:r>
        <w:t>Where an overdraft fac</w:t>
      </w:r>
      <w:r w:rsidR="001450FD">
        <w:t>ility is required, an a</w:t>
      </w:r>
      <w:r>
        <w:t xml:space="preserve">gency is to seek prior approval through </w:t>
      </w:r>
      <w:r w:rsidR="001450FD">
        <w:t>DCIS</w:t>
      </w:r>
      <w:r>
        <w:t xml:space="preserve"> in accordance with the requirements of the </w:t>
      </w:r>
      <w:r w:rsidRPr="005011B7">
        <w:rPr>
          <w:rStyle w:val="DTFItalic"/>
        </w:rPr>
        <w:t>Financial Management Act.</w:t>
      </w:r>
      <w:r>
        <w:t xml:space="preserve"> </w:t>
      </w:r>
      <w:r w:rsidRPr="00421F8E">
        <w:t>Interest may be charged on any overdraft balance.</w:t>
      </w:r>
    </w:p>
    <w:tbl>
      <w:tblPr>
        <w:tblStyle w:val="TableGrid"/>
        <w:tblpPr w:leftFromText="181" w:rightFromText="181" w:bottomFromText="142" w:vertAnchor="text" w:tblpY="1"/>
        <w:tblOverlap w:val="never"/>
        <w:tblW w:w="9639" w:type="dxa"/>
        <w:tblBorders>
          <w:top w:val="single" w:sz="24" w:space="0" w:color="F1A673"/>
          <w:bottom w:val="single" w:sz="24" w:space="0" w:color="F1A673"/>
        </w:tblBorders>
        <w:tblLook w:val="04A0" w:firstRow="1" w:lastRow="0" w:firstColumn="1" w:lastColumn="0" w:noHBand="0" w:noVBand="1"/>
        <w:tblDescription w:val="Highlight box: C1.1.1"/>
      </w:tblPr>
      <w:tblGrid>
        <w:gridCol w:w="9639"/>
      </w:tblGrid>
      <w:tr w:rsidR="001A612C" w14:paraId="5F34BEE5" w14:textId="77777777" w:rsidTr="006509CB">
        <w:trPr>
          <w:tblHeader/>
        </w:trPr>
        <w:tc>
          <w:tcPr>
            <w:tcW w:w="9639" w:type="dxa"/>
            <w:tcMar>
              <w:left w:w="0" w:type="dxa"/>
              <w:right w:w="0" w:type="dxa"/>
            </w:tcMar>
            <w:vAlign w:val="center"/>
          </w:tcPr>
          <w:p w14:paraId="5F34BEE0" w14:textId="77777777" w:rsidR="001A612C" w:rsidRDefault="001A612C" w:rsidP="005011B7">
            <w:pPr>
              <w:pStyle w:val="DTFHeading3-HighlightText"/>
              <w:framePr w:hSpace="0" w:wrap="auto" w:vAnchor="margin" w:yAlign="inline"/>
              <w:suppressOverlap w:val="0"/>
            </w:pPr>
            <w:r w:rsidRPr="00BE0687">
              <w:t>C2.2.7</w:t>
            </w:r>
          </w:p>
          <w:p w14:paraId="5F34BEE1" w14:textId="77777777" w:rsidR="001A612C" w:rsidRPr="00C43882" w:rsidRDefault="001A612C" w:rsidP="005011B7">
            <w:pPr>
              <w:pStyle w:val="DTFBodyText"/>
              <w:rPr>
                <w:rStyle w:val="DTFStrong"/>
              </w:rPr>
            </w:pPr>
            <w:r w:rsidRPr="00C43882">
              <w:rPr>
                <w:rStyle w:val="DTFStrong"/>
              </w:rPr>
              <w:t>Reconciliations of each official bank account are to be:</w:t>
            </w:r>
          </w:p>
          <w:p w14:paraId="5F34BEE2" w14:textId="77777777" w:rsidR="001A612C" w:rsidRPr="00C43882" w:rsidRDefault="001A612C" w:rsidP="00752258">
            <w:pPr>
              <w:pStyle w:val="DTFListBullet1-Black"/>
              <w:ind w:left="681" w:hanging="397"/>
              <w:rPr>
                <w:rStyle w:val="DTFStrong"/>
              </w:rPr>
            </w:pPr>
            <w:r w:rsidRPr="00C43882">
              <w:rPr>
                <w:rStyle w:val="DTFStrong"/>
              </w:rPr>
              <w:t>undertaken regularly and on a timely basis;</w:t>
            </w:r>
          </w:p>
          <w:p w14:paraId="5F34BEE3" w14:textId="77777777" w:rsidR="001A612C" w:rsidRPr="00C43882" w:rsidRDefault="001A612C" w:rsidP="00752258">
            <w:pPr>
              <w:pStyle w:val="DTFListBullet1-Black"/>
              <w:ind w:left="681" w:hanging="397"/>
              <w:rPr>
                <w:rStyle w:val="DTFStrong"/>
              </w:rPr>
            </w:pPr>
            <w:r w:rsidRPr="00C43882">
              <w:rPr>
                <w:rStyle w:val="DTFStrong"/>
              </w:rPr>
              <w:t>evidenced by the signature of the employee who undertook the reconciliation; and</w:t>
            </w:r>
          </w:p>
          <w:p w14:paraId="5F34BEE4" w14:textId="77777777" w:rsidR="001A612C" w:rsidRDefault="001A612C" w:rsidP="00752258">
            <w:pPr>
              <w:pStyle w:val="DTFListBullet1-Black"/>
            </w:pPr>
            <w:r w:rsidRPr="00C43882">
              <w:rPr>
                <w:rStyle w:val="DTFStrong"/>
              </w:rPr>
              <w:t>independently verified by a separate employee and evidenced by signature.</w:t>
            </w:r>
          </w:p>
        </w:tc>
      </w:tr>
    </w:tbl>
    <w:p w14:paraId="5F34BEE6" w14:textId="77777777" w:rsidR="006509CB" w:rsidRDefault="006509CB" w:rsidP="00AC2AA7">
      <w:pPr>
        <w:pStyle w:val="DTFListNumber1-Roman"/>
        <w:numPr>
          <w:ilvl w:val="0"/>
          <w:numId w:val="34"/>
        </w:numPr>
      </w:pPr>
      <w:r>
        <w:t xml:space="preserve">For effective </w:t>
      </w:r>
      <w:r w:rsidR="009C58A5">
        <w:t xml:space="preserve">control, nominated </w:t>
      </w:r>
      <w:r>
        <w:t>official bank accounts will be reconciled on a regular basis by the Department of Corporate and Information Services. Agencies remain responsible for reconciling their respective advance accounts</w:t>
      </w:r>
      <w:r w:rsidR="009C58A5">
        <w:t xml:space="preserve"> and their internally managed accounts</w:t>
      </w:r>
      <w:r>
        <w:t>. As a guide, an official bank account on which there are either high volumes or high value transactions should be reconciled at least monthly. Where there is a combination of high volume and high value transactions, it may be necessary to reconcile daily</w:t>
      </w:r>
    </w:p>
    <w:p w14:paraId="5F34BEE7" w14:textId="77777777" w:rsidR="009C58A5" w:rsidRPr="009C58A5" w:rsidRDefault="001A612C" w:rsidP="009C58A5">
      <w:pPr>
        <w:pStyle w:val="DTFListNumber1-Roman"/>
        <w:numPr>
          <w:ilvl w:val="0"/>
          <w:numId w:val="34"/>
        </w:numPr>
      </w:pPr>
      <w:r>
        <w:t>Bank acco</w:t>
      </w:r>
      <w:r w:rsidR="001450FD">
        <w:t>unt statements</w:t>
      </w:r>
      <w:r>
        <w:t xml:space="preserve"> will be reconciled to the cash a</w:t>
      </w:r>
      <w:r w:rsidR="001450FD">
        <w:t xml:space="preserve">t bank balances recorded in an </w:t>
      </w:r>
      <w:r w:rsidR="00CE54C8">
        <w:t>A</w:t>
      </w:r>
      <w:r>
        <w:t xml:space="preserve">gency’s </w:t>
      </w:r>
      <w:r w:rsidR="00344A72">
        <w:t xml:space="preserve">general </w:t>
      </w:r>
      <w:r>
        <w:t xml:space="preserve">ledger. A bank reconciliation is an essential internal control procedure that assists in identifying fraud or error and provides a mechanism to prove the accuracy of both the official bank account balance and the </w:t>
      </w:r>
      <w:r w:rsidR="00344A72">
        <w:t xml:space="preserve">general </w:t>
      </w:r>
      <w:r>
        <w:t>ledger balance</w:t>
      </w:r>
      <w:r w:rsidRPr="009C58A5">
        <w:t xml:space="preserve">. Appendix A </w:t>
      </w:r>
      <w:r w:rsidR="009C58A5" w:rsidRPr="009C58A5">
        <w:t>provides a guideline on the</w:t>
      </w:r>
      <w:r w:rsidRPr="009C58A5">
        <w:t xml:space="preserve"> reconciliation process</w:t>
      </w:r>
      <w:r w:rsidR="009C58A5" w:rsidRPr="009C58A5">
        <w:t>.</w:t>
      </w:r>
    </w:p>
    <w:p w14:paraId="5F34BEE8" w14:textId="77777777" w:rsidR="001A612C" w:rsidRDefault="001A612C" w:rsidP="009C58A5">
      <w:pPr>
        <w:pStyle w:val="DTFListNumber1-Roman"/>
        <w:numPr>
          <w:ilvl w:val="0"/>
          <w:numId w:val="34"/>
        </w:numPr>
      </w:pPr>
      <w:r>
        <w:t>The employee who has undertaken the reconciliation will sign the bank reconciliation</w:t>
      </w:r>
      <w:r w:rsidR="00491FFC">
        <w:t xml:space="preserve">. </w:t>
      </w:r>
      <w:r>
        <w:t>Independent verification of the reconciliation</w:t>
      </w:r>
      <w:r w:rsidR="00174A89">
        <w:t xml:space="preserve"> will be performed by another</w:t>
      </w:r>
      <w:r>
        <w:t xml:space="preserve"> employee and will also be evidenced by signature. This independent verification should also be performed on a timely basis and should be undertaken by an empl</w:t>
      </w:r>
      <w:r w:rsidR="00174A89">
        <w:t>oyee who is not involved in day-to-</w:t>
      </w:r>
      <w:r>
        <w:t xml:space="preserve">day </w:t>
      </w:r>
      <w:r w:rsidR="00174A89">
        <w:t>responsibilities related to this</w:t>
      </w:r>
      <w:r>
        <w:t xml:space="preserve"> official bank account.</w:t>
      </w:r>
    </w:p>
    <w:p w14:paraId="5F34BEE9" w14:textId="589943DE" w:rsidR="001A612C" w:rsidRDefault="001A612C" w:rsidP="005011B7">
      <w:pPr>
        <w:pStyle w:val="DTFHeading2"/>
      </w:pPr>
      <w:bookmarkStart w:id="6" w:name="_Toc446321240"/>
      <w:r>
        <w:lastRenderedPageBreak/>
        <w:t>Appendix A</w:t>
      </w:r>
      <w:r w:rsidR="00392812">
        <w:t xml:space="preserve">: </w:t>
      </w:r>
      <w:r w:rsidR="00392812" w:rsidRPr="00392812">
        <w:t xml:space="preserve">Bank Reconciliation </w:t>
      </w:r>
      <w:bookmarkEnd w:id="6"/>
      <w:r w:rsidR="009C58A5">
        <w:t>Guid</w:t>
      </w:r>
      <w:r w:rsidR="00307A19">
        <w:t>e</w:t>
      </w:r>
      <w:r w:rsidR="009C58A5">
        <w:t>lines</w:t>
      </w:r>
    </w:p>
    <w:p w14:paraId="5F34BEEA" w14:textId="77777777" w:rsidR="001A612C" w:rsidRDefault="001A612C" w:rsidP="005011B7">
      <w:pPr>
        <w:pStyle w:val="DTFBodyText"/>
      </w:pPr>
      <w:r>
        <w:t>To verify the accuracy of both the cash at bank ledger account balance and the bank statement balance at a point of time, both records are compared to identify transactions and events that caused a variation between the two balances. In general, the reconciliation procedure is as follows.</w:t>
      </w:r>
    </w:p>
    <w:p w14:paraId="5F34BEEB" w14:textId="77777777" w:rsidR="001A612C" w:rsidRDefault="001A612C" w:rsidP="005011B7">
      <w:pPr>
        <w:pStyle w:val="DTFListNumber1"/>
        <w:ind w:left="681" w:hanging="397"/>
      </w:pPr>
      <w:r w:rsidRPr="005011B7">
        <w:rPr>
          <w:rStyle w:val="DTFStrong"/>
        </w:rPr>
        <w:t>Check Previous Reconciliation.</w:t>
      </w:r>
      <w:r w:rsidRPr="00421F8E">
        <w:t xml:space="preserve"> </w:t>
      </w:r>
      <w:r>
        <w:t>Confirm that outstanding items and errors included in the last Bank Reconciliation Statement now appear on the bank statement for the current period</w:t>
      </w:r>
      <w:r w:rsidR="00491FFC">
        <w:t xml:space="preserve">. </w:t>
      </w:r>
      <w:r>
        <w:t>Any items still outstanding from the previous reconciliation and carried forward to the current Bank Reconciliation Statement should be explai</w:t>
      </w:r>
      <w:r w:rsidR="002848C5">
        <w:t>ned and follow-</w:t>
      </w:r>
      <w:r>
        <w:t>up action noted.</w:t>
      </w:r>
    </w:p>
    <w:p w14:paraId="5F34BEEC" w14:textId="77777777" w:rsidR="001A612C" w:rsidRDefault="001A612C" w:rsidP="005011B7">
      <w:pPr>
        <w:pStyle w:val="DTFListNumber1"/>
        <w:ind w:left="681" w:hanging="397"/>
      </w:pPr>
      <w:r w:rsidRPr="005011B7">
        <w:rPr>
          <w:rStyle w:val="DTFStrong"/>
        </w:rPr>
        <w:t>Comparison of the Ledger and the Bank Statement</w:t>
      </w:r>
      <w:r w:rsidR="00491FFC" w:rsidRPr="005011B7">
        <w:rPr>
          <w:rStyle w:val="DTFStrong"/>
        </w:rPr>
        <w:t>.</w:t>
      </w:r>
      <w:r w:rsidR="00491FFC" w:rsidRPr="003530D3">
        <w:t xml:space="preserve"> </w:t>
      </w:r>
      <w:r>
        <w:t>Compare the ledger entries for receipts with the deposit transactions on the bank statement, and the ledger entries for payments with the payment transactions on the bank statement</w:t>
      </w:r>
      <w:r w:rsidR="00491FFC">
        <w:t xml:space="preserve">. </w:t>
      </w:r>
      <w:r>
        <w:t>Entries that appear in both the cash at bank ledger account and the bank statement should be marked off</w:t>
      </w:r>
      <w:r w:rsidR="00491FFC">
        <w:t xml:space="preserve">. </w:t>
      </w:r>
      <w:r w:rsidR="002848C5">
        <w:t>The remaining items, where the a</w:t>
      </w:r>
      <w:r>
        <w:t>gency ledger and bank statement vary, may be due to:</w:t>
      </w:r>
    </w:p>
    <w:p w14:paraId="5F34BEED" w14:textId="77777777" w:rsidR="001A612C" w:rsidRPr="00421F8E" w:rsidRDefault="001A612C" w:rsidP="005011B7">
      <w:pPr>
        <w:pStyle w:val="DTFListBullet2-Black"/>
      </w:pPr>
      <w:r w:rsidRPr="00421F8E">
        <w:t>outstanding or late deposits that appear in the cash at bank ledger account and not on the bank statement;</w:t>
      </w:r>
    </w:p>
    <w:p w14:paraId="5F34BEEE" w14:textId="77777777" w:rsidR="001A612C" w:rsidRPr="00421F8E" w:rsidRDefault="002848C5" w:rsidP="005011B7">
      <w:pPr>
        <w:pStyle w:val="DTFListBullet2-Black"/>
      </w:pPr>
      <w:r>
        <w:t>unpresented cheques or electronic funds t</w:t>
      </w:r>
      <w:r w:rsidR="001A612C" w:rsidRPr="00421F8E">
        <w:t>ransfers (EFT) that appear in the cash at bank ledger account and not on the bank statement;</w:t>
      </w:r>
    </w:p>
    <w:p w14:paraId="5F34BEEF" w14:textId="77777777" w:rsidR="001A612C" w:rsidRPr="00421F8E" w:rsidRDefault="001A612C" w:rsidP="005011B7">
      <w:pPr>
        <w:pStyle w:val="DTFListBullet2-Black"/>
      </w:pPr>
      <w:r w:rsidRPr="00421F8E">
        <w:t>items appearing only on the bank statement that do not appear in the cash at bank ledger account, for example</w:t>
      </w:r>
      <w:r w:rsidR="002848C5">
        <w:t>,</w:t>
      </w:r>
      <w:r w:rsidRPr="00421F8E">
        <w:t xml:space="preserve"> fees, charges and electronic deposits; or</w:t>
      </w:r>
    </w:p>
    <w:p w14:paraId="5F34BEF0" w14:textId="77777777" w:rsidR="001A612C" w:rsidRPr="00421F8E" w:rsidRDefault="001A612C" w:rsidP="005011B7">
      <w:pPr>
        <w:pStyle w:val="DTFListBullet2-Black"/>
      </w:pPr>
      <w:r w:rsidRPr="00421F8E">
        <w:t>errors made in entering items in the cash at bank ledger acc</w:t>
      </w:r>
      <w:r w:rsidR="002848C5">
        <w:t>ount and/or errors made by the b</w:t>
      </w:r>
      <w:r w:rsidRPr="00421F8E">
        <w:t>ank</w:t>
      </w:r>
      <w:r w:rsidR="002848C5">
        <w:t>ing p</w:t>
      </w:r>
      <w:r w:rsidRPr="00421F8E">
        <w:t>rovider (or ADI) on the bank statement.</w:t>
      </w:r>
    </w:p>
    <w:p w14:paraId="5F34BEF1" w14:textId="77777777" w:rsidR="001A612C" w:rsidRPr="002D1E33" w:rsidRDefault="001A612C" w:rsidP="005011B7">
      <w:pPr>
        <w:pStyle w:val="DTFListNumber1"/>
      </w:pPr>
      <w:r w:rsidRPr="005011B7">
        <w:rPr>
          <w:rStyle w:val="DTFStrong"/>
        </w:rPr>
        <w:t>Prepare Journals.</w:t>
      </w:r>
      <w:r>
        <w:t xml:space="preserve"> </w:t>
      </w:r>
      <w:r w:rsidRPr="002D1E33">
        <w:t xml:space="preserve">Prepare journals for those transactions appearing only on the bank </w:t>
      </w:r>
      <w:r w:rsidR="002848C5">
        <w:t>statement that are confirmed as</w:t>
      </w:r>
      <w:r w:rsidRPr="002D1E33">
        <w:t xml:space="preserve"> legitimate transactions</w:t>
      </w:r>
      <w:r w:rsidR="00491FFC">
        <w:t xml:space="preserve">. </w:t>
      </w:r>
      <w:r w:rsidRPr="002D1E33">
        <w:t>When these items have been recorded in the cash at bank ledger account they can be marked off, since they are now common to both sets of records.</w:t>
      </w:r>
    </w:p>
    <w:p w14:paraId="5F34BEF2" w14:textId="77777777" w:rsidR="001A612C" w:rsidRPr="002D1E33" w:rsidRDefault="001A612C" w:rsidP="005011B7">
      <w:pPr>
        <w:pStyle w:val="DTFListNumber1"/>
      </w:pPr>
      <w:r w:rsidRPr="005011B7">
        <w:rPr>
          <w:rStyle w:val="DTFStrong"/>
        </w:rPr>
        <w:t>Prepare Adjusting Journals.</w:t>
      </w:r>
      <w:r w:rsidRPr="003530D3">
        <w:t xml:space="preserve"> </w:t>
      </w:r>
      <w:r w:rsidRPr="002D1E33">
        <w:t>Prepare adjusting journals for any errors identified in the cash at bank account</w:t>
      </w:r>
      <w:r w:rsidR="00491FFC">
        <w:t xml:space="preserve">. </w:t>
      </w:r>
      <w:r w:rsidRPr="002D1E33">
        <w:t>When these errors have been adjusted in the cash at bank ledger account, the entries should match the bank statement transactions and can also be marked off.</w:t>
      </w:r>
    </w:p>
    <w:p w14:paraId="5F34BEF3" w14:textId="77777777" w:rsidR="001A612C" w:rsidRPr="002D1E33" w:rsidRDefault="001A612C" w:rsidP="005011B7">
      <w:pPr>
        <w:pStyle w:val="DTFListNumber1"/>
      </w:pPr>
      <w:r w:rsidRPr="005011B7">
        <w:rPr>
          <w:rStyle w:val="DTFStrong"/>
        </w:rPr>
        <w:t>Banking Provider (or ADI) Errors.</w:t>
      </w:r>
      <w:r w:rsidR="002848C5">
        <w:t xml:space="preserve"> </w:t>
      </w:r>
      <w:r w:rsidR="004F70D7">
        <w:t xml:space="preserve">Errors appearing on the bank statement should be referred to DCIS for notification </w:t>
      </w:r>
      <w:r w:rsidR="006E102A">
        <w:t>to</w:t>
      </w:r>
      <w:r w:rsidR="004F70D7">
        <w:t xml:space="preserve"> the </w:t>
      </w:r>
      <w:r w:rsidR="002848C5">
        <w:t>b</w:t>
      </w:r>
      <w:r w:rsidRPr="002D1E33">
        <w:t xml:space="preserve">anking </w:t>
      </w:r>
      <w:r w:rsidR="002848C5">
        <w:t>p</w:t>
      </w:r>
      <w:r w:rsidRPr="002D1E33">
        <w:t>rovider (or ADI)</w:t>
      </w:r>
      <w:r w:rsidR="00491FFC">
        <w:t xml:space="preserve">. </w:t>
      </w:r>
      <w:r w:rsidRPr="002D1E33">
        <w:t>These items will appear on the Bank Reconciliation Statement</w:t>
      </w:r>
      <w:r w:rsidR="00491FFC">
        <w:t xml:space="preserve">. </w:t>
      </w:r>
      <w:r w:rsidRPr="002D1E33">
        <w:t>The errors should be corrected by</w:t>
      </w:r>
      <w:r w:rsidR="002848C5">
        <w:t xml:space="preserve"> the b</w:t>
      </w:r>
      <w:r w:rsidRPr="002D1E33">
        <w:t xml:space="preserve">anking </w:t>
      </w:r>
      <w:r w:rsidR="002848C5">
        <w:t>p</w:t>
      </w:r>
      <w:r w:rsidRPr="002D1E33">
        <w:t>rovider (or ADI) and should be recorded on the subsequent bank statement.</w:t>
      </w:r>
    </w:p>
    <w:p w14:paraId="5F34BEF4" w14:textId="77777777" w:rsidR="0052279B" w:rsidRPr="0052279B" w:rsidRDefault="001A612C" w:rsidP="000676FE">
      <w:pPr>
        <w:pStyle w:val="DTFListNumber1"/>
      </w:pPr>
      <w:r w:rsidRPr="005011B7">
        <w:rPr>
          <w:rStyle w:val="DTFStrong"/>
        </w:rPr>
        <w:t>Prepare the Bank Reconciliation Statement.</w:t>
      </w:r>
      <w:r>
        <w:t xml:space="preserve"> </w:t>
      </w:r>
      <w:r w:rsidRPr="002D1E33">
        <w:t>The remaining differences that are included on the Bank Reconciliation Statement are those items that appear in the cash at bank ledger but not on the bank statement, that is</w:t>
      </w:r>
      <w:r w:rsidR="00C8041D">
        <w:t>,</w:t>
      </w:r>
      <w:r w:rsidRPr="002D1E33">
        <w:t xml:space="preserve"> outstanding deposits and unpresented cheques or EFTs</w:t>
      </w:r>
      <w:r w:rsidR="00491FFC">
        <w:t xml:space="preserve">. </w:t>
      </w:r>
      <w:r w:rsidRPr="002D1E33">
        <w:t>Errors made on the bank statement and any items still outstanding from the last Bank Reconciliation Statement also need to be included on the current reconciliation statement.</w:t>
      </w:r>
    </w:p>
    <w:sectPr w:rsidR="0052279B" w:rsidRPr="0052279B" w:rsidSect="00C4158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96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4BEFB" w14:textId="77777777" w:rsidR="001A612C" w:rsidRDefault="001A612C" w:rsidP="00557204">
      <w:r>
        <w:separator/>
      </w:r>
    </w:p>
    <w:p w14:paraId="5F34BEFC" w14:textId="77777777" w:rsidR="001A612C" w:rsidRDefault="001A612C" w:rsidP="00557204"/>
    <w:p w14:paraId="5F34BEFD" w14:textId="77777777" w:rsidR="001A612C" w:rsidRDefault="001A612C" w:rsidP="00557204"/>
  </w:endnote>
  <w:endnote w:type="continuationSeparator" w:id="0">
    <w:p w14:paraId="5F34BEFE" w14:textId="77777777" w:rsidR="001A612C" w:rsidRDefault="001A612C" w:rsidP="00557204">
      <w:r>
        <w:continuationSeparator/>
      </w:r>
    </w:p>
    <w:p w14:paraId="5F34BEFF" w14:textId="77777777" w:rsidR="001A612C" w:rsidRDefault="001A612C" w:rsidP="00557204"/>
    <w:p w14:paraId="5F34BF00" w14:textId="77777777" w:rsidR="001A612C" w:rsidRDefault="001A612C" w:rsidP="00557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 Light">
    <w:altName w:val="Eras Light IT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1" w:rightFromText="181" w:vertAnchor="text" w:tblpY="1"/>
      <w:tblOverlap w:val="never"/>
      <w:tblW w:w="9639" w:type="dxa"/>
      <w:tblBorders>
        <w:bottom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159"/>
      <w:gridCol w:w="3480"/>
    </w:tblGrid>
    <w:tr w:rsidR="00A30A65" w:rsidRPr="00132658" w14:paraId="5F34BF04" w14:textId="77777777" w:rsidTr="00534C85">
      <w:trPr>
        <w:cantSplit/>
        <w:trHeight w:hRule="exact" w:val="964"/>
        <w:tblHeader/>
      </w:trPr>
      <w:tc>
        <w:tcPr>
          <w:tcW w:w="6159" w:type="dxa"/>
          <w:vAlign w:val="center"/>
        </w:tcPr>
        <w:p w14:paraId="5F34BF02" w14:textId="77777777" w:rsidR="00A30A65" w:rsidRPr="00A30A65" w:rsidRDefault="00752178" w:rsidP="006E0747">
          <w:pPr>
            <w:pStyle w:val="DTFFooter"/>
          </w:pPr>
          <w:r w:rsidRPr="00D74C2A">
            <w:t>DEPARTMENT O</w:t>
          </w:r>
          <w:r w:rsidRPr="007E7B5B">
            <w:t>F</w:t>
          </w:r>
          <w:r w:rsidRPr="007E7B5B">
            <w:rPr>
              <w:rStyle w:val="DTFArialBlack"/>
            </w:rPr>
            <w:t xml:space="preserve"> TREASURY AND FINANCE</w:t>
          </w:r>
          <w:r w:rsidRPr="007E7B5B">
            <w:br/>
            <w:t xml:space="preserve">Page </w:t>
          </w:r>
          <w:r w:rsidRPr="007E7B5B">
            <w:fldChar w:fldCharType="begin"/>
          </w:r>
          <w:r w:rsidRPr="007E7B5B">
            <w:instrText xml:space="preserve"> PAGE  \* Arabic  \* MERGEFORMAT </w:instrText>
          </w:r>
          <w:r w:rsidRPr="007E7B5B">
            <w:fldChar w:fldCharType="separate"/>
          </w:r>
          <w:r w:rsidR="00AA3FCB">
            <w:rPr>
              <w:noProof/>
            </w:rPr>
            <w:t>2</w:t>
          </w:r>
          <w:r w:rsidRPr="007E7B5B">
            <w:fldChar w:fldCharType="end"/>
          </w:r>
          <w:r w:rsidRPr="007E7B5B">
            <w:t xml:space="preserve"> of </w:t>
          </w:r>
          <w:fldSimple w:instr=" NUMPAGES  \* Arabic  \* MERGEFORMAT ">
            <w:r w:rsidR="00AA3FCB">
              <w:rPr>
                <w:noProof/>
              </w:rPr>
              <w:t>6</w:t>
            </w:r>
          </w:fldSimple>
          <w:r w:rsidRPr="007E7B5B">
            <w:tab/>
            <w:t xml:space="preserve">Updated </w:t>
          </w:r>
          <w:r w:rsidR="006E0747">
            <w:t xml:space="preserve">15 June </w:t>
          </w:r>
          <w:r w:rsidRPr="007E7B5B">
            <w:t xml:space="preserve"> 2016</w:t>
          </w:r>
        </w:p>
      </w:tc>
      <w:tc>
        <w:tcPr>
          <w:tcW w:w="3480" w:type="dxa"/>
          <w:vAlign w:val="center"/>
        </w:tcPr>
        <w:p w14:paraId="5F34BF03" w14:textId="77777777" w:rsidR="00A30A65" w:rsidRPr="001E14EB" w:rsidRDefault="00A30A65" w:rsidP="00A30A65">
          <w:pPr>
            <w:pStyle w:val="DTFFooter"/>
          </w:pPr>
        </w:p>
      </w:tc>
    </w:tr>
  </w:tbl>
  <w:p w14:paraId="5F34BF05" w14:textId="77777777" w:rsidR="00550A5F" w:rsidRPr="00B76943" w:rsidRDefault="00550A5F" w:rsidP="00557204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tblpY="1"/>
      <w:tblOverlap w:val="never"/>
      <w:tblW w:w="9639" w:type="dxa"/>
      <w:tblBorders>
        <w:bottom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5933"/>
      <w:gridCol w:w="3706"/>
    </w:tblGrid>
    <w:tr w:rsidR="00A30A65" w:rsidRPr="00132658" w14:paraId="5F34BF09" w14:textId="77777777" w:rsidTr="00A30A65">
      <w:trPr>
        <w:cantSplit/>
        <w:trHeight w:hRule="exact" w:val="1134"/>
        <w:tblHeader/>
      </w:trPr>
      <w:tc>
        <w:tcPr>
          <w:tcW w:w="6782" w:type="dxa"/>
          <w:vAlign w:val="center"/>
        </w:tcPr>
        <w:p w14:paraId="5F34BF07" w14:textId="77777777" w:rsidR="00A30A65" w:rsidRPr="00A30A65" w:rsidRDefault="00A30A65" w:rsidP="006E0747">
          <w:pPr>
            <w:pStyle w:val="DTFFooter"/>
          </w:pPr>
          <w:r w:rsidRPr="00A30A65">
            <w:br/>
          </w:r>
          <w:r w:rsidR="00752178" w:rsidRPr="00D74C2A">
            <w:t>DEPARTMENT O</w:t>
          </w:r>
          <w:r w:rsidR="00752178" w:rsidRPr="007E7B5B">
            <w:t>F</w:t>
          </w:r>
          <w:r w:rsidR="00752178" w:rsidRPr="007E7B5B">
            <w:rPr>
              <w:rStyle w:val="DTFArialBlack"/>
            </w:rPr>
            <w:t xml:space="preserve"> TREASURY AND FINANCE</w:t>
          </w:r>
          <w:r w:rsidR="00752178" w:rsidRPr="007E7B5B">
            <w:br/>
            <w:t xml:space="preserve">Page </w:t>
          </w:r>
          <w:r w:rsidR="00752178" w:rsidRPr="007E7B5B">
            <w:fldChar w:fldCharType="begin"/>
          </w:r>
          <w:r w:rsidR="00752178" w:rsidRPr="007E7B5B">
            <w:instrText xml:space="preserve"> PAGE  \* Arabic  \* MERGEFORMAT </w:instrText>
          </w:r>
          <w:r w:rsidR="00752178" w:rsidRPr="007E7B5B">
            <w:fldChar w:fldCharType="separate"/>
          </w:r>
          <w:r w:rsidR="00AA3FCB">
            <w:rPr>
              <w:noProof/>
            </w:rPr>
            <w:t>1</w:t>
          </w:r>
          <w:r w:rsidR="00752178" w:rsidRPr="007E7B5B">
            <w:fldChar w:fldCharType="end"/>
          </w:r>
          <w:r w:rsidR="00752178" w:rsidRPr="007E7B5B">
            <w:t xml:space="preserve"> of </w:t>
          </w:r>
          <w:fldSimple w:instr=" NUMPAGES  \* Arabic  \* MERGEFORMAT ">
            <w:r w:rsidR="00AA3FCB">
              <w:rPr>
                <w:noProof/>
              </w:rPr>
              <w:t>6</w:t>
            </w:r>
          </w:fldSimple>
          <w:r w:rsidR="00752178" w:rsidRPr="007E7B5B">
            <w:tab/>
            <w:t xml:space="preserve">Updated </w:t>
          </w:r>
          <w:r w:rsidR="006E0747">
            <w:t>15 June</w:t>
          </w:r>
          <w:r w:rsidR="00752178" w:rsidRPr="007E7B5B">
            <w:t xml:space="preserve"> 2016</w:t>
          </w:r>
        </w:p>
      </w:tc>
      <w:tc>
        <w:tcPr>
          <w:tcW w:w="3991" w:type="dxa"/>
          <w:vAlign w:val="center"/>
        </w:tcPr>
        <w:p w14:paraId="5F34BF08" w14:textId="77777777" w:rsidR="00A30A65" w:rsidRPr="00A30A65" w:rsidRDefault="00A30A65" w:rsidP="00A30A65">
          <w:r w:rsidRPr="00A30A65">
            <w:rPr>
              <w:noProof/>
            </w:rPr>
            <w:drawing>
              <wp:inline distT="0" distB="0" distL="0" distR="0" wp14:anchorId="5F34BF0B" wp14:editId="5F34BF0C">
                <wp:extent cx="1347470" cy="481330"/>
                <wp:effectExtent l="0" t="0" r="508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34BF0A" w14:textId="77777777" w:rsidR="00550A5F" w:rsidRPr="00B76943" w:rsidRDefault="00550A5F" w:rsidP="0055720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4BEF5" w14:textId="77777777" w:rsidR="001A612C" w:rsidRDefault="001A612C" w:rsidP="00557204">
      <w:r>
        <w:separator/>
      </w:r>
    </w:p>
    <w:p w14:paraId="5F34BEF6" w14:textId="77777777" w:rsidR="001A612C" w:rsidRDefault="001A612C" w:rsidP="00557204"/>
    <w:p w14:paraId="5F34BEF7" w14:textId="77777777" w:rsidR="001A612C" w:rsidRDefault="001A612C" w:rsidP="00557204"/>
  </w:footnote>
  <w:footnote w:type="continuationSeparator" w:id="0">
    <w:p w14:paraId="5F34BEF8" w14:textId="77777777" w:rsidR="001A612C" w:rsidRDefault="001A612C" w:rsidP="00557204">
      <w:r>
        <w:continuationSeparator/>
      </w:r>
    </w:p>
    <w:p w14:paraId="5F34BEF9" w14:textId="77777777" w:rsidR="001A612C" w:rsidRDefault="001A612C" w:rsidP="00557204"/>
    <w:p w14:paraId="5F34BEFA" w14:textId="77777777" w:rsidR="001A612C" w:rsidRDefault="001A612C" w:rsidP="005572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BF01" w14:textId="77777777" w:rsidR="00550A5F" w:rsidRPr="00A30A65" w:rsidRDefault="00C4158E" w:rsidP="00EA0101">
    <w:pPr>
      <w:pStyle w:val="DTFBodyText"/>
      <w:rPr>
        <w:rStyle w:val="DTFGreyText"/>
      </w:rPr>
    </w:pPr>
    <w:r w:rsidRPr="00A30A65">
      <w:rPr>
        <w:rStyle w:val="DTFGreyText"/>
      </w:rPr>
      <w:t>C2.2</w:t>
    </w:r>
    <w:r w:rsidR="004845CE" w:rsidRPr="00A30A65">
      <w:rPr>
        <w:rStyle w:val="DTFGreyText"/>
      </w:rPr>
      <w:t>: Banking – Bank Accounts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BF06" w14:textId="77777777" w:rsidR="00550A5F" w:rsidRDefault="00AA44F5" w:rsidP="009D50A1">
    <w:pPr>
      <w:pStyle w:val="DTFTitle"/>
    </w:pPr>
    <w:r w:rsidRPr="002E3A4D">
      <w:t>Treasurer’s Directions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B9E5542"/>
    <w:lvl w:ilvl="0">
      <w:start w:val="1"/>
      <w:numFmt w:val="lowerRoman"/>
      <w:pStyle w:val="ListNumber2"/>
      <w:lvlText w:val="(%1)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FFFFFF88"/>
    <w:multiLevelType w:val="singleLevel"/>
    <w:tmpl w:val="00C83F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34E74"/>
    <w:multiLevelType w:val="hybridMultilevel"/>
    <w:tmpl w:val="943EB11C"/>
    <w:lvl w:ilvl="0" w:tplc="32E85392">
      <w:start w:val="1"/>
      <w:numFmt w:val="decimal"/>
      <w:pStyle w:val="DTFHeading2-numbered"/>
      <w:lvlText w:val="%1."/>
      <w:lvlJc w:val="left"/>
      <w:pPr>
        <w:ind w:left="2138" w:hanging="360"/>
      </w:p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71C3D8A"/>
    <w:multiLevelType w:val="multilevel"/>
    <w:tmpl w:val="926C9EB6"/>
    <w:lvl w:ilvl="0">
      <w:start w:val="1"/>
      <w:numFmt w:val="bullet"/>
      <w:pStyle w:val="DTFListBullet1-Black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073069"/>
    <w:multiLevelType w:val="hybridMultilevel"/>
    <w:tmpl w:val="72E8C2B0"/>
    <w:lvl w:ilvl="0" w:tplc="8E6A10D8">
      <w:start w:val="1"/>
      <w:numFmt w:val="bullet"/>
      <w:pStyle w:val="DTFTableDash"/>
      <w:lvlText w:val=""/>
      <w:lvlJc w:val="left"/>
      <w:pPr>
        <w:ind w:left="785" w:hanging="360"/>
      </w:pPr>
      <w:rPr>
        <w:rFonts w:ascii="Symbol" w:hAnsi="Symbol" w:hint="default"/>
        <w:color w:val="2F7DE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E5CC4"/>
    <w:multiLevelType w:val="hybridMultilevel"/>
    <w:tmpl w:val="2FF6570E"/>
    <w:lvl w:ilvl="0" w:tplc="26C6E2A8">
      <w:start w:val="1"/>
      <w:numFmt w:val="bullet"/>
      <w:pStyle w:val="ListBullet2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>
    <w:nsid w:val="311A6781"/>
    <w:multiLevelType w:val="multilevel"/>
    <w:tmpl w:val="A45AB330"/>
    <w:lvl w:ilvl="0">
      <w:start w:val="1"/>
      <w:numFmt w:val="decimal"/>
      <w:pStyle w:val="DTFListNumber1"/>
      <w:lvlText w:val="%1."/>
      <w:lvlJc w:val="left"/>
      <w:pPr>
        <w:ind w:left="680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0302BA"/>
    <w:multiLevelType w:val="multilevel"/>
    <w:tmpl w:val="D3422800"/>
    <w:lvl w:ilvl="0">
      <w:start w:val="1"/>
      <w:numFmt w:val="bullet"/>
      <w:lvlText w:val=""/>
      <w:lvlJc w:val="left"/>
      <w:pPr>
        <w:ind w:left="1077" w:hanging="68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DTFListBullet3-Dash"/>
      <w:lvlText w:val=""/>
      <w:lvlJc w:val="left"/>
      <w:pPr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0527"/>
    <w:multiLevelType w:val="hybridMultilevel"/>
    <w:tmpl w:val="2ED6366E"/>
    <w:lvl w:ilvl="0" w:tplc="12106F32">
      <w:numFmt w:val="bullet"/>
      <w:pStyle w:val="ListParagraph"/>
      <w:lvlText w:val="●"/>
      <w:lvlJc w:val="left"/>
      <w:pPr>
        <w:ind w:left="644" w:hanging="360"/>
      </w:pPr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CB6015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E36164"/>
    <w:multiLevelType w:val="hybridMultilevel"/>
    <w:tmpl w:val="439621A4"/>
    <w:lvl w:ilvl="0" w:tplc="01D48CF6">
      <w:numFmt w:val="bullet"/>
      <w:pStyle w:val="DTFListBullet1-Orange"/>
      <w:lvlText w:val="●"/>
      <w:lvlJc w:val="left"/>
      <w:pPr>
        <w:ind w:left="1004" w:hanging="360"/>
      </w:pPr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CB6015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597697E"/>
    <w:multiLevelType w:val="multilevel"/>
    <w:tmpl w:val="9508EA92"/>
    <w:lvl w:ilvl="0">
      <w:start w:val="1"/>
      <w:numFmt w:val="lowerRoman"/>
      <w:pStyle w:val="ListNumber1-Roman"/>
      <w:lvlText w:val="(%1)"/>
      <w:lvlJc w:val="left"/>
      <w:pPr>
        <w:ind w:left="680" w:hanging="3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>
    <w:nsid w:val="530D5528"/>
    <w:multiLevelType w:val="multilevel"/>
    <w:tmpl w:val="ADC4E202"/>
    <w:lvl w:ilvl="0">
      <w:start w:val="1"/>
      <w:numFmt w:val="lowerRoman"/>
      <w:pStyle w:val="DTFListNumber1-Roman"/>
      <w:lvlText w:val="(%1)"/>
      <w:lvlJc w:val="left"/>
      <w:pPr>
        <w:ind w:left="680" w:hanging="3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3">
    <w:nsid w:val="55304DAD"/>
    <w:multiLevelType w:val="multilevel"/>
    <w:tmpl w:val="D786AE4A"/>
    <w:lvl w:ilvl="0">
      <w:start w:val="1"/>
      <w:numFmt w:val="bullet"/>
      <w:lvlText w:val="•"/>
      <w:lvlJc w:val="left"/>
      <w:pPr>
        <w:ind w:left="1040" w:hanging="360"/>
      </w:pPr>
      <w:rPr>
        <w:rFonts w:ascii="Arial MT Std Light" w:hAnsi="Arial MT Std Light" w:hint="default"/>
      </w:rPr>
    </w:lvl>
    <w:lvl w:ilvl="1">
      <w:start w:val="1"/>
      <w:numFmt w:val="bullet"/>
      <w:pStyle w:val="DTFListBullet2-Black"/>
      <w:lvlText w:val=""/>
      <w:lvlJc w:val="left"/>
      <w:pPr>
        <w:ind w:left="10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57CB5FED"/>
    <w:multiLevelType w:val="multilevel"/>
    <w:tmpl w:val="01B0FA6C"/>
    <w:lvl w:ilvl="0">
      <w:start w:val="1"/>
      <w:numFmt w:val="decimal"/>
      <w:pStyle w:val="DTFHeading2-Number"/>
      <w:lvlText w:val="%1"/>
      <w:lvlJc w:val="left"/>
      <w:pPr>
        <w:ind w:left="680" w:hanging="3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>
    <w:nsid w:val="5ABD5472"/>
    <w:multiLevelType w:val="hybridMultilevel"/>
    <w:tmpl w:val="1D3CEFC2"/>
    <w:lvl w:ilvl="0" w:tplc="A2AE773E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>
    <w:nsid w:val="6F9A435C"/>
    <w:multiLevelType w:val="singleLevel"/>
    <w:tmpl w:val="9FD8C6AA"/>
    <w:lvl w:ilvl="0">
      <w:start w:val="1"/>
      <w:numFmt w:val="decimal"/>
      <w:pStyle w:val="Footnote"/>
      <w:lvlText w:val="%1."/>
      <w:lvlJc w:val="left"/>
      <w:pPr>
        <w:ind w:left="644" w:hanging="360"/>
      </w:pPr>
      <w:rPr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>
    <w:nsid w:val="78B507A1"/>
    <w:multiLevelType w:val="multilevel"/>
    <w:tmpl w:val="BB5EAEBE"/>
    <w:lvl w:ilvl="0">
      <w:start w:val="1"/>
      <w:numFmt w:val="bullet"/>
      <w:pStyle w:val="DTFListBullet2-Dash"/>
      <w:lvlText w:val=""/>
      <w:lvlJc w:val="left"/>
      <w:pPr>
        <w:ind w:left="1080" w:hanging="40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6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9"/>
  </w:num>
  <w:num w:numId="12">
    <w:abstractNumId w:val="13"/>
  </w:num>
  <w:num w:numId="13">
    <w:abstractNumId w:val="17"/>
  </w:num>
  <w:num w:numId="14">
    <w:abstractNumId w:val="8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"/>
  </w:num>
  <w:num w:numId="23">
    <w:abstractNumId w:val="10"/>
  </w:num>
  <w:num w:numId="24">
    <w:abstractNumId w:val="13"/>
  </w:num>
  <w:num w:numId="25">
    <w:abstractNumId w:val="17"/>
  </w:num>
  <w:num w:numId="26">
    <w:abstractNumId w:val="8"/>
  </w:num>
  <w:num w:numId="27">
    <w:abstractNumId w:val="7"/>
  </w:num>
  <w:num w:numId="28">
    <w:abstractNumId w:val="12"/>
  </w:num>
  <w:num w:numId="29">
    <w:abstractNumId w:val="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formatting="1" w:enforcement="1" w:cryptProviderType="rsaFull" w:cryptAlgorithmClass="hash" w:cryptAlgorithmType="typeAny" w:cryptAlgorithmSid="4" w:cryptSpinCount="100000" w:hash="3AL1jO1E7pAgpn5eXAGWzJLqkkY=" w:salt="rV48hXJ4Zocf8irZOSXUZ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2C"/>
    <w:rsid w:val="00015F88"/>
    <w:rsid w:val="0002444A"/>
    <w:rsid w:val="00027DB8"/>
    <w:rsid w:val="00031A96"/>
    <w:rsid w:val="00051F45"/>
    <w:rsid w:val="000638DB"/>
    <w:rsid w:val="000676FE"/>
    <w:rsid w:val="0007259C"/>
    <w:rsid w:val="00086A5F"/>
    <w:rsid w:val="00096661"/>
    <w:rsid w:val="000F5495"/>
    <w:rsid w:val="00105821"/>
    <w:rsid w:val="00112BF1"/>
    <w:rsid w:val="001137EC"/>
    <w:rsid w:val="00117743"/>
    <w:rsid w:val="00117F5B"/>
    <w:rsid w:val="00132658"/>
    <w:rsid w:val="001406F9"/>
    <w:rsid w:val="00143BB8"/>
    <w:rsid w:val="001450FD"/>
    <w:rsid w:val="00164A3E"/>
    <w:rsid w:val="00174A89"/>
    <w:rsid w:val="001803FB"/>
    <w:rsid w:val="00181620"/>
    <w:rsid w:val="001A2B7F"/>
    <w:rsid w:val="001A612C"/>
    <w:rsid w:val="001B2B6C"/>
    <w:rsid w:val="001B6A8B"/>
    <w:rsid w:val="001D59C7"/>
    <w:rsid w:val="001E14EB"/>
    <w:rsid w:val="001E7D4E"/>
    <w:rsid w:val="00206936"/>
    <w:rsid w:val="00206FBD"/>
    <w:rsid w:val="00207746"/>
    <w:rsid w:val="002107B8"/>
    <w:rsid w:val="0021480A"/>
    <w:rsid w:val="00246CEA"/>
    <w:rsid w:val="00247343"/>
    <w:rsid w:val="00247415"/>
    <w:rsid w:val="00250C04"/>
    <w:rsid w:val="00263F45"/>
    <w:rsid w:val="00274699"/>
    <w:rsid w:val="00274D4B"/>
    <w:rsid w:val="002806F5"/>
    <w:rsid w:val="00281577"/>
    <w:rsid w:val="002848C5"/>
    <w:rsid w:val="00293A72"/>
    <w:rsid w:val="002A30C3"/>
    <w:rsid w:val="002A318E"/>
    <w:rsid w:val="002C1FE9"/>
    <w:rsid w:val="002D05DF"/>
    <w:rsid w:val="002D3A57"/>
    <w:rsid w:val="002E20C8"/>
    <w:rsid w:val="002E3A4D"/>
    <w:rsid w:val="002F2885"/>
    <w:rsid w:val="002F4486"/>
    <w:rsid w:val="00307A19"/>
    <w:rsid w:val="00312007"/>
    <w:rsid w:val="0031387B"/>
    <w:rsid w:val="00342283"/>
    <w:rsid w:val="00343A87"/>
    <w:rsid w:val="00344932"/>
    <w:rsid w:val="00344A72"/>
    <w:rsid w:val="00347FB6"/>
    <w:rsid w:val="003504FD"/>
    <w:rsid w:val="00350881"/>
    <w:rsid w:val="003530D3"/>
    <w:rsid w:val="00357D55"/>
    <w:rsid w:val="00365BD0"/>
    <w:rsid w:val="00371DC7"/>
    <w:rsid w:val="00392812"/>
    <w:rsid w:val="00394AAF"/>
    <w:rsid w:val="003D42C0"/>
    <w:rsid w:val="003D6E42"/>
    <w:rsid w:val="003F414A"/>
    <w:rsid w:val="0040222A"/>
    <w:rsid w:val="004047BC"/>
    <w:rsid w:val="004219E9"/>
    <w:rsid w:val="00421F8E"/>
    <w:rsid w:val="00426E25"/>
    <w:rsid w:val="0045420A"/>
    <w:rsid w:val="00456C22"/>
    <w:rsid w:val="00473C98"/>
    <w:rsid w:val="004845CE"/>
    <w:rsid w:val="00491FFC"/>
    <w:rsid w:val="00497A05"/>
    <w:rsid w:val="004A1623"/>
    <w:rsid w:val="004A2538"/>
    <w:rsid w:val="004A4819"/>
    <w:rsid w:val="004B0C15"/>
    <w:rsid w:val="004D075F"/>
    <w:rsid w:val="004D3A8A"/>
    <w:rsid w:val="004E019E"/>
    <w:rsid w:val="004E06EC"/>
    <w:rsid w:val="004F70D7"/>
    <w:rsid w:val="005011B7"/>
    <w:rsid w:val="00502FB3"/>
    <w:rsid w:val="00503DE9"/>
    <w:rsid w:val="0050530C"/>
    <w:rsid w:val="00507782"/>
    <w:rsid w:val="00512A04"/>
    <w:rsid w:val="00516254"/>
    <w:rsid w:val="0052279B"/>
    <w:rsid w:val="00542A49"/>
    <w:rsid w:val="00543BD1"/>
    <w:rsid w:val="00550A5F"/>
    <w:rsid w:val="00557204"/>
    <w:rsid w:val="005654B8"/>
    <w:rsid w:val="005762CC"/>
    <w:rsid w:val="005816B5"/>
    <w:rsid w:val="0058791F"/>
    <w:rsid w:val="005A4AC0"/>
    <w:rsid w:val="005A4DA7"/>
    <w:rsid w:val="005B0FB7"/>
    <w:rsid w:val="005B51DC"/>
    <w:rsid w:val="005B5AC2"/>
    <w:rsid w:val="005C439A"/>
    <w:rsid w:val="005D3C24"/>
    <w:rsid w:val="005E144D"/>
    <w:rsid w:val="00614EE6"/>
    <w:rsid w:val="00626D42"/>
    <w:rsid w:val="00634376"/>
    <w:rsid w:val="00646D6C"/>
    <w:rsid w:val="006509CB"/>
    <w:rsid w:val="00650F5B"/>
    <w:rsid w:val="00655421"/>
    <w:rsid w:val="006719EA"/>
    <w:rsid w:val="00671F13"/>
    <w:rsid w:val="006A4EFD"/>
    <w:rsid w:val="006D66F7"/>
    <w:rsid w:val="006E0747"/>
    <w:rsid w:val="006E102A"/>
    <w:rsid w:val="00710A38"/>
    <w:rsid w:val="00714F1D"/>
    <w:rsid w:val="00722DDB"/>
    <w:rsid w:val="00730B9B"/>
    <w:rsid w:val="007332FF"/>
    <w:rsid w:val="007408F5"/>
    <w:rsid w:val="00747F24"/>
    <w:rsid w:val="00752178"/>
    <w:rsid w:val="00752258"/>
    <w:rsid w:val="0076190B"/>
    <w:rsid w:val="00763A2D"/>
    <w:rsid w:val="00783A57"/>
    <w:rsid w:val="00787737"/>
    <w:rsid w:val="007969DE"/>
    <w:rsid w:val="007A4294"/>
    <w:rsid w:val="007A6A4F"/>
    <w:rsid w:val="007B03F5"/>
    <w:rsid w:val="007B60ED"/>
    <w:rsid w:val="007C2556"/>
    <w:rsid w:val="007C5CFD"/>
    <w:rsid w:val="008116DB"/>
    <w:rsid w:val="00814E9A"/>
    <w:rsid w:val="00815297"/>
    <w:rsid w:val="008313C4"/>
    <w:rsid w:val="008421F4"/>
    <w:rsid w:val="00851D87"/>
    <w:rsid w:val="0085797F"/>
    <w:rsid w:val="00861DC3"/>
    <w:rsid w:val="008642EE"/>
    <w:rsid w:val="008658D6"/>
    <w:rsid w:val="008735A9"/>
    <w:rsid w:val="00881C48"/>
    <w:rsid w:val="00885E9B"/>
    <w:rsid w:val="008A1BF7"/>
    <w:rsid w:val="008C0E36"/>
    <w:rsid w:val="008D400C"/>
    <w:rsid w:val="008D5338"/>
    <w:rsid w:val="008D57B8"/>
    <w:rsid w:val="008E510B"/>
    <w:rsid w:val="00902B13"/>
    <w:rsid w:val="009139B7"/>
    <w:rsid w:val="009468BC"/>
    <w:rsid w:val="009616DF"/>
    <w:rsid w:val="0096542F"/>
    <w:rsid w:val="00967FA7"/>
    <w:rsid w:val="00970681"/>
    <w:rsid w:val="00971645"/>
    <w:rsid w:val="00977919"/>
    <w:rsid w:val="00986406"/>
    <w:rsid w:val="00987E02"/>
    <w:rsid w:val="009A2E40"/>
    <w:rsid w:val="009B1913"/>
    <w:rsid w:val="009B6657"/>
    <w:rsid w:val="009C58A5"/>
    <w:rsid w:val="009D0ADD"/>
    <w:rsid w:val="009D50A1"/>
    <w:rsid w:val="009D6A69"/>
    <w:rsid w:val="009D7249"/>
    <w:rsid w:val="009E175D"/>
    <w:rsid w:val="00A10655"/>
    <w:rsid w:val="00A1111F"/>
    <w:rsid w:val="00A25193"/>
    <w:rsid w:val="00A30A65"/>
    <w:rsid w:val="00A3739D"/>
    <w:rsid w:val="00A37DDA"/>
    <w:rsid w:val="00A37FA3"/>
    <w:rsid w:val="00A54D83"/>
    <w:rsid w:val="00A633CC"/>
    <w:rsid w:val="00A704DB"/>
    <w:rsid w:val="00A925EC"/>
    <w:rsid w:val="00AA25B4"/>
    <w:rsid w:val="00AA2FF3"/>
    <w:rsid w:val="00AA3FCB"/>
    <w:rsid w:val="00AA44F5"/>
    <w:rsid w:val="00AB15CC"/>
    <w:rsid w:val="00AB6653"/>
    <w:rsid w:val="00AC2AA7"/>
    <w:rsid w:val="00AD51D4"/>
    <w:rsid w:val="00AE4DF3"/>
    <w:rsid w:val="00AF3086"/>
    <w:rsid w:val="00B05F0C"/>
    <w:rsid w:val="00B20E8B"/>
    <w:rsid w:val="00B343CC"/>
    <w:rsid w:val="00B420EA"/>
    <w:rsid w:val="00B614F7"/>
    <w:rsid w:val="00B61B26"/>
    <w:rsid w:val="00B67A23"/>
    <w:rsid w:val="00B7422E"/>
    <w:rsid w:val="00B76507"/>
    <w:rsid w:val="00B76943"/>
    <w:rsid w:val="00B81261"/>
    <w:rsid w:val="00B81C8C"/>
    <w:rsid w:val="00B832AE"/>
    <w:rsid w:val="00B96513"/>
    <w:rsid w:val="00BB6464"/>
    <w:rsid w:val="00BC06FE"/>
    <w:rsid w:val="00BC1BB8"/>
    <w:rsid w:val="00BC3172"/>
    <w:rsid w:val="00BF2ABB"/>
    <w:rsid w:val="00C17842"/>
    <w:rsid w:val="00C242CA"/>
    <w:rsid w:val="00C4158E"/>
    <w:rsid w:val="00C43882"/>
    <w:rsid w:val="00C61AFA"/>
    <w:rsid w:val="00C62099"/>
    <w:rsid w:val="00C75E81"/>
    <w:rsid w:val="00C8041D"/>
    <w:rsid w:val="00C80969"/>
    <w:rsid w:val="00C8216F"/>
    <w:rsid w:val="00C94AFB"/>
    <w:rsid w:val="00CA4399"/>
    <w:rsid w:val="00CA6BC5"/>
    <w:rsid w:val="00CB0C6C"/>
    <w:rsid w:val="00CB2223"/>
    <w:rsid w:val="00CE54C8"/>
    <w:rsid w:val="00CE640F"/>
    <w:rsid w:val="00CF540E"/>
    <w:rsid w:val="00D27C27"/>
    <w:rsid w:val="00D33322"/>
    <w:rsid w:val="00D33AB6"/>
    <w:rsid w:val="00D71D84"/>
    <w:rsid w:val="00D975C0"/>
    <w:rsid w:val="00DA13F5"/>
    <w:rsid w:val="00DB036E"/>
    <w:rsid w:val="00DC5DD9"/>
    <w:rsid w:val="00DC76B0"/>
    <w:rsid w:val="00DE152A"/>
    <w:rsid w:val="00DE33B5"/>
    <w:rsid w:val="00DF0487"/>
    <w:rsid w:val="00E02681"/>
    <w:rsid w:val="00E04CC0"/>
    <w:rsid w:val="00E15816"/>
    <w:rsid w:val="00E33136"/>
    <w:rsid w:val="00E35195"/>
    <w:rsid w:val="00E3723D"/>
    <w:rsid w:val="00E37C0C"/>
    <w:rsid w:val="00E55B03"/>
    <w:rsid w:val="00E861DB"/>
    <w:rsid w:val="00E90F2D"/>
    <w:rsid w:val="00E95C39"/>
    <w:rsid w:val="00EA0101"/>
    <w:rsid w:val="00EA4508"/>
    <w:rsid w:val="00EB77F9"/>
    <w:rsid w:val="00EC6AB8"/>
    <w:rsid w:val="00EE38FA"/>
    <w:rsid w:val="00F55046"/>
    <w:rsid w:val="00F743AF"/>
    <w:rsid w:val="00F95A63"/>
    <w:rsid w:val="00FB13E8"/>
    <w:rsid w:val="00FB2184"/>
    <w:rsid w:val="00FC12BF"/>
    <w:rsid w:val="00FD4139"/>
    <w:rsid w:val="00FD51B9"/>
    <w:rsid w:val="00FE587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F34B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40"/>
    <w:pPr>
      <w:tabs>
        <w:tab w:val="left" w:pos="709"/>
        <w:tab w:val="left" w:pos="1276"/>
        <w:tab w:val="left" w:pos="4536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styleId="Heading1">
    <w:name w:val="heading 1"/>
    <w:next w:val="Normal"/>
    <w:link w:val="Heading1Char"/>
    <w:qFormat/>
    <w:rsid w:val="00AA44F5"/>
    <w:pPr>
      <w:keepNext/>
      <w:spacing w:before="360" w:after="24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nhideWhenUsed/>
    <w:qFormat/>
    <w:rsid w:val="00AA44F5"/>
    <w:pPr>
      <w:keepNext/>
      <w:spacing w:before="360" w:after="240"/>
      <w:outlineLvl w:val="1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qFormat/>
    <w:rsid w:val="00AA44F5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AA44F5"/>
    <w:pPr>
      <w:keepNext/>
      <w:keepLines/>
      <w:spacing w:before="360" w:after="240"/>
      <w:outlineLvl w:val="3"/>
    </w:pPr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2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AA44F5"/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A44F5"/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qFormat/>
    <w:rsid w:val="00497A05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497A05"/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44F5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character" w:customStyle="1" w:styleId="Italic">
    <w:name w:val="Italic"/>
    <w:uiPriority w:val="1"/>
    <w:qFormat/>
    <w:rsid w:val="009D7249"/>
    <w:rPr>
      <w:i/>
    </w:rPr>
  </w:style>
  <w:style w:type="paragraph" w:styleId="Footer">
    <w:name w:val="footer"/>
    <w:next w:val="Normal"/>
    <w:link w:val="FooterChar"/>
    <w:uiPriority w:val="99"/>
    <w:unhideWhenUsed/>
    <w:rsid w:val="00747F24"/>
    <w:rPr>
      <w:rFonts w:ascii="Arial" w:eastAsia="Times New Roman" w:hAnsi="Arial" w:cs="Arial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47F24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Heading4Char">
    <w:name w:val="Heading 4 Char"/>
    <w:basedOn w:val="DefaultParagraphFont"/>
    <w:link w:val="Heading4"/>
    <w:uiPriority w:val="9"/>
    <w:rsid w:val="00AA44F5"/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Normal"/>
    <w:uiPriority w:val="34"/>
    <w:qFormat/>
    <w:rsid w:val="009D7249"/>
    <w:pPr>
      <w:framePr w:hSpace="181" w:wrap="around" w:vAnchor="text" w:hAnchor="text" w:y="1"/>
      <w:numPr>
        <w:numId w:val="11"/>
      </w:numPr>
      <w:suppressOverlap/>
    </w:pPr>
  </w:style>
  <w:style w:type="table" w:styleId="TableGrid">
    <w:name w:val="Table Grid"/>
    <w:aliases w:val="TD Table"/>
    <w:basedOn w:val="TableNormal"/>
    <w:uiPriority w:val="59"/>
    <w:rsid w:val="008D5338"/>
    <w:tblPr>
      <w:tblBorders>
        <w:top w:val="single" w:sz="4" w:space="0" w:color="auto"/>
        <w:bottom w:val="single" w:sz="4" w:space="0" w:color="auto"/>
      </w:tblBorders>
    </w:tblPr>
  </w:style>
  <w:style w:type="paragraph" w:styleId="ListBullet2">
    <w:name w:val="List Bullet 2"/>
    <w:basedOn w:val="Normal"/>
    <w:autoRedefine/>
    <w:uiPriority w:val="99"/>
    <w:unhideWhenUsed/>
    <w:rsid w:val="00491FFC"/>
    <w:pPr>
      <w:numPr>
        <w:numId w:val="5"/>
      </w:numPr>
      <w:ind w:left="1077" w:hanging="397"/>
    </w:pPr>
  </w:style>
  <w:style w:type="character" w:styleId="Strong">
    <w:name w:val="Strong"/>
    <w:uiPriority w:val="22"/>
    <w:qFormat/>
    <w:rsid w:val="00F55046"/>
    <w:rPr>
      <w:b/>
      <w:bCs/>
    </w:rPr>
  </w:style>
  <w:style w:type="paragraph" w:styleId="ListNumber2">
    <w:name w:val="List Number 2"/>
    <w:basedOn w:val="Normal"/>
    <w:next w:val="ListContinue2"/>
    <w:autoRedefine/>
    <w:uiPriority w:val="99"/>
    <w:unhideWhenUsed/>
    <w:rsid w:val="003F414A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rsid w:val="001B6A8B"/>
    <w:pPr>
      <w:numPr>
        <w:numId w:val="4"/>
      </w:numPr>
      <w:ind w:left="1429" w:hanging="357"/>
    </w:pPr>
  </w:style>
  <w:style w:type="paragraph" w:styleId="ListContinue2">
    <w:name w:val="List Continue 2"/>
    <w:basedOn w:val="Normal"/>
    <w:uiPriority w:val="99"/>
    <w:unhideWhenUsed/>
    <w:rsid w:val="008C0E36"/>
    <w:pPr>
      <w:spacing w:after="120"/>
      <w:ind w:left="71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B2184"/>
    <w:rPr>
      <w:rFonts w:asciiTheme="majorHAnsi" w:eastAsiaTheme="majorEastAsia" w:hAnsiTheme="majorHAnsi" w:cstheme="majorBidi"/>
      <w:color w:val="243F60" w:themeColor="accent1" w:themeShade="7F"/>
      <w:sz w:val="22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219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19E9"/>
    <w:rPr>
      <w:rFonts w:ascii="Arial" w:eastAsia="Times New Roman" w:hAnsi="Arial" w:cs="Arial"/>
      <w:i/>
      <w:iCs/>
      <w:color w:val="000000" w:themeColor="text1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E37C0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92812"/>
    <w:pPr>
      <w:tabs>
        <w:tab w:val="clear" w:pos="4536"/>
        <w:tab w:val="left" w:pos="9639"/>
      </w:tabs>
      <w:spacing w:after="100"/>
    </w:pPr>
  </w:style>
  <w:style w:type="paragraph" w:styleId="List2">
    <w:name w:val="List 2"/>
    <w:basedOn w:val="Normal"/>
    <w:uiPriority w:val="99"/>
    <w:unhideWhenUsed/>
    <w:rsid w:val="00EC6AB8"/>
    <w:pPr>
      <w:ind w:left="566" w:hanging="283"/>
      <w:contextualSpacing/>
    </w:pPr>
  </w:style>
  <w:style w:type="paragraph" w:styleId="ListBullet">
    <w:name w:val="List Bullet"/>
    <w:basedOn w:val="ListParagraph"/>
    <w:uiPriority w:val="99"/>
    <w:unhideWhenUsed/>
    <w:rsid w:val="008116DB"/>
    <w:pPr>
      <w:framePr w:wrap="around"/>
    </w:pPr>
  </w:style>
  <w:style w:type="paragraph" w:customStyle="1" w:styleId="Heading2-Highlighttext">
    <w:name w:val="Heading 2 - Highlight text"/>
    <w:basedOn w:val="Heading2"/>
    <w:qFormat/>
    <w:rsid w:val="00D27C27"/>
    <w:pPr>
      <w:spacing w:before="240"/>
    </w:pPr>
  </w:style>
  <w:style w:type="paragraph" w:customStyle="1" w:styleId="Heading3Highlighttext">
    <w:name w:val="Heading 3 Highlight text"/>
    <w:basedOn w:val="Heading3"/>
    <w:qFormat/>
    <w:rsid w:val="00516254"/>
    <w:pPr>
      <w:framePr w:hSpace="181" w:wrap="around" w:vAnchor="text" w:hAnchor="text" w:y="1"/>
      <w:spacing w:before="120"/>
      <w:suppressOverlap/>
    </w:pPr>
  </w:style>
  <w:style w:type="paragraph" w:customStyle="1" w:styleId="Heading4centred">
    <w:name w:val="Heading 4 centred"/>
    <w:basedOn w:val="Heading4"/>
    <w:rsid w:val="00CB2223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Normalcentred">
    <w:name w:val="Normal centred"/>
    <w:basedOn w:val="Normal"/>
    <w:rsid w:val="00CB2223"/>
    <w:pPr>
      <w:spacing w:before="120" w:after="120"/>
      <w:jc w:val="center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76943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6943"/>
    <w:rPr>
      <w:rFonts w:ascii="Arial" w:eastAsia="Times New Roman" w:hAnsi="Arial" w:cs="Arial"/>
      <w:sz w:val="22"/>
      <w:lang w:eastAsia="en-AU"/>
    </w:rPr>
  </w:style>
  <w:style w:type="paragraph" w:customStyle="1" w:styleId="Tablenumbers">
    <w:name w:val="Table numbers"/>
    <w:basedOn w:val="Normal"/>
    <w:autoRedefine/>
    <w:qFormat/>
    <w:rsid w:val="004845CE"/>
    <w:pPr>
      <w:spacing w:after="0"/>
      <w:ind w:right="284"/>
      <w:jc w:val="right"/>
    </w:pPr>
  </w:style>
  <w:style w:type="paragraph" w:styleId="ListNumber">
    <w:name w:val="List Number"/>
    <w:basedOn w:val="Normal"/>
    <w:uiPriority w:val="99"/>
    <w:unhideWhenUsed/>
    <w:rsid w:val="001A612C"/>
    <w:pPr>
      <w:numPr>
        <w:numId w:val="2"/>
      </w:numPr>
      <w:contextualSpacing/>
    </w:pPr>
  </w:style>
  <w:style w:type="paragraph" w:customStyle="1" w:styleId="TableText">
    <w:name w:val="Table Text"/>
    <w:basedOn w:val="Normal"/>
    <w:qFormat/>
    <w:rsid w:val="004845CE"/>
    <w:pPr>
      <w:spacing w:after="0"/>
    </w:pPr>
  </w:style>
  <w:style w:type="paragraph" w:customStyle="1" w:styleId="TableText-Centred">
    <w:name w:val="Table Text - Centred"/>
    <w:basedOn w:val="TableText"/>
    <w:qFormat/>
    <w:rsid w:val="001A612C"/>
    <w:pPr>
      <w:jc w:val="center"/>
    </w:pPr>
  </w:style>
  <w:style w:type="paragraph" w:customStyle="1" w:styleId="Footnote">
    <w:name w:val="Footnote"/>
    <w:basedOn w:val="Normal"/>
    <w:qFormat/>
    <w:rsid w:val="004845CE"/>
    <w:pPr>
      <w:numPr>
        <w:numId w:val="6"/>
      </w:numPr>
      <w:tabs>
        <w:tab w:val="clear" w:pos="709"/>
        <w:tab w:val="clear" w:pos="1276"/>
        <w:tab w:val="clear" w:pos="4536"/>
        <w:tab w:val="left" w:pos="1985"/>
        <w:tab w:val="right" w:pos="4253"/>
        <w:tab w:val="left" w:pos="4820"/>
        <w:tab w:val="left" w:pos="5954"/>
        <w:tab w:val="right" w:pos="8222"/>
      </w:tabs>
      <w:spacing w:before="60" w:after="60"/>
      <w:ind w:left="284" w:hanging="284"/>
    </w:pPr>
    <w:rPr>
      <w:sz w:val="18"/>
      <w:szCs w:val="18"/>
    </w:rPr>
  </w:style>
  <w:style w:type="character" w:customStyle="1" w:styleId="Superscript">
    <w:name w:val="Superscript"/>
    <w:uiPriority w:val="1"/>
    <w:qFormat/>
    <w:rsid w:val="004845CE"/>
    <w:rPr>
      <w:vertAlign w:val="superscript"/>
    </w:rPr>
  </w:style>
  <w:style w:type="paragraph" w:customStyle="1" w:styleId="List1Bullet-Orange">
    <w:name w:val="List 1 Bullet - Orange"/>
    <w:basedOn w:val="ListParagraph"/>
    <w:qFormat/>
    <w:rsid w:val="00421F8E"/>
    <w:pPr>
      <w:framePr w:wrap="around"/>
      <w:ind w:left="681" w:hanging="397"/>
    </w:pPr>
  </w:style>
  <w:style w:type="paragraph" w:customStyle="1" w:styleId="ListNumber2-Roman">
    <w:name w:val="List Number 2 - Roman"/>
    <w:basedOn w:val="ListNumber2"/>
    <w:qFormat/>
    <w:rsid w:val="00491FFC"/>
    <w:pPr>
      <w:ind w:left="681" w:hanging="397"/>
    </w:pPr>
  </w:style>
  <w:style w:type="paragraph" w:customStyle="1" w:styleId="ListBullet1-Black">
    <w:name w:val="List Bullet 1 - Black"/>
    <w:basedOn w:val="Normal"/>
    <w:autoRedefine/>
    <w:qFormat/>
    <w:rsid w:val="003F414A"/>
    <w:rPr>
      <w:color w:val="000000" w:themeColor="text1"/>
    </w:rPr>
  </w:style>
  <w:style w:type="paragraph" w:customStyle="1" w:styleId="ListNumber1">
    <w:name w:val="List Number 1"/>
    <w:basedOn w:val="ListNumber"/>
    <w:qFormat/>
    <w:rsid w:val="00421F8E"/>
    <w:pPr>
      <w:ind w:left="357" w:hanging="357"/>
      <w:contextualSpacing w:val="0"/>
    </w:pPr>
  </w:style>
  <w:style w:type="paragraph" w:customStyle="1" w:styleId="ListBullet1-Orange">
    <w:name w:val="List Bullet 1 - Orange"/>
    <w:basedOn w:val="ListParagraph"/>
    <w:autoRedefine/>
    <w:qFormat/>
    <w:rsid w:val="003F414A"/>
    <w:pPr>
      <w:framePr w:hSpace="0" w:wrap="auto" w:vAnchor="margin" w:yAlign="inline"/>
      <w:numPr>
        <w:numId w:val="0"/>
      </w:numPr>
      <w:suppressOverlap w:val="0"/>
    </w:pPr>
  </w:style>
  <w:style w:type="paragraph" w:customStyle="1" w:styleId="ListBullet2-Black">
    <w:name w:val="List Bullet 2 - Black"/>
    <w:basedOn w:val="Normal"/>
    <w:autoRedefine/>
    <w:qFormat/>
    <w:rsid w:val="003F414A"/>
  </w:style>
  <w:style w:type="paragraph" w:customStyle="1" w:styleId="ListBullet2-Dash">
    <w:name w:val="List Bullet 2 - Dash"/>
    <w:basedOn w:val="ListNumber1"/>
    <w:autoRedefine/>
    <w:qFormat/>
    <w:rsid w:val="003F414A"/>
    <w:pPr>
      <w:numPr>
        <w:numId w:val="0"/>
      </w:numPr>
    </w:pPr>
  </w:style>
  <w:style w:type="paragraph" w:customStyle="1" w:styleId="ListBullet3-Dash">
    <w:name w:val="List Bullet 3 - Dash"/>
    <w:basedOn w:val="ListBullet2-Dash"/>
    <w:autoRedefine/>
    <w:qFormat/>
    <w:rsid w:val="003F414A"/>
    <w:pPr>
      <w:tabs>
        <w:tab w:val="clear" w:pos="1276"/>
        <w:tab w:val="left" w:pos="1701"/>
      </w:tabs>
    </w:pPr>
  </w:style>
  <w:style w:type="paragraph" w:customStyle="1" w:styleId="ListNumber1-Roman">
    <w:name w:val="List Number 1 - Roman"/>
    <w:basedOn w:val="Normal"/>
    <w:rsid w:val="003F414A"/>
    <w:pPr>
      <w:numPr>
        <w:numId w:val="15"/>
      </w:numPr>
    </w:pPr>
  </w:style>
  <w:style w:type="character" w:customStyle="1" w:styleId="DTFArialBlack">
    <w:name w:val="DTF Arial Black"/>
    <w:uiPriority w:val="1"/>
    <w:qFormat/>
    <w:rsid w:val="009D50A1"/>
    <w:rPr>
      <w:rFonts w:ascii="Arial Black" w:hAnsi="Arial Black"/>
    </w:rPr>
  </w:style>
  <w:style w:type="paragraph" w:customStyle="1" w:styleId="DTFBodyText">
    <w:name w:val="DTF Body Text"/>
    <w:basedOn w:val="Normal"/>
    <w:qFormat/>
    <w:rsid w:val="009D50A1"/>
  </w:style>
  <w:style w:type="paragraph" w:customStyle="1" w:styleId="DTFFooter">
    <w:name w:val="DTF Footer"/>
    <w:qFormat/>
    <w:rsid w:val="00EA0101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DTFHeading1">
    <w:name w:val="DTF Heading 1"/>
    <w:next w:val="DTFBodyText"/>
    <w:qFormat/>
    <w:rsid w:val="009D50A1"/>
    <w:pPr>
      <w:spacing w:before="360" w:after="24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customStyle="1" w:styleId="DTFHeading2">
    <w:name w:val="DTF Heading 2"/>
    <w:next w:val="DTFBodyText"/>
    <w:qFormat/>
    <w:rsid w:val="009D50A1"/>
    <w:pPr>
      <w:spacing w:before="36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HighlightText">
    <w:name w:val="DTF Heading 2 - Highlight Text"/>
    <w:next w:val="DTFBodyText"/>
    <w:autoRedefine/>
    <w:qFormat/>
    <w:rsid w:val="009D50A1"/>
    <w:pPr>
      <w:spacing w:before="24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numbered">
    <w:name w:val="DTF Heading 2 - numbered"/>
    <w:basedOn w:val="Normal"/>
    <w:autoRedefine/>
    <w:qFormat/>
    <w:rsid w:val="009D50A1"/>
    <w:pPr>
      <w:numPr>
        <w:numId w:val="21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120" w:line="300" w:lineRule="atLeast"/>
      <w:textAlignment w:val="center"/>
    </w:pPr>
    <w:rPr>
      <w:rFonts w:ascii="Arial MT Std Light" w:hAnsi="Arial MT Std Light" w:cs="Arial MT Std Light"/>
      <w:color w:val="00A98F"/>
      <w:w w:val="90"/>
      <w:sz w:val="28"/>
      <w:szCs w:val="28"/>
      <w:lang w:val="en-GB"/>
    </w:rPr>
  </w:style>
  <w:style w:type="paragraph" w:customStyle="1" w:styleId="DTFHeading3">
    <w:name w:val="DTF Heading 3"/>
    <w:next w:val="DTFBodyText"/>
    <w:autoRedefine/>
    <w:qFormat/>
    <w:rsid w:val="009D50A1"/>
    <w:pPr>
      <w:spacing w:before="360" w:after="240"/>
    </w:pPr>
    <w:rPr>
      <w:rFonts w:ascii="Arial" w:eastAsia="Times New Roman" w:hAnsi="Arial" w:cs="Arial"/>
      <w:b/>
      <w:bCs/>
      <w:color w:val="000000" w:themeColor="text1"/>
      <w:sz w:val="24"/>
      <w:szCs w:val="24"/>
      <w:lang w:eastAsia="en-AU"/>
    </w:rPr>
  </w:style>
  <w:style w:type="paragraph" w:customStyle="1" w:styleId="DTFHeading3-HighlightText">
    <w:name w:val="DTF Heading 3 - Highlight Text"/>
    <w:next w:val="DTFBodyText"/>
    <w:autoRedefine/>
    <w:qFormat/>
    <w:rsid w:val="009D50A1"/>
    <w:pPr>
      <w:framePr w:hSpace="181" w:wrap="around" w:vAnchor="text" w:hAnchor="text" w:y="1"/>
      <w:spacing w:before="120" w:after="240"/>
      <w:suppressOverlap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DTFHeading4">
    <w:name w:val="DTF Heading 4"/>
    <w:next w:val="DTFBodyText"/>
    <w:qFormat/>
    <w:rsid w:val="009D50A1"/>
    <w:pPr>
      <w:spacing w:before="360" w:after="240"/>
    </w:pPr>
    <w:rPr>
      <w:rFonts w:ascii="Arial" w:eastAsia="Times New Roman" w:hAnsi="Arial" w:cs="Arial"/>
      <w:b/>
      <w:bCs/>
      <w:color w:val="606060"/>
      <w:sz w:val="22"/>
      <w:szCs w:val="22"/>
      <w:lang w:eastAsia="en-AU"/>
    </w:rPr>
  </w:style>
  <w:style w:type="character" w:customStyle="1" w:styleId="DTFItalic">
    <w:name w:val="DTF Italic"/>
    <w:uiPriority w:val="1"/>
    <w:qFormat/>
    <w:rsid w:val="009D50A1"/>
    <w:rPr>
      <w:i/>
    </w:rPr>
  </w:style>
  <w:style w:type="paragraph" w:customStyle="1" w:styleId="DTFListBullet1-Black">
    <w:name w:val="DTF List Bullet 1 - Black"/>
    <w:autoRedefine/>
    <w:qFormat/>
    <w:rsid w:val="009D50A1"/>
    <w:pPr>
      <w:numPr>
        <w:numId w:val="22"/>
      </w:numPr>
      <w:spacing w:after="200"/>
    </w:pPr>
    <w:rPr>
      <w:rFonts w:ascii="Arial" w:eastAsia="Times New Roman" w:hAnsi="Arial" w:cs="Arial"/>
      <w:color w:val="000000" w:themeColor="text1"/>
      <w:sz w:val="22"/>
      <w:lang w:eastAsia="en-AU"/>
    </w:rPr>
  </w:style>
  <w:style w:type="paragraph" w:customStyle="1" w:styleId="DTFListBullet1-Orange">
    <w:name w:val="DTF List Bullet 1 - Orange"/>
    <w:autoRedefine/>
    <w:qFormat/>
    <w:rsid w:val="009D50A1"/>
    <w:pPr>
      <w:numPr>
        <w:numId w:val="23"/>
      </w:numPr>
      <w:spacing w:after="200"/>
      <w:ind w:left="681" w:hanging="397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Black">
    <w:name w:val="DTF List Bullet 2 - Black"/>
    <w:autoRedefine/>
    <w:qFormat/>
    <w:rsid w:val="009D50A1"/>
    <w:pPr>
      <w:numPr>
        <w:ilvl w:val="1"/>
        <w:numId w:val="24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Dash">
    <w:name w:val="DTF List Bullet 2 - Dash"/>
    <w:autoRedefine/>
    <w:qFormat/>
    <w:rsid w:val="009D50A1"/>
    <w:pPr>
      <w:numPr>
        <w:numId w:val="25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3-Dash">
    <w:name w:val="DTF List Bullet 3 - Dash"/>
    <w:autoRedefine/>
    <w:qFormat/>
    <w:rsid w:val="009D50A1"/>
    <w:pPr>
      <w:numPr>
        <w:ilvl w:val="2"/>
        <w:numId w:val="26"/>
      </w:numPr>
      <w:tabs>
        <w:tab w:val="left" w:pos="1701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">
    <w:name w:val="DTF List Number 1"/>
    <w:autoRedefine/>
    <w:qFormat/>
    <w:rsid w:val="009D50A1"/>
    <w:pPr>
      <w:numPr>
        <w:numId w:val="27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-Roman">
    <w:name w:val="DTF List Number 1 - Roman"/>
    <w:autoRedefine/>
    <w:qFormat/>
    <w:rsid w:val="00AC2AA7"/>
    <w:pPr>
      <w:numPr>
        <w:numId w:val="28"/>
      </w:numPr>
      <w:spacing w:after="200"/>
    </w:pPr>
    <w:rPr>
      <w:rFonts w:ascii="Arial" w:eastAsia="Times New Roman" w:hAnsi="Arial" w:cs="Arial"/>
      <w:sz w:val="22"/>
      <w:lang w:eastAsia="en-AU"/>
    </w:rPr>
  </w:style>
  <w:style w:type="character" w:customStyle="1" w:styleId="DTFStrong">
    <w:name w:val="DTF Strong"/>
    <w:uiPriority w:val="1"/>
    <w:qFormat/>
    <w:rsid w:val="009D50A1"/>
    <w:rPr>
      <w:b/>
    </w:rPr>
  </w:style>
  <w:style w:type="paragraph" w:customStyle="1" w:styleId="DTFTableDash">
    <w:name w:val="DTF Table Dash"/>
    <w:basedOn w:val="Normal"/>
    <w:qFormat/>
    <w:rsid w:val="009D50A1"/>
    <w:pPr>
      <w:numPr>
        <w:numId w:val="29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57" w:line="290" w:lineRule="atLeast"/>
      <w:textAlignment w:val="center"/>
    </w:pPr>
    <w:rPr>
      <w:rFonts w:ascii="Arial MT Std Light" w:hAnsi="Arial MT Std Light"/>
      <w:color w:val="000000"/>
      <w:w w:val="90"/>
      <w:sz w:val="21"/>
      <w:szCs w:val="21"/>
    </w:rPr>
  </w:style>
  <w:style w:type="paragraph" w:customStyle="1" w:styleId="DTFTableHeading4-Centred">
    <w:name w:val="DTF Table Heading 4 - Centred"/>
    <w:basedOn w:val="Heading4"/>
    <w:rsid w:val="009D50A1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DTFTableNumbers">
    <w:name w:val="DTF Table Numbers"/>
    <w:basedOn w:val="Normal"/>
    <w:autoRedefine/>
    <w:qFormat/>
    <w:rsid w:val="00B420EA"/>
    <w:pPr>
      <w:spacing w:after="0"/>
      <w:ind w:right="113"/>
      <w:jc w:val="right"/>
    </w:pPr>
  </w:style>
  <w:style w:type="paragraph" w:customStyle="1" w:styleId="DTFTableText">
    <w:name w:val="DTF Table Text"/>
    <w:basedOn w:val="Normal"/>
    <w:qFormat/>
    <w:rsid w:val="009D50A1"/>
    <w:pPr>
      <w:spacing w:after="0"/>
    </w:pPr>
  </w:style>
  <w:style w:type="paragraph" w:customStyle="1" w:styleId="DTFTableText-Centred">
    <w:name w:val="DTF Table Text - Centred"/>
    <w:basedOn w:val="DTFTableText"/>
    <w:qFormat/>
    <w:rsid w:val="009D50A1"/>
    <w:pPr>
      <w:jc w:val="center"/>
    </w:pPr>
  </w:style>
  <w:style w:type="paragraph" w:customStyle="1" w:styleId="DTFTitle">
    <w:name w:val="DTF Title"/>
    <w:qFormat/>
    <w:rsid w:val="009D50A1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customStyle="1" w:styleId="DTFTOC1">
    <w:name w:val="DTF TOC 1"/>
    <w:autoRedefine/>
    <w:qFormat/>
    <w:rsid w:val="003530D3"/>
    <w:pPr>
      <w:tabs>
        <w:tab w:val="left" w:pos="9638"/>
      </w:tabs>
      <w:spacing w:after="100"/>
    </w:pPr>
    <w:rPr>
      <w:rFonts w:ascii="Arial" w:eastAsia="Times New Roman" w:hAnsi="Arial" w:cs="Arial"/>
      <w:sz w:val="22"/>
      <w:lang w:eastAsia="en-AU"/>
    </w:rPr>
  </w:style>
  <w:style w:type="character" w:customStyle="1" w:styleId="DTFSuperscript">
    <w:name w:val="DTF Superscript"/>
    <w:uiPriority w:val="1"/>
    <w:qFormat/>
    <w:rsid w:val="007969DE"/>
    <w:rPr>
      <w:vertAlign w:val="superscript"/>
    </w:rPr>
  </w:style>
  <w:style w:type="paragraph" w:customStyle="1" w:styleId="DTFFootnote">
    <w:name w:val="DTF Footnote"/>
    <w:basedOn w:val="DTFHeading2-Number"/>
    <w:qFormat/>
    <w:rsid w:val="00AB15CC"/>
    <w:pPr>
      <w:spacing w:before="60" w:after="60"/>
      <w:ind w:left="284" w:hanging="284"/>
    </w:pPr>
    <w:rPr>
      <w:sz w:val="18"/>
      <w:szCs w:val="18"/>
    </w:rPr>
  </w:style>
  <w:style w:type="paragraph" w:customStyle="1" w:styleId="DTFHeading2-Number">
    <w:name w:val="DTF Heading 2 - Number"/>
    <w:basedOn w:val="Normal"/>
    <w:rsid w:val="00AC2AA7"/>
    <w:pPr>
      <w:numPr>
        <w:numId w:val="35"/>
      </w:numPr>
    </w:pPr>
  </w:style>
  <w:style w:type="character" w:customStyle="1" w:styleId="DTFGreyText">
    <w:name w:val="DTF Grey Text"/>
    <w:uiPriority w:val="1"/>
    <w:qFormat/>
    <w:rsid w:val="00A30A65"/>
    <w:rPr>
      <w:color w:val="606060"/>
    </w:rPr>
  </w:style>
  <w:style w:type="character" w:styleId="CommentReference">
    <w:name w:val="annotation reference"/>
    <w:basedOn w:val="DefaultParagraphFont"/>
    <w:uiPriority w:val="99"/>
    <w:semiHidden/>
    <w:unhideWhenUsed/>
    <w:rsid w:val="00650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9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9CB"/>
    <w:rPr>
      <w:rFonts w:ascii="Arial" w:eastAsia="Times New Roman" w:hAnsi="Arial" w:cs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9CB"/>
    <w:rPr>
      <w:rFonts w:ascii="Arial" w:eastAsia="Times New Roman" w:hAnsi="Arial" w:cs="Arial"/>
      <w:b/>
      <w:bCs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40"/>
    <w:pPr>
      <w:tabs>
        <w:tab w:val="left" w:pos="709"/>
        <w:tab w:val="left" w:pos="1276"/>
        <w:tab w:val="left" w:pos="4536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styleId="Heading1">
    <w:name w:val="heading 1"/>
    <w:next w:val="Normal"/>
    <w:link w:val="Heading1Char"/>
    <w:qFormat/>
    <w:rsid w:val="00AA44F5"/>
    <w:pPr>
      <w:keepNext/>
      <w:spacing w:before="360" w:after="24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nhideWhenUsed/>
    <w:qFormat/>
    <w:rsid w:val="00AA44F5"/>
    <w:pPr>
      <w:keepNext/>
      <w:spacing w:before="360" w:after="240"/>
      <w:outlineLvl w:val="1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qFormat/>
    <w:rsid w:val="00AA44F5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AA44F5"/>
    <w:pPr>
      <w:keepNext/>
      <w:keepLines/>
      <w:spacing w:before="360" w:after="240"/>
      <w:outlineLvl w:val="3"/>
    </w:pPr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2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AA44F5"/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A44F5"/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qFormat/>
    <w:rsid w:val="00497A05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497A05"/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44F5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character" w:customStyle="1" w:styleId="Italic">
    <w:name w:val="Italic"/>
    <w:uiPriority w:val="1"/>
    <w:qFormat/>
    <w:rsid w:val="009D7249"/>
    <w:rPr>
      <w:i/>
    </w:rPr>
  </w:style>
  <w:style w:type="paragraph" w:styleId="Footer">
    <w:name w:val="footer"/>
    <w:next w:val="Normal"/>
    <w:link w:val="FooterChar"/>
    <w:uiPriority w:val="99"/>
    <w:unhideWhenUsed/>
    <w:rsid w:val="00747F24"/>
    <w:rPr>
      <w:rFonts w:ascii="Arial" w:eastAsia="Times New Roman" w:hAnsi="Arial" w:cs="Arial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47F24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Heading4Char">
    <w:name w:val="Heading 4 Char"/>
    <w:basedOn w:val="DefaultParagraphFont"/>
    <w:link w:val="Heading4"/>
    <w:uiPriority w:val="9"/>
    <w:rsid w:val="00AA44F5"/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Normal"/>
    <w:uiPriority w:val="34"/>
    <w:qFormat/>
    <w:rsid w:val="009D7249"/>
    <w:pPr>
      <w:framePr w:hSpace="181" w:wrap="around" w:vAnchor="text" w:hAnchor="text" w:y="1"/>
      <w:numPr>
        <w:numId w:val="11"/>
      </w:numPr>
      <w:suppressOverlap/>
    </w:pPr>
  </w:style>
  <w:style w:type="table" w:styleId="TableGrid">
    <w:name w:val="Table Grid"/>
    <w:aliases w:val="TD Table"/>
    <w:basedOn w:val="TableNormal"/>
    <w:uiPriority w:val="59"/>
    <w:rsid w:val="008D5338"/>
    <w:tblPr>
      <w:tblBorders>
        <w:top w:val="single" w:sz="4" w:space="0" w:color="auto"/>
        <w:bottom w:val="single" w:sz="4" w:space="0" w:color="auto"/>
      </w:tblBorders>
    </w:tblPr>
  </w:style>
  <w:style w:type="paragraph" w:styleId="ListBullet2">
    <w:name w:val="List Bullet 2"/>
    <w:basedOn w:val="Normal"/>
    <w:autoRedefine/>
    <w:uiPriority w:val="99"/>
    <w:unhideWhenUsed/>
    <w:rsid w:val="00491FFC"/>
    <w:pPr>
      <w:numPr>
        <w:numId w:val="5"/>
      </w:numPr>
      <w:ind w:left="1077" w:hanging="397"/>
    </w:pPr>
  </w:style>
  <w:style w:type="character" w:styleId="Strong">
    <w:name w:val="Strong"/>
    <w:uiPriority w:val="22"/>
    <w:qFormat/>
    <w:rsid w:val="00F55046"/>
    <w:rPr>
      <w:b/>
      <w:bCs/>
    </w:rPr>
  </w:style>
  <w:style w:type="paragraph" w:styleId="ListNumber2">
    <w:name w:val="List Number 2"/>
    <w:basedOn w:val="Normal"/>
    <w:next w:val="ListContinue2"/>
    <w:autoRedefine/>
    <w:uiPriority w:val="99"/>
    <w:unhideWhenUsed/>
    <w:rsid w:val="003F414A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rsid w:val="001B6A8B"/>
    <w:pPr>
      <w:numPr>
        <w:numId w:val="4"/>
      </w:numPr>
      <w:ind w:left="1429" w:hanging="357"/>
    </w:pPr>
  </w:style>
  <w:style w:type="paragraph" w:styleId="ListContinue2">
    <w:name w:val="List Continue 2"/>
    <w:basedOn w:val="Normal"/>
    <w:uiPriority w:val="99"/>
    <w:unhideWhenUsed/>
    <w:rsid w:val="008C0E36"/>
    <w:pPr>
      <w:spacing w:after="120"/>
      <w:ind w:left="71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B2184"/>
    <w:rPr>
      <w:rFonts w:asciiTheme="majorHAnsi" w:eastAsiaTheme="majorEastAsia" w:hAnsiTheme="majorHAnsi" w:cstheme="majorBidi"/>
      <w:color w:val="243F60" w:themeColor="accent1" w:themeShade="7F"/>
      <w:sz w:val="22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219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19E9"/>
    <w:rPr>
      <w:rFonts w:ascii="Arial" w:eastAsia="Times New Roman" w:hAnsi="Arial" w:cs="Arial"/>
      <w:i/>
      <w:iCs/>
      <w:color w:val="000000" w:themeColor="text1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E37C0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92812"/>
    <w:pPr>
      <w:tabs>
        <w:tab w:val="clear" w:pos="4536"/>
        <w:tab w:val="left" w:pos="9639"/>
      </w:tabs>
      <w:spacing w:after="100"/>
    </w:pPr>
  </w:style>
  <w:style w:type="paragraph" w:styleId="List2">
    <w:name w:val="List 2"/>
    <w:basedOn w:val="Normal"/>
    <w:uiPriority w:val="99"/>
    <w:unhideWhenUsed/>
    <w:rsid w:val="00EC6AB8"/>
    <w:pPr>
      <w:ind w:left="566" w:hanging="283"/>
      <w:contextualSpacing/>
    </w:pPr>
  </w:style>
  <w:style w:type="paragraph" w:styleId="ListBullet">
    <w:name w:val="List Bullet"/>
    <w:basedOn w:val="ListParagraph"/>
    <w:uiPriority w:val="99"/>
    <w:unhideWhenUsed/>
    <w:rsid w:val="008116DB"/>
    <w:pPr>
      <w:framePr w:wrap="around"/>
    </w:pPr>
  </w:style>
  <w:style w:type="paragraph" w:customStyle="1" w:styleId="Heading2-Highlighttext">
    <w:name w:val="Heading 2 - Highlight text"/>
    <w:basedOn w:val="Heading2"/>
    <w:qFormat/>
    <w:rsid w:val="00D27C27"/>
    <w:pPr>
      <w:spacing w:before="240"/>
    </w:pPr>
  </w:style>
  <w:style w:type="paragraph" w:customStyle="1" w:styleId="Heading3Highlighttext">
    <w:name w:val="Heading 3 Highlight text"/>
    <w:basedOn w:val="Heading3"/>
    <w:qFormat/>
    <w:rsid w:val="00516254"/>
    <w:pPr>
      <w:framePr w:hSpace="181" w:wrap="around" w:vAnchor="text" w:hAnchor="text" w:y="1"/>
      <w:spacing w:before="120"/>
      <w:suppressOverlap/>
    </w:pPr>
  </w:style>
  <w:style w:type="paragraph" w:customStyle="1" w:styleId="Heading4centred">
    <w:name w:val="Heading 4 centred"/>
    <w:basedOn w:val="Heading4"/>
    <w:rsid w:val="00CB2223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Normalcentred">
    <w:name w:val="Normal centred"/>
    <w:basedOn w:val="Normal"/>
    <w:rsid w:val="00CB2223"/>
    <w:pPr>
      <w:spacing w:before="120" w:after="120"/>
      <w:jc w:val="center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76943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6943"/>
    <w:rPr>
      <w:rFonts w:ascii="Arial" w:eastAsia="Times New Roman" w:hAnsi="Arial" w:cs="Arial"/>
      <w:sz w:val="22"/>
      <w:lang w:eastAsia="en-AU"/>
    </w:rPr>
  </w:style>
  <w:style w:type="paragraph" w:customStyle="1" w:styleId="Tablenumbers">
    <w:name w:val="Table numbers"/>
    <w:basedOn w:val="Normal"/>
    <w:autoRedefine/>
    <w:qFormat/>
    <w:rsid w:val="004845CE"/>
    <w:pPr>
      <w:spacing w:after="0"/>
      <w:ind w:right="284"/>
      <w:jc w:val="right"/>
    </w:pPr>
  </w:style>
  <w:style w:type="paragraph" w:styleId="ListNumber">
    <w:name w:val="List Number"/>
    <w:basedOn w:val="Normal"/>
    <w:uiPriority w:val="99"/>
    <w:unhideWhenUsed/>
    <w:rsid w:val="001A612C"/>
    <w:pPr>
      <w:numPr>
        <w:numId w:val="2"/>
      </w:numPr>
      <w:contextualSpacing/>
    </w:pPr>
  </w:style>
  <w:style w:type="paragraph" w:customStyle="1" w:styleId="TableText">
    <w:name w:val="Table Text"/>
    <w:basedOn w:val="Normal"/>
    <w:qFormat/>
    <w:rsid w:val="004845CE"/>
    <w:pPr>
      <w:spacing w:after="0"/>
    </w:pPr>
  </w:style>
  <w:style w:type="paragraph" w:customStyle="1" w:styleId="TableText-Centred">
    <w:name w:val="Table Text - Centred"/>
    <w:basedOn w:val="TableText"/>
    <w:qFormat/>
    <w:rsid w:val="001A612C"/>
    <w:pPr>
      <w:jc w:val="center"/>
    </w:pPr>
  </w:style>
  <w:style w:type="paragraph" w:customStyle="1" w:styleId="Footnote">
    <w:name w:val="Footnote"/>
    <w:basedOn w:val="Normal"/>
    <w:qFormat/>
    <w:rsid w:val="004845CE"/>
    <w:pPr>
      <w:numPr>
        <w:numId w:val="6"/>
      </w:numPr>
      <w:tabs>
        <w:tab w:val="clear" w:pos="709"/>
        <w:tab w:val="clear" w:pos="1276"/>
        <w:tab w:val="clear" w:pos="4536"/>
        <w:tab w:val="left" w:pos="1985"/>
        <w:tab w:val="right" w:pos="4253"/>
        <w:tab w:val="left" w:pos="4820"/>
        <w:tab w:val="left" w:pos="5954"/>
        <w:tab w:val="right" w:pos="8222"/>
      </w:tabs>
      <w:spacing w:before="60" w:after="60"/>
      <w:ind w:left="284" w:hanging="284"/>
    </w:pPr>
    <w:rPr>
      <w:sz w:val="18"/>
      <w:szCs w:val="18"/>
    </w:rPr>
  </w:style>
  <w:style w:type="character" w:customStyle="1" w:styleId="Superscript">
    <w:name w:val="Superscript"/>
    <w:uiPriority w:val="1"/>
    <w:qFormat/>
    <w:rsid w:val="004845CE"/>
    <w:rPr>
      <w:vertAlign w:val="superscript"/>
    </w:rPr>
  </w:style>
  <w:style w:type="paragraph" w:customStyle="1" w:styleId="List1Bullet-Orange">
    <w:name w:val="List 1 Bullet - Orange"/>
    <w:basedOn w:val="ListParagraph"/>
    <w:qFormat/>
    <w:rsid w:val="00421F8E"/>
    <w:pPr>
      <w:framePr w:wrap="around"/>
      <w:ind w:left="681" w:hanging="397"/>
    </w:pPr>
  </w:style>
  <w:style w:type="paragraph" w:customStyle="1" w:styleId="ListNumber2-Roman">
    <w:name w:val="List Number 2 - Roman"/>
    <w:basedOn w:val="ListNumber2"/>
    <w:qFormat/>
    <w:rsid w:val="00491FFC"/>
    <w:pPr>
      <w:ind w:left="681" w:hanging="397"/>
    </w:pPr>
  </w:style>
  <w:style w:type="paragraph" w:customStyle="1" w:styleId="ListBullet1-Black">
    <w:name w:val="List Bullet 1 - Black"/>
    <w:basedOn w:val="Normal"/>
    <w:autoRedefine/>
    <w:qFormat/>
    <w:rsid w:val="003F414A"/>
    <w:rPr>
      <w:color w:val="000000" w:themeColor="text1"/>
    </w:rPr>
  </w:style>
  <w:style w:type="paragraph" w:customStyle="1" w:styleId="ListNumber1">
    <w:name w:val="List Number 1"/>
    <w:basedOn w:val="ListNumber"/>
    <w:qFormat/>
    <w:rsid w:val="00421F8E"/>
    <w:pPr>
      <w:ind w:left="357" w:hanging="357"/>
      <w:contextualSpacing w:val="0"/>
    </w:pPr>
  </w:style>
  <w:style w:type="paragraph" w:customStyle="1" w:styleId="ListBullet1-Orange">
    <w:name w:val="List Bullet 1 - Orange"/>
    <w:basedOn w:val="ListParagraph"/>
    <w:autoRedefine/>
    <w:qFormat/>
    <w:rsid w:val="003F414A"/>
    <w:pPr>
      <w:framePr w:hSpace="0" w:wrap="auto" w:vAnchor="margin" w:yAlign="inline"/>
      <w:numPr>
        <w:numId w:val="0"/>
      </w:numPr>
      <w:suppressOverlap w:val="0"/>
    </w:pPr>
  </w:style>
  <w:style w:type="paragraph" w:customStyle="1" w:styleId="ListBullet2-Black">
    <w:name w:val="List Bullet 2 - Black"/>
    <w:basedOn w:val="Normal"/>
    <w:autoRedefine/>
    <w:qFormat/>
    <w:rsid w:val="003F414A"/>
  </w:style>
  <w:style w:type="paragraph" w:customStyle="1" w:styleId="ListBullet2-Dash">
    <w:name w:val="List Bullet 2 - Dash"/>
    <w:basedOn w:val="ListNumber1"/>
    <w:autoRedefine/>
    <w:qFormat/>
    <w:rsid w:val="003F414A"/>
    <w:pPr>
      <w:numPr>
        <w:numId w:val="0"/>
      </w:numPr>
    </w:pPr>
  </w:style>
  <w:style w:type="paragraph" w:customStyle="1" w:styleId="ListBullet3-Dash">
    <w:name w:val="List Bullet 3 - Dash"/>
    <w:basedOn w:val="ListBullet2-Dash"/>
    <w:autoRedefine/>
    <w:qFormat/>
    <w:rsid w:val="003F414A"/>
    <w:pPr>
      <w:tabs>
        <w:tab w:val="clear" w:pos="1276"/>
        <w:tab w:val="left" w:pos="1701"/>
      </w:tabs>
    </w:pPr>
  </w:style>
  <w:style w:type="paragraph" w:customStyle="1" w:styleId="ListNumber1-Roman">
    <w:name w:val="List Number 1 - Roman"/>
    <w:basedOn w:val="Normal"/>
    <w:rsid w:val="003F414A"/>
    <w:pPr>
      <w:numPr>
        <w:numId w:val="15"/>
      </w:numPr>
    </w:pPr>
  </w:style>
  <w:style w:type="character" w:customStyle="1" w:styleId="DTFArialBlack">
    <w:name w:val="DTF Arial Black"/>
    <w:uiPriority w:val="1"/>
    <w:qFormat/>
    <w:rsid w:val="009D50A1"/>
    <w:rPr>
      <w:rFonts w:ascii="Arial Black" w:hAnsi="Arial Black"/>
    </w:rPr>
  </w:style>
  <w:style w:type="paragraph" w:customStyle="1" w:styleId="DTFBodyText">
    <w:name w:val="DTF Body Text"/>
    <w:basedOn w:val="Normal"/>
    <w:qFormat/>
    <w:rsid w:val="009D50A1"/>
  </w:style>
  <w:style w:type="paragraph" w:customStyle="1" w:styleId="DTFFooter">
    <w:name w:val="DTF Footer"/>
    <w:qFormat/>
    <w:rsid w:val="00EA0101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DTFHeading1">
    <w:name w:val="DTF Heading 1"/>
    <w:next w:val="DTFBodyText"/>
    <w:qFormat/>
    <w:rsid w:val="009D50A1"/>
    <w:pPr>
      <w:spacing w:before="360" w:after="24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customStyle="1" w:styleId="DTFHeading2">
    <w:name w:val="DTF Heading 2"/>
    <w:next w:val="DTFBodyText"/>
    <w:qFormat/>
    <w:rsid w:val="009D50A1"/>
    <w:pPr>
      <w:spacing w:before="36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HighlightText">
    <w:name w:val="DTF Heading 2 - Highlight Text"/>
    <w:next w:val="DTFBodyText"/>
    <w:autoRedefine/>
    <w:qFormat/>
    <w:rsid w:val="009D50A1"/>
    <w:pPr>
      <w:spacing w:before="24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numbered">
    <w:name w:val="DTF Heading 2 - numbered"/>
    <w:basedOn w:val="Normal"/>
    <w:autoRedefine/>
    <w:qFormat/>
    <w:rsid w:val="009D50A1"/>
    <w:pPr>
      <w:numPr>
        <w:numId w:val="21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120" w:line="300" w:lineRule="atLeast"/>
      <w:textAlignment w:val="center"/>
    </w:pPr>
    <w:rPr>
      <w:rFonts w:ascii="Arial MT Std Light" w:hAnsi="Arial MT Std Light" w:cs="Arial MT Std Light"/>
      <w:color w:val="00A98F"/>
      <w:w w:val="90"/>
      <w:sz w:val="28"/>
      <w:szCs w:val="28"/>
      <w:lang w:val="en-GB"/>
    </w:rPr>
  </w:style>
  <w:style w:type="paragraph" w:customStyle="1" w:styleId="DTFHeading3">
    <w:name w:val="DTF Heading 3"/>
    <w:next w:val="DTFBodyText"/>
    <w:autoRedefine/>
    <w:qFormat/>
    <w:rsid w:val="009D50A1"/>
    <w:pPr>
      <w:spacing w:before="360" w:after="240"/>
    </w:pPr>
    <w:rPr>
      <w:rFonts w:ascii="Arial" w:eastAsia="Times New Roman" w:hAnsi="Arial" w:cs="Arial"/>
      <w:b/>
      <w:bCs/>
      <w:color w:val="000000" w:themeColor="text1"/>
      <w:sz w:val="24"/>
      <w:szCs w:val="24"/>
      <w:lang w:eastAsia="en-AU"/>
    </w:rPr>
  </w:style>
  <w:style w:type="paragraph" w:customStyle="1" w:styleId="DTFHeading3-HighlightText">
    <w:name w:val="DTF Heading 3 - Highlight Text"/>
    <w:next w:val="DTFBodyText"/>
    <w:autoRedefine/>
    <w:qFormat/>
    <w:rsid w:val="009D50A1"/>
    <w:pPr>
      <w:framePr w:hSpace="181" w:wrap="around" w:vAnchor="text" w:hAnchor="text" w:y="1"/>
      <w:spacing w:before="120" w:after="240"/>
      <w:suppressOverlap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DTFHeading4">
    <w:name w:val="DTF Heading 4"/>
    <w:next w:val="DTFBodyText"/>
    <w:qFormat/>
    <w:rsid w:val="009D50A1"/>
    <w:pPr>
      <w:spacing w:before="360" w:after="240"/>
    </w:pPr>
    <w:rPr>
      <w:rFonts w:ascii="Arial" w:eastAsia="Times New Roman" w:hAnsi="Arial" w:cs="Arial"/>
      <w:b/>
      <w:bCs/>
      <w:color w:val="606060"/>
      <w:sz w:val="22"/>
      <w:szCs w:val="22"/>
      <w:lang w:eastAsia="en-AU"/>
    </w:rPr>
  </w:style>
  <w:style w:type="character" w:customStyle="1" w:styleId="DTFItalic">
    <w:name w:val="DTF Italic"/>
    <w:uiPriority w:val="1"/>
    <w:qFormat/>
    <w:rsid w:val="009D50A1"/>
    <w:rPr>
      <w:i/>
    </w:rPr>
  </w:style>
  <w:style w:type="paragraph" w:customStyle="1" w:styleId="DTFListBullet1-Black">
    <w:name w:val="DTF List Bullet 1 - Black"/>
    <w:autoRedefine/>
    <w:qFormat/>
    <w:rsid w:val="009D50A1"/>
    <w:pPr>
      <w:numPr>
        <w:numId w:val="22"/>
      </w:numPr>
      <w:spacing w:after="200"/>
    </w:pPr>
    <w:rPr>
      <w:rFonts w:ascii="Arial" w:eastAsia="Times New Roman" w:hAnsi="Arial" w:cs="Arial"/>
      <w:color w:val="000000" w:themeColor="text1"/>
      <w:sz w:val="22"/>
      <w:lang w:eastAsia="en-AU"/>
    </w:rPr>
  </w:style>
  <w:style w:type="paragraph" w:customStyle="1" w:styleId="DTFListBullet1-Orange">
    <w:name w:val="DTF List Bullet 1 - Orange"/>
    <w:autoRedefine/>
    <w:qFormat/>
    <w:rsid w:val="009D50A1"/>
    <w:pPr>
      <w:numPr>
        <w:numId w:val="23"/>
      </w:numPr>
      <w:spacing w:after="200"/>
      <w:ind w:left="681" w:hanging="397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Black">
    <w:name w:val="DTF List Bullet 2 - Black"/>
    <w:autoRedefine/>
    <w:qFormat/>
    <w:rsid w:val="009D50A1"/>
    <w:pPr>
      <w:numPr>
        <w:ilvl w:val="1"/>
        <w:numId w:val="24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Dash">
    <w:name w:val="DTF List Bullet 2 - Dash"/>
    <w:autoRedefine/>
    <w:qFormat/>
    <w:rsid w:val="009D50A1"/>
    <w:pPr>
      <w:numPr>
        <w:numId w:val="25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3-Dash">
    <w:name w:val="DTF List Bullet 3 - Dash"/>
    <w:autoRedefine/>
    <w:qFormat/>
    <w:rsid w:val="009D50A1"/>
    <w:pPr>
      <w:numPr>
        <w:ilvl w:val="2"/>
        <w:numId w:val="26"/>
      </w:numPr>
      <w:tabs>
        <w:tab w:val="left" w:pos="1701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">
    <w:name w:val="DTF List Number 1"/>
    <w:autoRedefine/>
    <w:qFormat/>
    <w:rsid w:val="009D50A1"/>
    <w:pPr>
      <w:numPr>
        <w:numId w:val="27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-Roman">
    <w:name w:val="DTF List Number 1 - Roman"/>
    <w:autoRedefine/>
    <w:qFormat/>
    <w:rsid w:val="00AC2AA7"/>
    <w:pPr>
      <w:numPr>
        <w:numId w:val="28"/>
      </w:numPr>
      <w:spacing w:after="200"/>
    </w:pPr>
    <w:rPr>
      <w:rFonts w:ascii="Arial" w:eastAsia="Times New Roman" w:hAnsi="Arial" w:cs="Arial"/>
      <w:sz w:val="22"/>
      <w:lang w:eastAsia="en-AU"/>
    </w:rPr>
  </w:style>
  <w:style w:type="character" w:customStyle="1" w:styleId="DTFStrong">
    <w:name w:val="DTF Strong"/>
    <w:uiPriority w:val="1"/>
    <w:qFormat/>
    <w:rsid w:val="009D50A1"/>
    <w:rPr>
      <w:b/>
    </w:rPr>
  </w:style>
  <w:style w:type="paragraph" w:customStyle="1" w:styleId="DTFTableDash">
    <w:name w:val="DTF Table Dash"/>
    <w:basedOn w:val="Normal"/>
    <w:qFormat/>
    <w:rsid w:val="009D50A1"/>
    <w:pPr>
      <w:numPr>
        <w:numId w:val="29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57" w:line="290" w:lineRule="atLeast"/>
      <w:textAlignment w:val="center"/>
    </w:pPr>
    <w:rPr>
      <w:rFonts w:ascii="Arial MT Std Light" w:hAnsi="Arial MT Std Light"/>
      <w:color w:val="000000"/>
      <w:w w:val="90"/>
      <w:sz w:val="21"/>
      <w:szCs w:val="21"/>
    </w:rPr>
  </w:style>
  <w:style w:type="paragraph" w:customStyle="1" w:styleId="DTFTableHeading4-Centred">
    <w:name w:val="DTF Table Heading 4 - Centred"/>
    <w:basedOn w:val="Heading4"/>
    <w:rsid w:val="009D50A1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DTFTableNumbers">
    <w:name w:val="DTF Table Numbers"/>
    <w:basedOn w:val="Normal"/>
    <w:autoRedefine/>
    <w:qFormat/>
    <w:rsid w:val="00B420EA"/>
    <w:pPr>
      <w:spacing w:after="0"/>
      <w:ind w:right="113"/>
      <w:jc w:val="right"/>
    </w:pPr>
  </w:style>
  <w:style w:type="paragraph" w:customStyle="1" w:styleId="DTFTableText">
    <w:name w:val="DTF Table Text"/>
    <w:basedOn w:val="Normal"/>
    <w:qFormat/>
    <w:rsid w:val="009D50A1"/>
    <w:pPr>
      <w:spacing w:after="0"/>
    </w:pPr>
  </w:style>
  <w:style w:type="paragraph" w:customStyle="1" w:styleId="DTFTableText-Centred">
    <w:name w:val="DTF Table Text - Centred"/>
    <w:basedOn w:val="DTFTableText"/>
    <w:qFormat/>
    <w:rsid w:val="009D50A1"/>
    <w:pPr>
      <w:jc w:val="center"/>
    </w:pPr>
  </w:style>
  <w:style w:type="paragraph" w:customStyle="1" w:styleId="DTFTitle">
    <w:name w:val="DTF Title"/>
    <w:qFormat/>
    <w:rsid w:val="009D50A1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customStyle="1" w:styleId="DTFTOC1">
    <w:name w:val="DTF TOC 1"/>
    <w:autoRedefine/>
    <w:qFormat/>
    <w:rsid w:val="003530D3"/>
    <w:pPr>
      <w:tabs>
        <w:tab w:val="left" w:pos="9638"/>
      </w:tabs>
      <w:spacing w:after="100"/>
    </w:pPr>
    <w:rPr>
      <w:rFonts w:ascii="Arial" w:eastAsia="Times New Roman" w:hAnsi="Arial" w:cs="Arial"/>
      <w:sz w:val="22"/>
      <w:lang w:eastAsia="en-AU"/>
    </w:rPr>
  </w:style>
  <w:style w:type="character" w:customStyle="1" w:styleId="DTFSuperscript">
    <w:name w:val="DTF Superscript"/>
    <w:uiPriority w:val="1"/>
    <w:qFormat/>
    <w:rsid w:val="007969DE"/>
    <w:rPr>
      <w:vertAlign w:val="superscript"/>
    </w:rPr>
  </w:style>
  <w:style w:type="paragraph" w:customStyle="1" w:styleId="DTFFootnote">
    <w:name w:val="DTF Footnote"/>
    <w:basedOn w:val="DTFHeading2-Number"/>
    <w:qFormat/>
    <w:rsid w:val="00AB15CC"/>
    <w:pPr>
      <w:spacing w:before="60" w:after="60"/>
      <w:ind w:left="284" w:hanging="284"/>
    </w:pPr>
    <w:rPr>
      <w:sz w:val="18"/>
      <w:szCs w:val="18"/>
    </w:rPr>
  </w:style>
  <w:style w:type="paragraph" w:customStyle="1" w:styleId="DTFHeading2-Number">
    <w:name w:val="DTF Heading 2 - Number"/>
    <w:basedOn w:val="Normal"/>
    <w:rsid w:val="00AC2AA7"/>
    <w:pPr>
      <w:numPr>
        <w:numId w:val="35"/>
      </w:numPr>
    </w:pPr>
  </w:style>
  <w:style w:type="character" w:customStyle="1" w:styleId="DTFGreyText">
    <w:name w:val="DTF Grey Text"/>
    <w:uiPriority w:val="1"/>
    <w:qFormat/>
    <w:rsid w:val="00A30A65"/>
    <w:rPr>
      <w:color w:val="606060"/>
    </w:rPr>
  </w:style>
  <w:style w:type="character" w:styleId="CommentReference">
    <w:name w:val="annotation reference"/>
    <w:basedOn w:val="DefaultParagraphFont"/>
    <w:uiPriority w:val="99"/>
    <w:semiHidden/>
    <w:unhideWhenUsed/>
    <w:rsid w:val="00650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9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9CB"/>
    <w:rPr>
      <w:rFonts w:ascii="Arial" w:eastAsia="Times New Roman" w:hAnsi="Arial" w:cs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9CB"/>
    <w:rPr>
      <w:rFonts w:ascii="Arial" w:eastAsia="Times New Roman" w:hAnsi="Arial" w:cs="Arial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 xsi:nil="true"/>
    <Release_x0020_Date xmlns="378e824e-6e02-4c0d-8321-dd86fba681ee">2016-06-21T14:30:00+00:00</Release_x0020_Date>
    <Publication_x0020_Title xmlns="378e824e-6e02-4c0d-8321-dd86fba681ee">Treasurer's Directions: Section C2.2: Banking – Bank Accounts</Publication_x0020_Title>
    <Sub_x0020_Sub_x0020_Category xmlns="378e824e-6e02-4c0d-8321-dd86fba681ee" xsi:nil="true"/>
    <Details xmlns="378e824e-6e02-4c0d-8321-dd86fba681ee" xsi:nil="true"/>
    <Main_x0020_Category xmlns="378e824e-6e02-4c0d-8321-dd86fba681ee">3</Main_x0020_Category>
    <Tax_x0020_Type_x0020_Topic xmlns="378e824e-6e02-4c0d-8321-dd86fba681ee" xsi:nil="true"/>
    <Sub_x0020_Category xmlns="378e824e-6e02-4c0d-8321-dd86fba681ee">12</Sub_x0020_Category>
    <Identifier xmlns="378e824e-6e02-4c0d-8321-dd86fba681ee">TD-C2.2</Identifier>
    <Notify xmlns="378e824e-6e02-4c0d-8321-dd86fba681ee">false</Notify>
    <Publication_x0020_Type xmlns="378e824e-6e02-4c0d-8321-dd86fba68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2D33-3650-48E4-8452-B79045CA79B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378e824e-6e02-4c0d-8321-dd86fba681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D3BDE5-9AAF-451F-AA11-1AC7A44B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C1ED9-ABA3-4AC2-9DDA-CBB2C32BCE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FF148-1615-478E-ACC3-A5D7700E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1921</Words>
  <Characters>10951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Directions: Section C2.2: Banking – Bank Accounts</vt:lpstr>
    </vt:vector>
  </TitlesOfParts>
  <Company>Northern Territory Government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Directions: Section C2.2: Banking – Bank Accounts</dc:title>
  <dc:creator>Barbara Beamsley</dc:creator>
  <cp:lastModifiedBy>Barbara Beamsley</cp:lastModifiedBy>
  <cp:revision>62</cp:revision>
  <cp:lastPrinted>2016-03-31T06:13:00Z</cp:lastPrinted>
  <dcterms:created xsi:type="dcterms:W3CDTF">2016-03-18T01:31:00Z</dcterms:created>
  <dcterms:modified xsi:type="dcterms:W3CDTF">2016-06-24T02:28:00Z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