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02D" w:rsidRDefault="00882407" w:rsidP="000576EF">
      <w:pPr>
        <w:pStyle w:val="DTFHeading1"/>
      </w:pPr>
      <w:r>
        <w:t>Cash Management – Banking</w:t>
      </w:r>
      <w:r w:rsidR="008C402D">
        <w:br/>
      </w:r>
      <w:r>
        <w:t>C2.1</w:t>
      </w:r>
      <w:r w:rsidR="008C402D" w:rsidRPr="008C402D">
        <w:t>: Central Banking Arrangements</w:t>
      </w:r>
    </w:p>
    <w:p w:rsidR="008C402D" w:rsidRDefault="008C402D" w:rsidP="00264410">
      <w:pPr>
        <w:pStyle w:val="DTFHeading2"/>
      </w:pPr>
      <w:bookmarkStart w:id="0" w:name="_Toc446321296"/>
      <w:r>
        <w:t>Statement o</w:t>
      </w:r>
      <w:r w:rsidRPr="008C402D">
        <w:t>f Intent</w:t>
      </w:r>
      <w:bookmarkEnd w:id="0"/>
    </w:p>
    <w:p w:rsidR="003D6E42" w:rsidRDefault="00402188" w:rsidP="00264410">
      <w:pPr>
        <w:pStyle w:val="DTFBodyText"/>
      </w:pPr>
      <w:r>
        <w:t>The whole of g</w:t>
      </w:r>
      <w:r w:rsidR="008C402D" w:rsidRPr="008C402D">
        <w:t>overnment central banking arrangements</w:t>
      </w:r>
      <w:r w:rsidR="00EB3654">
        <w:t xml:space="preserve"> </w:t>
      </w:r>
      <w:r w:rsidR="008C402D" w:rsidRPr="008C402D">
        <w:t>facilitate effective cash management through</w:t>
      </w:r>
      <w:r>
        <w:t xml:space="preserve"> the provision of a competitive fee structure and</w:t>
      </w:r>
      <w:r w:rsidR="008C402D" w:rsidRPr="008C402D">
        <w:t xml:space="preserve"> access to a wide range of banking products and services, while reducing internal operating costs due to centralised processes and infrastructure. This </w:t>
      </w:r>
      <w:r>
        <w:t>s</w:t>
      </w:r>
      <w:r w:rsidR="008C402D" w:rsidRPr="008C402D">
        <w:t>ection provides information regarding the central banking arrangements.</w:t>
      </w:r>
    </w:p>
    <w:tbl>
      <w:tblPr>
        <w:tblStyle w:val="TableGrid"/>
        <w:tblW w:w="0" w:type="auto"/>
        <w:tblBorders>
          <w:top w:val="single" w:sz="24" w:space="0" w:color="F1A673"/>
          <w:left w:val="none" w:sz="0" w:space="0" w:color="auto"/>
          <w:bottom w:val="single" w:sz="24" w:space="0" w:color="F1A67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ighlight box: Main features including Cash Management and Elements of Cash Management&#10;"/>
      </w:tblPr>
      <w:tblGrid>
        <w:gridCol w:w="9638"/>
      </w:tblGrid>
      <w:tr w:rsidR="00D27C27" w:rsidTr="00AD51D4">
        <w:trPr>
          <w:tblHeader/>
        </w:trPr>
        <w:tc>
          <w:tcPr>
            <w:tcW w:w="11907" w:type="dxa"/>
            <w:tcMar>
              <w:left w:w="0" w:type="dxa"/>
              <w:right w:w="0" w:type="dxa"/>
            </w:tcMar>
            <w:vAlign w:val="center"/>
          </w:tcPr>
          <w:p w:rsidR="00D27C27" w:rsidRPr="00D27C27" w:rsidRDefault="008C402D" w:rsidP="00264410">
            <w:pPr>
              <w:pStyle w:val="DTFHeading2-HighlightText"/>
            </w:pPr>
            <w:r>
              <w:t>Main Features</w:t>
            </w:r>
          </w:p>
          <w:p w:rsidR="008C402D" w:rsidRDefault="008C402D" w:rsidP="00264410">
            <w:pPr>
              <w:pStyle w:val="DTFBodyText"/>
            </w:pPr>
            <w:r>
              <w:t xml:space="preserve">Section 38 of the </w:t>
            </w:r>
            <w:r w:rsidRPr="00264410">
              <w:rPr>
                <w:rStyle w:val="DTFItalic"/>
              </w:rPr>
              <w:t>Financial Management Act</w:t>
            </w:r>
            <w:r w:rsidR="00330BA5">
              <w:t xml:space="preserve"> requires every </w:t>
            </w:r>
            <w:r w:rsidR="005745A9">
              <w:t>A</w:t>
            </w:r>
            <w:r w:rsidR="00330BA5">
              <w:t xml:space="preserve">ccountable </w:t>
            </w:r>
            <w:r w:rsidR="005745A9">
              <w:t>O</w:t>
            </w:r>
            <w:r>
              <w:t>f</w:t>
            </w:r>
            <w:r w:rsidR="00330BA5">
              <w:t>ficer and every employee of an a</w:t>
            </w:r>
            <w:r>
              <w:t>gency to comply with the Treasurer’s Directions.</w:t>
            </w:r>
          </w:p>
          <w:p w:rsidR="008C402D" w:rsidRDefault="008C402D" w:rsidP="004A7E88">
            <w:pPr>
              <w:pStyle w:val="DTFHeading3-HighlightText"/>
              <w:framePr w:wrap="around"/>
            </w:pPr>
            <w:r>
              <w:t xml:space="preserve">Central Banking Arrangements </w:t>
            </w:r>
          </w:p>
          <w:p w:rsidR="008C402D" w:rsidRPr="00264410" w:rsidRDefault="008C402D" w:rsidP="00264410">
            <w:pPr>
              <w:pStyle w:val="DTFListBullet1-Orange"/>
            </w:pPr>
            <w:r w:rsidRPr="00264410">
              <w:t>The Northern Territory Government’s banking arrangements ar</w:t>
            </w:r>
            <w:r w:rsidR="00402188">
              <w:t>e centralised under a whole of g</w:t>
            </w:r>
            <w:r w:rsidRPr="00264410">
              <w:t>overnment Banking Contract</w:t>
            </w:r>
            <w:r w:rsidR="00CB15FF" w:rsidRPr="00264410">
              <w:t xml:space="preserve">. </w:t>
            </w:r>
          </w:p>
          <w:p w:rsidR="008C402D" w:rsidRPr="004A7E88" w:rsidRDefault="008C402D" w:rsidP="004A7E88">
            <w:pPr>
              <w:pStyle w:val="DTFHeading3-HighlightText"/>
              <w:framePr w:wrap="around"/>
            </w:pPr>
            <w:r w:rsidRPr="004A7E88">
              <w:t>Banking Products and Services</w:t>
            </w:r>
          </w:p>
          <w:p w:rsidR="008C402D" w:rsidRPr="00930DDC" w:rsidRDefault="008C402D" w:rsidP="00264410">
            <w:pPr>
              <w:pStyle w:val="DTFListBullet1-Orange"/>
            </w:pPr>
            <w:r>
              <w:t>Agencies are to only use those ba</w:t>
            </w:r>
            <w:r w:rsidRPr="003412F5">
              <w:t xml:space="preserve">nking products and services provided under the central </w:t>
            </w:r>
            <w:r w:rsidRPr="00930DDC">
              <w:t>Banking Contract.</w:t>
            </w:r>
          </w:p>
          <w:p w:rsidR="008C402D" w:rsidRPr="003412F5" w:rsidRDefault="00330BA5" w:rsidP="00264410">
            <w:pPr>
              <w:pStyle w:val="DTFListBullet1-Orange"/>
            </w:pPr>
            <w:r>
              <w:t>An a</w:t>
            </w:r>
            <w:r w:rsidR="008C402D" w:rsidRPr="00930DDC">
              <w:t>gency is to seek prior approval from the Under Treasurer to use banking products and services not included in the cen</w:t>
            </w:r>
            <w:r w:rsidR="008C402D" w:rsidRPr="003412F5">
              <w:t>tral Banking Contract.</w:t>
            </w:r>
          </w:p>
          <w:p w:rsidR="008C402D" w:rsidRDefault="008C402D" w:rsidP="00264410">
            <w:pPr>
              <w:pStyle w:val="DTFHeading3-HighlightText"/>
              <w:framePr w:wrap="around"/>
            </w:pPr>
            <w:r>
              <w:t>Payment of Bank Fees and Charges</w:t>
            </w:r>
          </w:p>
          <w:p w:rsidR="008C402D" w:rsidRDefault="008C402D" w:rsidP="00264410">
            <w:pPr>
              <w:pStyle w:val="DTFListBullet1-Orange"/>
            </w:pPr>
            <w:r>
              <w:t xml:space="preserve">Payment of fees and charges associated with the provision of banking products and services is the responsibility </w:t>
            </w:r>
            <w:r w:rsidR="00330BA5">
              <w:t>of the a</w:t>
            </w:r>
            <w:r>
              <w:t>gency receiving the benefit of the product or service.</w:t>
            </w:r>
          </w:p>
          <w:p w:rsidR="00D27C27" w:rsidRDefault="008C402D" w:rsidP="00264410">
            <w:pPr>
              <w:pStyle w:val="DTFBodyText"/>
            </w:pPr>
            <w:r>
              <w:t>For authoritative instruction and guidance, reference should be made to related Treasurer's Directions and associated commentary.</w:t>
            </w:r>
            <w:r w:rsidR="00AA25B4">
              <w:t xml:space="preserve"> </w:t>
            </w:r>
          </w:p>
        </w:tc>
      </w:tr>
    </w:tbl>
    <w:p w:rsidR="008C402D" w:rsidRDefault="008C402D" w:rsidP="000576EF">
      <w:pPr>
        <w:pStyle w:val="DTFBodyText"/>
      </w:pPr>
    </w:p>
    <w:p w:rsidR="003D6E42" w:rsidRDefault="008C402D" w:rsidP="00264410">
      <w:pPr>
        <w:pStyle w:val="DTFHeading3"/>
      </w:pPr>
      <w:r>
        <w:br w:type="page"/>
      </w:r>
      <w:r w:rsidR="00096661">
        <w:lastRenderedPageBreak/>
        <w:t>Contents</w:t>
      </w:r>
      <w:r w:rsidR="003D6E42">
        <w:t xml:space="preserve"> </w:t>
      </w:r>
    </w:p>
    <w:p w:rsidR="008364AC" w:rsidRPr="000576EF" w:rsidRDefault="00E37C0C" w:rsidP="000576EF">
      <w:pPr>
        <w:pStyle w:val="DTFTOC1"/>
        <w:rPr>
          <w:rFonts w:eastAsiaTheme="minorEastAsia"/>
          <w:noProof/>
        </w:rPr>
      </w:pPr>
      <w:r>
        <w:fldChar w:fldCharType="begin"/>
      </w:r>
      <w:r>
        <w:instrText xml:space="preserve"> TOC \h \z \t "Heading 2,1" </w:instrText>
      </w:r>
      <w:r>
        <w:fldChar w:fldCharType="separate"/>
      </w:r>
      <w:hyperlink w:anchor="_Toc446321297" w:history="1">
        <w:r w:rsidR="008364AC" w:rsidRPr="000576EF">
          <w:rPr>
            <w:noProof/>
          </w:rPr>
          <w:t>Central Banking Arrangements</w:t>
        </w:r>
        <w:r w:rsidR="008364AC" w:rsidRPr="000576EF">
          <w:rPr>
            <w:noProof/>
            <w:webHidden/>
          </w:rPr>
          <w:tab/>
        </w:r>
        <w:r w:rsidR="008364AC" w:rsidRPr="000576EF">
          <w:rPr>
            <w:noProof/>
            <w:webHidden/>
          </w:rPr>
          <w:fldChar w:fldCharType="begin"/>
        </w:r>
        <w:r w:rsidR="008364AC" w:rsidRPr="000576EF">
          <w:rPr>
            <w:noProof/>
            <w:webHidden/>
          </w:rPr>
          <w:instrText xml:space="preserve"> PAGEREF _Toc446321297 \h </w:instrText>
        </w:r>
        <w:r w:rsidR="008364AC" w:rsidRPr="000576EF">
          <w:rPr>
            <w:noProof/>
            <w:webHidden/>
          </w:rPr>
        </w:r>
        <w:r w:rsidR="008364AC" w:rsidRPr="000576EF">
          <w:rPr>
            <w:noProof/>
            <w:webHidden/>
          </w:rPr>
          <w:fldChar w:fldCharType="separate"/>
        </w:r>
        <w:r w:rsidR="003F15C1">
          <w:rPr>
            <w:noProof/>
            <w:webHidden/>
          </w:rPr>
          <w:t>3</w:t>
        </w:r>
        <w:r w:rsidR="008364AC" w:rsidRPr="000576EF">
          <w:rPr>
            <w:noProof/>
            <w:webHidden/>
          </w:rPr>
          <w:fldChar w:fldCharType="end"/>
        </w:r>
      </w:hyperlink>
    </w:p>
    <w:p w:rsidR="008364AC" w:rsidRPr="000576EF" w:rsidRDefault="000A5F5A" w:rsidP="000576EF">
      <w:pPr>
        <w:pStyle w:val="DTFTOC1"/>
        <w:rPr>
          <w:rFonts w:eastAsiaTheme="minorEastAsia"/>
          <w:noProof/>
        </w:rPr>
      </w:pPr>
      <w:hyperlink w:anchor="_Toc446321298" w:history="1">
        <w:r w:rsidR="008364AC" w:rsidRPr="000576EF">
          <w:rPr>
            <w:noProof/>
          </w:rPr>
          <w:t>Banking Products and Services</w:t>
        </w:r>
        <w:r w:rsidR="008364AC" w:rsidRPr="000576EF">
          <w:rPr>
            <w:noProof/>
            <w:webHidden/>
          </w:rPr>
          <w:tab/>
        </w:r>
        <w:r w:rsidR="008364AC" w:rsidRPr="000576EF">
          <w:rPr>
            <w:noProof/>
            <w:webHidden/>
          </w:rPr>
          <w:fldChar w:fldCharType="begin"/>
        </w:r>
        <w:r w:rsidR="008364AC" w:rsidRPr="000576EF">
          <w:rPr>
            <w:noProof/>
            <w:webHidden/>
          </w:rPr>
          <w:instrText xml:space="preserve"> PAGEREF _Toc446321298 \h </w:instrText>
        </w:r>
        <w:r w:rsidR="008364AC" w:rsidRPr="000576EF">
          <w:rPr>
            <w:noProof/>
            <w:webHidden/>
          </w:rPr>
        </w:r>
        <w:r w:rsidR="008364AC" w:rsidRPr="000576EF">
          <w:rPr>
            <w:noProof/>
            <w:webHidden/>
          </w:rPr>
          <w:fldChar w:fldCharType="separate"/>
        </w:r>
        <w:r w:rsidR="003F15C1">
          <w:rPr>
            <w:noProof/>
            <w:webHidden/>
          </w:rPr>
          <w:t>3</w:t>
        </w:r>
        <w:r w:rsidR="008364AC" w:rsidRPr="000576EF">
          <w:rPr>
            <w:noProof/>
            <w:webHidden/>
          </w:rPr>
          <w:fldChar w:fldCharType="end"/>
        </w:r>
      </w:hyperlink>
    </w:p>
    <w:p w:rsidR="008364AC" w:rsidRPr="000576EF" w:rsidRDefault="000A5F5A" w:rsidP="000576EF">
      <w:pPr>
        <w:pStyle w:val="DTFTOC1"/>
        <w:rPr>
          <w:rFonts w:eastAsiaTheme="minorEastAsia"/>
          <w:noProof/>
        </w:rPr>
      </w:pPr>
      <w:hyperlink w:anchor="_Toc446321299" w:history="1">
        <w:r w:rsidR="008364AC" w:rsidRPr="000576EF">
          <w:rPr>
            <w:noProof/>
          </w:rPr>
          <w:t>Payment of Bank Fees and Charges</w:t>
        </w:r>
        <w:r w:rsidR="008364AC" w:rsidRPr="000576EF">
          <w:rPr>
            <w:noProof/>
            <w:webHidden/>
          </w:rPr>
          <w:tab/>
        </w:r>
        <w:r w:rsidR="008364AC" w:rsidRPr="000576EF">
          <w:rPr>
            <w:noProof/>
            <w:webHidden/>
          </w:rPr>
          <w:fldChar w:fldCharType="begin"/>
        </w:r>
        <w:r w:rsidR="008364AC" w:rsidRPr="000576EF">
          <w:rPr>
            <w:noProof/>
            <w:webHidden/>
          </w:rPr>
          <w:instrText xml:space="preserve"> PAGEREF _Toc446321299 \h </w:instrText>
        </w:r>
        <w:r w:rsidR="008364AC" w:rsidRPr="000576EF">
          <w:rPr>
            <w:noProof/>
            <w:webHidden/>
          </w:rPr>
        </w:r>
        <w:r w:rsidR="008364AC" w:rsidRPr="000576EF">
          <w:rPr>
            <w:noProof/>
            <w:webHidden/>
          </w:rPr>
          <w:fldChar w:fldCharType="separate"/>
        </w:r>
        <w:r w:rsidR="003F15C1">
          <w:rPr>
            <w:noProof/>
            <w:webHidden/>
          </w:rPr>
          <w:t>4</w:t>
        </w:r>
        <w:r w:rsidR="008364AC" w:rsidRPr="000576EF">
          <w:rPr>
            <w:noProof/>
            <w:webHidden/>
          </w:rPr>
          <w:fldChar w:fldCharType="end"/>
        </w:r>
      </w:hyperlink>
    </w:p>
    <w:p w:rsidR="008364AC" w:rsidRPr="000576EF" w:rsidRDefault="000A5F5A" w:rsidP="000576EF">
      <w:pPr>
        <w:pStyle w:val="DTFTOC1"/>
        <w:rPr>
          <w:rFonts w:eastAsiaTheme="minorEastAsia"/>
          <w:noProof/>
        </w:rPr>
      </w:pPr>
      <w:hyperlink w:anchor="_Toc446321300" w:history="1">
        <w:r w:rsidR="008364AC" w:rsidRPr="000576EF">
          <w:rPr>
            <w:noProof/>
          </w:rPr>
          <w:t>Appendix A: Key Central Banking Contract Products and Services</w:t>
        </w:r>
        <w:r w:rsidR="008364AC" w:rsidRPr="000576EF">
          <w:rPr>
            <w:noProof/>
            <w:webHidden/>
          </w:rPr>
          <w:tab/>
        </w:r>
        <w:r w:rsidR="008364AC" w:rsidRPr="000576EF">
          <w:rPr>
            <w:noProof/>
            <w:webHidden/>
          </w:rPr>
          <w:fldChar w:fldCharType="begin"/>
        </w:r>
        <w:r w:rsidR="008364AC" w:rsidRPr="000576EF">
          <w:rPr>
            <w:noProof/>
            <w:webHidden/>
          </w:rPr>
          <w:instrText xml:space="preserve"> PAGEREF _Toc446321300 \h </w:instrText>
        </w:r>
        <w:r w:rsidR="008364AC" w:rsidRPr="000576EF">
          <w:rPr>
            <w:noProof/>
            <w:webHidden/>
          </w:rPr>
        </w:r>
        <w:r w:rsidR="008364AC" w:rsidRPr="000576EF">
          <w:rPr>
            <w:noProof/>
            <w:webHidden/>
          </w:rPr>
          <w:fldChar w:fldCharType="separate"/>
        </w:r>
        <w:r w:rsidR="003F15C1">
          <w:rPr>
            <w:noProof/>
            <w:webHidden/>
          </w:rPr>
          <w:t>5</w:t>
        </w:r>
        <w:r w:rsidR="008364AC" w:rsidRPr="000576EF">
          <w:rPr>
            <w:noProof/>
            <w:webHidden/>
          </w:rPr>
          <w:fldChar w:fldCharType="end"/>
        </w:r>
      </w:hyperlink>
    </w:p>
    <w:p w:rsidR="003D6E42" w:rsidRDefault="00E37C0C" w:rsidP="00264410">
      <w:pPr>
        <w:pStyle w:val="DTFHeading3"/>
      </w:pPr>
      <w:r>
        <w:fldChar w:fldCharType="end"/>
      </w:r>
      <w:r w:rsidR="00096661">
        <w:t xml:space="preserve">Authorities </w:t>
      </w:r>
    </w:p>
    <w:p w:rsidR="003D6E42" w:rsidRPr="00264410" w:rsidRDefault="003D6E42" w:rsidP="00264410">
      <w:pPr>
        <w:pStyle w:val="DTFBodyText"/>
        <w:rPr>
          <w:rStyle w:val="DTFItalic"/>
        </w:rPr>
      </w:pPr>
      <w:r w:rsidRPr="00264410">
        <w:rPr>
          <w:rStyle w:val="DTFItalic"/>
        </w:rPr>
        <w:t>Financial Management Act</w:t>
      </w:r>
    </w:p>
    <w:p w:rsidR="003D6E42" w:rsidRDefault="00096661" w:rsidP="00264410">
      <w:pPr>
        <w:pStyle w:val="DTFHeading3"/>
      </w:pPr>
      <w:r>
        <w:t xml:space="preserve">References </w:t>
      </w:r>
    </w:p>
    <w:p w:rsidR="003D6E42" w:rsidRPr="00557204" w:rsidRDefault="003D6E42" w:rsidP="00264410">
      <w:pPr>
        <w:pStyle w:val="DTFBodyText"/>
      </w:pPr>
      <w:r w:rsidRPr="00557204">
        <w:t xml:space="preserve">Related Treasurer’s Directions: </w:t>
      </w:r>
    </w:p>
    <w:p w:rsidR="008C402D" w:rsidRPr="008C402D" w:rsidRDefault="008C402D" w:rsidP="00264410">
      <w:pPr>
        <w:pStyle w:val="DTFBodyText"/>
      </w:pPr>
      <w:r w:rsidRPr="008C402D">
        <w:t>F3.3</w:t>
      </w:r>
      <w:r w:rsidRPr="008C402D">
        <w:tab/>
        <w:t>Fr</w:t>
      </w:r>
      <w:r>
        <w:t>amework – Legislative Structure</w:t>
      </w:r>
      <w:r w:rsidRPr="008C402D">
        <w:t>: Delegations</w:t>
      </w:r>
    </w:p>
    <w:p w:rsidR="008C402D" w:rsidRPr="008C402D" w:rsidRDefault="008C402D" w:rsidP="00264410">
      <w:pPr>
        <w:pStyle w:val="DTFBodyText"/>
      </w:pPr>
      <w:r w:rsidRPr="008C402D">
        <w:t>C1.1</w:t>
      </w:r>
      <w:r>
        <w:tab/>
        <w:t>Cash Management – Introduction</w:t>
      </w:r>
      <w:r w:rsidRPr="008C402D">
        <w:t>: Overview</w:t>
      </w:r>
    </w:p>
    <w:p w:rsidR="008C402D" w:rsidRPr="008C402D" w:rsidRDefault="008C402D" w:rsidP="00264410">
      <w:pPr>
        <w:pStyle w:val="DTFBodyText"/>
      </w:pPr>
      <w:r w:rsidRPr="008C402D">
        <w:t>C2.2</w:t>
      </w:r>
      <w:r w:rsidRPr="008C402D">
        <w:tab/>
        <w:t>Cash Management – Banking Arrangements: Bank Accounts</w:t>
      </w:r>
    </w:p>
    <w:p w:rsidR="008C402D" w:rsidRPr="008C402D" w:rsidRDefault="008C402D" w:rsidP="00264410">
      <w:pPr>
        <w:pStyle w:val="DTFBodyText"/>
      </w:pPr>
      <w:r w:rsidRPr="008C402D">
        <w:t>C3.1</w:t>
      </w:r>
      <w:r w:rsidRPr="008C402D">
        <w:tab/>
        <w:t>Cash Mana</w:t>
      </w:r>
      <w:r>
        <w:t>gement – Transaction Management</w:t>
      </w:r>
      <w:r w:rsidRPr="008C402D">
        <w:t>: Receipting</w:t>
      </w:r>
    </w:p>
    <w:p w:rsidR="008C402D" w:rsidRDefault="008C402D" w:rsidP="00264410">
      <w:pPr>
        <w:pStyle w:val="DTFBodyText"/>
      </w:pPr>
      <w:r w:rsidRPr="008C402D">
        <w:t>C3.2</w:t>
      </w:r>
      <w:r w:rsidRPr="008C402D">
        <w:tab/>
        <w:t>Cash Mana</w:t>
      </w:r>
      <w:r>
        <w:t>gement – Transaction Management</w:t>
      </w:r>
      <w:r w:rsidRPr="008C402D">
        <w:t>: Payments</w:t>
      </w:r>
    </w:p>
    <w:p w:rsidR="008C402D" w:rsidRPr="000D3C28" w:rsidRDefault="008C402D" w:rsidP="000D3C28">
      <w:pPr>
        <w:rPr>
          <w:rFonts w:eastAsiaTheme="majorEastAsia"/>
        </w:rPr>
      </w:pPr>
      <w:r>
        <w:br w:type="page"/>
      </w:r>
    </w:p>
    <w:p w:rsidR="00096661" w:rsidRDefault="008C402D" w:rsidP="00264410">
      <w:pPr>
        <w:pStyle w:val="DTFHeading2"/>
      </w:pPr>
      <w:bookmarkStart w:id="1" w:name="_Toc446321297"/>
      <w:r>
        <w:lastRenderedPageBreak/>
        <w:t>Central Banking Arrangements</w:t>
      </w:r>
      <w:bookmarkEnd w:id="1"/>
    </w:p>
    <w:tbl>
      <w:tblPr>
        <w:tblStyle w:val="TableGrid"/>
        <w:tblpPr w:leftFromText="181" w:rightFromText="181" w:bottomFromText="142" w:vertAnchor="text" w:tblpY="1"/>
        <w:tblOverlap w:val="never"/>
        <w:tblW w:w="0" w:type="auto"/>
        <w:tblBorders>
          <w:top w:val="single" w:sz="24" w:space="0" w:color="F1A673"/>
          <w:left w:val="none" w:sz="0" w:space="0" w:color="auto"/>
          <w:bottom w:val="single" w:sz="24" w:space="0" w:color="F1A67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ighlight box: C1.1.1"/>
      </w:tblPr>
      <w:tblGrid>
        <w:gridCol w:w="9638"/>
      </w:tblGrid>
      <w:tr w:rsidR="00D27C27" w:rsidTr="008C402D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:rsidR="00516254" w:rsidRDefault="008C402D" w:rsidP="00264410">
            <w:pPr>
              <w:pStyle w:val="DTFHeading3-HighlightText"/>
              <w:framePr w:hSpace="0" w:wrap="auto" w:vAnchor="margin" w:yAlign="inline"/>
              <w:suppressOverlap w:val="0"/>
            </w:pPr>
            <w:r>
              <w:t>C2.1.1</w:t>
            </w:r>
          </w:p>
          <w:p w:rsidR="00D27C27" w:rsidRPr="00161F19" w:rsidRDefault="008C402D" w:rsidP="00264410">
            <w:pPr>
              <w:pStyle w:val="DTFBodyText"/>
              <w:rPr>
                <w:rStyle w:val="DTFStrong"/>
              </w:rPr>
            </w:pPr>
            <w:r w:rsidRPr="00161F19">
              <w:rPr>
                <w:rStyle w:val="DTFStrong"/>
              </w:rPr>
              <w:t>The Northern Territory Government’s banking arrangements ar</w:t>
            </w:r>
            <w:r w:rsidR="00ED21E2" w:rsidRPr="00161F19">
              <w:rPr>
                <w:rStyle w:val="DTFStrong"/>
              </w:rPr>
              <w:t>e centralised under a whole of g</w:t>
            </w:r>
            <w:r w:rsidRPr="00161F19">
              <w:rPr>
                <w:rStyle w:val="DTFStrong"/>
              </w:rPr>
              <w:t>overnment Banking Contract.</w:t>
            </w:r>
          </w:p>
        </w:tc>
      </w:tr>
    </w:tbl>
    <w:p w:rsidR="008C402D" w:rsidRPr="00C12F3B" w:rsidRDefault="008C402D" w:rsidP="00810A69">
      <w:pPr>
        <w:pStyle w:val="DTFListNumber1-Roman"/>
      </w:pPr>
      <w:r w:rsidRPr="00C12F3B">
        <w:t>Bank</w:t>
      </w:r>
      <w:r w:rsidR="00330BA5">
        <w:t>ing services for all Territory a</w:t>
      </w:r>
      <w:r w:rsidRPr="00C12F3B">
        <w:t>gencies are managed under a central Banking Contract</w:t>
      </w:r>
      <w:r w:rsidR="00CB15FF" w:rsidRPr="00C12F3B">
        <w:t xml:space="preserve">. </w:t>
      </w:r>
      <w:r w:rsidRPr="00C12F3B">
        <w:t>This arrangement facilitates effective cash management and is a key fiscal strategy for the Territory.</w:t>
      </w:r>
    </w:p>
    <w:p w:rsidR="008C402D" w:rsidRPr="00C12F3B" w:rsidRDefault="008C402D" w:rsidP="00810A69">
      <w:pPr>
        <w:pStyle w:val="DTFListNumber1-Roman"/>
      </w:pPr>
      <w:r w:rsidRPr="00C12F3B">
        <w:t>The central Banking Contract is a legally binding agreement between the Norther</w:t>
      </w:r>
      <w:r w:rsidR="00330BA5">
        <w:t>n Territory Government and the b</w:t>
      </w:r>
      <w:r w:rsidRPr="00C12F3B">
        <w:t xml:space="preserve">anking </w:t>
      </w:r>
      <w:r w:rsidR="00330BA5">
        <w:t>p</w:t>
      </w:r>
      <w:r w:rsidRPr="00C12F3B">
        <w:t>rovider. The central Banking Cont</w:t>
      </w:r>
      <w:r w:rsidR="00EE3E03">
        <w:t>r</w:t>
      </w:r>
      <w:r w:rsidRPr="00C12F3B">
        <w:t>act establishes performance criteria, describes the fee structure and specifies the products and services available under the central Banking Contract</w:t>
      </w:r>
      <w:r w:rsidR="00CB15FF" w:rsidRPr="00C12F3B">
        <w:t xml:space="preserve">. </w:t>
      </w:r>
      <w:r w:rsidR="00330BA5">
        <w:t>The banking p</w:t>
      </w:r>
      <w:r w:rsidRPr="00C12F3B">
        <w:t>rovider is responsible for the provision of the products and services specified in the central Banking Contract.</w:t>
      </w:r>
    </w:p>
    <w:p w:rsidR="007C4145" w:rsidRDefault="007C4145" w:rsidP="00810A69">
      <w:pPr>
        <w:pStyle w:val="DTFListNumber1-Roman"/>
      </w:pPr>
      <w:r>
        <w:t>Treasury is responsible for whole of government banking poli</w:t>
      </w:r>
      <w:r w:rsidR="00FA6162">
        <w:t>cy and Department of Corporate and</w:t>
      </w:r>
      <w:r>
        <w:t xml:space="preserve"> Information Services (DCIS) manages the c</w:t>
      </w:r>
      <w:r w:rsidR="0022130D">
        <w:t>entral Banking Contract and day</w:t>
      </w:r>
      <w:r w:rsidR="005745A9">
        <w:t>-</w:t>
      </w:r>
      <w:r>
        <w:t>to</w:t>
      </w:r>
      <w:r w:rsidR="005745A9">
        <w:t>-</w:t>
      </w:r>
      <w:r>
        <w:t>day operational banking functions.</w:t>
      </w:r>
    </w:p>
    <w:p w:rsidR="007C4145" w:rsidRDefault="007C4145" w:rsidP="00810A69">
      <w:pPr>
        <w:pStyle w:val="DTFListNumber1-Roman"/>
      </w:pPr>
      <w:r>
        <w:t xml:space="preserve">The </w:t>
      </w:r>
      <w:r w:rsidRPr="00B63E04">
        <w:rPr>
          <w:rStyle w:val="DTFItalic"/>
        </w:rPr>
        <w:t>Financial Management Act</w:t>
      </w:r>
      <w:r>
        <w:t xml:space="preserve"> provides the legislative basis for banking arrange</w:t>
      </w:r>
      <w:r w:rsidR="00FA6162">
        <w:t>ments.  Treasurer’s Directions</w:t>
      </w:r>
      <w:r w:rsidR="00EE3E03">
        <w:t>C1.1</w:t>
      </w:r>
      <w:r>
        <w:t xml:space="preserve"> C2.2, C3.1, C3.2 and F3.3 provide instruction and guidance in relation to bank accounts, receipting, payments and delegations by the Treasurer.</w:t>
      </w:r>
    </w:p>
    <w:p w:rsidR="008C402D" w:rsidRDefault="008C402D" w:rsidP="00264410">
      <w:pPr>
        <w:pStyle w:val="DTFHeading2"/>
      </w:pPr>
      <w:bookmarkStart w:id="2" w:name="_Toc446321298"/>
      <w:r>
        <w:t>Banking Products and Services</w:t>
      </w:r>
      <w:bookmarkEnd w:id="2"/>
    </w:p>
    <w:tbl>
      <w:tblPr>
        <w:tblStyle w:val="TableGrid"/>
        <w:tblpPr w:leftFromText="181" w:rightFromText="181" w:bottomFromText="142" w:vertAnchor="text" w:tblpY="1"/>
        <w:tblOverlap w:val="never"/>
        <w:tblW w:w="0" w:type="auto"/>
        <w:tblBorders>
          <w:top w:val="single" w:sz="24" w:space="0" w:color="F1A673"/>
          <w:left w:val="none" w:sz="0" w:space="0" w:color="auto"/>
          <w:bottom w:val="single" w:sz="24" w:space="0" w:color="F1A67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ighlight box: C1.1.1"/>
      </w:tblPr>
      <w:tblGrid>
        <w:gridCol w:w="9638"/>
      </w:tblGrid>
      <w:tr w:rsidR="008C402D" w:rsidTr="00821583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:rsidR="008C402D" w:rsidRDefault="008C402D" w:rsidP="00264410">
            <w:pPr>
              <w:pStyle w:val="DTFHeading3-HighlightText"/>
              <w:framePr w:hSpace="0" w:wrap="auto" w:vAnchor="margin" w:yAlign="inline"/>
              <w:suppressOverlap w:val="0"/>
            </w:pPr>
            <w:r>
              <w:t>C2.1.2</w:t>
            </w:r>
          </w:p>
          <w:p w:rsidR="008C402D" w:rsidRPr="00161F19" w:rsidRDefault="008C402D" w:rsidP="00264410">
            <w:pPr>
              <w:pStyle w:val="DTFBodyText"/>
              <w:rPr>
                <w:rStyle w:val="DTFStrong"/>
              </w:rPr>
            </w:pPr>
            <w:r w:rsidRPr="00161F19">
              <w:rPr>
                <w:rStyle w:val="DTFStrong"/>
              </w:rPr>
              <w:t>Agencies are to only use those banking products and services provided under the central Banking Contract.</w:t>
            </w:r>
          </w:p>
        </w:tc>
      </w:tr>
    </w:tbl>
    <w:p w:rsidR="008C402D" w:rsidRPr="000576EF" w:rsidRDefault="008C402D" w:rsidP="00810A69">
      <w:pPr>
        <w:pStyle w:val="ListNumber1-Roman"/>
        <w:numPr>
          <w:ilvl w:val="0"/>
          <w:numId w:val="23"/>
        </w:numPr>
      </w:pPr>
      <w:r w:rsidRPr="000576EF">
        <w:t>The central Banking Contract provides access to a wide range of</w:t>
      </w:r>
      <w:r w:rsidR="0022130D">
        <w:t xml:space="preserve"> products and services to suit a</w:t>
      </w:r>
      <w:r w:rsidRPr="000576EF">
        <w:t>gency requirements</w:t>
      </w:r>
      <w:r w:rsidR="00CB15FF" w:rsidRPr="000576EF">
        <w:t xml:space="preserve">. </w:t>
      </w:r>
      <w:r w:rsidRPr="000576EF">
        <w:t>Agencies may utilise the banking products and services provided under the central Banking</w:t>
      </w:r>
      <w:r w:rsidR="0022130D">
        <w:t xml:space="preserve"> Contract that are relevant to a</w:t>
      </w:r>
      <w:r w:rsidRPr="000576EF">
        <w:t>gency needs</w:t>
      </w:r>
      <w:r w:rsidR="00CB15FF" w:rsidRPr="000576EF">
        <w:t xml:space="preserve">. </w:t>
      </w:r>
      <w:r w:rsidRPr="000576EF">
        <w:t xml:space="preserve">Agencies are not permitted to use banking products and services from alternative providers without </w:t>
      </w:r>
      <w:r w:rsidR="000D0852">
        <w:t xml:space="preserve">first consulting with DCIS </w:t>
      </w:r>
      <w:r w:rsidR="007A6CE0">
        <w:t xml:space="preserve">and </w:t>
      </w:r>
      <w:r w:rsidRPr="000576EF">
        <w:t>prior approval</w:t>
      </w:r>
      <w:r w:rsidR="007A6CE0">
        <w:t xml:space="preserve"> provided by </w:t>
      </w:r>
      <w:r w:rsidR="000D0852">
        <w:t>the Under Treasurer</w:t>
      </w:r>
      <w:r w:rsidR="00CB15FF" w:rsidRPr="000576EF">
        <w:t xml:space="preserve">. </w:t>
      </w:r>
    </w:p>
    <w:p w:rsidR="008C402D" w:rsidRPr="00913F14" w:rsidRDefault="008C402D" w:rsidP="00810A69">
      <w:pPr>
        <w:pStyle w:val="DTFListNumber1-Roman"/>
      </w:pPr>
      <w:r w:rsidRPr="00913F14">
        <w:t>A list of the key products and services provided under the central Banking Contract is at Appendix A.</w:t>
      </w:r>
    </w:p>
    <w:tbl>
      <w:tblPr>
        <w:tblStyle w:val="TableGrid"/>
        <w:tblpPr w:leftFromText="181" w:rightFromText="181" w:bottomFromText="142" w:vertAnchor="text" w:tblpY="1"/>
        <w:tblOverlap w:val="never"/>
        <w:tblW w:w="0" w:type="auto"/>
        <w:tblBorders>
          <w:top w:val="single" w:sz="24" w:space="0" w:color="F1A673"/>
          <w:left w:val="none" w:sz="0" w:space="0" w:color="auto"/>
          <w:bottom w:val="single" w:sz="24" w:space="0" w:color="F1A67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ighlight box: C1.1.1"/>
      </w:tblPr>
      <w:tblGrid>
        <w:gridCol w:w="9638"/>
      </w:tblGrid>
      <w:tr w:rsidR="00000CF5" w:rsidTr="00821583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:rsidR="00000CF5" w:rsidRDefault="00000CF5" w:rsidP="00264410">
            <w:pPr>
              <w:pStyle w:val="DTFHeading3-HighlightText"/>
              <w:framePr w:hSpace="0" w:wrap="auto" w:vAnchor="margin" w:yAlign="inline"/>
              <w:suppressOverlap w:val="0"/>
            </w:pPr>
            <w:r>
              <w:t>C2.1.3</w:t>
            </w:r>
          </w:p>
          <w:p w:rsidR="00000CF5" w:rsidRPr="00161F19" w:rsidRDefault="007A6CE0" w:rsidP="007A6CE0">
            <w:pPr>
              <w:pStyle w:val="DTFBodyText"/>
              <w:rPr>
                <w:rStyle w:val="DTFStrong"/>
              </w:rPr>
            </w:pPr>
            <w:r w:rsidRPr="00161F19">
              <w:rPr>
                <w:rStyle w:val="DTFStrong"/>
              </w:rPr>
              <w:t>Each</w:t>
            </w:r>
            <w:r w:rsidR="0022130D" w:rsidRPr="00161F19">
              <w:rPr>
                <w:rStyle w:val="DTFStrong"/>
              </w:rPr>
              <w:t xml:space="preserve"> agency is to seek prior approval from the Under Treasurer to use banking products and services not included in the central Banking Contract.</w:t>
            </w:r>
          </w:p>
        </w:tc>
      </w:tr>
    </w:tbl>
    <w:p w:rsidR="000D0852" w:rsidRDefault="000D0852" w:rsidP="00810A69">
      <w:pPr>
        <w:pStyle w:val="ListNumber1-Roman"/>
        <w:numPr>
          <w:ilvl w:val="0"/>
          <w:numId w:val="24"/>
        </w:numPr>
      </w:pPr>
      <w:r w:rsidRPr="00913F14">
        <w:t xml:space="preserve">The central Banking Contract does not limit the Territory’s right to obtain banking products and services from </w:t>
      </w:r>
      <w:r w:rsidR="00252671">
        <w:t xml:space="preserve">the banking provider or </w:t>
      </w:r>
      <w:r w:rsidRPr="00913F14">
        <w:t>alternative providers where those products and services are not included in the central Banking Contract.</w:t>
      </w:r>
    </w:p>
    <w:p w:rsidR="007A6CE0" w:rsidRDefault="00000CF5" w:rsidP="00810A69">
      <w:pPr>
        <w:pStyle w:val="ListNumber1-Roman"/>
        <w:numPr>
          <w:ilvl w:val="0"/>
          <w:numId w:val="24"/>
        </w:numPr>
      </w:pPr>
      <w:r w:rsidRPr="000576EF">
        <w:t>DCIS is re</w:t>
      </w:r>
      <w:r w:rsidR="0022130D">
        <w:t>sponsible for liaison with the banking p</w:t>
      </w:r>
      <w:r w:rsidRPr="000576EF">
        <w:t xml:space="preserve">rovider </w:t>
      </w:r>
      <w:r w:rsidR="00252671">
        <w:t xml:space="preserve">and alternative providers </w:t>
      </w:r>
      <w:r w:rsidRPr="000576EF">
        <w:t>regarding the establishment of new banking products and services</w:t>
      </w:r>
      <w:r w:rsidR="00CB15FF" w:rsidRPr="000576EF">
        <w:t>.</w:t>
      </w:r>
    </w:p>
    <w:p w:rsidR="00252671" w:rsidRDefault="007A6CE0" w:rsidP="00810A69">
      <w:pPr>
        <w:pStyle w:val="ListNumber1-Roman"/>
        <w:numPr>
          <w:ilvl w:val="0"/>
          <w:numId w:val="24"/>
        </w:numPr>
      </w:pPr>
      <w:r>
        <w:lastRenderedPageBreak/>
        <w:t xml:space="preserve">Agencies must consult with DCIS where there is a requirement to </w:t>
      </w:r>
      <w:r w:rsidRPr="000576EF">
        <w:t>use banking products and services provided by the banking provider</w:t>
      </w:r>
      <w:r>
        <w:t xml:space="preserve"> or an alternative provider</w:t>
      </w:r>
      <w:r w:rsidRPr="000576EF">
        <w:t xml:space="preserve"> that are not included in the central Banking Contrac</w:t>
      </w:r>
      <w:r>
        <w:t>t</w:t>
      </w:r>
    </w:p>
    <w:p w:rsidR="00000CF5" w:rsidRPr="00913F14" w:rsidRDefault="007A6CE0" w:rsidP="00FC4F34">
      <w:pPr>
        <w:pStyle w:val="ListNumber1-Roman"/>
        <w:numPr>
          <w:ilvl w:val="0"/>
          <w:numId w:val="24"/>
        </w:numPr>
      </w:pPr>
      <w:r>
        <w:t>Approval from the Under Treasurer is required prior to negotiations commencing with the banking or alternative provider.</w:t>
      </w:r>
    </w:p>
    <w:p w:rsidR="00000CF5" w:rsidRDefault="00000CF5" w:rsidP="00FF381A">
      <w:pPr>
        <w:pStyle w:val="DTFHeading2"/>
      </w:pPr>
      <w:bookmarkStart w:id="3" w:name="_Toc446321299"/>
      <w:r>
        <w:t>Payment of Bank Fees a</w:t>
      </w:r>
      <w:r w:rsidRPr="00000CF5">
        <w:t>nd Charges</w:t>
      </w:r>
      <w:bookmarkEnd w:id="3"/>
    </w:p>
    <w:tbl>
      <w:tblPr>
        <w:tblStyle w:val="TableGrid"/>
        <w:tblpPr w:leftFromText="181" w:rightFromText="181" w:bottomFromText="142" w:vertAnchor="text" w:tblpY="1"/>
        <w:tblOverlap w:val="never"/>
        <w:tblW w:w="0" w:type="auto"/>
        <w:tblBorders>
          <w:top w:val="single" w:sz="24" w:space="0" w:color="F1A673"/>
          <w:left w:val="none" w:sz="0" w:space="0" w:color="auto"/>
          <w:bottom w:val="single" w:sz="24" w:space="0" w:color="F1A67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Highlight box: C1.1.1"/>
      </w:tblPr>
      <w:tblGrid>
        <w:gridCol w:w="9638"/>
      </w:tblGrid>
      <w:tr w:rsidR="00000CF5" w:rsidTr="00821583">
        <w:trPr>
          <w:tblHeader/>
        </w:trPr>
        <w:tc>
          <w:tcPr>
            <w:tcW w:w="9638" w:type="dxa"/>
            <w:tcMar>
              <w:left w:w="0" w:type="dxa"/>
              <w:right w:w="0" w:type="dxa"/>
            </w:tcMar>
            <w:vAlign w:val="center"/>
          </w:tcPr>
          <w:p w:rsidR="00000CF5" w:rsidRDefault="00000CF5" w:rsidP="00FF381A">
            <w:pPr>
              <w:pStyle w:val="DTFHeading3-HighlightText"/>
              <w:framePr w:hSpace="0" w:wrap="auto" w:vAnchor="margin" w:yAlign="inline"/>
              <w:suppressOverlap w:val="0"/>
            </w:pPr>
            <w:r>
              <w:t>C2.1.4</w:t>
            </w:r>
          </w:p>
          <w:p w:rsidR="00000CF5" w:rsidRPr="00161F19" w:rsidRDefault="00000CF5" w:rsidP="00FF381A">
            <w:pPr>
              <w:pStyle w:val="DTFBodyText"/>
              <w:rPr>
                <w:rStyle w:val="DTFStrong"/>
              </w:rPr>
            </w:pPr>
            <w:r w:rsidRPr="00161F19">
              <w:rPr>
                <w:rStyle w:val="DTFStrong"/>
              </w:rPr>
              <w:t>Payment of fees and charges associated with the provision of banking products and service</w:t>
            </w:r>
            <w:r w:rsidR="0022130D" w:rsidRPr="00161F19">
              <w:rPr>
                <w:rStyle w:val="DTFStrong"/>
              </w:rPr>
              <w:t>s is the responsibility of the a</w:t>
            </w:r>
            <w:r w:rsidRPr="00161F19">
              <w:rPr>
                <w:rStyle w:val="DTFStrong"/>
              </w:rPr>
              <w:t>gency receiving the benefit of the product or service.</w:t>
            </w:r>
          </w:p>
        </w:tc>
      </w:tr>
    </w:tbl>
    <w:p w:rsidR="00000CF5" w:rsidRPr="000576EF" w:rsidRDefault="00000CF5" w:rsidP="00810A69">
      <w:pPr>
        <w:pStyle w:val="ListNumber1-Roman"/>
        <w:numPr>
          <w:ilvl w:val="0"/>
          <w:numId w:val="25"/>
        </w:numPr>
      </w:pPr>
      <w:r w:rsidRPr="000576EF">
        <w:t>Fees and charge</w:t>
      </w:r>
      <w:r w:rsidR="0022130D">
        <w:t>s relating to the operation of a</w:t>
      </w:r>
      <w:r w:rsidRPr="000576EF">
        <w:t>gency bank accounts and banking products and services provided under the central Banking Contract will be charged at the rates designated in the central Banking Contract.</w:t>
      </w:r>
    </w:p>
    <w:p w:rsidR="00000CF5" w:rsidRPr="004A7E88" w:rsidRDefault="00000CF5" w:rsidP="00810A69">
      <w:pPr>
        <w:pStyle w:val="DTFListNumber1-Roman"/>
      </w:pPr>
      <w:r w:rsidRPr="004A7E88">
        <w:t>Transaction fees relating to the provision of banki</w:t>
      </w:r>
      <w:r w:rsidR="0022130D">
        <w:t>ng products and services to an a</w:t>
      </w:r>
      <w:r w:rsidRPr="004A7E88">
        <w:t xml:space="preserve">gency will </w:t>
      </w:r>
      <w:r w:rsidR="0022130D">
        <w:t>be automatically debited to the a</w:t>
      </w:r>
      <w:r w:rsidRPr="004A7E88">
        <w:t>gency</w:t>
      </w:r>
      <w:r w:rsidR="00CB15FF" w:rsidRPr="004A7E88">
        <w:t xml:space="preserve">. </w:t>
      </w:r>
      <w:r w:rsidRPr="004A7E88">
        <w:t>Examples of services for which transaction fees are charged include:</w:t>
      </w:r>
    </w:p>
    <w:p w:rsidR="00000CF5" w:rsidRPr="00913F14" w:rsidRDefault="00000CF5" w:rsidP="00FF381A">
      <w:pPr>
        <w:pStyle w:val="DTFListBullet2-Black"/>
      </w:pPr>
      <w:r w:rsidRPr="00913F14">
        <w:t>account keeping;</w:t>
      </w:r>
    </w:p>
    <w:p w:rsidR="00000CF5" w:rsidRPr="00913F14" w:rsidRDefault="00000CF5" w:rsidP="00FF381A">
      <w:pPr>
        <w:pStyle w:val="DTFListBullet2-Black"/>
      </w:pPr>
      <w:r w:rsidRPr="00913F14">
        <w:t>electronic debits;</w:t>
      </w:r>
    </w:p>
    <w:p w:rsidR="00000CF5" w:rsidRPr="00913F14" w:rsidRDefault="00000CF5" w:rsidP="00FF381A">
      <w:pPr>
        <w:pStyle w:val="DTFListBullet2-Black"/>
      </w:pPr>
      <w:r w:rsidRPr="00913F14">
        <w:t>electronic credits;</w:t>
      </w:r>
    </w:p>
    <w:p w:rsidR="00000CF5" w:rsidRPr="00913F14" w:rsidRDefault="00000CF5" w:rsidP="00FF381A">
      <w:pPr>
        <w:pStyle w:val="DTFListBullet2-Black"/>
      </w:pPr>
      <w:r w:rsidRPr="00913F14">
        <w:t>stop payments; and</w:t>
      </w:r>
    </w:p>
    <w:p w:rsidR="00000CF5" w:rsidRPr="00913F14" w:rsidRDefault="00000CF5" w:rsidP="00FF381A">
      <w:pPr>
        <w:pStyle w:val="DTFListBullet2-Black"/>
      </w:pPr>
      <w:r w:rsidRPr="00913F14">
        <w:t>deposit books.</w:t>
      </w:r>
    </w:p>
    <w:p w:rsidR="00000CF5" w:rsidRPr="00913F14" w:rsidRDefault="00000CF5" w:rsidP="00810A69">
      <w:pPr>
        <w:pStyle w:val="DTFListNumber1-Roman"/>
      </w:pPr>
      <w:r w:rsidRPr="00913F14">
        <w:t>Banking products and services that also attract fees and charges include:</w:t>
      </w:r>
    </w:p>
    <w:p w:rsidR="00000CF5" w:rsidRDefault="0022130D" w:rsidP="00FF381A">
      <w:pPr>
        <w:pStyle w:val="DTFListBullet2-Black"/>
      </w:pPr>
      <w:r>
        <w:t>m</w:t>
      </w:r>
      <w:r w:rsidR="00000CF5">
        <w:t xml:space="preserve">erchant facilities – terminal rental and merchant fees for credit card, debit card and Electronic Funds Transfer </w:t>
      </w:r>
      <w:r>
        <w:t>Point o</w:t>
      </w:r>
      <w:r w:rsidR="00000CF5">
        <w:t>f Sale (EFTPOS) transactions;</w:t>
      </w:r>
    </w:p>
    <w:p w:rsidR="00000CF5" w:rsidRDefault="00000CF5" w:rsidP="00FF381A">
      <w:pPr>
        <w:pStyle w:val="DTFListBullet2-Black"/>
      </w:pPr>
      <w:r>
        <w:t>BPay – transaction and merchant fees; and</w:t>
      </w:r>
    </w:p>
    <w:p w:rsidR="00000CF5" w:rsidRDefault="0022130D" w:rsidP="00FF381A">
      <w:pPr>
        <w:pStyle w:val="DTFListBullet2-Black"/>
      </w:pPr>
      <w:r>
        <w:t>pay o</w:t>
      </w:r>
      <w:r w:rsidR="00000CF5">
        <w:t>nline – establishment, transaction and merchant fees.</w:t>
      </w:r>
    </w:p>
    <w:p w:rsidR="003F15C1" w:rsidRDefault="003F15C1">
      <w:pPr>
        <w:tabs>
          <w:tab w:val="clear" w:pos="709"/>
          <w:tab w:val="clear" w:pos="1276"/>
          <w:tab w:val="clear" w:pos="4536"/>
        </w:tabs>
        <w:spacing w:after="0"/>
        <w:rPr>
          <w:rFonts w:eastAsiaTheme="majorEastAsia"/>
          <w:b/>
          <w:bCs/>
          <w:iCs/>
          <w:color w:val="606060"/>
          <w:sz w:val="28"/>
          <w:szCs w:val="28"/>
        </w:rPr>
      </w:pPr>
      <w:bookmarkStart w:id="4" w:name="_Toc446321300"/>
      <w:r>
        <w:br w:type="page"/>
      </w:r>
    </w:p>
    <w:p w:rsidR="00A54D83" w:rsidRDefault="00A54D83" w:rsidP="00FF381A">
      <w:pPr>
        <w:pStyle w:val="DTFHeading2"/>
      </w:pPr>
      <w:r>
        <w:lastRenderedPageBreak/>
        <w:t>Appendix A</w:t>
      </w:r>
      <w:r w:rsidR="008364AC">
        <w:t xml:space="preserve">: </w:t>
      </w:r>
      <w:r w:rsidR="00000CF5" w:rsidRPr="00000CF5">
        <w:t>Key Central Banking Contract Produc</w:t>
      </w:r>
      <w:r w:rsidR="00000CF5">
        <w:t>ts a</w:t>
      </w:r>
      <w:r w:rsidR="00000CF5" w:rsidRPr="00000CF5">
        <w:t>nd Services</w:t>
      </w:r>
      <w:bookmarkEnd w:id="4"/>
    </w:p>
    <w:p w:rsidR="00000CF5" w:rsidRPr="00460E7F" w:rsidRDefault="00000CF5" w:rsidP="00FF381A">
      <w:pPr>
        <w:pStyle w:val="DTFHeading4"/>
      </w:pPr>
      <w:r w:rsidRPr="00460E7F">
        <w:t>Payment Products</w:t>
      </w:r>
    </w:p>
    <w:p w:rsidR="00EE3E03" w:rsidRPr="00FF381A" w:rsidRDefault="00EE3E03" w:rsidP="00EE3E03">
      <w:pPr>
        <w:pStyle w:val="DTFBodyText"/>
      </w:pPr>
      <w:r>
        <w:rPr>
          <w:rStyle w:val="DTFStrong"/>
        </w:rPr>
        <w:t>Corporate credit c</w:t>
      </w:r>
      <w:r w:rsidRPr="00FF381A">
        <w:rPr>
          <w:rStyle w:val="DTFStrong"/>
        </w:rPr>
        <w:t>ards</w:t>
      </w:r>
      <w:r w:rsidRPr="00FF381A">
        <w:t xml:space="preserve"> – a payment method that allows for the direct pay</w:t>
      </w:r>
      <w:r>
        <w:t>ment for goods and services by a</w:t>
      </w:r>
      <w:r w:rsidRPr="00FF381A">
        <w:t>gencies.</w:t>
      </w:r>
    </w:p>
    <w:p w:rsidR="00000CF5" w:rsidRPr="00FF381A" w:rsidRDefault="00556D40" w:rsidP="00FF381A">
      <w:pPr>
        <w:pStyle w:val="DTFBodyText"/>
      </w:pPr>
      <w:r>
        <w:rPr>
          <w:rStyle w:val="DTFStrong"/>
        </w:rPr>
        <w:t>Payments s</w:t>
      </w:r>
      <w:r w:rsidR="00000CF5" w:rsidRPr="00FF381A">
        <w:rPr>
          <w:rStyle w:val="DTFStrong"/>
        </w:rPr>
        <w:t>ervice</w:t>
      </w:r>
      <w:r w:rsidR="00000CF5" w:rsidRPr="00FF381A">
        <w:t xml:space="preserve"> – an automated servic</w:t>
      </w:r>
      <w:r w:rsidR="0022130D">
        <w:t>e for processing a</w:t>
      </w:r>
      <w:r w:rsidR="00000CF5" w:rsidRPr="00FF381A">
        <w:t>gency payments to suppliers and others, through either electronic funds transfers (EFT) or cheques.</w:t>
      </w:r>
    </w:p>
    <w:p w:rsidR="00000CF5" w:rsidRPr="00A03031" w:rsidRDefault="00A03031" w:rsidP="00FF381A">
      <w:pPr>
        <w:pStyle w:val="DTFHeading4"/>
      </w:pPr>
      <w:r w:rsidRPr="00A03031">
        <w:t>Receipting Products</w:t>
      </w:r>
    </w:p>
    <w:p w:rsidR="00000CF5" w:rsidRPr="00FF381A" w:rsidRDefault="00000CF5" w:rsidP="00FF381A">
      <w:pPr>
        <w:pStyle w:val="DTFBodyText"/>
      </w:pPr>
      <w:r w:rsidRPr="00FF381A">
        <w:rPr>
          <w:rStyle w:val="DTFStrong"/>
        </w:rPr>
        <w:t>BPay</w:t>
      </w:r>
      <w:r w:rsidRPr="00FF381A">
        <w:t xml:space="preserve"> – receipting facility for receipts from custom</w:t>
      </w:r>
      <w:r w:rsidR="0022130D">
        <w:t>ers either over the phone or on</w:t>
      </w:r>
      <w:r w:rsidRPr="00FF381A">
        <w:t>line.</w:t>
      </w:r>
    </w:p>
    <w:p w:rsidR="00EE3E03" w:rsidRPr="00FF381A" w:rsidRDefault="00EE3E03" w:rsidP="00EE3E03">
      <w:pPr>
        <w:pStyle w:val="DTFBodyText"/>
      </w:pPr>
      <w:r w:rsidRPr="00FF381A">
        <w:rPr>
          <w:rStyle w:val="DTFStrong"/>
        </w:rPr>
        <w:t xml:space="preserve">Direct </w:t>
      </w:r>
      <w:r>
        <w:rPr>
          <w:rStyle w:val="DTFStrong"/>
        </w:rPr>
        <w:t>debit f</w:t>
      </w:r>
      <w:r w:rsidRPr="00FF381A">
        <w:rPr>
          <w:rStyle w:val="DTFStrong"/>
        </w:rPr>
        <w:t>acility</w:t>
      </w:r>
      <w:r w:rsidRPr="00FF381A">
        <w:t xml:space="preserve"> – processes electronic receipts directly to </w:t>
      </w:r>
      <w:r>
        <w:t>a</w:t>
      </w:r>
      <w:r w:rsidRPr="00FF381A">
        <w:t>gency bank accounts from registered customers’ bank accounts.</w:t>
      </w:r>
    </w:p>
    <w:p w:rsidR="00EE3E03" w:rsidRPr="00FF381A" w:rsidRDefault="00EE3E03" w:rsidP="00EE3E03">
      <w:pPr>
        <w:pStyle w:val="DTFBodyText"/>
      </w:pPr>
      <w:r>
        <w:rPr>
          <w:rStyle w:val="DTFStrong"/>
        </w:rPr>
        <w:t>Express business d</w:t>
      </w:r>
      <w:r w:rsidRPr="00FF381A">
        <w:rPr>
          <w:rStyle w:val="DTFStrong"/>
        </w:rPr>
        <w:t>eposits</w:t>
      </w:r>
      <w:r w:rsidRPr="00FF381A">
        <w:t xml:space="preserve"> – facility that provides for the safe, secure and efficient deposit</w:t>
      </w:r>
      <w:r>
        <w:t xml:space="preserve"> of money with the Territory’s b</w:t>
      </w:r>
      <w:r w:rsidRPr="00FF381A">
        <w:t xml:space="preserve">anking </w:t>
      </w:r>
      <w:r>
        <w:t>p</w:t>
      </w:r>
      <w:r w:rsidRPr="00FF381A">
        <w:t>rovider.</w:t>
      </w:r>
    </w:p>
    <w:p w:rsidR="00EE3E03" w:rsidRPr="00FF381A" w:rsidRDefault="00EE3E03" w:rsidP="00EE3E03">
      <w:pPr>
        <w:pStyle w:val="DTFBodyText"/>
      </w:pPr>
      <w:r w:rsidRPr="00B25A9F">
        <w:rPr>
          <w:rStyle w:val="DTFStrong"/>
        </w:rPr>
        <w:t>Merch</w:t>
      </w:r>
      <w:r>
        <w:rPr>
          <w:rStyle w:val="DTFStrong"/>
        </w:rPr>
        <w:t>ant f</w:t>
      </w:r>
      <w:r w:rsidRPr="00B25A9F">
        <w:rPr>
          <w:rStyle w:val="DTFStrong"/>
        </w:rPr>
        <w:t>acilities</w:t>
      </w:r>
      <w:r w:rsidRPr="00FF381A">
        <w:rPr>
          <w:rStyle w:val="DTFStrong"/>
        </w:rPr>
        <w:t xml:space="preserve"> </w:t>
      </w:r>
      <w:r w:rsidRPr="00B25A9F">
        <w:t xml:space="preserve">– an automated receipting product used for processing credit card and </w:t>
      </w:r>
      <w:r w:rsidRPr="00FF381A">
        <w:t>EFTPOS receipts.</w:t>
      </w:r>
    </w:p>
    <w:p w:rsidR="00000CF5" w:rsidRPr="00FF381A" w:rsidRDefault="00FA6162" w:rsidP="00FF381A">
      <w:pPr>
        <w:pStyle w:val="DTFBodyText"/>
      </w:pPr>
      <w:r>
        <w:rPr>
          <w:rStyle w:val="DTFStrong"/>
        </w:rPr>
        <w:t>Pay o</w:t>
      </w:r>
      <w:r w:rsidR="00000CF5" w:rsidRPr="00FF381A">
        <w:rPr>
          <w:rStyle w:val="DTFStrong"/>
        </w:rPr>
        <w:t>nline</w:t>
      </w:r>
      <w:r w:rsidR="0022130D">
        <w:t xml:space="preserve"> – on</w:t>
      </w:r>
      <w:r w:rsidR="00000CF5" w:rsidRPr="00FF381A">
        <w:t>line</w:t>
      </w:r>
      <w:r w:rsidR="0056034A">
        <w:t xml:space="preserve"> payment/</w:t>
      </w:r>
      <w:r w:rsidR="00000CF5" w:rsidRPr="00FF381A">
        <w:t xml:space="preserve"> receipting facility for customers relating to invoice/billed amounts.</w:t>
      </w:r>
    </w:p>
    <w:p w:rsidR="00000CF5" w:rsidRPr="00FF381A" w:rsidRDefault="0022130D" w:rsidP="00FF381A">
      <w:pPr>
        <w:pStyle w:val="DTFBodyText"/>
      </w:pPr>
      <w:r>
        <w:rPr>
          <w:rStyle w:val="DTFStrong"/>
        </w:rPr>
        <w:t>Phone i</w:t>
      </w:r>
      <w:r w:rsidR="00000CF5" w:rsidRPr="00FF381A">
        <w:rPr>
          <w:rStyle w:val="DTFStrong"/>
        </w:rPr>
        <w:t>nteractive voice response (IVR)</w:t>
      </w:r>
      <w:r w:rsidR="00000CF5" w:rsidRPr="00FF381A">
        <w:t xml:space="preserve"> – automated voice response system for credit card receipts from customers over the phone.</w:t>
      </w:r>
    </w:p>
    <w:p w:rsidR="00000CF5" w:rsidRPr="00FF381A" w:rsidRDefault="000D3C28" w:rsidP="00FF381A">
      <w:pPr>
        <w:pStyle w:val="DTFHeading4"/>
      </w:pPr>
      <w:r w:rsidRPr="00FF381A">
        <w:t>Other Products and Services</w:t>
      </w:r>
    </w:p>
    <w:p w:rsidR="00EE3E03" w:rsidRPr="00FF381A" w:rsidRDefault="00EE3E03" w:rsidP="00EE3E03">
      <w:pPr>
        <w:pStyle w:val="DTFBodyText"/>
      </w:pPr>
      <w:r>
        <w:rPr>
          <w:rStyle w:val="DTFStrong"/>
        </w:rPr>
        <w:t>Online b</w:t>
      </w:r>
      <w:r w:rsidRPr="00FF381A">
        <w:rPr>
          <w:rStyle w:val="DTFStrong"/>
        </w:rPr>
        <w:t>anking</w:t>
      </w:r>
      <w:r w:rsidRPr="00FF381A">
        <w:t xml:space="preserve"> – electroni</w:t>
      </w:r>
      <w:r>
        <w:t>c banking software, comprising direct entry transmission, a</w:t>
      </w:r>
      <w:r w:rsidRPr="00FF381A">
        <w:t>ccount</w:t>
      </w:r>
      <w:r>
        <w:t> i</w:t>
      </w:r>
      <w:r w:rsidRPr="00FF381A">
        <w:t xml:space="preserve">nformation and </w:t>
      </w:r>
      <w:r>
        <w:t xml:space="preserve">domestic/international </w:t>
      </w:r>
      <w:r w:rsidRPr="00FF381A">
        <w:t>EFT</w:t>
      </w:r>
      <w:r>
        <w:t>s</w:t>
      </w:r>
      <w:r w:rsidRPr="00FF381A">
        <w:t>.</w:t>
      </w:r>
    </w:p>
    <w:p w:rsidR="00EE3E03" w:rsidRPr="00FF381A" w:rsidRDefault="00EE3E03" w:rsidP="00EE3E03">
      <w:pPr>
        <w:pStyle w:val="DTFBodyText"/>
      </w:pPr>
      <w:r w:rsidRPr="00FF381A">
        <w:rPr>
          <w:rStyle w:val="DTFStrong"/>
        </w:rPr>
        <w:t>Saf</w:t>
      </w:r>
      <w:bookmarkStart w:id="5" w:name="_GoBack"/>
      <w:bookmarkEnd w:id="5"/>
      <w:r w:rsidRPr="00FF381A">
        <w:rPr>
          <w:rStyle w:val="DTFStrong"/>
        </w:rPr>
        <w:t xml:space="preserve">e </w:t>
      </w:r>
      <w:r>
        <w:rPr>
          <w:rStyle w:val="DTFStrong"/>
        </w:rPr>
        <w:t>c</w:t>
      </w:r>
      <w:r w:rsidRPr="00FF381A">
        <w:rPr>
          <w:rStyle w:val="DTFStrong"/>
        </w:rPr>
        <w:t>ustody</w:t>
      </w:r>
      <w:r w:rsidRPr="00FF381A">
        <w:t xml:space="preserve"> – facility that provides for the secure storage of important and confidential documents.</w:t>
      </w:r>
    </w:p>
    <w:p w:rsidR="00000CF5" w:rsidRPr="00FF381A" w:rsidRDefault="0022130D" w:rsidP="00FF381A">
      <w:pPr>
        <w:pStyle w:val="DTFBodyText"/>
      </w:pPr>
      <w:r>
        <w:rPr>
          <w:rStyle w:val="DTFStrong"/>
        </w:rPr>
        <w:t>Set-off and sweep f</w:t>
      </w:r>
      <w:r w:rsidR="00000CF5" w:rsidRPr="00FF381A">
        <w:rPr>
          <w:rStyle w:val="DTFStrong"/>
        </w:rPr>
        <w:t>acilities</w:t>
      </w:r>
      <w:r w:rsidR="00000CF5" w:rsidRPr="00FF381A">
        <w:t xml:space="preserve"> – facility that aggregates</w:t>
      </w:r>
      <w:r>
        <w:t xml:space="preserve"> credit and debit balances in a</w:t>
      </w:r>
      <w:r w:rsidR="00000CF5" w:rsidRPr="00FF381A">
        <w:t xml:space="preserve">gency bank accounts on a daily basis enabling the investment of surplus funds. </w:t>
      </w:r>
    </w:p>
    <w:p w:rsidR="00A82C00" w:rsidRPr="00FF381A" w:rsidRDefault="00A82C00" w:rsidP="00EE3E03">
      <w:pPr>
        <w:pStyle w:val="DTFBodyText"/>
      </w:pPr>
    </w:p>
    <w:sectPr w:rsidR="00A82C00" w:rsidRPr="00FF381A" w:rsidSect="006D576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06" w:right="1134" w:bottom="993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02D" w:rsidRDefault="008C402D" w:rsidP="00557204">
      <w:r>
        <w:separator/>
      </w:r>
    </w:p>
    <w:p w:rsidR="008C402D" w:rsidRDefault="008C402D" w:rsidP="00557204"/>
    <w:p w:rsidR="008C402D" w:rsidRDefault="008C402D" w:rsidP="00557204"/>
  </w:endnote>
  <w:endnote w:type="continuationSeparator" w:id="0">
    <w:p w:rsidR="008C402D" w:rsidRDefault="008C402D" w:rsidP="00557204">
      <w:r>
        <w:continuationSeparator/>
      </w:r>
    </w:p>
    <w:p w:rsidR="008C402D" w:rsidRDefault="008C402D" w:rsidP="00557204"/>
    <w:p w:rsidR="008C402D" w:rsidRDefault="008C402D" w:rsidP="005572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 Std Light">
    <w:altName w:val="Eras Light IT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Lato Black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1" w:rightFromText="181" w:vertAnchor="text" w:tblpY="1"/>
      <w:tblOverlap w:val="never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6159"/>
      <w:gridCol w:w="3480"/>
    </w:tblGrid>
    <w:tr w:rsidR="00D74C2A" w:rsidRPr="00132658" w:rsidTr="006D5767">
      <w:trPr>
        <w:cantSplit/>
        <w:trHeight w:hRule="exact" w:val="964"/>
        <w:tblHeader/>
      </w:trPr>
      <w:tc>
        <w:tcPr>
          <w:tcW w:w="6159" w:type="dxa"/>
          <w:vAlign w:val="center"/>
        </w:tcPr>
        <w:p w:rsidR="00D74C2A" w:rsidRPr="001E7D4E" w:rsidRDefault="00D74C2A" w:rsidP="005745A9">
          <w:pPr>
            <w:pStyle w:val="DTFFooter"/>
            <w:framePr w:hSpace="0" w:wrap="auto" w:vAnchor="margin" w:yAlign="inline"/>
            <w:suppressOverlap w:val="0"/>
          </w:pPr>
          <w:r w:rsidRPr="00D74C2A">
            <w:t>DEPARTMENT O</w:t>
          </w:r>
          <w:r w:rsidRPr="007E7B5B">
            <w:t>F</w:t>
          </w:r>
          <w:r w:rsidRPr="007E7B5B">
            <w:rPr>
              <w:rStyle w:val="DTFArialBlack"/>
            </w:rPr>
            <w:t xml:space="preserve"> TREASURY AND FINANCE</w:t>
          </w:r>
          <w:r w:rsidRPr="007E7B5B">
            <w:br/>
            <w:t xml:space="preserve">Page </w:t>
          </w:r>
          <w:r w:rsidRPr="007E7B5B">
            <w:fldChar w:fldCharType="begin"/>
          </w:r>
          <w:r w:rsidRPr="007E7B5B">
            <w:instrText xml:space="preserve"> PAGE  \* Arabic  \* MERGEFORMAT </w:instrText>
          </w:r>
          <w:r w:rsidRPr="007E7B5B">
            <w:fldChar w:fldCharType="separate"/>
          </w:r>
          <w:r w:rsidR="000A5F5A">
            <w:rPr>
              <w:noProof/>
            </w:rPr>
            <w:t>5</w:t>
          </w:r>
          <w:r w:rsidRPr="007E7B5B">
            <w:fldChar w:fldCharType="end"/>
          </w:r>
          <w:r w:rsidRPr="007E7B5B">
            <w:t xml:space="preserve"> of </w:t>
          </w:r>
          <w:fldSimple w:instr=" NUMPAGES  \* Arabic  \* MERGEFORMAT ">
            <w:r w:rsidR="000A5F5A">
              <w:rPr>
                <w:noProof/>
              </w:rPr>
              <w:t>5</w:t>
            </w:r>
          </w:fldSimple>
          <w:r w:rsidRPr="007E7B5B">
            <w:tab/>
          </w:r>
          <w:r w:rsidR="00D9762E" w:rsidRPr="007E7B5B">
            <w:t xml:space="preserve">Updated </w:t>
          </w:r>
          <w:r w:rsidR="005745A9">
            <w:t xml:space="preserve">15 June </w:t>
          </w:r>
          <w:r w:rsidR="00D9762E" w:rsidRPr="007E7B5B">
            <w:t>2016</w:t>
          </w:r>
        </w:p>
      </w:tc>
      <w:tc>
        <w:tcPr>
          <w:tcW w:w="3480" w:type="dxa"/>
          <w:vAlign w:val="center"/>
        </w:tcPr>
        <w:p w:rsidR="00D74C2A" w:rsidRPr="001E14EB" w:rsidRDefault="00D74C2A" w:rsidP="00D74C2A">
          <w:pPr>
            <w:pStyle w:val="DTFFooter"/>
            <w:framePr w:hSpace="0" w:wrap="auto" w:vAnchor="margin" w:yAlign="inline"/>
            <w:suppressOverlap w:val="0"/>
          </w:pPr>
        </w:p>
      </w:tc>
    </w:tr>
  </w:tbl>
  <w:p w:rsidR="006F74BF" w:rsidRPr="00810BC3" w:rsidRDefault="006F74BF" w:rsidP="00557204">
    <w:pPr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pPr w:leftFromText="181" w:rightFromText="181" w:vertAnchor="text" w:tblpY="1"/>
      <w:tblOverlap w:val="never"/>
      <w:tblW w:w="9639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5933"/>
      <w:gridCol w:w="3706"/>
    </w:tblGrid>
    <w:tr w:rsidR="00D74C2A" w:rsidRPr="00132658" w:rsidTr="00D74C2A">
      <w:trPr>
        <w:cantSplit/>
        <w:trHeight w:hRule="exact" w:val="1134"/>
        <w:tblHeader/>
      </w:trPr>
      <w:tc>
        <w:tcPr>
          <w:tcW w:w="6782" w:type="dxa"/>
          <w:vAlign w:val="center"/>
        </w:tcPr>
        <w:p w:rsidR="00D74C2A" w:rsidRPr="007E7B5B" w:rsidRDefault="00D74C2A" w:rsidP="005745A9">
          <w:pPr>
            <w:pStyle w:val="DTFFooter"/>
            <w:framePr w:hSpace="0" w:wrap="auto" w:vAnchor="margin" w:yAlign="inline"/>
            <w:suppressOverlap w:val="0"/>
          </w:pPr>
          <w:r w:rsidRPr="007E7B5B">
            <w:t>DEPARTMENT OF</w:t>
          </w:r>
          <w:r w:rsidRPr="007E7B5B">
            <w:rPr>
              <w:rStyle w:val="DTFArialBlack"/>
            </w:rPr>
            <w:t xml:space="preserve"> TREASURY AND FINANCE</w:t>
          </w:r>
          <w:r w:rsidRPr="007E7B5B">
            <w:br/>
            <w:t xml:space="preserve">Page </w:t>
          </w:r>
          <w:r w:rsidRPr="007E7B5B">
            <w:fldChar w:fldCharType="begin"/>
          </w:r>
          <w:r w:rsidRPr="007E7B5B">
            <w:instrText xml:space="preserve"> PAGE  \* Arabic  \* MERGEFORMAT </w:instrText>
          </w:r>
          <w:r w:rsidRPr="007E7B5B">
            <w:fldChar w:fldCharType="separate"/>
          </w:r>
          <w:r w:rsidR="000A5F5A">
            <w:rPr>
              <w:noProof/>
            </w:rPr>
            <w:t>1</w:t>
          </w:r>
          <w:r w:rsidRPr="007E7B5B">
            <w:fldChar w:fldCharType="end"/>
          </w:r>
          <w:r w:rsidRPr="007E7B5B">
            <w:t xml:space="preserve"> of </w:t>
          </w:r>
          <w:r w:rsidR="000A5F5A">
            <w:fldChar w:fldCharType="begin"/>
          </w:r>
          <w:r w:rsidR="000A5F5A">
            <w:instrText xml:space="preserve"> NUMPAGES  \* Arabic  \* MERGEFORMAT </w:instrText>
          </w:r>
          <w:r w:rsidR="000A5F5A">
            <w:fldChar w:fldCharType="separate"/>
          </w:r>
          <w:r w:rsidR="000A5F5A">
            <w:rPr>
              <w:noProof/>
            </w:rPr>
            <w:t>5</w:t>
          </w:r>
          <w:r w:rsidR="000A5F5A">
            <w:rPr>
              <w:noProof/>
            </w:rPr>
            <w:fldChar w:fldCharType="end"/>
          </w:r>
          <w:r w:rsidRPr="007E7B5B">
            <w:tab/>
            <w:t xml:space="preserve">Updated </w:t>
          </w:r>
          <w:r w:rsidR="00D9762E">
            <w:t>1</w:t>
          </w:r>
          <w:r w:rsidR="005745A9">
            <w:t>5</w:t>
          </w:r>
          <w:r w:rsidR="00D9762E">
            <w:t xml:space="preserve"> </w:t>
          </w:r>
          <w:r w:rsidR="005745A9">
            <w:t>June</w:t>
          </w:r>
          <w:r w:rsidRPr="007E7B5B">
            <w:t xml:space="preserve"> 2016</w:t>
          </w:r>
        </w:p>
      </w:tc>
      <w:tc>
        <w:tcPr>
          <w:tcW w:w="3991" w:type="dxa"/>
          <w:vAlign w:val="center"/>
        </w:tcPr>
        <w:p w:rsidR="00D74C2A" w:rsidRPr="001E14EB" w:rsidRDefault="00D74C2A" w:rsidP="00D74C2A">
          <w:pPr>
            <w:jc w:val="right"/>
          </w:pPr>
          <w:r w:rsidRPr="00132658">
            <w:rPr>
              <w:noProof/>
            </w:rPr>
            <w:drawing>
              <wp:inline distT="0" distB="0" distL="0" distR="0" wp14:anchorId="512EBA91" wp14:editId="08B83BA6">
                <wp:extent cx="1347470" cy="481330"/>
                <wp:effectExtent l="0" t="0" r="5080" b="0"/>
                <wp:docPr id="2" name="Picture 2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7470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6F74BF" w:rsidRPr="00810BC3" w:rsidRDefault="006F74BF" w:rsidP="0055720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02D" w:rsidRDefault="008C402D" w:rsidP="00557204">
      <w:r>
        <w:separator/>
      </w:r>
    </w:p>
    <w:p w:rsidR="008C402D" w:rsidRDefault="008C402D" w:rsidP="00557204"/>
    <w:p w:rsidR="008C402D" w:rsidRDefault="008C402D" w:rsidP="00557204"/>
  </w:footnote>
  <w:footnote w:type="continuationSeparator" w:id="0">
    <w:p w:rsidR="008C402D" w:rsidRDefault="008C402D" w:rsidP="00557204">
      <w:r>
        <w:continuationSeparator/>
      </w:r>
    </w:p>
    <w:p w:rsidR="008C402D" w:rsidRDefault="008C402D" w:rsidP="00557204"/>
    <w:p w:rsidR="008C402D" w:rsidRDefault="008C402D" w:rsidP="005572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BF" w:rsidRPr="00D74C2A" w:rsidRDefault="00164BA2" w:rsidP="00C702C7">
    <w:pPr>
      <w:pStyle w:val="DTFBodyText"/>
      <w:rPr>
        <w:rStyle w:val="DTFGreyText"/>
      </w:rPr>
    </w:pPr>
    <w:r w:rsidRPr="00777664">
      <w:rPr>
        <w:rStyle w:val="DTFGreyText"/>
      </w:rPr>
      <w:t>C2.1: Banking – Central Banking Arrangem</w:t>
    </w:r>
    <w:r w:rsidRPr="00D74C2A">
      <w:rPr>
        <w:rStyle w:val="DTFGreyText"/>
      </w:rPr>
      <w:t>ents</w:t>
    </w:r>
    <w:r w:rsidR="00D74C2A" w:rsidRPr="00D74C2A">
      <w:rPr>
        <w:rStyle w:val="DTFGreyText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4BF" w:rsidRDefault="00AA44F5" w:rsidP="00264410">
    <w:pPr>
      <w:pStyle w:val="DTFTitle"/>
    </w:pPr>
    <w:r w:rsidRPr="002E3A4D">
      <w:t>Treasurer’s Directions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5F0EC3C"/>
    <w:lvl w:ilvl="0">
      <w:start w:val="1"/>
      <w:numFmt w:val="lowerRoman"/>
      <w:pStyle w:val="ListNumber2"/>
      <w:lvlText w:val="(%1)"/>
      <w:lvlJc w:val="left"/>
      <w:pPr>
        <w:ind w:left="64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1">
    <w:nsid w:val="01FD69FE"/>
    <w:multiLevelType w:val="multilevel"/>
    <w:tmpl w:val="561CD30E"/>
    <w:styleLink w:val="StyleBulletedSymbolsymbolLeft063cmHanging063cm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C34E74"/>
    <w:multiLevelType w:val="hybridMultilevel"/>
    <w:tmpl w:val="943EB11C"/>
    <w:lvl w:ilvl="0" w:tplc="32E85392">
      <w:start w:val="1"/>
      <w:numFmt w:val="decimal"/>
      <w:pStyle w:val="DTFHeading2-numbered"/>
      <w:lvlText w:val="%1."/>
      <w:lvlJc w:val="left"/>
      <w:pPr>
        <w:ind w:left="2138" w:hanging="360"/>
      </w:pPr>
    </w:lvl>
    <w:lvl w:ilvl="1" w:tplc="0C090019" w:tentative="1">
      <w:start w:val="1"/>
      <w:numFmt w:val="lowerLetter"/>
      <w:lvlText w:val="%2."/>
      <w:lvlJc w:val="left"/>
      <w:pPr>
        <w:ind w:left="2858" w:hanging="360"/>
      </w:pPr>
    </w:lvl>
    <w:lvl w:ilvl="2" w:tplc="0C09001B" w:tentative="1">
      <w:start w:val="1"/>
      <w:numFmt w:val="lowerRoman"/>
      <w:lvlText w:val="%3."/>
      <w:lvlJc w:val="right"/>
      <w:pPr>
        <w:ind w:left="3578" w:hanging="180"/>
      </w:pPr>
    </w:lvl>
    <w:lvl w:ilvl="3" w:tplc="0C09000F" w:tentative="1">
      <w:start w:val="1"/>
      <w:numFmt w:val="decimal"/>
      <w:lvlText w:val="%4."/>
      <w:lvlJc w:val="left"/>
      <w:pPr>
        <w:ind w:left="4298" w:hanging="360"/>
      </w:pPr>
    </w:lvl>
    <w:lvl w:ilvl="4" w:tplc="0C090019" w:tentative="1">
      <w:start w:val="1"/>
      <w:numFmt w:val="lowerLetter"/>
      <w:lvlText w:val="%5."/>
      <w:lvlJc w:val="left"/>
      <w:pPr>
        <w:ind w:left="5018" w:hanging="360"/>
      </w:pPr>
    </w:lvl>
    <w:lvl w:ilvl="5" w:tplc="0C09001B" w:tentative="1">
      <w:start w:val="1"/>
      <w:numFmt w:val="lowerRoman"/>
      <w:lvlText w:val="%6."/>
      <w:lvlJc w:val="right"/>
      <w:pPr>
        <w:ind w:left="5738" w:hanging="180"/>
      </w:pPr>
    </w:lvl>
    <w:lvl w:ilvl="6" w:tplc="0C09000F" w:tentative="1">
      <w:start w:val="1"/>
      <w:numFmt w:val="decimal"/>
      <w:lvlText w:val="%7."/>
      <w:lvlJc w:val="left"/>
      <w:pPr>
        <w:ind w:left="6458" w:hanging="360"/>
      </w:pPr>
    </w:lvl>
    <w:lvl w:ilvl="7" w:tplc="0C090019" w:tentative="1">
      <w:start w:val="1"/>
      <w:numFmt w:val="lowerLetter"/>
      <w:lvlText w:val="%8."/>
      <w:lvlJc w:val="left"/>
      <w:pPr>
        <w:ind w:left="7178" w:hanging="360"/>
      </w:pPr>
    </w:lvl>
    <w:lvl w:ilvl="8" w:tplc="0C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>
    <w:nsid w:val="171C3D8A"/>
    <w:multiLevelType w:val="multilevel"/>
    <w:tmpl w:val="926C9EB6"/>
    <w:lvl w:ilvl="0">
      <w:start w:val="1"/>
      <w:numFmt w:val="bullet"/>
      <w:pStyle w:val="DTFListBullet1-Black"/>
      <w:lvlText w:val="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073069"/>
    <w:multiLevelType w:val="hybridMultilevel"/>
    <w:tmpl w:val="72E8C2B0"/>
    <w:lvl w:ilvl="0" w:tplc="8E6A10D8">
      <w:start w:val="1"/>
      <w:numFmt w:val="bullet"/>
      <w:pStyle w:val="DTFTableDash"/>
      <w:lvlText w:val=""/>
      <w:lvlJc w:val="left"/>
      <w:pPr>
        <w:ind w:left="785" w:hanging="360"/>
      </w:pPr>
      <w:rPr>
        <w:rFonts w:ascii="Symbol" w:hAnsi="Symbol" w:hint="default"/>
        <w:color w:val="2F7DE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AB0968"/>
    <w:multiLevelType w:val="multilevel"/>
    <w:tmpl w:val="62362942"/>
    <w:styleLink w:val="Style2"/>
    <w:lvl w:ilvl="0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6">
    <w:nsid w:val="28EE5CC4"/>
    <w:multiLevelType w:val="hybridMultilevel"/>
    <w:tmpl w:val="2034E7DC"/>
    <w:lvl w:ilvl="0" w:tplc="844A9CC2">
      <w:start w:val="1"/>
      <w:numFmt w:val="bullet"/>
      <w:lvlText w:val=""/>
      <w:lvlJc w:val="left"/>
      <w:pPr>
        <w:ind w:left="9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7">
    <w:nsid w:val="311A6781"/>
    <w:multiLevelType w:val="multilevel"/>
    <w:tmpl w:val="A45AB330"/>
    <w:lvl w:ilvl="0">
      <w:start w:val="1"/>
      <w:numFmt w:val="decimal"/>
      <w:pStyle w:val="DTFListNumber1"/>
      <w:lvlText w:val="%1."/>
      <w:lvlJc w:val="left"/>
      <w:pPr>
        <w:ind w:left="680" w:hanging="39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40302BA"/>
    <w:multiLevelType w:val="multilevel"/>
    <w:tmpl w:val="D3422800"/>
    <w:lvl w:ilvl="0">
      <w:start w:val="1"/>
      <w:numFmt w:val="bullet"/>
      <w:lvlText w:val=""/>
      <w:lvlJc w:val="left"/>
      <w:pPr>
        <w:ind w:left="1077" w:hanging="680"/>
      </w:pPr>
      <w:rPr>
        <w:rFonts w:ascii="Symbol" w:hAnsi="Symbol"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DTFListBullet3-Dash"/>
      <w:lvlText w:val=""/>
      <w:lvlJc w:val="left"/>
      <w:pPr>
        <w:ind w:left="1474" w:hanging="39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C0527"/>
    <w:multiLevelType w:val="hybridMultilevel"/>
    <w:tmpl w:val="4B2893E2"/>
    <w:lvl w:ilvl="0" w:tplc="AE3491A8">
      <w:numFmt w:val="bullet"/>
      <w:lvlText w:val="●"/>
      <w:lvlJc w:val="left"/>
      <w:pPr>
        <w:ind w:left="644" w:hanging="360"/>
      </w:pPr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CB6015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E36164"/>
    <w:multiLevelType w:val="hybridMultilevel"/>
    <w:tmpl w:val="79B0CA98"/>
    <w:lvl w:ilvl="0" w:tplc="B9C8E458">
      <w:numFmt w:val="bullet"/>
      <w:pStyle w:val="DTFListBullet1-Orange"/>
      <w:lvlText w:val="●"/>
      <w:lvlJc w:val="left"/>
      <w:pPr>
        <w:ind w:left="1004" w:hanging="360"/>
      </w:pPr>
      <w:rPr>
        <w:rFonts w:ascii="Arial" w:eastAsia="Times New Roman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CB6015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530D5528"/>
    <w:multiLevelType w:val="multilevel"/>
    <w:tmpl w:val="6DEC9090"/>
    <w:lvl w:ilvl="0">
      <w:start w:val="1"/>
      <w:numFmt w:val="lowerRoman"/>
      <w:pStyle w:val="ListNumber1-Roman"/>
      <w:lvlText w:val="(%1)"/>
      <w:lvlJc w:val="left"/>
      <w:pPr>
        <w:ind w:left="680" w:hanging="39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077" w:hanging="39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2">
    <w:nsid w:val="54ED475D"/>
    <w:multiLevelType w:val="multilevel"/>
    <w:tmpl w:val="CAAA51AC"/>
    <w:styleLink w:val="Style1"/>
    <w:lvl w:ilvl="0">
      <w:start w:val="1"/>
      <w:numFmt w:val="lowerRoman"/>
      <w:pStyle w:val="ListNumber2-Roman"/>
      <w:lvlText w:val="(%1)"/>
      <w:lvlJc w:val="left"/>
      <w:pPr>
        <w:ind w:left="680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55304DAD"/>
    <w:multiLevelType w:val="multilevel"/>
    <w:tmpl w:val="D786AE4A"/>
    <w:lvl w:ilvl="0">
      <w:start w:val="1"/>
      <w:numFmt w:val="bullet"/>
      <w:lvlText w:val="•"/>
      <w:lvlJc w:val="left"/>
      <w:pPr>
        <w:ind w:left="1040" w:hanging="360"/>
      </w:pPr>
      <w:rPr>
        <w:rFonts w:ascii="Arial MT Std Light" w:hAnsi="Arial MT Std Light" w:hint="default"/>
      </w:rPr>
    </w:lvl>
    <w:lvl w:ilvl="1">
      <w:start w:val="1"/>
      <w:numFmt w:val="bullet"/>
      <w:pStyle w:val="DTFListBullet2-Black"/>
      <w:lvlText w:val=""/>
      <w:lvlJc w:val="left"/>
      <w:pPr>
        <w:ind w:left="10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4">
    <w:nsid w:val="5ABD5472"/>
    <w:multiLevelType w:val="hybridMultilevel"/>
    <w:tmpl w:val="1D3CEFC2"/>
    <w:lvl w:ilvl="0" w:tplc="A2AE773E">
      <w:start w:val="1"/>
      <w:numFmt w:val="bullet"/>
      <w:lvlText w:val=""/>
      <w:lvlJc w:val="left"/>
      <w:pPr>
        <w:ind w:left="9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>
    <w:nsid w:val="66017495"/>
    <w:multiLevelType w:val="multilevel"/>
    <w:tmpl w:val="CAAA51AC"/>
    <w:numStyleLink w:val="Style1"/>
  </w:abstractNum>
  <w:abstractNum w:abstractNumId="16">
    <w:nsid w:val="668F3B9B"/>
    <w:multiLevelType w:val="hybridMultilevel"/>
    <w:tmpl w:val="C0FAD33C"/>
    <w:lvl w:ilvl="0" w:tplc="65CCD774">
      <w:numFmt w:val="bullet"/>
      <w:lvlText w:val="●"/>
      <w:lvlJc w:val="left"/>
      <w:pPr>
        <w:ind w:left="720" w:hanging="360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4870BB"/>
    <w:multiLevelType w:val="multilevel"/>
    <w:tmpl w:val="FEF6DD2E"/>
    <w:styleLink w:val="Style3"/>
    <w:lvl w:ilvl="0">
      <w:numFmt w:val="bullet"/>
      <w:lvlText w:val="●"/>
      <w:lvlJc w:val="left"/>
      <w:pPr>
        <w:ind w:left="680" w:hanging="396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CB6015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8B507A1"/>
    <w:multiLevelType w:val="multilevel"/>
    <w:tmpl w:val="BB5EAEBE"/>
    <w:lvl w:ilvl="0">
      <w:start w:val="1"/>
      <w:numFmt w:val="bullet"/>
      <w:pStyle w:val="DTFListBullet2-Dash"/>
      <w:lvlText w:val=""/>
      <w:lvlJc w:val="left"/>
      <w:pPr>
        <w:ind w:left="1080" w:hanging="40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6"/>
  </w:num>
  <w:num w:numId="5">
    <w:abstractNumId w:val="16"/>
  </w:num>
  <w:num w:numId="6">
    <w:abstractNumId w:val="9"/>
  </w:num>
  <w:num w:numId="7">
    <w:abstractNumId w:val="12"/>
  </w:num>
  <w:num w:numId="8">
    <w:abstractNumId w:val="15"/>
  </w:num>
  <w:num w:numId="9">
    <w:abstractNumId w:val="5"/>
  </w:num>
  <w:num w:numId="10">
    <w:abstractNumId w:val="17"/>
  </w:num>
  <w:num w:numId="11">
    <w:abstractNumId w:val="11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  <w:num w:numId="16">
    <w:abstractNumId w:val="18"/>
  </w:num>
  <w:num w:numId="17">
    <w:abstractNumId w:val="8"/>
  </w:num>
  <w:num w:numId="18">
    <w:abstractNumId w:val="7"/>
  </w:num>
  <w:num w:numId="19">
    <w:abstractNumId w:val="4"/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9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1"/>
  <w:stylePaneSortMethod w:val="0000"/>
  <w:documentProtection w:edit="readOnly" w:formatting="1" w:enforcement="1" w:cryptProviderType="rsaFull" w:cryptAlgorithmClass="hash" w:cryptAlgorithmType="typeAny" w:cryptAlgorithmSid="4" w:cryptSpinCount="100000" w:hash="kQwXepvc9QefFR0gXaWSbHKGHHM=" w:salt="uw0sST1SlQE377noGldVIQ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02D"/>
    <w:rsid w:val="00000CF5"/>
    <w:rsid w:val="00027DB8"/>
    <w:rsid w:val="00031A96"/>
    <w:rsid w:val="00051F45"/>
    <w:rsid w:val="000576EF"/>
    <w:rsid w:val="0007259C"/>
    <w:rsid w:val="00086A5F"/>
    <w:rsid w:val="00094F1F"/>
    <w:rsid w:val="00096661"/>
    <w:rsid w:val="000A5F5A"/>
    <w:rsid w:val="000D0852"/>
    <w:rsid w:val="000D3C28"/>
    <w:rsid w:val="001137EC"/>
    <w:rsid w:val="00117743"/>
    <w:rsid w:val="00117F5B"/>
    <w:rsid w:val="00132658"/>
    <w:rsid w:val="00151FCE"/>
    <w:rsid w:val="00161F19"/>
    <w:rsid w:val="00164A3E"/>
    <w:rsid w:val="00164BA2"/>
    <w:rsid w:val="001803FB"/>
    <w:rsid w:val="00181620"/>
    <w:rsid w:val="001A2B7F"/>
    <w:rsid w:val="001B2B6C"/>
    <w:rsid w:val="001B6A8B"/>
    <w:rsid w:val="001D59C7"/>
    <w:rsid w:val="001E14EB"/>
    <w:rsid w:val="001E7D4E"/>
    <w:rsid w:val="001F5861"/>
    <w:rsid w:val="00206936"/>
    <w:rsid w:val="00206FBD"/>
    <w:rsid w:val="00207746"/>
    <w:rsid w:val="0022130D"/>
    <w:rsid w:val="00246CEA"/>
    <w:rsid w:val="00247343"/>
    <w:rsid w:val="00247415"/>
    <w:rsid w:val="00252671"/>
    <w:rsid w:val="00264410"/>
    <w:rsid w:val="00274D4B"/>
    <w:rsid w:val="002806F5"/>
    <w:rsid w:val="00281577"/>
    <w:rsid w:val="00293A72"/>
    <w:rsid w:val="002A30C3"/>
    <w:rsid w:val="002A318E"/>
    <w:rsid w:val="002C1FE9"/>
    <w:rsid w:val="002D3A57"/>
    <w:rsid w:val="002E20C8"/>
    <w:rsid w:val="002E3A4D"/>
    <w:rsid w:val="002F2885"/>
    <w:rsid w:val="002F4486"/>
    <w:rsid w:val="00312007"/>
    <w:rsid w:val="00330BA5"/>
    <w:rsid w:val="003412F5"/>
    <w:rsid w:val="00342283"/>
    <w:rsid w:val="00343A87"/>
    <w:rsid w:val="00347FB6"/>
    <w:rsid w:val="003504FD"/>
    <w:rsid w:val="00350881"/>
    <w:rsid w:val="00357D55"/>
    <w:rsid w:val="00365BD0"/>
    <w:rsid w:val="00371DC7"/>
    <w:rsid w:val="003903CC"/>
    <w:rsid w:val="00394AAF"/>
    <w:rsid w:val="003D42C0"/>
    <w:rsid w:val="003D6E42"/>
    <w:rsid w:val="003F15C1"/>
    <w:rsid w:val="00402188"/>
    <w:rsid w:val="0040222A"/>
    <w:rsid w:val="004047BC"/>
    <w:rsid w:val="004219E9"/>
    <w:rsid w:val="00426E25"/>
    <w:rsid w:val="004324F9"/>
    <w:rsid w:val="0045420A"/>
    <w:rsid w:val="00456C22"/>
    <w:rsid w:val="00460E7F"/>
    <w:rsid w:val="00473C98"/>
    <w:rsid w:val="00497A05"/>
    <w:rsid w:val="004A2538"/>
    <w:rsid w:val="004A74BA"/>
    <w:rsid w:val="004A7E88"/>
    <w:rsid w:val="004B0C15"/>
    <w:rsid w:val="004D075F"/>
    <w:rsid w:val="004D3A8A"/>
    <w:rsid w:val="004E019E"/>
    <w:rsid w:val="004E06EC"/>
    <w:rsid w:val="00502FB3"/>
    <w:rsid w:val="00503DE9"/>
    <w:rsid w:val="0050530C"/>
    <w:rsid w:val="00506D99"/>
    <w:rsid w:val="00507782"/>
    <w:rsid w:val="00512A04"/>
    <w:rsid w:val="00516254"/>
    <w:rsid w:val="00543BD1"/>
    <w:rsid w:val="00556D40"/>
    <w:rsid w:val="00557204"/>
    <w:rsid w:val="0056034A"/>
    <w:rsid w:val="005654B8"/>
    <w:rsid w:val="005745A9"/>
    <w:rsid w:val="005762CC"/>
    <w:rsid w:val="005816B5"/>
    <w:rsid w:val="0058791F"/>
    <w:rsid w:val="005A4AC0"/>
    <w:rsid w:val="005B0FB7"/>
    <w:rsid w:val="005B51DC"/>
    <w:rsid w:val="005B5AC2"/>
    <w:rsid w:val="005C439A"/>
    <w:rsid w:val="005D3C24"/>
    <w:rsid w:val="005E144D"/>
    <w:rsid w:val="00606DDC"/>
    <w:rsid w:val="00615EF8"/>
    <w:rsid w:val="00634376"/>
    <w:rsid w:val="00646D6C"/>
    <w:rsid w:val="00650F5B"/>
    <w:rsid w:val="006719EA"/>
    <w:rsid w:val="00671F13"/>
    <w:rsid w:val="006D5767"/>
    <w:rsid w:val="006D66F7"/>
    <w:rsid w:val="006F74BF"/>
    <w:rsid w:val="00714F1D"/>
    <w:rsid w:val="00722DDB"/>
    <w:rsid w:val="00730B9B"/>
    <w:rsid w:val="007332FF"/>
    <w:rsid w:val="007408F5"/>
    <w:rsid w:val="00747F24"/>
    <w:rsid w:val="0076190B"/>
    <w:rsid w:val="00763A2D"/>
    <w:rsid w:val="00777664"/>
    <w:rsid w:val="00783A57"/>
    <w:rsid w:val="007A4294"/>
    <w:rsid w:val="007A6A4F"/>
    <w:rsid w:val="007A6CE0"/>
    <w:rsid w:val="007B03F5"/>
    <w:rsid w:val="007B60ED"/>
    <w:rsid w:val="007C4145"/>
    <w:rsid w:val="007C54C9"/>
    <w:rsid w:val="007C5CFD"/>
    <w:rsid w:val="007F33A1"/>
    <w:rsid w:val="00810A69"/>
    <w:rsid w:val="00810BC3"/>
    <w:rsid w:val="008116DB"/>
    <w:rsid w:val="00814E9A"/>
    <w:rsid w:val="00815297"/>
    <w:rsid w:val="00817DA0"/>
    <w:rsid w:val="008313C4"/>
    <w:rsid w:val="008364AC"/>
    <w:rsid w:val="00855574"/>
    <w:rsid w:val="0085797F"/>
    <w:rsid w:val="00861DC3"/>
    <w:rsid w:val="008735A9"/>
    <w:rsid w:val="00881C48"/>
    <w:rsid w:val="00882407"/>
    <w:rsid w:val="00885E9B"/>
    <w:rsid w:val="008C0E36"/>
    <w:rsid w:val="008C402D"/>
    <w:rsid w:val="008D57B8"/>
    <w:rsid w:val="008E510B"/>
    <w:rsid w:val="00902B13"/>
    <w:rsid w:val="0091107E"/>
    <w:rsid w:val="00913F14"/>
    <w:rsid w:val="00930DDC"/>
    <w:rsid w:val="00931FE5"/>
    <w:rsid w:val="009468BC"/>
    <w:rsid w:val="009616DF"/>
    <w:rsid w:val="0096542F"/>
    <w:rsid w:val="00967FA7"/>
    <w:rsid w:val="00971645"/>
    <w:rsid w:val="00977919"/>
    <w:rsid w:val="00986406"/>
    <w:rsid w:val="00987E02"/>
    <w:rsid w:val="0099788A"/>
    <w:rsid w:val="009B1913"/>
    <w:rsid w:val="009B6657"/>
    <w:rsid w:val="009D6A69"/>
    <w:rsid w:val="009D7249"/>
    <w:rsid w:val="009E175D"/>
    <w:rsid w:val="00A03031"/>
    <w:rsid w:val="00A10655"/>
    <w:rsid w:val="00A25193"/>
    <w:rsid w:val="00A3739D"/>
    <w:rsid w:val="00A37DDA"/>
    <w:rsid w:val="00A37FA3"/>
    <w:rsid w:val="00A54D83"/>
    <w:rsid w:val="00A704DB"/>
    <w:rsid w:val="00A82C00"/>
    <w:rsid w:val="00A925EC"/>
    <w:rsid w:val="00AA25B4"/>
    <w:rsid w:val="00AA2FF3"/>
    <w:rsid w:val="00AA44F5"/>
    <w:rsid w:val="00AB571A"/>
    <w:rsid w:val="00AB6653"/>
    <w:rsid w:val="00AD51D4"/>
    <w:rsid w:val="00B20E8B"/>
    <w:rsid w:val="00B25A9F"/>
    <w:rsid w:val="00B343CC"/>
    <w:rsid w:val="00B614F7"/>
    <w:rsid w:val="00B61B26"/>
    <w:rsid w:val="00B63E04"/>
    <w:rsid w:val="00B67A23"/>
    <w:rsid w:val="00B81261"/>
    <w:rsid w:val="00B81C8C"/>
    <w:rsid w:val="00B832AE"/>
    <w:rsid w:val="00B96513"/>
    <w:rsid w:val="00BA062B"/>
    <w:rsid w:val="00BB6464"/>
    <w:rsid w:val="00BC1BB8"/>
    <w:rsid w:val="00BC3172"/>
    <w:rsid w:val="00BE00F1"/>
    <w:rsid w:val="00BF2ABB"/>
    <w:rsid w:val="00BF690F"/>
    <w:rsid w:val="00C12F3B"/>
    <w:rsid w:val="00C17842"/>
    <w:rsid w:val="00C61AFA"/>
    <w:rsid w:val="00C62099"/>
    <w:rsid w:val="00C702C7"/>
    <w:rsid w:val="00C75E81"/>
    <w:rsid w:val="00C8216F"/>
    <w:rsid w:val="00CA6BC5"/>
    <w:rsid w:val="00CB0C6C"/>
    <w:rsid w:val="00CB15FF"/>
    <w:rsid w:val="00CB16DF"/>
    <w:rsid w:val="00CB2223"/>
    <w:rsid w:val="00CE640F"/>
    <w:rsid w:val="00CF540E"/>
    <w:rsid w:val="00D27C27"/>
    <w:rsid w:val="00D33322"/>
    <w:rsid w:val="00D33AB6"/>
    <w:rsid w:val="00D71D84"/>
    <w:rsid w:val="00D74C2A"/>
    <w:rsid w:val="00D975C0"/>
    <w:rsid w:val="00D9762E"/>
    <w:rsid w:val="00DA13F5"/>
    <w:rsid w:val="00DB036E"/>
    <w:rsid w:val="00DC5DD9"/>
    <w:rsid w:val="00DE152A"/>
    <w:rsid w:val="00DE33B5"/>
    <w:rsid w:val="00DE41FB"/>
    <w:rsid w:val="00DF0487"/>
    <w:rsid w:val="00E02681"/>
    <w:rsid w:val="00E04CC0"/>
    <w:rsid w:val="00E15816"/>
    <w:rsid w:val="00E30BB1"/>
    <w:rsid w:val="00E33136"/>
    <w:rsid w:val="00E3723D"/>
    <w:rsid w:val="00E37C0C"/>
    <w:rsid w:val="00E54CA0"/>
    <w:rsid w:val="00E861DB"/>
    <w:rsid w:val="00E95C39"/>
    <w:rsid w:val="00EB03FD"/>
    <w:rsid w:val="00EB3654"/>
    <w:rsid w:val="00EB77F9"/>
    <w:rsid w:val="00EC6AB8"/>
    <w:rsid w:val="00ED21E2"/>
    <w:rsid w:val="00EE1E1D"/>
    <w:rsid w:val="00EE38FA"/>
    <w:rsid w:val="00EE3E03"/>
    <w:rsid w:val="00F63E8D"/>
    <w:rsid w:val="00F743AF"/>
    <w:rsid w:val="00F95A63"/>
    <w:rsid w:val="00FA6162"/>
    <w:rsid w:val="00FB13E8"/>
    <w:rsid w:val="00FB2184"/>
    <w:rsid w:val="00FB5CB5"/>
    <w:rsid w:val="00FC12BF"/>
    <w:rsid w:val="00FC4F34"/>
    <w:rsid w:val="00FD4D15"/>
    <w:rsid w:val="00FD51B9"/>
    <w:rsid w:val="00FE587F"/>
    <w:rsid w:val="00FF381A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64"/>
    <w:pPr>
      <w:tabs>
        <w:tab w:val="left" w:pos="709"/>
        <w:tab w:val="left" w:pos="1276"/>
        <w:tab w:val="left" w:pos="4536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styleId="Heading1">
    <w:name w:val="heading 1"/>
    <w:next w:val="Normal"/>
    <w:link w:val="Heading1Char"/>
    <w:qFormat/>
    <w:rsid w:val="00AA44F5"/>
    <w:pPr>
      <w:keepNext/>
      <w:spacing w:before="360" w:after="24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nhideWhenUsed/>
    <w:qFormat/>
    <w:rsid w:val="00AA44F5"/>
    <w:pPr>
      <w:keepNext/>
      <w:spacing w:before="360" w:after="240"/>
      <w:outlineLvl w:val="1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qFormat/>
    <w:rsid w:val="00AA44F5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nhideWhenUsed/>
    <w:qFormat/>
    <w:rsid w:val="00AA44F5"/>
    <w:pPr>
      <w:keepNext/>
      <w:keepLines/>
      <w:spacing w:before="360" w:after="240"/>
      <w:outlineLvl w:val="3"/>
    </w:pPr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FB2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000C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709"/>
        <w:tab w:val="clear" w:pos="1276"/>
        <w:tab w:val="clear" w:pos="4536"/>
      </w:tabs>
      <w:spacing w:before="120" w:after="120"/>
      <w:jc w:val="both"/>
      <w:outlineLvl w:val="5"/>
    </w:pPr>
    <w:rPr>
      <w:rFonts w:ascii="Arial Narrow" w:hAnsi="Arial Narrow" w:cs="Times New Roman"/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center"/>
      <w:outlineLvl w:val="6"/>
    </w:pPr>
    <w:rPr>
      <w:rFonts w:ascii="Arial Narrow" w:hAnsi="Arial Narrow" w:cs="Times New Roman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both"/>
      <w:outlineLvl w:val="7"/>
    </w:pPr>
    <w:rPr>
      <w:rFonts w:ascii="Arial Narrow" w:hAnsi="Arial Narrow" w:cs="Times New Roman"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right"/>
      <w:outlineLvl w:val="8"/>
    </w:pPr>
    <w:rPr>
      <w:rFonts w:ascii="Arial Narrow" w:hAnsi="Arial Narrow" w:cs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664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rsid w:val="00AA44F5"/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A44F5"/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77664"/>
    <w:rPr>
      <w:rFonts w:ascii="Arial" w:eastAsia="Times New Roman" w:hAnsi="Arial" w:cs="Arial"/>
      <w:sz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7664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7664"/>
    <w:rPr>
      <w:rFonts w:ascii="Arial" w:eastAsia="Times New Roman" w:hAnsi="Arial" w:cs="Arial"/>
      <w:sz w:val="22"/>
      <w:lang w:eastAsia="en-AU"/>
    </w:rPr>
  </w:style>
  <w:style w:type="character" w:customStyle="1" w:styleId="Heading3Char">
    <w:name w:val="Heading 3 Char"/>
    <w:basedOn w:val="DefaultParagraphFont"/>
    <w:link w:val="Heading3"/>
    <w:rsid w:val="00AA44F5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paragraph" w:customStyle="1" w:styleId="SubTitle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A44F5"/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table" w:styleId="TableGrid">
    <w:name w:val="Table Grid"/>
    <w:aliases w:val="TD Table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FB2184"/>
    <w:rPr>
      <w:rFonts w:asciiTheme="majorHAnsi" w:eastAsiaTheme="majorEastAsia" w:hAnsiTheme="majorHAnsi" w:cstheme="majorBidi"/>
      <w:color w:val="243F60" w:themeColor="accent1" w:themeShade="7F"/>
      <w:sz w:val="22"/>
      <w:lang w:eastAsia="en-AU"/>
    </w:rPr>
  </w:style>
  <w:style w:type="paragraph" w:customStyle="1" w:styleId="Heading2-HighlightText">
    <w:name w:val="Heading 2 - Highlight Text"/>
    <w:basedOn w:val="Heading2"/>
    <w:qFormat/>
    <w:rsid w:val="00D27C27"/>
    <w:pPr>
      <w:spacing w:before="240"/>
    </w:pPr>
  </w:style>
  <w:style w:type="paragraph" w:customStyle="1" w:styleId="Heading3-HighlightText">
    <w:name w:val="Heading 3 - Highlight Text"/>
    <w:basedOn w:val="Heading3"/>
    <w:qFormat/>
    <w:rsid w:val="00516254"/>
    <w:pPr>
      <w:framePr w:hSpace="181" w:wrap="around" w:vAnchor="text" w:hAnchor="text" w:y="1"/>
      <w:spacing w:before="120"/>
      <w:suppressOverlap/>
    </w:pPr>
  </w:style>
  <w:style w:type="paragraph" w:customStyle="1" w:styleId="Heading4centred">
    <w:name w:val="Heading 4 centred"/>
    <w:basedOn w:val="Heading4"/>
    <w:rsid w:val="00CB2223"/>
    <w:pPr>
      <w:spacing w:before="120" w:after="120"/>
      <w:jc w:val="center"/>
    </w:pPr>
    <w:rPr>
      <w:rFonts w:eastAsia="Times New Roman" w:cs="Times New Roman"/>
      <w:iCs w:val="0"/>
    </w:rPr>
  </w:style>
  <w:style w:type="character" w:customStyle="1" w:styleId="Heading6Char">
    <w:name w:val="Heading 6 Char"/>
    <w:basedOn w:val="DefaultParagraphFont"/>
    <w:link w:val="Heading6"/>
    <w:rsid w:val="00000CF5"/>
    <w:rPr>
      <w:rFonts w:ascii="Arial Narrow" w:eastAsia="Times New Roman" w:hAnsi="Arial Narrow"/>
      <w:b/>
      <w:sz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000CF5"/>
    <w:rPr>
      <w:rFonts w:ascii="Arial Narrow" w:eastAsia="Times New Roman" w:hAnsi="Arial Narrow"/>
      <w:b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000CF5"/>
    <w:rPr>
      <w:rFonts w:ascii="Arial Narrow" w:eastAsia="Times New Roman" w:hAnsi="Arial Narrow"/>
      <w:sz w:val="24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000CF5"/>
    <w:rPr>
      <w:rFonts w:ascii="Arial Narrow" w:eastAsia="Times New Roman" w:hAnsi="Arial Narrow"/>
      <w:b/>
      <w:sz w:val="24"/>
      <w:u w:val="single"/>
      <w:lang w:eastAsia="en-AU"/>
    </w:rPr>
  </w:style>
  <w:style w:type="paragraph" w:customStyle="1" w:styleId="ListNumber2-Roman">
    <w:name w:val="List Number 2 - Roman"/>
    <w:basedOn w:val="Normal"/>
    <w:qFormat/>
    <w:rsid w:val="00777664"/>
    <w:pPr>
      <w:numPr>
        <w:numId w:val="8"/>
      </w:numPr>
    </w:pPr>
  </w:style>
  <w:style w:type="numbering" w:customStyle="1" w:styleId="Style1">
    <w:name w:val="Style1"/>
    <w:uiPriority w:val="99"/>
    <w:rsid w:val="00913F14"/>
    <w:pPr>
      <w:numPr>
        <w:numId w:val="7"/>
      </w:numPr>
    </w:pPr>
  </w:style>
  <w:style w:type="numbering" w:customStyle="1" w:styleId="Style2">
    <w:name w:val="Style2"/>
    <w:uiPriority w:val="99"/>
    <w:rsid w:val="00913F14"/>
    <w:pPr>
      <w:numPr>
        <w:numId w:val="9"/>
      </w:numPr>
    </w:pPr>
  </w:style>
  <w:style w:type="numbering" w:customStyle="1" w:styleId="Style3">
    <w:name w:val="Style3"/>
    <w:uiPriority w:val="99"/>
    <w:rsid w:val="00930DDC"/>
    <w:pPr>
      <w:numPr>
        <w:numId w:val="10"/>
      </w:numPr>
    </w:pPr>
  </w:style>
  <w:style w:type="paragraph" w:customStyle="1" w:styleId="ListNumber1-Roman">
    <w:name w:val="List Number 1 - Roman"/>
    <w:basedOn w:val="ListNumber2"/>
    <w:autoRedefine/>
    <w:rsid w:val="00810A69"/>
    <w:pPr>
      <w:numPr>
        <w:numId w:val="11"/>
      </w:numPr>
      <w:contextualSpacing w:val="0"/>
    </w:pPr>
  </w:style>
  <w:style w:type="paragraph" w:styleId="ListNumber2">
    <w:name w:val="List Number 2"/>
    <w:basedOn w:val="Normal"/>
    <w:uiPriority w:val="99"/>
    <w:semiHidden/>
    <w:unhideWhenUsed/>
    <w:rsid w:val="00BE00F1"/>
    <w:pPr>
      <w:numPr>
        <w:numId w:val="2"/>
      </w:numPr>
      <w:contextualSpacing/>
    </w:pPr>
  </w:style>
  <w:style w:type="character" w:customStyle="1" w:styleId="DTFArialBlack">
    <w:name w:val="DTF Arial Black"/>
    <w:uiPriority w:val="1"/>
    <w:qFormat/>
    <w:rsid w:val="00264410"/>
    <w:rPr>
      <w:rFonts w:ascii="Arial Black" w:hAnsi="Arial Black"/>
    </w:rPr>
  </w:style>
  <w:style w:type="paragraph" w:customStyle="1" w:styleId="DTFBodyText">
    <w:name w:val="DTF Body Text"/>
    <w:basedOn w:val="Normal"/>
    <w:qFormat/>
    <w:rsid w:val="00264410"/>
  </w:style>
  <w:style w:type="paragraph" w:customStyle="1" w:styleId="DTFFooter">
    <w:name w:val="DTF Footer"/>
    <w:qFormat/>
    <w:rsid w:val="00D74C2A"/>
    <w:pPr>
      <w:framePr w:hSpace="181" w:wrap="around" w:vAnchor="text" w:hAnchor="text" w:y="1"/>
      <w:suppressOverlap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DTFHeading1">
    <w:name w:val="DTF Heading 1"/>
    <w:next w:val="DTFBodyText"/>
    <w:qFormat/>
    <w:rsid w:val="00264410"/>
    <w:pPr>
      <w:spacing w:before="360" w:after="24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customStyle="1" w:styleId="DTFHeading2">
    <w:name w:val="DTF Heading 2"/>
    <w:next w:val="DTFBodyText"/>
    <w:qFormat/>
    <w:rsid w:val="00264410"/>
    <w:pPr>
      <w:spacing w:before="36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HighlightText">
    <w:name w:val="DTF Heading 2 - Highlight Text"/>
    <w:next w:val="DTFBodyText"/>
    <w:autoRedefine/>
    <w:qFormat/>
    <w:rsid w:val="00264410"/>
    <w:pPr>
      <w:spacing w:before="24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numbered">
    <w:name w:val="DTF Heading 2 - numbered"/>
    <w:basedOn w:val="Normal"/>
    <w:autoRedefine/>
    <w:qFormat/>
    <w:rsid w:val="00264410"/>
    <w:pPr>
      <w:numPr>
        <w:numId w:val="12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120" w:line="300" w:lineRule="atLeast"/>
      <w:textAlignment w:val="center"/>
    </w:pPr>
    <w:rPr>
      <w:rFonts w:ascii="Arial MT Std Light" w:hAnsi="Arial MT Std Light" w:cs="Arial MT Std Light"/>
      <w:color w:val="00A98F"/>
      <w:w w:val="90"/>
      <w:sz w:val="28"/>
      <w:szCs w:val="28"/>
      <w:lang w:val="en-GB"/>
    </w:rPr>
  </w:style>
  <w:style w:type="paragraph" w:customStyle="1" w:styleId="DTFHeading3">
    <w:name w:val="DTF Heading 3"/>
    <w:next w:val="DTFBodyText"/>
    <w:autoRedefine/>
    <w:qFormat/>
    <w:rsid w:val="00264410"/>
    <w:pPr>
      <w:spacing w:before="360" w:after="240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DTFHeading3-HighlightText">
    <w:name w:val="DTF Heading 3 - Highlight Text"/>
    <w:autoRedefine/>
    <w:qFormat/>
    <w:rsid w:val="004A7E88"/>
    <w:pPr>
      <w:framePr w:hSpace="181" w:wrap="around" w:vAnchor="text" w:hAnchor="text" w:y="1"/>
      <w:spacing w:before="120" w:after="240"/>
      <w:suppressOverlap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character" w:customStyle="1" w:styleId="DTFItalic">
    <w:name w:val="DTF Italic"/>
    <w:uiPriority w:val="1"/>
    <w:qFormat/>
    <w:rsid w:val="00264410"/>
    <w:rPr>
      <w:i/>
    </w:rPr>
  </w:style>
  <w:style w:type="paragraph" w:customStyle="1" w:styleId="DTFListBullet1-Black">
    <w:name w:val="DTF List Bullet 1 - Black"/>
    <w:autoRedefine/>
    <w:qFormat/>
    <w:rsid w:val="00264410"/>
    <w:pPr>
      <w:numPr>
        <w:numId w:val="13"/>
      </w:numPr>
      <w:spacing w:after="200"/>
    </w:pPr>
    <w:rPr>
      <w:rFonts w:ascii="Arial" w:eastAsia="Times New Roman" w:hAnsi="Arial" w:cs="Arial"/>
      <w:color w:val="000000" w:themeColor="text1"/>
      <w:sz w:val="22"/>
      <w:lang w:eastAsia="en-AU"/>
    </w:rPr>
  </w:style>
  <w:style w:type="paragraph" w:customStyle="1" w:styleId="DTFListBullet1-Orange">
    <w:name w:val="DTF List Bullet 1 - Orange"/>
    <w:autoRedefine/>
    <w:qFormat/>
    <w:rsid w:val="00264410"/>
    <w:pPr>
      <w:numPr>
        <w:numId w:val="14"/>
      </w:numPr>
      <w:spacing w:after="200"/>
      <w:ind w:left="681" w:hanging="397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Black">
    <w:name w:val="DTF List Bullet 2 - Black"/>
    <w:autoRedefine/>
    <w:qFormat/>
    <w:rsid w:val="00264410"/>
    <w:pPr>
      <w:numPr>
        <w:ilvl w:val="1"/>
        <w:numId w:val="15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Dash">
    <w:name w:val="DTF List Bullet 2 - Dash"/>
    <w:autoRedefine/>
    <w:qFormat/>
    <w:rsid w:val="00264410"/>
    <w:pPr>
      <w:numPr>
        <w:numId w:val="16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3-Dash">
    <w:name w:val="DTF List Bullet 3 - Dash"/>
    <w:autoRedefine/>
    <w:qFormat/>
    <w:rsid w:val="00264410"/>
    <w:pPr>
      <w:numPr>
        <w:ilvl w:val="2"/>
        <w:numId w:val="17"/>
      </w:numPr>
      <w:tabs>
        <w:tab w:val="left" w:pos="1701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">
    <w:name w:val="DTF List Number 1"/>
    <w:autoRedefine/>
    <w:qFormat/>
    <w:rsid w:val="00264410"/>
    <w:pPr>
      <w:numPr>
        <w:numId w:val="18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-Roman">
    <w:name w:val="DTF List Number 1 - Roman"/>
    <w:basedOn w:val="ListNumber1-Roman"/>
    <w:autoRedefine/>
    <w:qFormat/>
    <w:rsid w:val="000576EF"/>
  </w:style>
  <w:style w:type="character" w:customStyle="1" w:styleId="DTFStrong">
    <w:name w:val="DTF Strong"/>
    <w:uiPriority w:val="1"/>
    <w:qFormat/>
    <w:rsid w:val="00264410"/>
    <w:rPr>
      <w:b/>
    </w:rPr>
  </w:style>
  <w:style w:type="paragraph" w:customStyle="1" w:styleId="DTFTableDash">
    <w:name w:val="DTF Table Dash"/>
    <w:basedOn w:val="Normal"/>
    <w:qFormat/>
    <w:rsid w:val="00264410"/>
    <w:pPr>
      <w:numPr>
        <w:numId w:val="19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57" w:line="290" w:lineRule="atLeast"/>
      <w:textAlignment w:val="center"/>
    </w:pPr>
    <w:rPr>
      <w:rFonts w:ascii="Arial MT Std Light" w:hAnsi="Arial MT Std Light"/>
      <w:color w:val="000000"/>
      <w:w w:val="90"/>
      <w:sz w:val="21"/>
      <w:szCs w:val="21"/>
    </w:rPr>
  </w:style>
  <w:style w:type="paragraph" w:customStyle="1" w:styleId="DTFTableHeading4-Centred">
    <w:name w:val="DTF Table Heading 4 - Centred"/>
    <w:basedOn w:val="Heading4"/>
    <w:rsid w:val="00264410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DTFTableNumbers">
    <w:name w:val="DTF Table Numbers"/>
    <w:basedOn w:val="Normal"/>
    <w:autoRedefine/>
    <w:qFormat/>
    <w:rsid w:val="00264410"/>
    <w:pPr>
      <w:spacing w:after="0"/>
      <w:ind w:right="284"/>
      <w:jc w:val="right"/>
    </w:pPr>
  </w:style>
  <w:style w:type="paragraph" w:customStyle="1" w:styleId="DTFTableText">
    <w:name w:val="DTF Table Text"/>
    <w:basedOn w:val="Normal"/>
    <w:qFormat/>
    <w:rsid w:val="00264410"/>
    <w:pPr>
      <w:spacing w:after="0"/>
    </w:pPr>
  </w:style>
  <w:style w:type="paragraph" w:customStyle="1" w:styleId="DTFTableText-Centred">
    <w:name w:val="DTF Table Text - Centred"/>
    <w:basedOn w:val="DTFTableText"/>
    <w:qFormat/>
    <w:rsid w:val="00264410"/>
    <w:pPr>
      <w:jc w:val="center"/>
    </w:pPr>
  </w:style>
  <w:style w:type="paragraph" w:customStyle="1" w:styleId="DTFTitle">
    <w:name w:val="DTF Title"/>
    <w:qFormat/>
    <w:rsid w:val="00264410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customStyle="1" w:styleId="DTFTOC1">
    <w:name w:val="DTF TOC 1"/>
    <w:autoRedefine/>
    <w:qFormat/>
    <w:rsid w:val="000576EF"/>
    <w:pPr>
      <w:tabs>
        <w:tab w:val="left" w:pos="9639"/>
      </w:tabs>
      <w:spacing w:after="100"/>
      <w:ind w:right="-1"/>
    </w:pPr>
    <w:rPr>
      <w:rFonts w:ascii="Arial" w:eastAsia="Times New Roman" w:hAnsi="Arial" w:cs="Arial"/>
      <w:sz w:val="22"/>
      <w:lang w:eastAsia="en-AU"/>
    </w:rPr>
  </w:style>
  <w:style w:type="paragraph" w:customStyle="1" w:styleId="DTFHeading4">
    <w:name w:val="DTF Heading 4"/>
    <w:next w:val="DTFBodyText"/>
    <w:qFormat/>
    <w:rsid w:val="00FF381A"/>
    <w:pPr>
      <w:spacing w:before="360" w:after="240"/>
    </w:pPr>
    <w:rPr>
      <w:rFonts w:ascii="Arial" w:eastAsia="Times New Roman" w:hAnsi="Arial" w:cs="Arial"/>
      <w:b/>
      <w:bCs/>
      <w:color w:val="606060"/>
      <w:sz w:val="22"/>
      <w:szCs w:val="22"/>
      <w:lang w:eastAsia="en-AU"/>
    </w:rPr>
  </w:style>
  <w:style w:type="character" w:customStyle="1" w:styleId="DTFGreyText">
    <w:name w:val="DTF Grey Text"/>
    <w:uiPriority w:val="1"/>
    <w:qFormat/>
    <w:rsid w:val="00D74C2A"/>
    <w:rPr>
      <w:color w:val="6060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664"/>
    <w:pPr>
      <w:tabs>
        <w:tab w:val="left" w:pos="709"/>
        <w:tab w:val="left" w:pos="1276"/>
        <w:tab w:val="left" w:pos="4536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styleId="Heading1">
    <w:name w:val="heading 1"/>
    <w:next w:val="Normal"/>
    <w:link w:val="Heading1Char"/>
    <w:qFormat/>
    <w:rsid w:val="00AA44F5"/>
    <w:pPr>
      <w:keepNext/>
      <w:spacing w:before="360" w:after="240"/>
      <w:outlineLvl w:val="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styleId="Heading2">
    <w:name w:val="heading 2"/>
    <w:next w:val="Normal"/>
    <w:link w:val="Heading2Char"/>
    <w:unhideWhenUsed/>
    <w:qFormat/>
    <w:rsid w:val="00AA44F5"/>
    <w:pPr>
      <w:keepNext/>
      <w:spacing w:before="360" w:after="240"/>
      <w:outlineLvl w:val="1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styleId="Heading3">
    <w:name w:val="heading 3"/>
    <w:next w:val="Normal"/>
    <w:link w:val="Heading3Char"/>
    <w:qFormat/>
    <w:rsid w:val="00AA44F5"/>
    <w:pPr>
      <w:keepNext/>
      <w:spacing w:before="360" w:after="240"/>
      <w:outlineLvl w:val="2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Heading4">
    <w:name w:val="heading 4"/>
    <w:next w:val="Normal"/>
    <w:link w:val="Heading4Char"/>
    <w:unhideWhenUsed/>
    <w:qFormat/>
    <w:rsid w:val="00AA44F5"/>
    <w:pPr>
      <w:keepNext/>
      <w:keepLines/>
      <w:spacing w:before="360" w:after="240"/>
      <w:outlineLvl w:val="3"/>
    </w:pPr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Heading5">
    <w:name w:val="heading 5"/>
    <w:basedOn w:val="Normal"/>
    <w:next w:val="Normal"/>
    <w:link w:val="Heading5Char"/>
    <w:unhideWhenUsed/>
    <w:qFormat/>
    <w:rsid w:val="00FB218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000C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709"/>
        <w:tab w:val="clear" w:pos="1276"/>
        <w:tab w:val="clear" w:pos="4536"/>
      </w:tabs>
      <w:spacing w:before="120" w:after="120"/>
      <w:jc w:val="both"/>
      <w:outlineLvl w:val="5"/>
    </w:pPr>
    <w:rPr>
      <w:rFonts w:ascii="Arial Narrow" w:hAnsi="Arial Narrow" w:cs="Times New Roman"/>
      <w:b/>
      <w:sz w:val="26"/>
    </w:rPr>
  </w:style>
  <w:style w:type="paragraph" w:styleId="Heading7">
    <w:name w:val="heading 7"/>
    <w:basedOn w:val="Normal"/>
    <w:next w:val="Normal"/>
    <w:link w:val="Heading7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center"/>
      <w:outlineLvl w:val="6"/>
    </w:pPr>
    <w:rPr>
      <w:rFonts w:ascii="Arial Narrow" w:hAnsi="Arial Narrow" w:cs="Times New Roman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both"/>
      <w:outlineLvl w:val="7"/>
    </w:pPr>
    <w:rPr>
      <w:rFonts w:ascii="Arial Narrow" w:hAnsi="Arial Narrow" w:cs="Times New Roman"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000CF5"/>
    <w:pPr>
      <w:keepNext/>
      <w:tabs>
        <w:tab w:val="clear" w:pos="709"/>
        <w:tab w:val="clear" w:pos="1276"/>
        <w:tab w:val="clear" w:pos="4536"/>
      </w:tabs>
      <w:spacing w:before="120" w:after="120"/>
      <w:jc w:val="right"/>
      <w:outlineLvl w:val="8"/>
    </w:pPr>
    <w:rPr>
      <w:rFonts w:ascii="Arial Narrow" w:hAnsi="Arial Narrow" w:cs="Times New Roman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664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Heading1Char">
    <w:name w:val="Heading 1 Char"/>
    <w:basedOn w:val="DefaultParagraphFont"/>
    <w:link w:val="Heading1"/>
    <w:rsid w:val="00AA44F5"/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AA44F5"/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777664"/>
    <w:rPr>
      <w:rFonts w:ascii="Arial" w:eastAsia="Times New Roman" w:hAnsi="Arial" w:cs="Arial"/>
      <w:sz w:val="22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777664"/>
    <w:pPr>
      <w:tabs>
        <w:tab w:val="clear" w:pos="709"/>
        <w:tab w:val="clear" w:pos="1276"/>
        <w:tab w:val="clear" w:pos="4536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77664"/>
    <w:rPr>
      <w:rFonts w:ascii="Arial" w:eastAsia="Times New Roman" w:hAnsi="Arial" w:cs="Arial"/>
      <w:sz w:val="22"/>
      <w:lang w:eastAsia="en-AU"/>
    </w:rPr>
  </w:style>
  <w:style w:type="character" w:customStyle="1" w:styleId="Heading3Char">
    <w:name w:val="Heading 3 Char"/>
    <w:basedOn w:val="DefaultParagraphFont"/>
    <w:link w:val="Heading3"/>
    <w:rsid w:val="00AA44F5"/>
    <w:rPr>
      <w:rFonts w:ascii="Arial" w:eastAsia="Times New Roman" w:hAnsi="Arial" w:cs="Arial"/>
      <w:b/>
      <w:bCs/>
      <w:sz w:val="24"/>
      <w:szCs w:val="26"/>
      <w:lang w:eastAsia="en-AU"/>
    </w:rPr>
  </w:style>
  <w:style w:type="paragraph" w:styleId="BlockText">
    <w:name w:val="Block Text"/>
    <w:basedOn w:val="Normal"/>
    <w:uiPriority w:val="99"/>
    <w:semiHidden/>
    <w:unhideWhenUsed/>
    <w:rsid w:val="005B5AC2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numbering" w:customStyle="1" w:styleId="StyleBulletedSymbolsymbolLeft063cmHanging063cm">
    <w:name w:val="Style Bulleted Symbol (symbol) Left:  0.63 cm Hanging:  0.63 cm"/>
    <w:basedOn w:val="NoList"/>
    <w:rsid w:val="001A2B7F"/>
    <w:pPr>
      <w:numPr>
        <w:numId w:val="1"/>
      </w:numPr>
    </w:pPr>
  </w:style>
  <w:style w:type="paragraph" w:customStyle="1" w:styleId="SubTitle">
    <w:name w:val="Sub Title"/>
    <w:basedOn w:val="Normal"/>
    <w:autoRedefine/>
    <w:semiHidden/>
    <w:rsid w:val="00293A72"/>
    <w:pPr>
      <w:spacing w:after="160" w:line="240" w:lineRule="exact"/>
    </w:pPr>
    <w:rPr>
      <w:rFonts w:ascii="Verdana" w:hAnsi="Verdana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A7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A44F5"/>
    <w:rPr>
      <w:rFonts w:ascii="Arial" w:eastAsiaTheme="majorEastAsia" w:hAnsi="Arial" w:cs="Arial"/>
      <w:b/>
      <w:bCs/>
      <w:iCs/>
      <w:color w:val="606060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table" w:styleId="TableGrid">
    <w:name w:val="Table Grid"/>
    <w:aliases w:val="TD Table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FB2184"/>
    <w:rPr>
      <w:rFonts w:asciiTheme="majorHAnsi" w:eastAsiaTheme="majorEastAsia" w:hAnsiTheme="majorHAnsi" w:cstheme="majorBidi"/>
      <w:color w:val="243F60" w:themeColor="accent1" w:themeShade="7F"/>
      <w:sz w:val="22"/>
      <w:lang w:eastAsia="en-AU"/>
    </w:rPr>
  </w:style>
  <w:style w:type="paragraph" w:customStyle="1" w:styleId="Heading2-HighlightText">
    <w:name w:val="Heading 2 - Highlight Text"/>
    <w:basedOn w:val="Heading2"/>
    <w:qFormat/>
    <w:rsid w:val="00D27C27"/>
    <w:pPr>
      <w:spacing w:before="240"/>
    </w:pPr>
  </w:style>
  <w:style w:type="paragraph" w:customStyle="1" w:styleId="Heading3-HighlightText">
    <w:name w:val="Heading 3 - Highlight Text"/>
    <w:basedOn w:val="Heading3"/>
    <w:qFormat/>
    <w:rsid w:val="00516254"/>
    <w:pPr>
      <w:framePr w:hSpace="181" w:wrap="around" w:vAnchor="text" w:hAnchor="text" w:y="1"/>
      <w:spacing w:before="120"/>
      <w:suppressOverlap/>
    </w:pPr>
  </w:style>
  <w:style w:type="paragraph" w:customStyle="1" w:styleId="Heading4centred">
    <w:name w:val="Heading 4 centred"/>
    <w:basedOn w:val="Heading4"/>
    <w:rsid w:val="00CB2223"/>
    <w:pPr>
      <w:spacing w:before="120" w:after="120"/>
      <w:jc w:val="center"/>
    </w:pPr>
    <w:rPr>
      <w:rFonts w:eastAsia="Times New Roman" w:cs="Times New Roman"/>
      <w:iCs w:val="0"/>
    </w:rPr>
  </w:style>
  <w:style w:type="character" w:customStyle="1" w:styleId="Heading6Char">
    <w:name w:val="Heading 6 Char"/>
    <w:basedOn w:val="DefaultParagraphFont"/>
    <w:link w:val="Heading6"/>
    <w:rsid w:val="00000CF5"/>
    <w:rPr>
      <w:rFonts w:ascii="Arial Narrow" w:eastAsia="Times New Roman" w:hAnsi="Arial Narrow"/>
      <w:b/>
      <w:sz w:val="26"/>
      <w:lang w:eastAsia="en-AU"/>
    </w:rPr>
  </w:style>
  <w:style w:type="character" w:customStyle="1" w:styleId="Heading7Char">
    <w:name w:val="Heading 7 Char"/>
    <w:basedOn w:val="DefaultParagraphFont"/>
    <w:link w:val="Heading7"/>
    <w:rsid w:val="00000CF5"/>
    <w:rPr>
      <w:rFonts w:ascii="Arial Narrow" w:eastAsia="Times New Roman" w:hAnsi="Arial Narrow"/>
      <w:b/>
      <w:sz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000CF5"/>
    <w:rPr>
      <w:rFonts w:ascii="Arial Narrow" w:eastAsia="Times New Roman" w:hAnsi="Arial Narrow"/>
      <w:sz w:val="24"/>
      <w:u w:val="single"/>
      <w:lang w:eastAsia="en-AU"/>
    </w:rPr>
  </w:style>
  <w:style w:type="character" w:customStyle="1" w:styleId="Heading9Char">
    <w:name w:val="Heading 9 Char"/>
    <w:basedOn w:val="DefaultParagraphFont"/>
    <w:link w:val="Heading9"/>
    <w:rsid w:val="00000CF5"/>
    <w:rPr>
      <w:rFonts w:ascii="Arial Narrow" w:eastAsia="Times New Roman" w:hAnsi="Arial Narrow"/>
      <w:b/>
      <w:sz w:val="24"/>
      <w:u w:val="single"/>
      <w:lang w:eastAsia="en-AU"/>
    </w:rPr>
  </w:style>
  <w:style w:type="paragraph" w:customStyle="1" w:styleId="ListNumber2-Roman">
    <w:name w:val="List Number 2 - Roman"/>
    <w:basedOn w:val="Normal"/>
    <w:qFormat/>
    <w:rsid w:val="00777664"/>
    <w:pPr>
      <w:numPr>
        <w:numId w:val="8"/>
      </w:numPr>
    </w:pPr>
  </w:style>
  <w:style w:type="numbering" w:customStyle="1" w:styleId="Style1">
    <w:name w:val="Style1"/>
    <w:uiPriority w:val="99"/>
    <w:rsid w:val="00913F14"/>
    <w:pPr>
      <w:numPr>
        <w:numId w:val="7"/>
      </w:numPr>
    </w:pPr>
  </w:style>
  <w:style w:type="numbering" w:customStyle="1" w:styleId="Style2">
    <w:name w:val="Style2"/>
    <w:uiPriority w:val="99"/>
    <w:rsid w:val="00913F14"/>
    <w:pPr>
      <w:numPr>
        <w:numId w:val="9"/>
      </w:numPr>
    </w:pPr>
  </w:style>
  <w:style w:type="numbering" w:customStyle="1" w:styleId="Style3">
    <w:name w:val="Style3"/>
    <w:uiPriority w:val="99"/>
    <w:rsid w:val="00930DDC"/>
    <w:pPr>
      <w:numPr>
        <w:numId w:val="10"/>
      </w:numPr>
    </w:pPr>
  </w:style>
  <w:style w:type="paragraph" w:customStyle="1" w:styleId="ListNumber1-Roman">
    <w:name w:val="List Number 1 - Roman"/>
    <w:basedOn w:val="ListNumber2"/>
    <w:autoRedefine/>
    <w:rsid w:val="00810A69"/>
    <w:pPr>
      <w:numPr>
        <w:numId w:val="11"/>
      </w:numPr>
      <w:contextualSpacing w:val="0"/>
    </w:pPr>
  </w:style>
  <w:style w:type="paragraph" w:styleId="ListNumber2">
    <w:name w:val="List Number 2"/>
    <w:basedOn w:val="Normal"/>
    <w:uiPriority w:val="99"/>
    <w:semiHidden/>
    <w:unhideWhenUsed/>
    <w:rsid w:val="00BE00F1"/>
    <w:pPr>
      <w:numPr>
        <w:numId w:val="2"/>
      </w:numPr>
      <w:contextualSpacing/>
    </w:pPr>
  </w:style>
  <w:style w:type="character" w:customStyle="1" w:styleId="DTFArialBlack">
    <w:name w:val="DTF Arial Black"/>
    <w:uiPriority w:val="1"/>
    <w:qFormat/>
    <w:rsid w:val="00264410"/>
    <w:rPr>
      <w:rFonts w:ascii="Arial Black" w:hAnsi="Arial Black"/>
    </w:rPr>
  </w:style>
  <w:style w:type="paragraph" w:customStyle="1" w:styleId="DTFBodyText">
    <w:name w:val="DTF Body Text"/>
    <w:basedOn w:val="Normal"/>
    <w:qFormat/>
    <w:rsid w:val="00264410"/>
  </w:style>
  <w:style w:type="paragraph" w:customStyle="1" w:styleId="DTFFooter">
    <w:name w:val="DTF Footer"/>
    <w:qFormat/>
    <w:rsid w:val="00D74C2A"/>
    <w:pPr>
      <w:framePr w:hSpace="181" w:wrap="around" w:vAnchor="text" w:hAnchor="text" w:y="1"/>
      <w:suppressOverlap/>
    </w:pPr>
    <w:rPr>
      <w:rFonts w:ascii="Arial" w:eastAsia="Times New Roman" w:hAnsi="Arial" w:cs="Arial"/>
      <w:sz w:val="16"/>
      <w:szCs w:val="16"/>
      <w:lang w:eastAsia="en-AU"/>
    </w:rPr>
  </w:style>
  <w:style w:type="paragraph" w:customStyle="1" w:styleId="DTFHeading1">
    <w:name w:val="DTF Heading 1"/>
    <w:next w:val="DTFBodyText"/>
    <w:qFormat/>
    <w:rsid w:val="00264410"/>
    <w:pPr>
      <w:spacing w:before="360" w:after="240"/>
    </w:pPr>
    <w:rPr>
      <w:rFonts w:ascii="Arial" w:eastAsiaTheme="majorEastAsia" w:hAnsi="Arial" w:cs="Arial"/>
      <w:b/>
      <w:bCs/>
      <w:kern w:val="32"/>
      <w:sz w:val="32"/>
      <w:szCs w:val="32"/>
      <w:lang w:eastAsia="en-AU"/>
    </w:rPr>
  </w:style>
  <w:style w:type="paragraph" w:customStyle="1" w:styleId="DTFHeading2">
    <w:name w:val="DTF Heading 2"/>
    <w:next w:val="DTFBodyText"/>
    <w:qFormat/>
    <w:rsid w:val="00264410"/>
    <w:pPr>
      <w:spacing w:before="36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HighlightText">
    <w:name w:val="DTF Heading 2 - Highlight Text"/>
    <w:next w:val="DTFBodyText"/>
    <w:autoRedefine/>
    <w:qFormat/>
    <w:rsid w:val="00264410"/>
    <w:pPr>
      <w:spacing w:before="240" w:after="240"/>
    </w:pPr>
    <w:rPr>
      <w:rFonts w:ascii="Arial" w:eastAsiaTheme="majorEastAsia" w:hAnsi="Arial" w:cs="Arial"/>
      <w:b/>
      <w:bCs/>
      <w:iCs/>
      <w:color w:val="606060"/>
      <w:sz w:val="28"/>
      <w:szCs w:val="28"/>
      <w:lang w:eastAsia="en-AU"/>
    </w:rPr>
  </w:style>
  <w:style w:type="paragraph" w:customStyle="1" w:styleId="DTFHeading2-numbered">
    <w:name w:val="DTF Heading 2 - numbered"/>
    <w:basedOn w:val="Normal"/>
    <w:autoRedefine/>
    <w:qFormat/>
    <w:rsid w:val="00264410"/>
    <w:pPr>
      <w:numPr>
        <w:numId w:val="12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120" w:line="300" w:lineRule="atLeast"/>
      <w:textAlignment w:val="center"/>
    </w:pPr>
    <w:rPr>
      <w:rFonts w:ascii="Arial MT Std Light" w:hAnsi="Arial MT Std Light" w:cs="Arial MT Std Light"/>
      <w:color w:val="00A98F"/>
      <w:w w:val="90"/>
      <w:sz w:val="28"/>
      <w:szCs w:val="28"/>
      <w:lang w:val="en-GB"/>
    </w:rPr>
  </w:style>
  <w:style w:type="paragraph" w:customStyle="1" w:styleId="DTFHeading3">
    <w:name w:val="DTF Heading 3"/>
    <w:next w:val="DTFBodyText"/>
    <w:autoRedefine/>
    <w:qFormat/>
    <w:rsid w:val="00264410"/>
    <w:pPr>
      <w:spacing w:before="360" w:after="240"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paragraph" w:customStyle="1" w:styleId="DTFHeading3-HighlightText">
    <w:name w:val="DTF Heading 3 - Highlight Text"/>
    <w:autoRedefine/>
    <w:qFormat/>
    <w:rsid w:val="004A7E88"/>
    <w:pPr>
      <w:framePr w:hSpace="181" w:wrap="around" w:vAnchor="text" w:hAnchor="text" w:y="1"/>
      <w:spacing w:before="120" w:after="240"/>
      <w:suppressOverlap/>
    </w:pPr>
    <w:rPr>
      <w:rFonts w:ascii="Arial" w:eastAsia="Times New Roman" w:hAnsi="Arial" w:cs="Arial"/>
      <w:b/>
      <w:bCs/>
      <w:sz w:val="24"/>
      <w:szCs w:val="26"/>
      <w:lang w:eastAsia="en-AU"/>
    </w:rPr>
  </w:style>
  <w:style w:type="character" w:customStyle="1" w:styleId="DTFItalic">
    <w:name w:val="DTF Italic"/>
    <w:uiPriority w:val="1"/>
    <w:qFormat/>
    <w:rsid w:val="00264410"/>
    <w:rPr>
      <w:i/>
    </w:rPr>
  </w:style>
  <w:style w:type="paragraph" w:customStyle="1" w:styleId="DTFListBullet1-Black">
    <w:name w:val="DTF List Bullet 1 - Black"/>
    <w:autoRedefine/>
    <w:qFormat/>
    <w:rsid w:val="00264410"/>
    <w:pPr>
      <w:numPr>
        <w:numId w:val="13"/>
      </w:numPr>
      <w:spacing w:after="200"/>
    </w:pPr>
    <w:rPr>
      <w:rFonts w:ascii="Arial" w:eastAsia="Times New Roman" w:hAnsi="Arial" w:cs="Arial"/>
      <w:color w:val="000000" w:themeColor="text1"/>
      <w:sz w:val="22"/>
      <w:lang w:eastAsia="en-AU"/>
    </w:rPr>
  </w:style>
  <w:style w:type="paragraph" w:customStyle="1" w:styleId="DTFListBullet1-Orange">
    <w:name w:val="DTF List Bullet 1 - Orange"/>
    <w:autoRedefine/>
    <w:qFormat/>
    <w:rsid w:val="00264410"/>
    <w:pPr>
      <w:numPr>
        <w:numId w:val="14"/>
      </w:numPr>
      <w:spacing w:after="200"/>
      <w:ind w:left="681" w:hanging="397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Black">
    <w:name w:val="DTF List Bullet 2 - Black"/>
    <w:autoRedefine/>
    <w:qFormat/>
    <w:rsid w:val="00264410"/>
    <w:pPr>
      <w:numPr>
        <w:ilvl w:val="1"/>
        <w:numId w:val="15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2-Dash">
    <w:name w:val="DTF List Bullet 2 - Dash"/>
    <w:autoRedefine/>
    <w:qFormat/>
    <w:rsid w:val="00264410"/>
    <w:pPr>
      <w:numPr>
        <w:numId w:val="16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Bullet3-Dash">
    <w:name w:val="DTF List Bullet 3 - Dash"/>
    <w:autoRedefine/>
    <w:qFormat/>
    <w:rsid w:val="00264410"/>
    <w:pPr>
      <w:numPr>
        <w:ilvl w:val="2"/>
        <w:numId w:val="17"/>
      </w:numPr>
      <w:tabs>
        <w:tab w:val="left" w:pos="1701"/>
      </w:tabs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">
    <w:name w:val="DTF List Number 1"/>
    <w:autoRedefine/>
    <w:qFormat/>
    <w:rsid w:val="00264410"/>
    <w:pPr>
      <w:numPr>
        <w:numId w:val="18"/>
      </w:numPr>
      <w:spacing w:after="200"/>
    </w:pPr>
    <w:rPr>
      <w:rFonts w:ascii="Arial" w:eastAsia="Times New Roman" w:hAnsi="Arial" w:cs="Arial"/>
      <w:sz w:val="22"/>
      <w:lang w:eastAsia="en-AU"/>
    </w:rPr>
  </w:style>
  <w:style w:type="paragraph" w:customStyle="1" w:styleId="DTFListNumber1-Roman">
    <w:name w:val="DTF List Number 1 - Roman"/>
    <w:basedOn w:val="ListNumber1-Roman"/>
    <w:autoRedefine/>
    <w:qFormat/>
    <w:rsid w:val="000576EF"/>
  </w:style>
  <w:style w:type="character" w:customStyle="1" w:styleId="DTFStrong">
    <w:name w:val="DTF Strong"/>
    <w:uiPriority w:val="1"/>
    <w:qFormat/>
    <w:rsid w:val="00264410"/>
    <w:rPr>
      <w:b/>
    </w:rPr>
  </w:style>
  <w:style w:type="paragraph" w:customStyle="1" w:styleId="DTFTableDash">
    <w:name w:val="DTF Table Dash"/>
    <w:basedOn w:val="Normal"/>
    <w:qFormat/>
    <w:rsid w:val="00264410"/>
    <w:pPr>
      <w:numPr>
        <w:numId w:val="19"/>
      </w:numPr>
      <w:tabs>
        <w:tab w:val="clear" w:pos="709"/>
        <w:tab w:val="clear" w:pos="1276"/>
        <w:tab w:val="clear" w:pos="4536"/>
      </w:tabs>
      <w:suppressAutoHyphens/>
      <w:autoSpaceDE w:val="0"/>
      <w:autoSpaceDN w:val="0"/>
      <w:adjustRightInd w:val="0"/>
      <w:spacing w:after="57" w:line="290" w:lineRule="atLeast"/>
      <w:textAlignment w:val="center"/>
    </w:pPr>
    <w:rPr>
      <w:rFonts w:ascii="Arial MT Std Light" w:hAnsi="Arial MT Std Light"/>
      <w:color w:val="000000"/>
      <w:w w:val="90"/>
      <w:sz w:val="21"/>
      <w:szCs w:val="21"/>
    </w:rPr>
  </w:style>
  <w:style w:type="paragraph" w:customStyle="1" w:styleId="DTFTableHeading4-Centred">
    <w:name w:val="DTF Table Heading 4 - Centred"/>
    <w:basedOn w:val="Heading4"/>
    <w:rsid w:val="00264410"/>
    <w:pPr>
      <w:spacing w:before="120" w:after="120"/>
      <w:jc w:val="center"/>
    </w:pPr>
    <w:rPr>
      <w:rFonts w:eastAsia="Times New Roman" w:cs="Times New Roman"/>
      <w:iCs w:val="0"/>
    </w:rPr>
  </w:style>
  <w:style w:type="paragraph" w:customStyle="1" w:styleId="DTFTableNumbers">
    <w:name w:val="DTF Table Numbers"/>
    <w:basedOn w:val="Normal"/>
    <w:autoRedefine/>
    <w:qFormat/>
    <w:rsid w:val="00264410"/>
    <w:pPr>
      <w:spacing w:after="0"/>
      <w:ind w:right="284"/>
      <w:jc w:val="right"/>
    </w:pPr>
  </w:style>
  <w:style w:type="paragraph" w:customStyle="1" w:styleId="DTFTableText">
    <w:name w:val="DTF Table Text"/>
    <w:basedOn w:val="Normal"/>
    <w:qFormat/>
    <w:rsid w:val="00264410"/>
    <w:pPr>
      <w:spacing w:after="0"/>
    </w:pPr>
  </w:style>
  <w:style w:type="paragraph" w:customStyle="1" w:styleId="DTFTableText-Centred">
    <w:name w:val="DTF Table Text - Centred"/>
    <w:basedOn w:val="DTFTableText"/>
    <w:qFormat/>
    <w:rsid w:val="00264410"/>
    <w:pPr>
      <w:jc w:val="center"/>
    </w:pPr>
  </w:style>
  <w:style w:type="paragraph" w:customStyle="1" w:styleId="DTFTitle">
    <w:name w:val="DTF Title"/>
    <w:qFormat/>
    <w:rsid w:val="00264410"/>
    <w:pPr>
      <w:spacing w:before="240"/>
    </w:pPr>
    <w:rPr>
      <w:rFonts w:ascii="Lato Black" w:eastAsia="Times New Roman" w:hAnsi="Lato Black" w:cs="Arial"/>
      <w:b/>
      <w:color w:val="CB6015"/>
      <w:sz w:val="36"/>
      <w:szCs w:val="36"/>
      <w:lang w:eastAsia="en-AU"/>
    </w:rPr>
  </w:style>
  <w:style w:type="paragraph" w:customStyle="1" w:styleId="DTFTOC1">
    <w:name w:val="DTF TOC 1"/>
    <w:autoRedefine/>
    <w:qFormat/>
    <w:rsid w:val="000576EF"/>
    <w:pPr>
      <w:tabs>
        <w:tab w:val="left" w:pos="9639"/>
      </w:tabs>
      <w:spacing w:after="100"/>
      <w:ind w:right="-1"/>
    </w:pPr>
    <w:rPr>
      <w:rFonts w:ascii="Arial" w:eastAsia="Times New Roman" w:hAnsi="Arial" w:cs="Arial"/>
      <w:sz w:val="22"/>
      <w:lang w:eastAsia="en-AU"/>
    </w:rPr>
  </w:style>
  <w:style w:type="paragraph" w:customStyle="1" w:styleId="DTFHeading4">
    <w:name w:val="DTF Heading 4"/>
    <w:next w:val="DTFBodyText"/>
    <w:qFormat/>
    <w:rsid w:val="00FF381A"/>
    <w:pPr>
      <w:spacing w:before="360" w:after="240"/>
    </w:pPr>
    <w:rPr>
      <w:rFonts w:ascii="Arial" w:eastAsia="Times New Roman" w:hAnsi="Arial" w:cs="Arial"/>
      <w:b/>
      <w:bCs/>
      <w:color w:val="606060"/>
      <w:sz w:val="22"/>
      <w:szCs w:val="22"/>
      <w:lang w:eastAsia="en-AU"/>
    </w:rPr>
  </w:style>
  <w:style w:type="character" w:customStyle="1" w:styleId="DTFGreyText">
    <w:name w:val="DTF Grey Text"/>
    <w:uiPriority w:val="1"/>
    <w:qFormat/>
    <w:rsid w:val="00D74C2A"/>
    <w:rPr>
      <w:color w:val="606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1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D68356F7FB54A917EB6B48522F7AB" ma:contentTypeVersion="18" ma:contentTypeDescription="Create a new document." ma:contentTypeScope="" ma:versionID="5968df1a67298019036e2d468f0f57eb">
  <xsd:schema xmlns:xsd="http://www.w3.org/2001/XMLSchema" xmlns:xs="http://www.w3.org/2001/XMLSchema" xmlns:p="http://schemas.microsoft.com/office/2006/metadata/properties" xmlns:ns2="378e824e-6e02-4c0d-8321-dd86fba681ee" targetNamespace="http://schemas.microsoft.com/office/2006/metadata/properties" ma:root="true" ma:fieldsID="016a859d0580dde8c3c2ff3f02387ef4" ns2:_="">
    <xsd:import namespace="378e824e-6e02-4c0d-8321-dd86fba681ee"/>
    <xsd:element name="properties">
      <xsd:complexType>
        <xsd:sequence>
          <xsd:element name="documentManagement">
            <xsd:complexType>
              <xsd:all>
                <xsd:element ref="ns2:Main_x0020_Category"/>
                <xsd:element ref="ns2:Sub_x0020_Category"/>
                <xsd:element ref="ns2:Sub_x0020_Sub_x0020_Category" minOccurs="0"/>
                <xsd:element ref="ns2:Notify" minOccurs="0"/>
                <xsd:element ref="ns2:Details" minOccurs="0"/>
                <xsd:element ref="ns2:Identifier" minOccurs="0"/>
                <xsd:element ref="ns2:Release_x0020_Date" minOccurs="0"/>
                <xsd:element ref="ns2:Publication_x0020_Title" minOccurs="0"/>
                <xsd:element ref="ns2:Publication_x0020_Type" minOccurs="0"/>
                <xsd:element ref="ns2:Tax_x0020_Type" minOccurs="0"/>
                <xsd:element ref="ns2:Tax_x0020_Type_x0020_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e824e-6e02-4c0d-8321-dd86fba681ee" elementFormDefault="qualified">
    <xsd:import namespace="http://schemas.microsoft.com/office/2006/documentManagement/types"/>
    <xsd:import namespace="http://schemas.microsoft.com/office/infopath/2007/PartnerControls"/>
    <xsd:element name="Main_x0020_Category" ma:index="8" ma:displayName="Main Category" ma:list="{b3b53843-a8d9-4b92-b7ee-c4efc7605b88}" ma:internalName="Main_x0020_Category" ma:showField="Title" ma:web="ea3f2675-7e45-4831-bae2-8579175e0c68">
      <xsd:simpleType>
        <xsd:restriction base="dms:Lookup"/>
      </xsd:simpleType>
    </xsd:element>
    <xsd:element name="Sub_x0020_Category" ma:index="9" ma:displayName="Sub Category" ma:list="{edf90873-dc2d-4c00-9444-d26c07edafe2}" ma:internalName="Sub_x0020_Category" ma:showField="Title" ma:web="ea3f2675-7e45-4831-bae2-8579175e0c68">
      <xsd:simpleType>
        <xsd:restriction base="dms:Lookup"/>
      </xsd:simpleType>
    </xsd:element>
    <xsd:element name="Sub_x0020_Sub_x0020_Category" ma:index="10" nillable="true" ma:displayName="Sub Sub Category" ma:list="{0fe7fff1-af8b-412b-8409-b42850d3ea63}" ma:internalName="Sub_x0020_Sub_x0020_Category" ma:readOnly="false" ma:showField="Title" ma:web="ea3f2675-7e45-4831-bae2-8579175e0c68">
      <xsd:simpleType>
        <xsd:restriction base="dms:Lookup"/>
      </xsd:simpleType>
    </xsd:element>
    <xsd:element name="Notify" ma:index="11" nillable="true" ma:displayName="Notify On Check In" ma:default="0" ma:description="Check this box if you would like to notify all subscribers about this document once you check it in." ma:internalName="Notify">
      <xsd:simpleType>
        <xsd:restriction base="dms:Boolean"/>
      </xsd:simpleType>
    </xsd:element>
    <xsd:element name="Details" ma:index="12" nillable="true" ma:displayName="Details" ma:internalName="Details">
      <xsd:simpleType>
        <xsd:restriction base="dms:Text">
          <xsd:maxLength value="255"/>
        </xsd:restriction>
      </xsd:simpleType>
    </xsd:element>
    <xsd:element name="Identifier" ma:index="13" nillable="true" ma:displayName="Identifier" ma:internalName="Identifier">
      <xsd:simpleType>
        <xsd:restriction base="dms:Text">
          <xsd:maxLength value="255"/>
        </xsd:restriction>
      </xsd:simpleType>
    </xsd:element>
    <xsd:element name="Release_x0020_Date" ma:index="14" nillable="true" ma:displayName="Release Date" ma:format="DateOnly" ma:internalName="Release_x0020_Date">
      <xsd:simpleType>
        <xsd:restriction base="dms:DateTime"/>
      </xsd:simpleType>
    </xsd:element>
    <xsd:element name="Publication_x0020_Title" ma:index="15" nillable="true" ma:displayName="Publication Name" ma:description="Use for Taxes, Royalties and Grants publications." ma:internalName="Publication_x0020_Title">
      <xsd:simpleType>
        <xsd:restriction base="dms:Text">
          <xsd:maxLength value="255"/>
        </xsd:restriction>
      </xsd:simpleType>
    </xsd:element>
    <xsd:element name="Publication_x0020_Type" ma:index="16" nillable="true" ma:displayName="Publication Type" ma:description="Use for Taxes, Royalties and Grants publications." ma:format="Dropdown" ma:internalName="Publication_x0020_Type">
      <xsd:simpleType>
        <xsd:restriction base="dms:Choice">
          <xsd:enumeration value="Form (F)"/>
          <xsd:enumeration value="Information (I)"/>
          <xsd:enumeration value="Electronic Returns (RET)"/>
          <xsd:enumeration value="Revenue Circulars (RC)"/>
          <xsd:enumeration value="Payroll Tax Rulings (PTA)"/>
          <xsd:enumeration value="Commissioner's Guidelines (CG)"/>
          <xsd:enumeration value="Royalty Guideline (RG)"/>
          <xsd:enumeration value="Mineral Royalty Forms and Returns (RF)"/>
        </xsd:restriction>
      </xsd:simpleType>
    </xsd:element>
    <xsd:element name="Tax_x0020_Type" ma:index="17" nillable="true" ma:displayName="Tax Type" ma:description="Use for Taxes, Royalties and Grants publications." ma:format="Dropdown" ma:internalName="Tax_x0020_Type">
      <xsd:simpleType>
        <xsd:restriction base="dms:Choice">
          <xsd:enumeration value="General (G)"/>
          <xsd:enumeration value="Home Incentives (HI)"/>
          <xsd:enumeration value="Income Tax Equivalent (IT)"/>
          <xsd:enumeration value="Mineral Royalties"/>
          <xsd:enumeration value="Payroll Tax (PRT)"/>
          <xsd:enumeration value="Stamp Duty (SD)"/>
          <xsd:enumeration value="Unclaimed Money (UM)"/>
        </xsd:restriction>
      </xsd:simpleType>
    </xsd:element>
    <xsd:element name="Tax_x0020_Type_x0020_Topic" ma:index="18" nillable="true" ma:displayName="Tax Type Topic" ma:description="Use for Taxes, Royalties and Grants publications." ma:format="Dropdown" ma:internalName="Tax_x0020_Type_x0020_Topic">
      <xsd:simpleType>
        <xsd:restriction base="dms:Choice">
          <xsd:enumeration value="Allowances"/>
          <xsd:enumeration value="Contractors"/>
          <xsd:enumeration value="Employment Agencies"/>
          <xsd:enumeration value="Exemptions"/>
          <xsd:enumeration value="Fringe Benefits"/>
          <xsd:enumeration value="General"/>
          <xsd:enumeration value="Grouping"/>
          <xsd:enumeration value="NT Payroll Tax Liability"/>
          <xsd:enumeration value="Termination Payments"/>
          <xsd:enumeration value="Wages"/>
          <xsd:enumeration value="Conveyance"/>
          <xsd:enumeration value="Insurance"/>
          <xsd:enumeration value="Leases"/>
          <xsd:enumeration value="Motor Vehicl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_x0020_Type xmlns="378e824e-6e02-4c0d-8321-dd86fba681ee" xsi:nil="true"/>
    <Release_x0020_Date xmlns="378e824e-6e02-4c0d-8321-dd86fba681ee">2016-06-21T14:30:00+00:00</Release_x0020_Date>
    <Publication_x0020_Title xmlns="378e824e-6e02-4c0d-8321-dd86fba681ee">Treasurer's Directions: Section C2.1: Banking – Central Banking Arrangements</Publication_x0020_Title>
    <Sub_x0020_Sub_x0020_Category xmlns="378e824e-6e02-4c0d-8321-dd86fba681ee" xsi:nil="true"/>
    <Details xmlns="378e824e-6e02-4c0d-8321-dd86fba681ee" xsi:nil="true"/>
    <Main_x0020_Category xmlns="378e824e-6e02-4c0d-8321-dd86fba681ee">3</Main_x0020_Category>
    <Tax_x0020_Type_x0020_Topic xmlns="378e824e-6e02-4c0d-8321-dd86fba681ee" xsi:nil="true"/>
    <Sub_x0020_Category xmlns="378e824e-6e02-4c0d-8321-dd86fba681ee">12</Sub_x0020_Category>
    <Identifier xmlns="378e824e-6e02-4c0d-8321-dd86fba681ee">TD-C2.1</Identifier>
    <Notify xmlns="378e824e-6e02-4c0d-8321-dd86fba681ee">false</Notify>
    <Publication_x0020_Type xmlns="378e824e-6e02-4c0d-8321-dd86fba681ee" xsi:nil="true"/>
  </documentManagement>
</p:properties>
</file>

<file path=customXml/itemProps1.xml><?xml version="1.0" encoding="utf-8"?>
<ds:datastoreItem xmlns:ds="http://schemas.openxmlformats.org/officeDocument/2006/customXml" ds:itemID="{96B470AD-E3B5-4DE1-A13A-5E34295D7C98}"/>
</file>

<file path=customXml/itemProps2.xml><?xml version="1.0" encoding="utf-8"?>
<ds:datastoreItem xmlns:ds="http://schemas.openxmlformats.org/officeDocument/2006/customXml" ds:itemID="{7D556926-90F7-40E9-927B-42AB3990EAD7}"/>
</file>

<file path=customXml/itemProps3.xml><?xml version="1.0" encoding="utf-8"?>
<ds:datastoreItem xmlns:ds="http://schemas.openxmlformats.org/officeDocument/2006/customXml" ds:itemID="{3D739CD4-5FDC-4E8F-BF71-7D8F338EFAF6}"/>
</file>

<file path=customXml/itemProps4.xml><?xml version="1.0" encoding="utf-8"?>
<ds:datastoreItem xmlns:ds="http://schemas.openxmlformats.org/officeDocument/2006/customXml" ds:itemID="{099278BB-7985-4CB3-BB5E-A43743801F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1127</Words>
  <Characters>6426</Characters>
  <Application>Microsoft Office Word</Application>
  <DocSecurity>8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Treasurer's Directions: Section C2.1: Banking – Central Banking Arrangements</vt:lpstr>
    </vt:vector>
  </TitlesOfParts>
  <Company>Northern Territory Government</Company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Treasurer's Directions: Section C2.1: Banking – Central Banking Arrangements</dc:title>
  <dc:creator>Barbara Beamsley</dc:creator>
  <cp:lastModifiedBy>Barbara Beamsley</cp:lastModifiedBy>
  <cp:revision>41</cp:revision>
  <cp:lastPrinted>2016-03-31T06:13:00Z</cp:lastPrinted>
  <dcterms:created xsi:type="dcterms:W3CDTF">2016-03-23T02:05:00Z</dcterms:created>
  <dcterms:modified xsi:type="dcterms:W3CDTF">2016-06-21T07:03:00Z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0x010100AE1D68356F7FB54A917EB6B48522F7AB</vt:lpwstr>
  </property>
</Properties>
</file>