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41BE9" w14:textId="77777777" w:rsidR="00613EF5" w:rsidRPr="005B072F" w:rsidRDefault="00613EF5" w:rsidP="008C38DA">
      <w:pPr>
        <w:pStyle w:val="DTFHeading1"/>
      </w:pPr>
      <w:r w:rsidRPr="005B072F">
        <w:t>Cash Management – Transaction Management</w:t>
      </w:r>
      <w:r w:rsidRPr="00613EF5">
        <w:br/>
      </w:r>
      <w:r w:rsidRPr="005B072F">
        <w:t>C3.2: Payments</w:t>
      </w:r>
    </w:p>
    <w:p w14:paraId="6E541BEA" w14:textId="77777777" w:rsidR="00AA44F5" w:rsidRPr="008C38DA" w:rsidRDefault="00613EF5" w:rsidP="008C38DA">
      <w:pPr>
        <w:pStyle w:val="DTFHeading2"/>
      </w:pPr>
      <w:bookmarkStart w:id="0" w:name="_Toc446320951"/>
      <w:bookmarkStart w:id="1" w:name="_Toc446321029"/>
      <w:r w:rsidRPr="008C38DA">
        <w:t>Statement of Intent</w:t>
      </w:r>
      <w:bookmarkEnd w:id="0"/>
      <w:bookmarkEnd w:id="1"/>
    </w:p>
    <w:p w14:paraId="6E541BEB" w14:textId="6C8E9AA4" w:rsidR="003D6E42" w:rsidRDefault="00613EF5" w:rsidP="008C38DA">
      <w:pPr>
        <w:pStyle w:val="DTFBodyText"/>
      </w:pPr>
      <w:r w:rsidRPr="00613EF5">
        <w:t xml:space="preserve">This </w:t>
      </w:r>
      <w:r w:rsidR="00FA0F56">
        <w:t>s</w:t>
      </w:r>
      <w:r w:rsidRPr="00613EF5">
        <w:t xml:space="preserve">ection identifies the </w:t>
      </w:r>
      <w:r w:rsidR="0056130D">
        <w:t>g</w:t>
      </w:r>
      <w:r w:rsidRPr="00613EF5">
        <w:t xml:space="preserve">overnment’s preferred payment methods, the need for administrative controls over payments, and strategies to maximise efficiency in the payment of accounts to improve </w:t>
      </w:r>
      <w:r w:rsidR="0056130D">
        <w:t>g</w:t>
      </w:r>
      <w:r w:rsidRPr="00613EF5">
        <w:t>overnment’s cash management.</w:t>
      </w:r>
    </w:p>
    <w:tbl>
      <w:tblPr>
        <w:tblStyle w:val="TableGrid"/>
        <w:tblW w:w="0" w:type="auto"/>
        <w:tblBorders>
          <w:top w:val="single" w:sz="24" w:space="0" w:color="F1A673"/>
          <w:bottom w:val="single" w:sz="24" w:space="0" w:color="F1A673"/>
        </w:tblBorders>
        <w:tblLook w:val="04A0" w:firstRow="1" w:lastRow="0" w:firstColumn="1" w:lastColumn="0" w:noHBand="0" w:noVBand="1"/>
        <w:tblDescription w:val="Highlight box: Main features including Cash Management and Elements of Cash Management&#10;"/>
      </w:tblPr>
      <w:tblGrid>
        <w:gridCol w:w="9638"/>
      </w:tblGrid>
      <w:tr w:rsidR="00D27C27" w14:paraId="6E541BF9" w14:textId="77777777" w:rsidTr="004B0464">
        <w:trPr>
          <w:tblHeader/>
        </w:trPr>
        <w:tc>
          <w:tcPr>
            <w:tcW w:w="9638" w:type="dxa"/>
            <w:tcMar>
              <w:left w:w="0" w:type="dxa"/>
              <w:right w:w="0" w:type="dxa"/>
            </w:tcMar>
            <w:vAlign w:val="center"/>
          </w:tcPr>
          <w:p w14:paraId="6E541BEC" w14:textId="77777777" w:rsidR="00D27C27" w:rsidRPr="00D27C27" w:rsidRDefault="00613EF5" w:rsidP="008C38DA">
            <w:pPr>
              <w:pStyle w:val="DTFHeading2-HighlightText"/>
            </w:pPr>
            <w:r>
              <w:t>Main Features</w:t>
            </w:r>
            <w:r w:rsidR="00D27C27" w:rsidRPr="00D27C27">
              <w:t xml:space="preserve"> </w:t>
            </w:r>
          </w:p>
          <w:p w14:paraId="6E541BED" w14:textId="251058BF" w:rsidR="00613EF5" w:rsidRDefault="00613EF5" w:rsidP="008C38DA">
            <w:pPr>
              <w:pStyle w:val="DTFBodyText"/>
            </w:pPr>
            <w:r w:rsidRPr="00613EF5">
              <w:t xml:space="preserve">Section 38 of the </w:t>
            </w:r>
            <w:r w:rsidRPr="0054396D">
              <w:rPr>
                <w:rStyle w:val="DTFItalic"/>
              </w:rPr>
              <w:t>Financial Management Act</w:t>
            </w:r>
            <w:r w:rsidR="00EE002C">
              <w:rPr>
                <w:rStyle w:val="DTFItalic"/>
              </w:rPr>
              <w:t xml:space="preserve"> 1995 </w:t>
            </w:r>
            <w:r w:rsidR="00EE002C" w:rsidRPr="00613EF5">
              <w:t>requires</w:t>
            </w:r>
            <w:r w:rsidRPr="00613EF5">
              <w:t xml:space="preserve"> every</w:t>
            </w:r>
            <w:r w:rsidR="00FA0F56" w:rsidRPr="00613EF5">
              <w:t xml:space="preserve"> </w:t>
            </w:r>
            <w:r w:rsidR="00516B12">
              <w:t>A</w:t>
            </w:r>
            <w:r w:rsidR="00FA0F56" w:rsidRPr="00613EF5">
              <w:t xml:space="preserve">ccountable </w:t>
            </w:r>
            <w:r w:rsidR="00516B12">
              <w:t>O</w:t>
            </w:r>
            <w:r w:rsidR="00FA0F56" w:rsidRPr="00613EF5">
              <w:t>fficer and every employee of an agency to comp</w:t>
            </w:r>
            <w:r w:rsidRPr="00613EF5">
              <w:t>ly with the Treasurer’s Directions</w:t>
            </w:r>
            <w:r>
              <w:t>.</w:t>
            </w:r>
          </w:p>
          <w:p w14:paraId="6E541BEE" w14:textId="77777777" w:rsidR="00613EF5" w:rsidRPr="00CB4865" w:rsidRDefault="00613EF5" w:rsidP="008C38DA">
            <w:pPr>
              <w:pStyle w:val="DTFHeading3-HighlightText"/>
              <w:framePr w:wrap="around"/>
            </w:pPr>
            <w:r w:rsidRPr="00CB4865">
              <w:t>Payments</w:t>
            </w:r>
          </w:p>
          <w:p w14:paraId="6E541BEF" w14:textId="77777777" w:rsidR="00613EF5" w:rsidRPr="008C38DA" w:rsidRDefault="00613EF5" w:rsidP="007209AF">
            <w:pPr>
              <w:pStyle w:val="DTFListBullet1-Orange"/>
            </w:pPr>
            <w:r w:rsidRPr="008C38DA">
              <w:t xml:space="preserve">Payments are outflows of cash assets made by an </w:t>
            </w:r>
            <w:r w:rsidR="00FA0F56">
              <w:t>a</w:t>
            </w:r>
            <w:r w:rsidRPr="008C38DA">
              <w:t>gency for official purposes.</w:t>
            </w:r>
          </w:p>
          <w:p w14:paraId="6E541BF0" w14:textId="77777777" w:rsidR="00613EF5" w:rsidRPr="00CB4865" w:rsidRDefault="00613EF5" w:rsidP="008C38DA">
            <w:pPr>
              <w:pStyle w:val="DTFHeading3-HighlightText"/>
              <w:framePr w:wrap="around"/>
            </w:pPr>
            <w:r w:rsidRPr="00CB4865">
              <w:t xml:space="preserve">Methods of Payment </w:t>
            </w:r>
          </w:p>
          <w:p w14:paraId="6E541BF1" w14:textId="77777777" w:rsidR="00613EF5" w:rsidRPr="00613EF5" w:rsidRDefault="00030B6D" w:rsidP="007209AF">
            <w:pPr>
              <w:pStyle w:val="DTFListBullet1-Orange"/>
            </w:pPr>
            <w:r>
              <w:t>A</w:t>
            </w:r>
            <w:r w:rsidR="00613EF5">
              <w:t>gencies are to use a payment method that will maximise benefits and minimise costs to the Territory, while providing a high level of service to suppliers.</w:t>
            </w:r>
          </w:p>
          <w:p w14:paraId="6E541BF2" w14:textId="77777777" w:rsidR="00613EF5" w:rsidRPr="00CB4865" w:rsidRDefault="00613EF5" w:rsidP="008C38DA">
            <w:pPr>
              <w:pStyle w:val="DTFHeading3-HighlightText"/>
              <w:framePr w:wrap="around"/>
            </w:pPr>
            <w:r w:rsidRPr="00CB4865">
              <w:t>Payment Procedures and Controls</w:t>
            </w:r>
          </w:p>
          <w:p w14:paraId="6E541BF3" w14:textId="6CC40272" w:rsidR="00613EF5" w:rsidRPr="00613EF5" w:rsidRDefault="00613EF5">
            <w:pPr>
              <w:pStyle w:val="DTFListBullet1-Orange"/>
            </w:pPr>
            <w:r w:rsidRPr="00613EF5">
              <w:t>Payments are to be subject to appropriate management, accountability and control arrangements, including processes and procedures to allow undisputed invoices</w:t>
            </w:r>
            <w:r w:rsidR="00EE002C">
              <w:t xml:space="preserve"> under     $1</w:t>
            </w:r>
            <w:r w:rsidR="00F55334">
              <w:t xml:space="preserve"> million </w:t>
            </w:r>
            <w:r w:rsidRPr="00613EF5">
              <w:t>to be paid within</w:t>
            </w:r>
            <w:r w:rsidR="00EE002C">
              <w:t xml:space="preserve"> 20 days from the date of receipt of a valid invoice </w:t>
            </w:r>
            <w:r w:rsidR="00912F1B">
              <w:t>and</w:t>
            </w:r>
            <w:r w:rsidR="00EE002C">
              <w:t xml:space="preserve"> 30 days for invoices over $1</w:t>
            </w:r>
            <w:r w:rsidR="00F55334">
              <w:t xml:space="preserve"> million.</w:t>
            </w:r>
          </w:p>
          <w:p w14:paraId="6E541BF4" w14:textId="77777777" w:rsidR="00613EF5" w:rsidRPr="00613EF5" w:rsidRDefault="00030B6D">
            <w:pPr>
              <w:pStyle w:val="DTFListBullet1-Orange"/>
            </w:pPr>
            <w:r>
              <w:t>A</w:t>
            </w:r>
            <w:r w:rsidR="00613EF5" w:rsidRPr="00613EF5">
              <w:t>pprov</w:t>
            </w:r>
            <w:r>
              <w:t>al</w:t>
            </w:r>
            <w:r w:rsidR="00FA0F56" w:rsidRPr="00613EF5">
              <w:t xml:space="preserve"> by the </w:t>
            </w:r>
            <w:r w:rsidR="00516B12">
              <w:t>A</w:t>
            </w:r>
            <w:r w:rsidR="00FA0F56" w:rsidRPr="00613EF5">
              <w:t xml:space="preserve">ccountable </w:t>
            </w:r>
            <w:r w:rsidR="00516B12">
              <w:t>O</w:t>
            </w:r>
            <w:r w:rsidR="00FA0F56" w:rsidRPr="00613EF5">
              <w:t>fficer or a d</w:t>
            </w:r>
            <w:r w:rsidR="00613EF5" w:rsidRPr="00613EF5">
              <w:t xml:space="preserve">uly delegated officer, is required prior to </w:t>
            </w:r>
            <w:r w:rsidR="00FA0F56">
              <w:t>processing a payment</w:t>
            </w:r>
            <w:r w:rsidR="00613EF5" w:rsidRPr="00613EF5">
              <w:t>.</w:t>
            </w:r>
          </w:p>
          <w:p w14:paraId="6E541BF5" w14:textId="77777777" w:rsidR="00613EF5" w:rsidRPr="00613EF5" w:rsidRDefault="00613EF5">
            <w:pPr>
              <w:pStyle w:val="DTFListBullet1-Orange"/>
            </w:pPr>
            <w:r w:rsidRPr="00613EF5">
              <w:t xml:space="preserve">Payment prior to the receipt of goods and services is only to be made where it is a </w:t>
            </w:r>
            <w:r w:rsidR="008D2430">
              <w:t>contractual</w:t>
            </w:r>
            <w:r w:rsidRPr="00613EF5">
              <w:t xml:space="preserve"> requirement or there is an identifiable benefit to the Territory.</w:t>
            </w:r>
          </w:p>
          <w:p w14:paraId="6E541BF6" w14:textId="77777777" w:rsidR="00613EF5" w:rsidRPr="00613EF5" w:rsidRDefault="00613EF5">
            <w:pPr>
              <w:pStyle w:val="DTFListBullet1-Orange"/>
            </w:pPr>
            <w:r w:rsidRPr="00613EF5">
              <w:t>Indivi</w:t>
            </w:r>
            <w:r w:rsidR="005C2ECF">
              <w:t>dual payments in excess of $1</w:t>
            </w:r>
            <w:r w:rsidR="00030B6D">
              <w:t xml:space="preserve"> million </w:t>
            </w:r>
            <w:r w:rsidRPr="00613EF5">
              <w:t xml:space="preserve">(with the exception of payments processed through </w:t>
            </w:r>
            <w:r w:rsidR="00FA0F56">
              <w:t>the Government Accounting Syst</w:t>
            </w:r>
            <w:r w:rsidR="00FA0F56" w:rsidRPr="00BE63DF">
              <w:t>em (</w:t>
            </w:r>
            <w:r w:rsidRPr="00BE63DF">
              <w:t>GAS</w:t>
            </w:r>
            <w:r w:rsidR="004E384C">
              <w:t>)</w:t>
            </w:r>
            <w:r w:rsidR="00FA0F56" w:rsidRPr="00BE63DF">
              <w:t>)</w:t>
            </w:r>
            <w:r w:rsidRPr="00613EF5">
              <w:t xml:space="preserve"> are to be notified to Northern Territory Treasury Corporation at the earliest opportunity prior to </w:t>
            </w:r>
            <w:r w:rsidR="00FA0F56">
              <w:t>making payment</w:t>
            </w:r>
            <w:r w:rsidRPr="00613EF5">
              <w:t>.</w:t>
            </w:r>
          </w:p>
          <w:p w14:paraId="6E541BF7" w14:textId="77777777" w:rsidR="00613EF5" w:rsidRPr="00613EF5" w:rsidRDefault="00613EF5">
            <w:pPr>
              <w:pStyle w:val="DTFListBullet1-Orange"/>
            </w:pPr>
            <w:r w:rsidRPr="00613EF5">
              <w:t xml:space="preserve">In situations where a payee cannot be located, unclaimed payments are recognised and recorded in an Accountable Officer’s Trust Account. </w:t>
            </w:r>
          </w:p>
          <w:p w14:paraId="6E541BF8" w14:textId="77777777" w:rsidR="00D27C27" w:rsidRDefault="00613EF5" w:rsidP="008C38DA">
            <w:pPr>
              <w:pStyle w:val="DTFBodyText"/>
            </w:pPr>
            <w:r>
              <w:rPr>
                <w:snapToGrid w:val="0"/>
                <w:lang w:eastAsia="en-US"/>
              </w:rPr>
              <w:t>For authoritative instruction and guidance, reference</w:t>
            </w:r>
            <w:r w:rsidR="008C38DA">
              <w:rPr>
                <w:snapToGrid w:val="0"/>
                <w:lang w:eastAsia="en-US"/>
              </w:rPr>
              <w:t xml:space="preserve"> </w:t>
            </w:r>
            <w:r>
              <w:rPr>
                <w:snapToGrid w:val="0"/>
                <w:lang w:eastAsia="en-US"/>
              </w:rPr>
              <w:t>should be made to related Treasurer's Directions and associated commentary.</w:t>
            </w:r>
          </w:p>
        </w:tc>
      </w:tr>
    </w:tbl>
    <w:p w14:paraId="696ED5AD" w14:textId="77777777" w:rsidR="00943F19" w:rsidRDefault="00943F19" w:rsidP="00ED656A">
      <w:pPr>
        <w:pStyle w:val="DTFHeading3"/>
      </w:pPr>
    </w:p>
    <w:p w14:paraId="42DE3A78" w14:textId="77777777" w:rsidR="00943F19" w:rsidRDefault="00943F19">
      <w:pPr>
        <w:tabs>
          <w:tab w:val="clear" w:pos="709"/>
          <w:tab w:val="clear" w:pos="1276"/>
          <w:tab w:val="clear" w:pos="4536"/>
        </w:tabs>
        <w:spacing w:after="0"/>
        <w:rPr>
          <w:b/>
          <w:bCs/>
          <w:color w:val="000000" w:themeColor="text1"/>
          <w:sz w:val="24"/>
          <w:szCs w:val="24"/>
        </w:rPr>
      </w:pPr>
      <w:r>
        <w:br w:type="page"/>
      </w:r>
    </w:p>
    <w:p w14:paraId="7EFF2038" w14:textId="77777777" w:rsidR="00CF6200" w:rsidRDefault="00096661" w:rsidP="00CF6200">
      <w:pPr>
        <w:pStyle w:val="DTFBodyText"/>
        <w:tabs>
          <w:tab w:val="right" w:pos="9072"/>
        </w:tabs>
      </w:pPr>
      <w:r w:rsidRPr="005F62AA">
        <w:rPr>
          <w:b/>
          <w:bCs/>
          <w:color w:val="000000" w:themeColor="text1"/>
          <w:sz w:val="24"/>
          <w:szCs w:val="24"/>
        </w:rPr>
        <w:lastRenderedPageBreak/>
        <w:t>Contents</w:t>
      </w:r>
      <w:r w:rsidR="003D6E42">
        <w:t xml:space="preserve"> </w:t>
      </w:r>
    </w:p>
    <w:p w14:paraId="0DF1CA58" w14:textId="7F1FB8BD" w:rsidR="00CF6200" w:rsidRDefault="005F62AA" w:rsidP="00CF6200">
      <w:pPr>
        <w:pStyle w:val="DTFBodyText"/>
        <w:tabs>
          <w:tab w:val="right" w:pos="9072"/>
        </w:tabs>
      </w:pPr>
      <w:r w:rsidRPr="005F62AA">
        <w:t>What are payments?</w:t>
      </w:r>
      <w:r w:rsidR="00CF6200">
        <w:tab/>
      </w:r>
      <w:r w:rsidR="00CF6200">
        <w:tab/>
      </w:r>
      <w:r>
        <w:t>3</w:t>
      </w:r>
    </w:p>
    <w:p w14:paraId="42E73AF4" w14:textId="77777777" w:rsidR="00CF6200" w:rsidRDefault="00CF6200" w:rsidP="00CF6200">
      <w:pPr>
        <w:pStyle w:val="DTFBodyText"/>
        <w:tabs>
          <w:tab w:val="right" w:pos="9072"/>
        </w:tabs>
      </w:pPr>
      <w:r>
        <w:t>Methods of payment</w:t>
      </w:r>
      <w:r>
        <w:tab/>
      </w:r>
      <w:r>
        <w:tab/>
      </w:r>
      <w:r w:rsidR="005F62AA">
        <w:t>3</w:t>
      </w:r>
    </w:p>
    <w:p w14:paraId="4EA2F124" w14:textId="77777777" w:rsidR="00CF6200" w:rsidRDefault="005F62AA" w:rsidP="00CF6200">
      <w:pPr>
        <w:pStyle w:val="DTFBodyText"/>
        <w:tabs>
          <w:tab w:val="right" w:pos="9072"/>
        </w:tabs>
      </w:pPr>
      <w:r>
        <w:t>Payment procedures and controls</w:t>
      </w:r>
      <w:r w:rsidR="00CF6200">
        <w:t xml:space="preserve"> </w:t>
      </w:r>
      <w:r w:rsidR="00CF6200">
        <w:tab/>
      </w:r>
      <w:r w:rsidR="00CF6200">
        <w:tab/>
      </w:r>
      <w:r w:rsidR="00ED656A">
        <w:t>5</w:t>
      </w:r>
      <w:r>
        <w:t xml:space="preserve">     </w:t>
      </w:r>
    </w:p>
    <w:p w14:paraId="1024FBB8" w14:textId="41A971FE" w:rsidR="005F62AA" w:rsidRPr="005F62AA" w:rsidRDefault="00ED656A" w:rsidP="00CF6200">
      <w:pPr>
        <w:pStyle w:val="DTFBodyText"/>
        <w:tabs>
          <w:tab w:val="right" w:pos="9072"/>
        </w:tabs>
      </w:pPr>
      <w:r>
        <w:t xml:space="preserve">Appendix A: Payment controls – Examples                                                   </w:t>
      </w:r>
      <w:r w:rsidR="00CF6200">
        <w:t xml:space="preserve">                         </w:t>
      </w:r>
      <w:r>
        <w:t xml:space="preserve">   9 </w:t>
      </w:r>
      <w:r w:rsidR="005F62AA">
        <w:t xml:space="preserve">                                      </w:t>
      </w:r>
    </w:p>
    <w:p w14:paraId="6E541BFF" w14:textId="492FC1B8" w:rsidR="003D6E42" w:rsidRPr="00ED656A" w:rsidRDefault="00096661" w:rsidP="00ED656A">
      <w:pPr>
        <w:pStyle w:val="DTFHeading3"/>
      </w:pPr>
      <w:r w:rsidRPr="00ED656A">
        <w:t>Authorities</w:t>
      </w:r>
    </w:p>
    <w:p w14:paraId="6E541C00" w14:textId="4CF1FB9A" w:rsidR="004F2747" w:rsidRPr="008C38DA" w:rsidRDefault="004F2747" w:rsidP="008C38DA">
      <w:pPr>
        <w:pStyle w:val="DTFBodyText"/>
        <w:rPr>
          <w:rStyle w:val="DTFItalic"/>
        </w:rPr>
      </w:pPr>
      <w:r w:rsidRPr="008C38DA">
        <w:rPr>
          <w:rStyle w:val="DTFItalic"/>
        </w:rPr>
        <w:t>Financial Management Act</w:t>
      </w:r>
      <w:r w:rsidR="00F55334">
        <w:rPr>
          <w:rStyle w:val="DTFItalic"/>
        </w:rPr>
        <w:t xml:space="preserve"> 1995</w:t>
      </w:r>
    </w:p>
    <w:p w14:paraId="6E541C01" w14:textId="7A4E148A" w:rsidR="004F2747" w:rsidRPr="008C38DA" w:rsidRDefault="004F2747" w:rsidP="008C38DA">
      <w:pPr>
        <w:pStyle w:val="DTFBodyText"/>
        <w:rPr>
          <w:rStyle w:val="DTFItalic"/>
        </w:rPr>
      </w:pPr>
      <w:r w:rsidRPr="008C38DA">
        <w:rPr>
          <w:rStyle w:val="DTFItalic"/>
        </w:rPr>
        <w:t>Procurement Act</w:t>
      </w:r>
      <w:r w:rsidR="00F55334">
        <w:rPr>
          <w:rStyle w:val="DTFItalic"/>
        </w:rPr>
        <w:t xml:space="preserve"> 1995</w:t>
      </w:r>
    </w:p>
    <w:p w14:paraId="6E541C02" w14:textId="2076EAEB" w:rsidR="004F2747" w:rsidRPr="008C38DA" w:rsidRDefault="004F2747" w:rsidP="008C38DA">
      <w:pPr>
        <w:pStyle w:val="DTFBodyText"/>
        <w:rPr>
          <w:rStyle w:val="DTFItalic"/>
        </w:rPr>
      </w:pPr>
      <w:r w:rsidRPr="008C38DA">
        <w:rPr>
          <w:rStyle w:val="DTFItalic"/>
        </w:rPr>
        <w:t>Public Sector Employment and Management Act</w:t>
      </w:r>
      <w:r w:rsidR="00F55334">
        <w:rPr>
          <w:rStyle w:val="DTFItalic"/>
        </w:rPr>
        <w:t xml:space="preserve"> 1993</w:t>
      </w:r>
    </w:p>
    <w:p w14:paraId="6E541C03" w14:textId="77777777" w:rsidR="003D6E42" w:rsidRPr="00CF6200" w:rsidRDefault="00096661" w:rsidP="00ED656A">
      <w:pPr>
        <w:pStyle w:val="DTFHeading3"/>
      </w:pPr>
      <w:r w:rsidRPr="00CF6200">
        <w:t xml:space="preserve">References </w:t>
      </w:r>
    </w:p>
    <w:p w14:paraId="6E541C04" w14:textId="04C0CA37" w:rsidR="004F2747" w:rsidRDefault="004F2747" w:rsidP="008C38DA">
      <w:pPr>
        <w:pStyle w:val="DTFBodyText"/>
      </w:pPr>
      <w:r>
        <w:t xml:space="preserve">Treasury Circular P01-04, Payment of </w:t>
      </w:r>
      <w:r w:rsidR="00ED656A">
        <w:t>a</w:t>
      </w:r>
      <w:r>
        <w:t xml:space="preserve">ccounts </w:t>
      </w:r>
      <w:r w:rsidR="00ED656A">
        <w:t>p</w:t>
      </w:r>
      <w:r>
        <w:t>rocedures</w:t>
      </w:r>
    </w:p>
    <w:p w14:paraId="6E541C05" w14:textId="3BC5D224" w:rsidR="004F2747" w:rsidRDefault="00FA0F56" w:rsidP="008C38DA">
      <w:pPr>
        <w:pStyle w:val="DTFBodyText"/>
      </w:pPr>
      <w:r>
        <w:t>Treasury Circular P03-04, 30-</w:t>
      </w:r>
      <w:r w:rsidR="00ED656A">
        <w:t>d</w:t>
      </w:r>
      <w:r w:rsidR="004F2747">
        <w:t xml:space="preserve">ay </w:t>
      </w:r>
      <w:r w:rsidR="00ED656A">
        <w:t>p</w:t>
      </w:r>
      <w:r w:rsidR="004F2747">
        <w:t xml:space="preserve">ayment </w:t>
      </w:r>
      <w:r w:rsidR="00ED656A">
        <w:t>p</w:t>
      </w:r>
      <w:r w:rsidR="004F2747">
        <w:t xml:space="preserve">olicy: Interest on </w:t>
      </w:r>
      <w:r w:rsidR="00ED656A">
        <w:t>l</w:t>
      </w:r>
      <w:r w:rsidR="004F2747">
        <w:t xml:space="preserve">ate </w:t>
      </w:r>
      <w:r w:rsidR="00ED656A">
        <w:t>p</w:t>
      </w:r>
      <w:r w:rsidR="004F2747">
        <w:t>ayments</w:t>
      </w:r>
    </w:p>
    <w:p w14:paraId="6E541C06" w14:textId="2F1B731D" w:rsidR="004F2747" w:rsidRDefault="004F2747" w:rsidP="008C38DA">
      <w:pPr>
        <w:pStyle w:val="DTFBodyText"/>
      </w:pPr>
      <w:r w:rsidRPr="005D0D2D">
        <w:t xml:space="preserve">Treasury Tax Circulars: GST </w:t>
      </w:r>
      <w:r w:rsidR="00ED656A">
        <w:t>s</w:t>
      </w:r>
      <w:r w:rsidRPr="005D0D2D">
        <w:t>eries</w:t>
      </w:r>
    </w:p>
    <w:p w14:paraId="6E541C07" w14:textId="77777777" w:rsidR="003D6E42" w:rsidRPr="00557204" w:rsidRDefault="003D6E42" w:rsidP="008C38DA">
      <w:pPr>
        <w:pStyle w:val="DTFBodyText"/>
      </w:pPr>
      <w:r w:rsidRPr="00557204">
        <w:t xml:space="preserve">Related Treasurer’s Directions: </w:t>
      </w:r>
    </w:p>
    <w:p w14:paraId="6E541C08" w14:textId="77777777" w:rsidR="004F2747" w:rsidRPr="004F2747" w:rsidRDefault="004F2747" w:rsidP="008C38DA">
      <w:pPr>
        <w:pStyle w:val="DTFBodyText"/>
      </w:pPr>
      <w:r w:rsidRPr="004F2747">
        <w:t>F3.3</w:t>
      </w:r>
      <w:r w:rsidRPr="004F2747">
        <w:tab/>
        <w:t>Fr</w:t>
      </w:r>
      <w:r>
        <w:t>amework – Legislative Structure</w:t>
      </w:r>
      <w:r w:rsidRPr="004F2747">
        <w:t>: Delegations</w:t>
      </w:r>
    </w:p>
    <w:p w14:paraId="6E541C09" w14:textId="77777777" w:rsidR="004F2747" w:rsidRPr="004F2747" w:rsidRDefault="004F2747" w:rsidP="008C38DA">
      <w:pPr>
        <w:pStyle w:val="DTFBodyText"/>
      </w:pPr>
      <w:r>
        <w:t>A2.9</w:t>
      </w:r>
      <w:r>
        <w:tab/>
        <w:t>Accounting – Assets</w:t>
      </w:r>
      <w:r w:rsidRPr="004F2747">
        <w:t>: Prepayments</w:t>
      </w:r>
    </w:p>
    <w:p w14:paraId="6E541C0A" w14:textId="62A0552F" w:rsidR="004F2747" w:rsidRPr="004F2747" w:rsidRDefault="004F2747" w:rsidP="008C38DA">
      <w:pPr>
        <w:pStyle w:val="DTFBodyText"/>
      </w:pPr>
      <w:r w:rsidRPr="005D0D2D">
        <w:t>A3.2</w:t>
      </w:r>
      <w:r w:rsidRPr="005D0D2D">
        <w:tab/>
        <w:t xml:space="preserve">Accounting – Liabilities: Accounts </w:t>
      </w:r>
      <w:r w:rsidR="00ED656A">
        <w:t>p</w:t>
      </w:r>
      <w:r w:rsidRPr="005D0D2D">
        <w:t xml:space="preserve">ayable and </w:t>
      </w:r>
      <w:r w:rsidR="00ED656A">
        <w:t>a</w:t>
      </w:r>
      <w:r w:rsidRPr="005D0D2D">
        <w:t xml:space="preserve">ccrued </w:t>
      </w:r>
      <w:r w:rsidR="00ED656A">
        <w:t>e</w:t>
      </w:r>
      <w:r w:rsidRPr="005D0D2D">
        <w:t>xpenses</w:t>
      </w:r>
    </w:p>
    <w:p w14:paraId="6E541C0B" w14:textId="3BF0D32D" w:rsidR="004F2747" w:rsidRPr="004F2747" w:rsidRDefault="004F2747" w:rsidP="008C38DA">
      <w:pPr>
        <w:pStyle w:val="DTFBodyText"/>
      </w:pPr>
      <w:r>
        <w:t>A4.2</w:t>
      </w:r>
      <w:r>
        <w:tab/>
        <w:t>Accounting – Equity</w:t>
      </w:r>
      <w:r w:rsidRPr="004F2747">
        <w:t xml:space="preserve">: Owner </w:t>
      </w:r>
      <w:r w:rsidR="00ED656A">
        <w:t>a</w:t>
      </w:r>
      <w:r w:rsidRPr="004F2747">
        <w:t>ctions</w:t>
      </w:r>
    </w:p>
    <w:p w14:paraId="6E541C0C" w14:textId="77777777" w:rsidR="004F2747" w:rsidRPr="004F2747" w:rsidRDefault="004F2747" w:rsidP="008C38DA">
      <w:pPr>
        <w:pStyle w:val="DTFBodyText"/>
      </w:pPr>
      <w:r w:rsidRPr="004F2747">
        <w:t>C1.1</w:t>
      </w:r>
      <w:r w:rsidRPr="004F2747">
        <w:tab/>
        <w:t>Cash Management – Introduction: Overview</w:t>
      </w:r>
    </w:p>
    <w:p w14:paraId="6E541C0D" w14:textId="2242EA40" w:rsidR="006C618F" w:rsidRDefault="004F2747" w:rsidP="008C38DA">
      <w:pPr>
        <w:pStyle w:val="DTFBodyText"/>
      </w:pPr>
      <w:r w:rsidRPr="004F2747">
        <w:t>C3.3</w:t>
      </w:r>
      <w:r w:rsidRPr="004F2747">
        <w:tab/>
        <w:t>Cash Mana</w:t>
      </w:r>
      <w:r>
        <w:t>gement – Transaction Management</w:t>
      </w:r>
      <w:r w:rsidRPr="004F2747">
        <w:t xml:space="preserve">: Corporate </w:t>
      </w:r>
      <w:r w:rsidR="00ED656A">
        <w:t>c</w:t>
      </w:r>
      <w:r w:rsidRPr="004F2747">
        <w:t xml:space="preserve">redit </w:t>
      </w:r>
      <w:r w:rsidR="00ED656A">
        <w:t>c</w:t>
      </w:r>
      <w:r w:rsidRPr="004F2747">
        <w:t>ards</w:t>
      </w:r>
    </w:p>
    <w:p w14:paraId="6E541C0E" w14:textId="38660BCA" w:rsidR="004F2747" w:rsidRDefault="006C618F" w:rsidP="008C38DA">
      <w:pPr>
        <w:pStyle w:val="DTFBodyText"/>
        <w:rPr>
          <w:rFonts w:eastAsiaTheme="majorEastAsia"/>
        </w:rPr>
      </w:pPr>
      <w:r>
        <w:t>A6.2</w:t>
      </w:r>
      <w:r>
        <w:tab/>
        <w:t xml:space="preserve">Expenses – Employee </w:t>
      </w:r>
      <w:r w:rsidR="00ED656A">
        <w:t>b</w:t>
      </w:r>
      <w:r>
        <w:t>enefits</w:t>
      </w:r>
      <w:r w:rsidR="004F2747">
        <w:br w:type="page"/>
      </w:r>
    </w:p>
    <w:p w14:paraId="6E541C0F" w14:textId="46E91C79" w:rsidR="00096661" w:rsidRPr="004F2747" w:rsidRDefault="004F2747" w:rsidP="008C38DA">
      <w:pPr>
        <w:pStyle w:val="DTFHeading2"/>
      </w:pPr>
      <w:r w:rsidRPr="004F2747">
        <w:lastRenderedPageBreak/>
        <w:t xml:space="preserve">What are </w:t>
      </w:r>
      <w:r w:rsidR="0044358C">
        <w:t>p</w:t>
      </w:r>
      <w:r w:rsidRPr="004F2747">
        <w:t>ayments?</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D27C27" w14:paraId="6E541C12" w14:textId="77777777" w:rsidTr="004F2747">
        <w:trPr>
          <w:tblHeader/>
        </w:trPr>
        <w:tc>
          <w:tcPr>
            <w:tcW w:w="9638" w:type="dxa"/>
            <w:tcMar>
              <w:left w:w="0" w:type="dxa"/>
              <w:right w:w="0" w:type="dxa"/>
            </w:tcMar>
            <w:vAlign w:val="center"/>
          </w:tcPr>
          <w:p w14:paraId="6E541C10" w14:textId="77777777" w:rsidR="00516254" w:rsidRDefault="004F2747" w:rsidP="008C38DA">
            <w:pPr>
              <w:pStyle w:val="DTFHeading3-HighlightText"/>
              <w:framePr w:hSpace="0" w:wrap="auto" w:vAnchor="margin" w:yAlign="inline"/>
              <w:suppressOverlap w:val="0"/>
            </w:pPr>
            <w:r>
              <w:t>C3.2.1</w:t>
            </w:r>
          </w:p>
          <w:p w14:paraId="6E541C11" w14:textId="77777777" w:rsidR="00D27C27" w:rsidRPr="00415D66" w:rsidRDefault="004F2747" w:rsidP="008C38DA">
            <w:pPr>
              <w:pStyle w:val="DTFBodyText"/>
              <w:rPr>
                <w:rStyle w:val="DTFStrong"/>
              </w:rPr>
            </w:pPr>
            <w:r w:rsidRPr="00415D66">
              <w:rPr>
                <w:rStyle w:val="DTFStrong"/>
              </w:rPr>
              <w:t>Payments are outf</w:t>
            </w:r>
            <w:r w:rsidR="00FA0F56" w:rsidRPr="00415D66">
              <w:rPr>
                <w:rStyle w:val="DTFStrong"/>
              </w:rPr>
              <w:t>lows of cash assets made by an a</w:t>
            </w:r>
            <w:r w:rsidRPr="00415D66">
              <w:rPr>
                <w:rStyle w:val="DTFStrong"/>
              </w:rPr>
              <w:t xml:space="preserve">gency for official purposes. </w:t>
            </w:r>
          </w:p>
        </w:tc>
      </w:tr>
    </w:tbl>
    <w:p w14:paraId="6E541C13" w14:textId="77777777" w:rsidR="004F2747" w:rsidRPr="004F2747" w:rsidRDefault="004F2747" w:rsidP="00885FF1">
      <w:pPr>
        <w:pStyle w:val="DTFListNumber1-Roman"/>
      </w:pPr>
      <w:r w:rsidRPr="004F2747">
        <w:t>Agency payments typically relate to settlements of accounts payable and accrued expenses for amounts owing to creditors for the provision of goods, services and assets, but will also include:</w:t>
      </w:r>
    </w:p>
    <w:p w14:paraId="6E541C14" w14:textId="1E7593C5" w:rsidR="004F2747" w:rsidRPr="004F2747" w:rsidRDefault="004F2747" w:rsidP="00CF6200">
      <w:pPr>
        <w:pStyle w:val="DTFListBullet2-Black"/>
      </w:pPr>
      <w:r w:rsidRPr="004F2747">
        <w:t>cash transactions for the purchase of goods and services</w:t>
      </w:r>
    </w:p>
    <w:p w14:paraId="6E541C15" w14:textId="1FB2BD7E" w:rsidR="004F2747" w:rsidRPr="004F2747" w:rsidRDefault="004F2747" w:rsidP="00CF6200">
      <w:pPr>
        <w:pStyle w:val="DTFListBullet2-Black"/>
      </w:pPr>
      <w:r w:rsidRPr="004F2747">
        <w:t xml:space="preserve">salaries, wages and allowances </w:t>
      </w:r>
    </w:p>
    <w:p w14:paraId="6E541C16" w14:textId="271C44D8" w:rsidR="004F2747" w:rsidRPr="004F2747" w:rsidRDefault="004F2747" w:rsidP="00CF6200">
      <w:pPr>
        <w:pStyle w:val="DTFListBullet2-Black"/>
      </w:pPr>
      <w:r w:rsidRPr="004F2747">
        <w:t>the provision of loans or advances and</w:t>
      </w:r>
    </w:p>
    <w:p w14:paraId="6E541C17" w14:textId="7EEB1380" w:rsidR="004F2747" w:rsidRPr="004F2747" w:rsidRDefault="004F2747" w:rsidP="00CF6200">
      <w:pPr>
        <w:pStyle w:val="DTFListBullet2-Black"/>
      </w:pPr>
      <w:proofErr w:type="gramStart"/>
      <w:r w:rsidRPr="004F2747">
        <w:t>distributions</w:t>
      </w:r>
      <w:proofErr w:type="gramEnd"/>
      <w:r w:rsidRPr="004F2747">
        <w:t xml:space="preserve"> to </w:t>
      </w:r>
      <w:r w:rsidR="0056130D">
        <w:t>g</w:t>
      </w:r>
      <w:r w:rsidRPr="004F2747">
        <w:t xml:space="preserve">overnment (for example dividends paid to </w:t>
      </w:r>
      <w:r w:rsidR="0056130D">
        <w:t>g</w:t>
      </w:r>
      <w:r w:rsidRPr="004F2747">
        <w:t>overnment).</w:t>
      </w:r>
    </w:p>
    <w:p w14:paraId="6E541C18" w14:textId="77777777" w:rsidR="004F2747" w:rsidRPr="004F2747" w:rsidRDefault="00FA0F56" w:rsidP="00885FF1">
      <w:pPr>
        <w:pStyle w:val="DTFListNumber1-Roman"/>
      </w:pPr>
      <w:r>
        <w:t>For the purpose of the Treasurer’s</w:t>
      </w:r>
      <w:r w:rsidR="004F2747" w:rsidRPr="004F2747">
        <w:t xml:space="preserve"> Directions, a reference to suppliers incorporates service providers, employees, individuals and other entities to which payments may be made.</w:t>
      </w:r>
    </w:p>
    <w:p w14:paraId="6E541C19" w14:textId="35F6FE04" w:rsidR="004F2747" w:rsidRPr="004F2747" w:rsidRDefault="004F2747" w:rsidP="00885FF1">
      <w:pPr>
        <w:pStyle w:val="DTFListNumber1-Roman"/>
      </w:pPr>
      <w:r w:rsidRPr="004F2747">
        <w:t>Payments do not include the settlement of accounts payable or accrued expenses through the provision of services or by other non-cash means such as the transfer of in</w:t>
      </w:r>
      <w:r w:rsidR="00FA0F56">
        <w:t>ventory. Treasurer’s Direction</w:t>
      </w:r>
      <w:r w:rsidR="008D2430">
        <w:t>s</w:t>
      </w:r>
      <w:r w:rsidRPr="004F2747">
        <w:t xml:space="preserve"> A3.2 and A4.2 provide instruction and guidance in relation to accounts payable, accrued expenses and distributions to </w:t>
      </w:r>
      <w:r w:rsidR="0056130D">
        <w:t>g</w:t>
      </w:r>
      <w:r w:rsidRPr="004F2747">
        <w:t>overnment.</w:t>
      </w:r>
    </w:p>
    <w:p w14:paraId="6E541C1A" w14:textId="60A63180" w:rsidR="004F2747" w:rsidRDefault="004F2747" w:rsidP="008C38DA">
      <w:pPr>
        <w:pStyle w:val="DTFHeading2"/>
      </w:pPr>
      <w:r>
        <w:t>Methods of Payment</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E07471" w14:paraId="6E541C21" w14:textId="77777777" w:rsidTr="004E00F8">
        <w:trPr>
          <w:tblHeader/>
        </w:trPr>
        <w:tc>
          <w:tcPr>
            <w:tcW w:w="9638" w:type="dxa"/>
            <w:tcMar>
              <w:left w:w="0" w:type="dxa"/>
              <w:right w:w="0" w:type="dxa"/>
            </w:tcMar>
            <w:vAlign w:val="center"/>
          </w:tcPr>
          <w:p w14:paraId="6E541C1B" w14:textId="77777777" w:rsidR="00E07471" w:rsidRDefault="00E07471" w:rsidP="008C38DA">
            <w:pPr>
              <w:pStyle w:val="DTFHeading3-HighlightText"/>
              <w:framePr w:hSpace="0" w:wrap="auto" w:vAnchor="margin" w:yAlign="inline"/>
              <w:suppressOverlap w:val="0"/>
            </w:pPr>
            <w:r>
              <w:t>C3.2.2</w:t>
            </w:r>
          </w:p>
          <w:p w14:paraId="6E541C1C" w14:textId="77777777" w:rsidR="00E07471" w:rsidRPr="00415D66" w:rsidRDefault="008D2430" w:rsidP="008C38DA">
            <w:pPr>
              <w:pStyle w:val="DTFBodyText"/>
              <w:rPr>
                <w:rStyle w:val="DTFStrong"/>
              </w:rPr>
            </w:pPr>
            <w:r w:rsidRPr="00415D66">
              <w:rPr>
                <w:rStyle w:val="DTFStrong"/>
              </w:rPr>
              <w:t>A</w:t>
            </w:r>
            <w:r w:rsidR="00E07471" w:rsidRPr="00415D66">
              <w:rPr>
                <w:rStyle w:val="DTFStrong"/>
              </w:rPr>
              <w:t>gencies are to u</w:t>
            </w:r>
            <w:r w:rsidR="00FA0F56" w:rsidRPr="00415D66">
              <w:rPr>
                <w:rStyle w:val="DTFStrong"/>
              </w:rPr>
              <w:t>se a corporate credit card</w:t>
            </w:r>
            <w:r w:rsidR="00E07471" w:rsidRPr="00415D66">
              <w:rPr>
                <w:rStyle w:val="DTFStrong"/>
              </w:rPr>
              <w:t xml:space="preserve"> for all:</w:t>
            </w:r>
          </w:p>
          <w:p w14:paraId="6E541C1D" w14:textId="7237E386" w:rsidR="00E07471" w:rsidRPr="00415D66" w:rsidRDefault="00FA0F56" w:rsidP="00CF6200">
            <w:pPr>
              <w:pStyle w:val="DTFListBullet1-Black"/>
              <w:rPr>
                <w:rStyle w:val="DTFStrong"/>
                <w:color w:val="auto"/>
              </w:rPr>
            </w:pPr>
            <w:r w:rsidRPr="00415D66">
              <w:rPr>
                <w:rStyle w:val="DTFStrong"/>
              </w:rPr>
              <w:t>over-the-</w:t>
            </w:r>
            <w:r w:rsidR="00E07471" w:rsidRPr="00415D66">
              <w:rPr>
                <w:rStyle w:val="DTFStrong"/>
              </w:rPr>
              <w:t>counter purchases</w:t>
            </w:r>
            <w:r w:rsidR="00EB770A" w:rsidRPr="00415D66">
              <w:rPr>
                <w:rStyle w:val="DTFStrong"/>
              </w:rPr>
              <w:t xml:space="preserve"> and</w:t>
            </w:r>
          </w:p>
          <w:p w14:paraId="6E541C1E" w14:textId="77777777" w:rsidR="00E07471" w:rsidRPr="00415D66" w:rsidRDefault="00E07471" w:rsidP="00CF6200">
            <w:pPr>
              <w:pStyle w:val="DTFListBullet1-Black"/>
              <w:rPr>
                <w:rStyle w:val="DTFStrong"/>
              </w:rPr>
            </w:pPr>
            <w:proofErr w:type="gramStart"/>
            <w:r w:rsidRPr="00415D66">
              <w:rPr>
                <w:rStyle w:val="DTFStrong"/>
              </w:rPr>
              <w:t>payments</w:t>
            </w:r>
            <w:proofErr w:type="gramEnd"/>
            <w:r w:rsidRPr="00415D66">
              <w:rPr>
                <w:rStyle w:val="DTFStrong"/>
              </w:rPr>
              <w:t xml:space="preserve"> made over the internet and telephone</w:t>
            </w:r>
            <w:r w:rsidR="00EB770A" w:rsidRPr="00415D66">
              <w:rPr>
                <w:rStyle w:val="DTFStrong"/>
              </w:rPr>
              <w:t>.</w:t>
            </w:r>
          </w:p>
          <w:p w14:paraId="6E541C1F" w14:textId="77777777" w:rsidR="00E07471" w:rsidRDefault="002E6CF0" w:rsidP="008C38DA">
            <w:pPr>
              <w:pStyle w:val="DTFHeading3-HighlightText"/>
              <w:framePr w:hSpace="0" w:wrap="auto" w:vAnchor="margin" w:yAlign="inline"/>
              <w:suppressOverlap w:val="0"/>
            </w:pPr>
            <w:r>
              <w:t>C3.2.3</w:t>
            </w:r>
            <w:r w:rsidR="00E07471">
              <w:t xml:space="preserve"> </w:t>
            </w:r>
          </w:p>
          <w:p w14:paraId="6E541C20" w14:textId="01988AE5" w:rsidR="002E6CF0" w:rsidRPr="00415D66" w:rsidRDefault="00FA0F56" w:rsidP="008D2430">
            <w:pPr>
              <w:pStyle w:val="DTFBodyText"/>
              <w:rPr>
                <w:rStyle w:val="DTFStrong"/>
              </w:rPr>
            </w:pPr>
            <w:r w:rsidRPr="00415D66">
              <w:rPr>
                <w:rStyle w:val="DTFStrong"/>
              </w:rPr>
              <w:t xml:space="preserve">For other payments, </w:t>
            </w:r>
            <w:r w:rsidR="0056130D">
              <w:rPr>
                <w:rStyle w:val="DTFStrong"/>
              </w:rPr>
              <w:t>a</w:t>
            </w:r>
            <w:r w:rsidR="002E6CF0" w:rsidRPr="00415D66">
              <w:rPr>
                <w:rStyle w:val="DTFStrong"/>
              </w:rPr>
              <w:t>gencies are to use a payment method that will maximise benefits and minimise costs to the Territory, while providing a high level of service to suppliers.</w:t>
            </w:r>
          </w:p>
        </w:tc>
      </w:tr>
    </w:tbl>
    <w:p w14:paraId="6E541C22" w14:textId="0A5B8934" w:rsidR="00E07471" w:rsidRDefault="00E07471" w:rsidP="00885FF1">
      <w:pPr>
        <w:pStyle w:val="DTFListNumber1-Roman"/>
        <w:numPr>
          <w:ilvl w:val="0"/>
          <w:numId w:val="37"/>
        </w:numPr>
      </w:pPr>
      <w:r>
        <w:t xml:space="preserve">The </w:t>
      </w:r>
      <w:r w:rsidR="0056130D">
        <w:t>g</w:t>
      </w:r>
      <w:r>
        <w:t>overnment’s preferred payment methods are:</w:t>
      </w:r>
    </w:p>
    <w:p w14:paraId="6E541C23" w14:textId="77DF913F" w:rsidR="00E07471" w:rsidRDefault="00FA0F56" w:rsidP="00885FF1">
      <w:pPr>
        <w:pStyle w:val="DTFListBullet2-Black"/>
      </w:pPr>
      <w:r>
        <w:t>corporate credit card</w:t>
      </w:r>
    </w:p>
    <w:p w14:paraId="6E541C24" w14:textId="3B1A483A" w:rsidR="00E07471" w:rsidRPr="00E07471" w:rsidRDefault="00E07471" w:rsidP="00885FF1">
      <w:pPr>
        <w:pStyle w:val="DTFListBullet2-Black"/>
      </w:pPr>
      <w:r w:rsidRPr="00E07471">
        <w:t>ledger transfer (only applicable for paying Territory Government entities) and</w:t>
      </w:r>
    </w:p>
    <w:p w14:paraId="6E541C25" w14:textId="77777777" w:rsidR="00E07471" w:rsidRPr="00E07471" w:rsidRDefault="00E07471" w:rsidP="00885FF1">
      <w:pPr>
        <w:pStyle w:val="DTFListBullet2-Black"/>
      </w:pPr>
      <w:proofErr w:type="gramStart"/>
      <w:r w:rsidRPr="00E07471">
        <w:t>electronic</w:t>
      </w:r>
      <w:proofErr w:type="gramEnd"/>
      <w:r w:rsidRPr="00E07471">
        <w:t xml:space="preserve"> funds transfer (EFT).</w:t>
      </w:r>
    </w:p>
    <w:p w14:paraId="6E541C26" w14:textId="77777777" w:rsidR="00B0056A" w:rsidRDefault="00B0056A" w:rsidP="00885FF1">
      <w:pPr>
        <w:pStyle w:val="DTFListNumber1-Roman"/>
      </w:pPr>
      <w:r>
        <w:t>The preferred payment methods utilise available technology, minimise manual processing and streamline approval processes, thereby achieving performance objectives of efficient and effective transaction processing.</w:t>
      </w:r>
    </w:p>
    <w:p w14:paraId="6E541C27" w14:textId="4B81ED2D" w:rsidR="00B0056A" w:rsidRDefault="006C618F" w:rsidP="00885FF1">
      <w:pPr>
        <w:pStyle w:val="DTFListNumber1-Roman"/>
      </w:pPr>
      <w:r>
        <w:t>From</w:t>
      </w:r>
      <w:r w:rsidR="00B0056A">
        <w:t xml:space="preserve"> </w:t>
      </w:r>
      <w:r w:rsidR="00FA0F56">
        <w:t xml:space="preserve">a </w:t>
      </w:r>
      <w:r w:rsidR="0056130D">
        <w:t>g</w:t>
      </w:r>
      <w:r w:rsidR="00FA0F56">
        <w:t xml:space="preserve">overnment, </w:t>
      </w:r>
      <w:r w:rsidR="0056130D">
        <w:t>a</w:t>
      </w:r>
      <w:r w:rsidR="00B0056A">
        <w:t xml:space="preserve">gency </w:t>
      </w:r>
      <w:r w:rsidR="00FA0F56">
        <w:t>or</w:t>
      </w:r>
      <w:r w:rsidR="00B0056A">
        <w:t xml:space="preserve"> supplier</w:t>
      </w:r>
      <w:r w:rsidR="00FA0F56">
        <w:t>’s</w:t>
      </w:r>
      <w:r w:rsidR="00B0056A">
        <w:t xml:space="preserve"> perspective</w:t>
      </w:r>
      <w:r>
        <w:t>,</w:t>
      </w:r>
      <w:r w:rsidR="00B0056A">
        <w:t xml:space="preserve"> there are significant benefits associated with use of the preferred payment methods. Where the payment does not fall under Treasurer’s Direction C3.2.2, the optimal method will depend largely on consideration </w:t>
      </w:r>
      <w:r w:rsidR="00B0056A">
        <w:lastRenderedPageBreak/>
        <w:t>of whole of transaction processing costs, the nature of the transaction, the requirements and capabilities of the supplier and the value of the transaction.</w:t>
      </w:r>
    </w:p>
    <w:p w14:paraId="6E541C28" w14:textId="77777777" w:rsidR="00B0056A" w:rsidRDefault="00B0056A" w:rsidP="00885FF1">
      <w:pPr>
        <w:pStyle w:val="DTFListNumber1-Roman"/>
      </w:pPr>
      <w:r>
        <w:t xml:space="preserve">Payment by </w:t>
      </w:r>
      <w:r w:rsidR="00FA0F56">
        <w:t>corporate credit card is n</w:t>
      </w:r>
      <w:r>
        <w:t xml:space="preserve">ot required where the payment falls into any one of the following categories: </w:t>
      </w:r>
    </w:p>
    <w:p w14:paraId="6E541C29" w14:textId="1176AB37" w:rsidR="00B0056A" w:rsidRDefault="00B0056A" w:rsidP="00885FF1">
      <w:pPr>
        <w:pStyle w:val="DTFListBullet2-Black"/>
      </w:pPr>
      <w:r>
        <w:t>employee payments</w:t>
      </w:r>
    </w:p>
    <w:p w14:paraId="6E541C2A" w14:textId="311FFF0B" w:rsidR="00B0056A" w:rsidRDefault="00B0056A" w:rsidP="00885FF1">
      <w:pPr>
        <w:pStyle w:val="DTFListBullet2-Black"/>
      </w:pPr>
      <w:r>
        <w:t>reimbursements to individuals</w:t>
      </w:r>
    </w:p>
    <w:p w14:paraId="6E541C2B" w14:textId="037A4F56" w:rsidR="00B0056A" w:rsidRDefault="00B0056A" w:rsidP="00885FF1">
      <w:pPr>
        <w:pStyle w:val="DTFListBullet2-Black"/>
      </w:pPr>
      <w:r>
        <w:t>grants to organisations</w:t>
      </w:r>
    </w:p>
    <w:p w14:paraId="6E541C2C" w14:textId="36D78A17" w:rsidR="00B0056A" w:rsidRDefault="00B0056A" w:rsidP="00885FF1">
      <w:pPr>
        <w:pStyle w:val="DTFListBullet2-Black"/>
      </w:pPr>
      <w:r>
        <w:t>businesses without credit card facilities or</w:t>
      </w:r>
    </w:p>
    <w:p w14:paraId="6E541C2D" w14:textId="77777777" w:rsidR="00B0056A" w:rsidRDefault="00B0056A" w:rsidP="00885FF1">
      <w:pPr>
        <w:pStyle w:val="DTFListBullet2-Black"/>
      </w:pPr>
      <w:proofErr w:type="gramStart"/>
      <w:r>
        <w:t>other</w:t>
      </w:r>
      <w:proofErr w:type="gramEnd"/>
      <w:r>
        <w:t xml:space="preserve"> payments or types of payments that are unable to be made by </w:t>
      </w:r>
      <w:r w:rsidR="004B0464">
        <w:t>corporate credit card</w:t>
      </w:r>
      <w:r>
        <w:t xml:space="preserve"> (as advised by the </w:t>
      </w:r>
      <w:r w:rsidRPr="00FC4CAA">
        <w:t>Department of Co</w:t>
      </w:r>
      <w:r w:rsidR="004B0464" w:rsidRPr="00FC4CAA">
        <w:t>rporate and Information Service (DCIS)</w:t>
      </w:r>
      <w:r w:rsidRPr="00FC4CAA">
        <w:t>).</w:t>
      </w:r>
    </w:p>
    <w:p w14:paraId="6E541C2E" w14:textId="77777777" w:rsidR="00B0056A" w:rsidRPr="00B47ACA" w:rsidRDefault="00B0056A" w:rsidP="00885FF1">
      <w:pPr>
        <w:pStyle w:val="DTFListNumber1-Roman"/>
      </w:pPr>
      <w:r w:rsidRPr="00B47ACA">
        <w:t xml:space="preserve">Where </w:t>
      </w:r>
      <w:r w:rsidR="004B0464" w:rsidRPr="00B47ACA">
        <w:t xml:space="preserve">an agency is uncertain as to whether a payment or type of payment should be </w:t>
      </w:r>
      <w:r w:rsidR="004B0464">
        <w:t>made by corporate credit card, DCIS</w:t>
      </w:r>
      <w:r w:rsidRPr="00B47ACA">
        <w:t xml:space="preserve"> should be consulted in the first instance.</w:t>
      </w:r>
    </w:p>
    <w:p w14:paraId="6E541C2F" w14:textId="77777777" w:rsidR="00B0056A" w:rsidRDefault="00B0056A" w:rsidP="00885FF1">
      <w:pPr>
        <w:pStyle w:val="DTFListNumber1-Roman"/>
      </w:pPr>
      <w:r>
        <w:t>Further instruction and guidance in relation to payment b</w:t>
      </w:r>
      <w:r w:rsidR="004B0464">
        <w:t>y corporate credit card is</w:t>
      </w:r>
      <w:r>
        <w:t xml:space="preserve"> prov</w:t>
      </w:r>
      <w:r w:rsidR="004B0464">
        <w:t>ided in Treasurer’s Direction</w:t>
      </w:r>
      <w:r>
        <w:t xml:space="preserve"> C3.3.</w:t>
      </w:r>
    </w:p>
    <w:p w14:paraId="6E541C30" w14:textId="77777777" w:rsidR="00B0056A" w:rsidRDefault="00B0056A" w:rsidP="00885FF1">
      <w:pPr>
        <w:pStyle w:val="DTFListNumber1-Roman"/>
      </w:pPr>
      <w:r>
        <w:t xml:space="preserve">Ledger transfers </w:t>
      </w:r>
      <w:r w:rsidR="00BD6F3F">
        <w:t>are the most efficient and cost-</w:t>
      </w:r>
      <w:r>
        <w:t>effective payment method for inter-</w:t>
      </w:r>
      <w:r w:rsidR="00BD6F3F">
        <w:t>agency transactions, where both a</w:t>
      </w:r>
      <w:r>
        <w:t>gencies use the same official bank account and utilise</w:t>
      </w:r>
      <w:r w:rsidR="00BD6F3F">
        <w:t xml:space="preserve"> GAS. Transactions between a</w:t>
      </w:r>
      <w:r>
        <w:t xml:space="preserve">gencies can usually be settled centrally through </w:t>
      </w:r>
      <w:r w:rsidR="00BD6F3F">
        <w:t>the transfer of funds from one a</w:t>
      </w:r>
      <w:r>
        <w:t>gency to another through GAS.</w:t>
      </w:r>
    </w:p>
    <w:p w14:paraId="6E541C31" w14:textId="77777777" w:rsidR="00B0056A" w:rsidRPr="002E6CF0" w:rsidRDefault="00BD6F3F" w:rsidP="00885FF1">
      <w:pPr>
        <w:pStyle w:val="DTFListNumber1-Roman"/>
      </w:pPr>
      <w:r>
        <w:t>EFT</w:t>
      </w:r>
      <w:r w:rsidR="00B0056A" w:rsidRPr="002E6CF0">
        <w:t xml:space="preserve"> is a payment method whereby funds are transferred electronically from one bank account to another. This payment option may be used fo</w:t>
      </w:r>
      <w:r w:rsidRPr="002E6CF0">
        <w:t>r payments to suppliers, external bodies and employees, and in rare situations where inter</w:t>
      </w:r>
      <w:r>
        <w:noBreakHyphen/>
      </w:r>
      <w:r w:rsidRPr="002E6CF0">
        <w:t>agency ledger transfers or payment by corporate credit card are not feasibl</w:t>
      </w:r>
      <w:r w:rsidR="00B0056A" w:rsidRPr="002E6CF0">
        <w:t>e.</w:t>
      </w:r>
    </w:p>
    <w:p w14:paraId="6E541C32" w14:textId="77777777" w:rsidR="00B0056A" w:rsidRPr="00B0056A" w:rsidRDefault="00B0056A" w:rsidP="00885FF1">
      <w:pPr>
        <w:pStyle w:val="DTFListNumber1-Roman"/>
      </w:pPr>
      <w:r w:rsidRPr="002E6CF0">
        <w:t>Cheques and cash are more costly and less efficient payment methods. Cheque payments are only suitable where the above preferred payment methods are not appropriate or feasible. Cash payments are high risk and are actively discouraged. Such payments would only be appropriate for low value purchases where payment by</w:t>
      </w:r>
      <w:r w:rsidR="00BD6F3F" w:rsidRPr="002E6CF0">
        <w:t xml:space="preserve"> corporat</w:t>
      </w:r>
      <w:r w:rsidR="00BD6F3F">
        <w:t xml:space="preserve">e credit card is not </w:t>
      </w:r>
      <w:r w:rsidR="00997B35">
        <w:t xml:space="preserve">possible, </w:t>
      </w:r>
      <w:r w:rsidRPr="002E6CF0">
        <w:t>and for petty cash payments and reimbursements.</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2E6CF0" w14:paraId="6E541C35" w14:textId="77777777" w:rsidTr="004E00F8">
        <w:trPr>
          <w:tblHeader/>
        </w:trPr>
        <w:tc>
          <w:tcPr>
            <w:tcW w:w="9638" w:type="dxa"/>
            <w:tcMar>
              <w:left w:w="0" w:type="dxa"/>
              <w:right w:w="0" w:type="dxa"/>
            </w:tcMar>
            <w:vAlign w:val="center"/>
          </w:tcPr>
          <w:p w14:paraId="6E541C33" w14:textId="77777777" w:rsidR="002E6CF0" w:rsidRDefault="002E6CF0" w:rsidP="00B47ACA">
            <w:pPr>
              <w:pStyle w:val="DTFHeading3-HighlightText"/>
              <w:framePr w:hSpace="0" w:wrap="auto" w:vAnchor="margin" w:yAlign="inline"/>
              <w:suppressOverlap w:val="0"/>
            </w:pPr>
            <w:r>
              <w:t>C3.2.4</w:t>
            </w:r>
          </w:p>
          <w:p w14:paraId="6E541C34" w14:textId="55388CC1" w:rsidR="002E6CF0" w:rsidRPr="00415D66" w:rsidRDefault="00BD6F3F" w:rsidP="00BD6F3F">
            <w:pPr>
              <w:pStyle w:val="DTFBodyText"/>
              <w:rPr>
                <w:rStyle w:val="DTFStrong"/>
              </w:rPr>
            </w:pPr>
            <w:r w:rsidRPr="00415D66">
              <w:rPr>
                <w:rStyle w:val="DTFStrong"/>
              </w:rPr>
              <w:t>Where an urgent same-</w:t>
            </w:r>
            <w:r w:rsidR="002E6CF0" w:rsidRPr="00415D66">
              <w:rPr>
                <w:rStyle w:val="DTFStrong"/>
              </w:rPr>
              <w:t>day payment is required</w:t>
            </w:r>
            <w:r w:rsidRPr="00415D66">
              <w:rPr>
                <w:rStyle w:val="DTFStrong"/>
              </w:rPr>
              <w:t>, a corporate credit card is to be use</w:t>
            </w:r>
            <w:r w:rsidR="002E6CF0" w:rsidRPr="00415D66">
              <w:rPr>
                <w:rStyle w:val="DTFStrong"/>
              </w:rPr>
              <w:t xml:space="preserve">d wherever possible. Alternatively, an </w:t>
            </w:r>
            <w:r w:rsidR="00BC0846" w:rsidRPr="00415D66">
              <w:rPr>
                <w:rStyle w:val="DTFStrong"/>
              </w:rPr>
              <w:t xml:space="preserve">online </w:t>
            </w:r>
            <w:r w:rsidRPr="00415D66">
              <w:rPr>
                <w:rStyle w:val="DTFStrong"/>
              </w:rPr>
              <w:t>EFT</w:t>
            </w:r>
            <w:r w:rsidR="002E6CF0" w:rsidRPr="00415D66">
              <w:rPr>
                <w:rStyle w:val="DTFStrong"/>
              </w:rPr>
              <w:t xml:space="preserve"> or a manually prepared cheque may be utilised.</w:t>
            </w:r>
          </w:p>
        </w:tc>
      </w:tr>
    </w:tbl>
    <w:p w14:paraId="6E541C36" w14:textId="77777777" w:rsidR="002E6CF0" w:rsidRDefault="002E6CF0" w:rsidP="00885FF1">
      <w:pPr>
        <w:pStyle w:val="DTFListNumber1-Roman"/>
        <w:numPr>
          <w:ilvl w:val="0"/>
          <w:numId w:val="28"/>
        </w:numPr>
      </w:pPr>
      <w:r w:rsidRPr="002E6CF0">
        <w:t xml:space="preserve">Urgent payments should be made </w:t>
      </w:r>
      <w:r w:rsidR="00BD6F3F" w:rsidRPr="002E6CF0">
        <w:t xml:space="preserve">by corporate credit card </w:t>
      </w:r>
      <w:r w:rsidRPr="002E6CF0">
        <w:t>where possible, or by</w:t>
      </w:r>
      <w:r w:rsidR="005B5679">
        <w:t xml:space="preserve"> an</w:t>
      </w:r>
      <w:r w:rsidR="00BC0846">
        <w:t xml:space="preserve"> online</w:t>
      </w:r>
      <w:r w:rsidRPr="002E6CF0">
        <w:t xml:space="preserve"> EFT</w:t>
      </w:r>
      <w:r w:rsidR="005B5679">
        <w:t xml:space="preserve"> payment</w:t>
      </w:r>
      <w:r w:rsidRPr="002E6CF0">
        <w:t xml:space="preserve">. A manually prepared cheque may be prepared from the advance account but would be a last </w:t>
      </w:r>
      <w:r w:rsidR="00310C59">
        <w:t>option</w:t>
      </w:r>
      <w:r w:rsidRPr="002E6CF0">
        <w:t xml:space="preserve"> and would be largely dependent on the level of urgency and the value of the transaction. Agencies should consult with </w:t>
      </w:r>
      <w:r w:rsidR="00BD6F3F">
        <w:t>DCIS</w:t>
      </w:r>
      <w:r w:rsidRPr="002E6CF0">
        <w:t xml:space="preserve"> where a payment is required urgently.</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2E6CF0" w14:paraId="6E541C39" w14:textId="77777777" w:rsidTr="004E00F8">
        <w:trPr>
          <w:tblHeader/>
        </w:trPr>
        <w:tc>
          <w:tcPr>
            <w:tcW w:w="9638" w:type="dxa"/>
            <w:tcMar>
              <w:left w:w="0" w:type="dxa"/>
              <w:right w:w="0" w:type="dxa"/>
            </w:tcMar>
            <w:vAlign w:val="center"/>
          </w:tcPr>
          <w:p w14:paraId="6E541C37" w14:textId="77777777" w:rsidR="002E6CF0" w:rsidRDefault="002E6CF0" w:rsidP="00B47ACA">
            <w:pPr>
              <w:pStyle w:val="DTFHeading3-HighlightText"/>
              <w:framePr w:hSpace="0" w:wrap="auto" w:vAnchor="margin" w:yAlign="inline"/>
              <w:suppressOverlap w:val="0"/>
            </w:pPr>
            <w:r>
              <w:t>C3.2.5</w:t>
            </w:r>
          </w:p>
          <w:p w14:paraId="6E541C38" w14:textId="77777777" w:rsidR="002E6CF0" w:rsidRPr="00415D66" w:rsidRDefault="002E6CF0" w:rsidP="005B5679">
            <w:pPr>
              <w:pStyle w:val="DTFBodyText"/>
              <w:rPr>
                <w:rStyle w:val="DTFStrong"/>
              </w:rPr>
            </w:pPr>
            <w:r w:rsidRPr="00415D66">
              <w:rPr>
                <w:rStyle w:val="DTFStrong"/>
              </w:rPr>
              <w:t>Payments to overseas suppliers are to be made</w:t>
            </w:r>
            <w:r w:rsidR="00BD6F3F" w:rsidRPr="00415D66">
              <w:rPr>
                <w:rStyle w:val="DTFStrong"/>
              </w:rPr>
              <w:t xml:space="preserve"> by corporate credit card where</w:t>
            </w:r>
            <w:r w:rsidRPr="00415D66">
              <w:rPr>
                <w:rStyle w:val="DTFStrong"/>
              </w:rPr>
              <w:t>ver possible. Where overseas paymen</w:t>
            </w:r>
            <w:r w:rsidR="00BD6F3F" w:rsidRPr="00415D66">
              <w:rPr>
                <w:rStyle w:val="DTFStrong"/>
              </w:rPr>
              <w:t>t by corporate credit card is not possible</w:t>
            </w:r>
            <w:r w:rsidRPr="00415D66">
              <w:rPr>
                <w:rStyle w:val="DTFStrong"/>
              </w:rPr>
              <w:t xml:space="preserve">, arrangements may be made </w:t>
            </w:r>
            <w:r w:rsidR="00BD6F3F" w:rsidRPr="00415D66">
              <w:rPr>
                <w:rStyle w:val="DTFStrong"/>
              </w:rPr>
              <w:t>to</w:t>
            </w:r>
            <w:r w:rsidRPr="00415D66">
              <w:rPr>
                <w:rStyle w:val="DTFStrong"/>
              </w:rPr>
              <w:t xml:space="preserve"> facilitate an </w:t>
            </w:r>
            <w:r w:rsidR="005B5679" w:rsidRPr="00415D66">
              <w:rPr>
                <w:rStyle w:val="DTFStrong"/>
              </w:rPr>
              <w:t xml:space="preserve">online </w:t>
            </w:r>
            <w:r w:rsidRPr="00415D66">
              <w:rPr>
                <w:rStyle w:val="DTFStrong"/>
              </w:rPr>
              <w:t xml:space="preserve">overseas </w:t>
            </w:r>
            <w:r w:rsidR="00BD6F3F" w:rsidRPr="00415D66">
              <w:rPr>
                <w:rStyle w:val="DTFStrong"/>
              </w:rPr>
              <w:t>EFT</w:t>
            </w:r>
            <w:r w:rsidRPr="00415D66">
              <w:rPr>
                <w:rStyle w:val="DTFStrong"/>
              </w:rPr>
              <w:t>.</w:t>
            </w:r>
          </w:p>
        </w:tc>
      </w:tr>
    </w:tbl>
    <w:p w14:paraId="6E541C3A" w14:textId="77777777" w:rsidR="002E6CF0" w:rsidRDefault="002E6CF0" w:rsidP="00885FF1">
      <w:pPr>
        <w:pStyle w:val="DTFListNumber1-Roman"/>
        <w:numPr>
          <w:ilvl w:val="0"/>
          <w:numId w:val="29"/>
        </w:numPr>
      </w:pPr>
      <w:r>
        <w:lastRenderedPageBreak/>
        <w:t xml:space="preserve">The use of </w:t>
      </w:r>
      <w:r w:rsidR="00BD6F3F">
        <w:t>a corporate credit card will gen</w:t>
      </w:r>
      <w:r>
        <w:t xml:space="preserve">erally be the most efficient method for the payment of amounts in foreign currencies. The amount to be recorded by an </w:t>
      </w:r>
      <w:r w:rsidR="00BD6F3F">
        <w:t>a</w:t>
      </w:r>
      <w:r>
        <w:t>gency is to be in Australian dollars, calculated at the exchange rate applicable on the date of the transaction.</w:t>
      </w:r>
    </w:p>
    <w:p w14:paraId="6E541C3B" w14:textId="77777777" w:rsidR="002E6CF0" w:rsidRDefault="002E6CF0" w:rsidP="00885FF1">
      <w:pPr>
        <w:pStyle w:val="DTFListNumber1-Roman"/>
      </w:pPr>
      <w:r>
        <w:t xml:space="preserve">Payment may also be made via </w:t>
      </w:r>
      <w:r w:rsidR="005B5679">
        <w:t xml:space="preserve">an online </w:t>
      </w:r>
      <w:r>
        <w:t xml:space="preserve">overseas </w:t>
      </w:r>
      <w:r w:rsidR="00BD6F3F">
        <w:t>EFT</w:t>
      </w:r>
      <w:r>
        <w:t>. W</w:t>
      </w:r>
      <w:r w:rsidR="00BD6F3F">
        <w:t>here such payment is required, a</w:t>
      </w:r>
      <w:r>
        <w:t xml:space="preserve">gencies should consult with </w:t>
      </w:r>
      <w:r w:rsidR="00BD6F3F">
        <w:t>DCIS</w:t>
      </w:r>
      <w:r>
        <w:t xml:space="preserve"> in the first instance.</w:t>
      </w:r>
    </w:p>
    <w:p w14:paraId="6E541C3C" w14:textId="1C81163D" w:rsidR="00A60DA3" w:rsidRDefault="00A60DA3" w:rsidP="00B47ACA">
      <w:pPr>
        <w:pStyle w:val="DTFHeading2"/>
      </w:pPr>
      <w:r>
        <w:t>Payment Procedures a</w:t>
      </w:r>
      <w:r w:rsidRPr="00A60DA3">
        <w:t>nd Controls</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2E6CF0" w14:paraId="6E541C44" w14:textId="77777777" w:rsidTr="004E00F8">
        <w:trPr>
          <w:tblHeader/>
        </w:trPr>
        <w:tc>
          <w:tcPr>
            <w:tcW w:w="9638" w:type="dxa"/>
            <w:tcMar>
              <w:left w:w="0" w:type="dxa"/>
              <w:right w:w="0" w:type="dxa"/>
            </w:tcMar>
            <w:vAlign w:val="center"/>
          </w:tcPr>
          <w:p w14:paraId="6E541C3D" w14:textId="77777777" w:rsidR="002E6CF0" w:rsidRDefault="002E6CF0" w:rsidP="00B47ACA">
            <w:pPr>
              <w:pStyle w:val="DTFHeading3-HighlightText"/>
              <w:framePr w:hSpace="0" w:wrap="auto" w:vAnchor="margin" w:yAlign="inline"/>
              <w:suppressOverlap w:val="0"/>
            </w:pPr>
            <w:r>
              <w:t>C3.2.6</w:t>
            </w:r>
          </w:p>
          <w:p w14:paraId="6E541C3E" w14:textId="77777777" w:rsidR="002E6CF0" w:rsidRPr="00415D66" w:rsidRDefault="002E6CF0" w:rsidP="00B47ACA">
            <w:pPr>
              <w:pStyle w:val="DTFBodyText"/>
              <w:rPr>
                <w:rStyle w:val="DTFStrong"/>
              </w:rPr>
            </w:pPr>
            <w:r w:rsidRPr="00415D66">
              <w:rPr>
                <w:rStyle w:val="DTFStrong"/>
              </w:rPr>
              <w:t>Payments are to be subject to appropriate management, accountability and control arrangements and are to be made in accordance with requirements of:</w:t>
            </w:r>
          </w:p>
          <w:p w14:paraId="6E541C3F" w14:textId="3D1B4C00" w:rsidR="002E6CF0" w:rsidRPr="00516B12" w:rsidRDefault="002E6CF0" w:rsidP="00CF6200">
            <w:pPr>
              <w:pStyle w:val="DTFListBullet1-Black"/>
            </w:pPr>
            <w:r w:rsidRPr="00415D66">
              <w:rPr>
                <w:rStyle w:val="DTFStrong"/>
              </w:rPr>
              <w:t xml:space="preserve">the </w:t>
            </w:r>
            <w:r w:rsidRPr="00516B12">
              <w:rPr>
                <w:rStyle w:val="DTFItalic"/>
                <w:b/>
              </w:rPr>
              <w:t>Financial Management Act</w:t>
            </w:r>
            <w:r w:rsidR="00F55334">
              <w:rPr>
                <w:rStyle w:val="DTFItalic"/>
                <w:b/>
              </w:rPr>
              <w:t xml:space="preserve"> 1995</w:t>
            </w:r>
          </w:p>
          <w:p w14:paraId="6E541C40" w14:textId="532C9C50" w:rsidR="002E6CF0" w:rsidRPr="00516B12" w:rsidRDefault="002E6CF0" w:rsidP="00CF6200">
            <w:pPr>
              <w:pStyle w:val="DTFListBullet1-Black"/>
            </w:pPr>
            <w:r w:rsidRPr="00415D66">
              <w:rPr>
                <w:rStyle w:val="DTFStrong"/>
              </w:rPr>
              <w:t xml:space="preserve">the </w:t>
            </w:r>
            <w:r w:rsidRPr="00516B12">
              <w:rPr>
                <w:rStyle w:val="DTFItalic"/>
                <w:b/>
              </w:rPr>
              <w:t>Procurement Act</w:t>
            </w:r>
            <w:r w:rsidR="00F55334">
              <w:rPr>
                <w:rStyle w:val="DTFItalic"/>
                <w:b/>
              </w:rPr>
              <w:t xml:space="preserve"> 1995</w:t>
            </w:r>
          </w:p>
          <w:p w14:paraId="6E541C41" w14:textId="345698D3" w:rsidR="002E6CF0" w:rsidRPr="00415D66" w:rsidRDefault="002E6CF0" w:rsidP="00CF6200">
            <w:pPr>
              <w:pStyle w:val="DTFListBullet1-Black"/>
              <w:rPr>
                <w:rStyle w:val="DTFStrong"/>
              </w:rPr>
            </w:pPr>
            <w:r w:rsidRPr="00415D66">
              <w:rPr>
                <w:rStyle w:val="DTFStrong"/>
              </w:rPr>
              <w:t xml:space="preserve">the </w:t>
            </w:r>
            <w:r w:rsidRPr="00516B12">
              <w:rPr>
                <w:rStyle w:val="DTFItalic"/>
                <w:b/>
              </w:rPr>
              <w:t>Public Sector Employment and Management Act</w:t>
            </w:r>
            <w:r w:rsidR="00F55334">
              <w:rPr>
                <w:rStyle w:val="DTFItalic"/>
                <w:b/>
              </w:rPr>
              <w:t xml:space="preserve"> 1993</w:t>
            </w:r>
            <w:r w:rsidRPr="00516B12">
              <w:t xml:space="preserve"> </w:t>
            </w:r>
            <w:r w:rsidRPr="00415D66">
              <w:rPr>
                <w:rStyle w:val="DTFStrong"/>
              </w:rPr>
              <w:t xml:space="preserve">and relevant </w:t>
            </w:r>
            <w:r w:rsidR="00BD6F3F" w:rsidRPr="00415D66">
              <w:rPr>
                <w:rStyle w:val="DTFStrong"/>
              </w:rPr>
              <w:t>t</w:t>
            </w:r>
            <w:r w:rsidRPr="00415D66">
              <w:rPr>
                <w:rStyle w:val="DTFStrong"/>
              </w:rPr>
              <w:t>axation law provisions in the case of employee benefit payments</w:t>
            </w:r>
          </w:p>
          <w:p w14:paraId="6E541C42" w14:textId="182F5314" w:rsidR="002E6CF0" w:rsidRPr="00415D66" w:rsidRDefault="002E6CF0" w:rsidP="00CF6200">
            <w:pPr>
              <w:pStyle w:val="DTFListBullet1-Black"/>
              <w:rPr>
                <w:rStyle w:val="DTFStrong"/>
              </w:rPr>
            </w:pPr>
            <w:r w:rsidRPr="00415D66">
              <w:rPr>
                <w:rStyle w:val="DTFStrong"/>
              </w:rPr>
              <w:t>these and related Treasurer’s Directions</w:t>
            </w:r>
            <w:r w:rsidR="0056130D">
              <w:rPr>
                <w:rStyle w:val="DTFStrong"/>
              </w:rPr>
              <w:t xml:space="preserve"> </w:t>
            </w:r>
            <w:r w:rsidRPr="00415D66">
              <w:rPr>
                <w:rStyle w:val="DTFStrong"/>
              </w:rPr>
              <w:t>and</w:t>
            </w:r>
          </w:p>
          <w:p w14:paraId="6E541C43" w14:textId="38B78FF9" w:rsidR="002E6CF0" w:rsidRDefault="002E6CF0" w:rsidP="00CF6200">
            <w:pPr>
              <w:pStyle w:val="DTFListBullet1-Black"/>
            </w:pPr>
            <w:proofErr w:type="gramStart"/>
            <w:r w:rsidRPr="00415D66">
              <w:rPr>
                <w:rStyle w:val="DTFStrong"/>
              </w:rPr>
              <w:t>other</w:t>
            </w:r>
            <w:proofErr w:type="gramEnd"/>
            <w:r w:rsidRPr="00415D66">
              <w:rPr>
                <w:rStyle w:val="DTFStrong"/>
              </w:rPr>
              <w:t xml:space="preserve"> applicable </w:t>
            </w:r>
            <w:r w:rsidR="0056130D">
              <w:rPr>
                <w:rStyle w:val="DTFStrong"/>
              </w:rPr>
              <w:t>g</w:t>
            </w:r>
            <w:r w:rsidRPr="00415D66">
              <w:rPr>
                <w:rStyle w:val="DTFStrong"/>
              </w:rPr>
              <w:t>overnment policy.</w:t>
            </w:r>
          </w:p>
        </w:tc>
      </w:tr>
    </w:tbl>
    <w:p w14:paraId="6E541C45" w14:textId="2744A37A" w:rsidR="002E6CF0" w:rsidRDefault="002E6CF0" w:rsidP="00885FF1">
      <w:pPr>
        <w:pStyle w:val="DTFListNumber1-Roman"/>
        <w:numPr>
          <w:ilvl w:val="0"/>
          <w:numId w:val="30"/>
        </w:numPr>
      </w:pPr>
      <w:r>
        <w:t xml:space="preserve">The </w:t>
      </w:r>
      <w:r w:rsidRPr="0054396D">
        <w:rPr>
          <w:rStyle w:val="DTFItalic"/>
        </w:rPr>
        <w:t>Financial Management Act</w:t>
      </w:r>
      <w:r w:rsidR="00F55334">
        <w:rPr>
          <w:rStyle w:val="DTFItalic"/>
        </w:rPr>
        <w:t xml:space="preserve"> 1995</w:t>
      </w:r>
      <w:r w:rsidRPr="0054396D">
        <w:rPr>
          <w:rStyle w:val="DTFItalic"/>
        </w:rPr>
        <w:t xml:space="preserve"> </w:t>
      </w:r>
      <w:r>
        <w:t xml:space="preserve">makes the </w:t>
      </w:r>
      <w:r w:rsidR="008D2430">
        <w:t>A</w:t>
      </w:r>
      <w:r w:rsidR="00BD6F3F">
        <w:t xml:space="preserve">ccountable </w:t>
      </w:r>
      <w:r w:rsidR="008D2430">
        <w:t>O</w:t>
      </w:r>
      <w:r w:rsidR="00BD6F3F">
        <w:t xml:space="preserve">fficer of an </w:t>
      </w:r>
      <w:r w:rsidR="0056130D">
        <w:t>a</w:t>
      </w:r>
      <w:r w:rsidR="00BD6F3F">
        <w:t xml:space="preserve">gency responsible for the financial management of the </w:t>
      </w:r>
      <w:r w:rsidR="0056130D">
        <w:t>a</w:t>
      </w:r>
      <w:r w:rsidR="00BD6F3F">
        <w:t>genc</w:t>
      </w:r>
      <w:r>
        <w:t xml:space="preserve">y. In relation to payments, section 14 </w:t>
      </w:r>
      <w:r w:rsidR="007209AF">
        <w:t xml:space="preserve">of the </w:t>
      </w:r>
      <w:r w:rsidR="007209AF" w:rsidRPr="00CF6200">
        <w:rPr>
          <w:i/>
        </w:rPr>
        <w:t>Financial Management Act 1995</w:t>
      </w:r>
      <w:r w:rsidR="007209AF">
        <w:t xml:space="preserve"> </w:t>
      </w:r>
      <w:r>
        <w:t xml:space="preserve">requires the approval of </w:t>
      </w:r>
      <w:r w:rsidR="00BD6F3F">
        <w:t xml:space="preserve">the </w:t>
      </w:r>
      <w:r w:rsidR="008D2430">
        <w:t>A</w:t>
      </w:r>
      <w:r w:rsidR="00BD6F3F">
        <w:t xml:space="preserve">ccountable </w:t>
      </w:r>
      <w:r w:rsidR="008D2430">
        <w:t>O</w:t>
      </w:r>
      <w:r w:rsidR="00BD6F3F">
        <w:t>fficer (or deleg</w:t>
      </w:r>
      <w:r>
        <w:t xml:space="preserve">ate) </w:t>
      </w:r>
      <w:r w:rsidR="00BC0846">
        <w:t xml:space="preserve">and that there are sufficient funds in the agency’s operating account </w:t>
      </w:r>
      <w:r>
        <w:t>prior to public money being committed for expenditure.</w:t>
      </w:r>
    </w:p>
    <w:p w14:paraId="6E541C46" w14:textId="7BF94900" w:rsidR="002E6CF0" w:rsidRDefault="002E6CF0" w:rsidP="00885FF1">
      <w:pPr>
        <w:pStyle w:val="DTFListNumber1-Roman"/>
      </w:pPr>
      <w:r>
        <w:t xml:space="preserve">In addition, section 13 of the </w:t>
      </w:r>
      <w:r w:rsidRPr="0054396D">
        <w:rPr>
          <w:rStyle w:val="DTFItalic"/>
        </w:rPr>
        <w:t>Financial Management Act</w:t>
      </w:r>
      <w:r w:rsidR="00F55334">
        <w:rPr>
          <w:rStyle w:val="DTFItalic"/>
        </w:rPr>
        <w:t xml:space="preserve"> 1995</w:t>
      </w:r>
      <w:r>
        <w:t xml:space="preserve"> requires </w:t>
      </w:r>
      <w:r w:rsidR="00BD6F3F">
        <w:t xml:space="preserve">an </w:t>
      </w:r>
      <w:r w:rsidR="00885FF1">
        <w:t>a</w:t>
      </w:r>
      <w:r w:rsidR="00BD6F3F">
        <w:t>gency to implement procedures that will afford proper internal control over payments to ensure that r</w:t>
      </w:r>
      <w:r>
        <w:t>isks are minimised. Among other things, these internal control methods and procedures should aim to:</w:t>
      </w:r>
    </w:p>
    <w:p w14:paraId="6E541C47" w14:textId="2FF4C6C3" w:rsidR="002E6CF0" w:rsidRDefault="002E6CF0" w:rsidP="00885FF1">
      <w:pPr>
        <w:pStyle w:val="DTFListBullet2-Black"/>
      </w:pPr>
      <w:r>
        <w:t>promote an efficient, effective and economical payments process</w:t>
      </w:r>
    </w:p>
    <w:p w14:paraId="6E541C48" w14:textId="7D1951A4" w:rsidR="002E6CF0" w:rsidRDefault="002E6CF0" w:rsidP="00885FF1">
      <w:pPr>
        <w:pStyle w:val="DTFListBullet2-Black"/>
      </w:pPr>
      <w:r>
        <w:t>deter and protect against fraud</w:t>
      </w:r>
    </w:p>
    <w:p w14:paraId="6E541C49" w14:textId="375304EA" w:rsidR="002E6CF0" w:rsidRDefault="002E6CF0" w:rsidP="00885FF1">
      <w:pPr>
        <w:pStyle w:val="DTFListBullet2-Black"/>
      </w:pPr>
      <w:r>
        <w:t>maintain the accuracy and reliability of financial information and</w:t>
      </w:r>
    </w:p>
    <w:p w14:paraId="6E541C4A" w14:textId="77777777" w:rsidR="002E6CF0" w:rsidRDefault="002E6CF0" w:rsidP="00885FF1">
      <w:pPr>
        <w:pStyle w:val="DTFListBullet2-Black"/>
      </w:pPr>
      <w:proofErr w:type="gramStart"/>
      <w:r>
        <w:t>ensure</w:t>
      </w:r>
      <w:proofErr w:type="gramEnd"/>
      <w:r>
        <w:t xml:space="preserve"> compliance with relevant legislative provisions.</w:t>
      </w:r>
    </w:p>
    <w:p w14:paraId="6E541C4B" w14:textId="77777777" w:rsidR="002E6CF0" w:rsidRDefault="002E6CF0" w:rsidP="00885FF1">
      <w:pPr>
        <w:pStyle w:val="DTFListNumber1-Roman"/>
      </w:pPr>
      <w:r>
        <w:t>Control objectives for payments include:</w:t>
      </w:r>
    </w:p>
    <w:p w14:paraId="6E541C4C" w14:textId="6D8E1318" w:rsidR="002E6CF0" w:rsidRDefault="002E6CF0" w:rsidP="00885FF1">
      <w:pPr>
        <w:pStyle w:val="DTFListBullet2-Black"/>
      </w:pPr>
      <w:r>
        <w:t>appropriate financial and procurement delegations are established and maintained</w:t>
      </w:r>
    </w:p>
    <w:p w14:paraId="6E541C4D" w14:textId="6765DEA1" w:rsidR="002E6CF0" w:rsidRDefault="002E6CF0" w:rsidP="00885FF1">
      <w:pPr>
        <w:pStyle w:val="DTFListBullet2-Black"/>
      </w:pPr>
      <w:r>
        <w:t>payment transactions are properly classified and recorded on a timely basis</w:t>
      </w:r>
    </w:p>
    <w:p w14:paraId="6E541C4E" w14:textId="010AD07E" w:rsidR="002E6CF0" w:rsidRDefault="002E6CF0" w:rsidP="00885FF1">
      <w:pPr>
        <w:pStyle w:val="DTFListBullet2-Black"/>
      </w:pPr>
      <w:r>
        <w:t>recorded payments are for goods and services actually received</w:t>
      </w:r>
    </w:p>
    <w:p w14:paraId="6E541C4F" w14:textId="77DD2DAA" w:rsidR="002E6CF0" w:rsidRDefault="002E6CF0" w:rsidP="00885FF1">
      <w:pPr>
        <w:pStyle w:val="DTFListBullet2-Black"/>
      </w:pPr>
      <w:r>
        <w:t>amounts claimed agree with liabilities recorded on supporting documents</w:t>
      </w:r>
    </w:p>
    <w:p w14:paraId="6E541C50" w14:textId="1EB172A2" w:rsidR="002E6CF0" w:rsidRDefault="002E6CF0" w:rsidP="00885FF1">
      <w:pPr>
        <w:pStyle w:val="DTFListBullet2-Black"/>
      </w:pPr>
      <w:r>
        <w:t>payments are accurately processed and properly recorded to ensure overpayments and duplicate payments are not made</w:t>
      </w:r>
    </w:p>
    <w:p w14:paraId="6E541C51" w14:textId="1625F4B6" w:rsidR="002E6CF0" w:rsidRDefault="002E6CF0" w:rsidP="00885FF1">
      <w:pPr>
        <w:pStyle w:val="DTFListBullet2-Black"/>
      </w:pPr>
      <w:r>
        <w:lastRenderedPageBreak/>
        <w:t>transactions are recorded in sufficient detail to provide adequate audit trails and allow the discharge of statutory compliance and</w:t>
      </w:r>
    </w:p>
    <w:p w14:paraId="6E541C52" w14:textId="77777777" w:rsidR="002E6CF0" w:rsidRDefault="002E6CF0" w:rsidP="00885FF1">
      <w:pPr>
        <w:pStyle w:val="DTFListBullet2-Black"/>
      </w:pPr>
      <w:proofErr w:type="gramStart"/>
      <w:r>
        <w:t>there</w:t>
      </w:r>
      <w:proofErr w:type="gramEnd"/>
      <w:r>
        <w:t xml:space="preserve"> is adequate segregation of duties.</w:t>
      </w:r>
    </w:p>
    <w:p w14:paraId="6E541C53" w14:textId="77777777" w:rsidR="002E6CF0" w:rsidRPr="005C2ECF" w:rsidRDefault="002E6CF0" w:rsidP="00885FF1">
      <w:pPr>
        <w:pStyle w:val="DTFListNumber1-Roman"/>
      </w:pPr>
      <w:r w:rsidRPr="005C2ECF">
        <w:t xml:space="preserve">While various payment controls will apply across a range of payment types, some controls will be specific to a certain payment type. Appendix A provides a summary of some of the specific payment controls that </w:t>
      </w:r>
      <w:r w:rsidR="007D1EC2">
        <w:t xml:space="preserve">should </w:t>
      </w:r>
      <w:r w:rsidRPr="005C2ECF">
        <w:t>be considered when making payments.</w:t>
      </w:r>
    </w:p>
    <w:p w14:paraId="6E541C54" w14:textId="77777777" w:rsidR="002E6CF0" w:rsidRDefault="002E6CF0" w:rsidP="00885FF1">
      <w:pPr>
        <w:pStyle w:val="DTFListNumber1-Roman"/>
      </w:pPr>
      <w:r w:rsidRPr="005C2ECF">
        <w:t>Employee bene</w:t>
      </w:r>
      <w:r>
        <w:t>fit payments are explained f</w:t>
      </w:r>
      <w:r w:rsidR="00EC4F5B">
        <w:t>ully in Treasurer’s Direction</w:t>
      </w:r>
      <w:r>
        <w:t xml:space="preserve"> A6.2 and include:</w:t>
      </w:r>
    </w:p>
    <w:p w14:paraId="6E541C55" w14:textId="49299DE4" w:rsidR="002E6CF0" w:rsidRPr="005C2ECF" w:rsidRDefault="008D2430" w:rsidP="00885FF1">
      <w:pPr>
        <w:pStyle w:val="DTFListBullet2-Black"/>
      </w:pPr>
      <w:r w:rsidRPr="005C2ECF">
        <w:t xml:space="preserve">salaries and </w:t>
      </w:r>
      <w:r w:rsidR="002E6CF0" w:rsidRPr="005C2ECF">
        <w:t xml:space="preserve">wages </w:t>
      </w:r>
    </w:p>
    <w:p w14:paraId="6E541C56" w14:textId="5C9B215F" w:rsidR="002E6CF0" w:rsidRPr="005C2ECF" w:rsidRDefault="002E6CF0" w:rsidP="00885FF1">
      <w:pPr>
        <w:pStyle w:val="DTFListBullet2-Black"/>
      </w:pPr>
      <w:r w:rsidRPr="005C2ECF">
        <w:t>recreation leave and recreation leave loading</w:t>
      </w:r>
    </w:p>
    <w:p w14:paraId="6E541C57" w14:textId="465C28C8" w:rsidR="002E6CF0" w:rsidRPr="005C2ECF" w:rsidRDefault="002E6CF0" w:rsidP="00885FF1">
      <w:pPr>
        <w:pStyle w:val="DTFListBullet2-Black"/>
      </w:pPr>
      <w:r w:rsidRPr="005C2ECF">
        <w:t>overtime an</w:t>
      </w:r>
      <w:r w:rsidR="00EC4F5B" w:rsidRPr="005C2ECF">
        <w:t>d higher duties allowance</w:t>
      </w:r>
      <w:r w:rsidRPr="005C2ECF">
        <w:t xml:space="preserve"> (HDA) and</w:t>
      </w:r>
    </w:p>
    <w:p w14:paraId="6E541C58" w14:textId="77777777" w:rsidR="002E6CF0" w:rsidRDefault="002E6CF0" w:rsidP="00885FF1">
      <w:pPr>
        <w:pStyle w:val="DTFListBullet2-Black"/>
      </w:pPr>
      <w:proofErr w:type="gramStart"/>
      <w:r w:rsidRPr="005C2ECF">
        <w:t>kilometre</w:t>
      </w:r>
      <w:proofErr w:type="gramEnd"/>
      <w:r w:rsidRPr="005C2ECF">
        <w:t xml:space="preserve"> allowance, for the use of priva</w:t>
      </w:r>
      <w:r>
        <w:t>te vehicles for official purposes.</w:t>
      </w:r>
    </w:p>
    <w:p w14:paraId="6E541C59" w14:textId="77777777" w:rsidR="002E6CF0" w:rsidRPr="002E6CF0" w:rsidRDefault="002E6CF0" w:rsidP="00885FF1">
      <w:pPr>
        <w:pStyle w:val="DTFListNumber1-Roman"/>
      </w:pPr>
      <w:r w:rsidRPr="002E6CF0">
        <w:t>Payments to employees must be made in accordance with current legislation and system protocols. In addition, employee salaries will be paid to an account held with an authorised deposit-taking institution. In exceptional circumstances, an employee’s salary may be paid by cheque, where determined by</w:t>
      </w:r>
      <w:r w:rsidR="00EC4F5B" w:rsidRPr="002E6CF0">
        <w:t xml:space="preserve"> the </w:t>
      </w:r>
      <w:r w:rsidR="00516B12">
        <w:t>A</w:t>
      </w:r>
      <w:r w:rsidR="00EC4F5B" w:rsidRPr="002E6CF0">
        <w:t xml:space="preserve">ccountable </w:t>
      </w:r>
      <w:r w:rsidR="00516B12">
        <w:t>O</w:t>
      </w:r>
      <w:r w:rsidR="00EC4F5B" w:rsidRPr="002E6CF0">
        <w:t>fficer.</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5C" w14:textId="77777777" w:rsidTr="004E00F8">
        <w:trPr>
          <w:tblHeader/>
        </w:trPr>
        <w:tc>
          <w:tcPr>
            <w:tcW w:w="9638" w:type="dxa"/>
            <w:tcMar>
              <w:left w:w="0" w:type="dxa"/>
              <w:right w:w="0" w:type="dxa"/>
            </w:tcMar>
            <w:vAlign w:val="center"/>
          </w:tcPr>
          <w:p w14:paraId="6E541C5A" w14:textId="77777777" w:rsidR="00674891" w:rsidRDefault="00674891" w:rsidP="00B47ACA">
            <w:pPr>
              <w:pStyle w:val="DTFHeading3-HighlightText"/>
              <w:framePr w:hSpace="0" w:wrap="auto" w:vAnchor="margin" w:yAlign="inline"/>
              <w:suppressOverlap w:val="0"/>
            </w:pPr>
            <w:r>
              <w:t>C3.2.7</w:t>
            </w:r>
          </w:p>
          <w:p w14:paraId="6E541C5B" w14:textId="7F878658" w:rsidR="00674891" w:rsidRPr="00415D66" w:rsidRDefault="00674891" w:rsidP="00912F1B">
            <w:pPr>
              <w:pStyle w:val="DTFBodyText"/>
              <w:rPr>
                <w:rStyle w:val="DTFStrong"/>
              </w:rPr>
            </w:pPr>
            <w:r w:rsidRPr="00415D66">
              <w:rPr>
                <w:rStyle w:val="DTFStrong"/>
              </w:rPr>
              <w:t xml:space="preserve">Agencies are to ensure that appropriate processes and procedures are in place to allow undisputed invoices to be paid within </w:t>
            </w:r>
            <w:r w:rsidR="009670EC">
              <w:rPr>
                <w:rStyle w:val="DTFStrong"/>
              </w:rPr>
              <w:t>20 days of receipt</w:t>
            </w:r>
            <w:r w:rsidR="00885FF1">
              <w:rPr>
                <w:rStyle w:val="DTFStrong"/>
              </w:rPr>
              <w:t xml:space="preserve"> of a valid invoice</w:t>
            </w:r>
            <w:r w:rsidR="009670EC">
              <w:rPr>
                <w:rStyle w:val="DTFStrong"/>
              </w:rPr>
              <w:t xml:space="preserve"> for invoices under $1 million</w:t>
            </w:r>
            <w:r w:rsidR="00885FF1">
              <w:rPr>
                <w:rStyle w:val="DTFStrong"/>
              </w:rPr>
              <w:t>,</w:t>
            </w:r>
            <w:r w:rsidR="009670EC">
              <w:rPr>
                <w:rStyle w:val="DTFStrong"/>
              </w:rPr>
              <w:t xml:space="preserve"> </w:t>
            </w:r>
            <w:r w:rsidR="00912F1B">
              <w:rPr>
                <w:rStyle w:val="DTFStrong"/>
              </w:rPr>
              <w:t>and</w:t>
            </w:r>
            <w:r w:rsidR="009670EC">
              <w:rPr>
                <w:rStyle w:val="DTFStrong"/>
              </w:rPr>
              <w:t xml:space="preserve"> </w:t>
            </w:r>
            <w:r w:rsidRPr="00415D66">
              <w:rPr>
                <w:rStyle w:val="DTFStrong"/>
              </w:rPr>
              <w:t>30</w:t>
            </w:r>
            <w:r w:rsidR="009670EC">
              <w:rPr>
                <w:rStyle w:val="DTFStrong"/>
              </w:rPr>
              <w:t xml:space="preserve"> </w:t>
            </w:r>
            <w:r w:rsidRPr="00415D66">
              <w:rPr>
                <w:rStyle w:val="DTFStrong"/>
              </w:rPr>
              <w:t>days</w:t>
            </w:r>
            <w:r w:rsidR="009670EC">
              <w:rPr>
                <w:rStyle w:val="DTFStrong"/>
              </w:rPr>
              <w:t xml:space="preserve"> for invoices over $1 million. </w:t>
            </w:r>
          </w:p>
        </w:tc>
      </w:tr>
    </w:tbl>
    <w:p w14:paraId="6E541C5D" w14:textId="7E0A6BDC" w:rsidR="001A0536" w:rsidRDefault="00674891" w:rsidP="00885FF1">
      <w:pPr>
        <w:pStyle w:val="DTFListNumber1-Roman"/>
        <w:numPr>
          <w:ilvl w:val="0"/>
          <w:numId w:val="31"/>
        </w:numPr>
      </w:pPr>
      <w:r>
        <w:t xml:space="preserve">In order to </w:t>
      </w:r>
      <w:r w:rsidR="00EC4F5B">
        <w:t xml:space="preserve">comply with </w:t>
      </w:r>
      <w:r w:rsidR="00885FF1">
        <w:t>g</w:t>
      </w:r>
      <w:r w:rsidR="00EC4F5B">
        <w:t>overnment policy, a</w:t>
      </w:r>
      <w:r>
        <w:t>gencies are to ensure appropriate payment processes and procedures are in place to facilitate the payment of invoices within</w:t>
      </w:r>
      <w:r w:rsidR="00F96273">
        <w:t xml:space="preserve"> 20 days of receipt of a valid invoice for invoices under $1 million</w:t>
      </w:r>
      <w:r w:rsidR="00885FF1">
        <w:t>,</w:t>
      </w:r>
      <w:r w:rsidR="00F96273">
        <w:t xml:space="preserve"> or </w:t>
      </w:r>
      <w:r>
        <w:t>30 days</w:t>
      </w:r>
      <w:r w:rsidR="00F96273">
        <w:t xml:space="preserve"> for invoices over </w:t>
      </w:r>
      <w:r w:rsidR="00F51DD3">
        <w:t xml:space="preserve">         </w:t>
      </w:r>
      <w:r w:rsidR="00F96273">
        <w:t>$1 million.</w:t>
      </w:r>
      <w:r>
        <w:t xml:space="preserve"> A valid invoice is a correct invoice, which is not disputed, that complies with GST legislation, for which goods and services have been received. </w:t>
      </w:r>
    </w:p>
    <w:p w14:paraId="6E541C5E" w14:textId="3A96B807" w:rsidR="00674891" w:rsidRDefault="00674891" w:rsidP="00885FF1">
      <w:pPr>
        <w:pStyle w:val="DTFListNumber1-Roman"/>
        <w:numPr>
          <w:ilvl w:val="0"/>
          <w:numId w:val="31"/>
        </w:numPr>
      </w:pPr>
      <w:r>
        <w:t xml:space="preserve">Use of a </w:t>
      </w:r>
      <w:r w:rsidR="00EC4F5B">
        <w:t>corporate credit card for payments will facilitate agencie</w:t>
      </w:r>
      <w:r>
        <w:t xml:space="preserve">s </w:t>
      </w:r>
      <w:r w:rsidR="00310C59">
        <w:t>to meet</w:t>
      </w:r>
      <w:r w:rsidR="00EC4F5B">
        <w:t xml:space="preserve"> </w:t>
      </w:r>
      <w:r w:rsidR="00A67F67">
        <w:t>timeframes stipulated in C3.2.7 (</w:t>
      </w:r>
      <w:proofErr w:type="spellStart"/>
      <w:r w:rsidR="00A67F67">
        <w:t>i</w:t>
      </w:r>
      <w:proofErr w:type="spellEnd"/>
      <w:r w:rsidR="00A67F67">
        <w:t>) above</w:t>
      </w:r>
      <w:r>
        <w:t>.</w:t>
      </w:r>
      <w:r w:rsidR="001A0536">
        <w:t xml:space="preserve"> Where payment by credit card is not appropriate, suppliers should be encouraged to send their invoice electronically to DCIS Accounts Payable to ensure timely processing.</w:t>
      </w:r>
    </w:p>
    <w:p w14:paraId="6E541C5F" w14:textId="77777777" w:rsidR="00D85F9A" w:rsidRDefault="00674891" w:rsidP="00885FF1">
      <w:pPr>
        <w:pStyle w:val="DTFListNumber1-Roman"/>
        <w:numPr>
          <w:ilvl w:val="0"/>
          <w:numId w:val="31"/>
        </w:numPr>
      </w:pPr>
      <w:r>
        <w:t xml:space="preserve">Agencies are required to pay penalty interest on late payments in situations where suppliers make valid claims. Implementation of effective payment processes and procedures will assist in ensuring payments to suppliers are made on time and </w:t>
      </w:r>
      <w:r w:rsidR="00E346E0">
        <w:t>penalty interest payments by a</w:t>
      </w:r>
      <w:r>
        <w:t>gencies are avoided.</w:t>
      </w:r>
      <w:r w:rsidR="00D85F9A" w:rsidRPr="00D85F9A">
        <w:t xml:space="preserve"> </w:t>
      </w:r>
    </w:p>
    <w:p w14:paraId="6E541C60" w14:textId="77777777" w:rsidR="00D85F9A" w:rsidRDefault="00D85F9A" w:rsidP="00885FF1">
      <w:pPr>
        <w:pStyle w:val="DTFListNumber1-Roman"/>
        <w:numPr>
          <w:ilvl w:val="0"/>
          <w:numId w:val="31"/>
        </w:numPr>
      </w:pPr>
      <w:r>
        <w:t>The adoption of strategies that facilitate timely processing and prompt payment of accounts payable, including the use of available discounts, will assist and promote the efficient management of payments.</w:t>
      </w:r>
    </w:p>
    <w:p w14:paraId="6E541C61" w14:textId="2C7CBF68" w:rsidR="002E6CF0" w:rsidRDefault="00674891" w:rsidP="00885FF1">
      <w:pPr>
        <w:pStyle w:val="DTFListNumber1-Roman"/>
        <w:numPr>
          <w:ilvl w:val="0"/>
          <w:numId w:val="31"/>
        </w:numPr>
      </w:pPr>
      <w:r>
        <w:t>Addition</w:t>
      </w:r>
      <w:r w:rsidR="00E346E0">
        <w:t xml:space="preserve">al instructions and guidance relating to the </w:t>
      </w:r>
      <w:r w:rsidR="00885FF1">
        <w:t>g</w:t>
      </w:r>
      <w:r w:rsidR="00E346E0">
        <w:t xml:space="preserve">overnment’s </w:t>
      </w:r>
      <w:r>
        <w:t>payment policy may be found</w:t>
      </w:r>
      <w:r w:rsidR="00D85F9A">
        <w:t xml:space="preserve"> </w:t>
      </w:r>
      <w:r w:rsidR="001A0536">
        <w:t>at</w:t>
      </w:r>
      <w:r w:rsidR="00A67F67">
        <w:t xml:space="preserve"> </w:t>
      </w:r>
      <w:r w:rsidR="00A67F67" w:rsidRPr="00A67F67">
        <w:t>https://nt.gov.au/industry/government/get-paid/payment-for-government-contracts</w:t>
      </w:r>
      <w:r w:rsidR="005B5679">
        <w:t>.</w:t>
      </w:r>
      <w:r w:rsidR="003C777B">
        <w:t xml:space="preserve"> </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64" w14:textId="77777777" w:rsidTr="004E00F8">
        <w:trPr>
          <w:tblHeader/>
        </w:trPr>
        <w:tc>
          <w:tcPr>
            <w:tcW w:w="9638" w:type="dxa"/>
            <w:tcMar>
              <w:left w:w="0" w:type="dxa"/>
              <w:right w:w="0" w:type="dxa"/>
            </w:tcMar>
            <w:vAlign w:val="center"/>
          </w:tcPr>
          <w:p w14:paraId="6E541C62" w14:textId="77777777" w:rsidR="00674891" w:rsidRDefault="00674891" w:rsidP="00B47ACA">
            <w:pPr>
              <w:pStyle w:val="DTFHeading3-HighlightText"/>
              <w:framePr w:hSpace="0" w:wrap="auto" w:vAnchor="margin" w:yAlign="inline"/>
              <w:suppressOverlap w:val="0"/>
            </w:pPr>
            <w:r>
              <w:t>C3.2.8</w:t>
            </w:r>
          </w:p>
          <w:p w14:paraId="6E541C63" w14:textId="77777777" w:rsidR="00674891" w:rsidRPr="00415D66" w:rsidRDefault="003C777B" w:rsidP="007D1EC2">
            <w:pPr>
              <w:pStyle w:val="DTFBodyText"/>
              <w:rPr>
                <w:rStyle w:val="DTFStrong"/>
              </w:rPr>
            </w:pPr>
            <w:r w:rsidRPr="00415D66">
              <w:rPr>
                <w:rStyle w:val="DTFStrong"/>
              </w:rPr>
              <w:t>A</w:t>
            </w:r>
            <w:r w:rsidR="00674891" w:rsidRPr="00415D66">
              <w:rPr>
                <w:rStyle w:val="DTFStrong"/>
              </w:rPr>
              <w:t>pprov</w:t>
            </w:r>
            <w:r w:rsidRPr="00415D66">
              <w:rPr>
                <w:rStyle w:val="DTFStrong"/>
              </w:rPr>
              <w:t>al</w:t>
            </w:r>
            <w:r w:rsidR="00674891" w:rsidRPr="00415D66">
              <w:rPr>
                <w:rStyle w:val="DTFStrong"/>
              </w:rPr>
              <w:t xml:space="preserve"> by </w:t>
            </w:r>
            <w:r w:rsidR="00E346E0" w:rsidRPr="00415D66">
              <w:rPr>
                <w:rStyle w:val="DTFStrong"/>
              </w:rPr>
              <w:t xml:space="preserve">the </w:t>
            </w:r>
            <w:r w:rsidR="007D1EC2" w:rsidRPr="00415D66">
              <w:rPr>
                <w:rStyle w:val="DTFStrong"/>
              </w:rPr>
              <w:t>A</w:t>
            </w:r>
            <w:r w:rsidR="00E346E0" w:rsidRPr="00415D66">
              <w:rPr>
                <w:rStyle w:val="DTFStrong"/>
              </w:rPr>
              <w:t xml:space="preserve">ccountable </w:t>
            </w:r>
            <w:r w:rsidR="007D1EC2" w:rsidRPr="00415D66">
              <w:rPr>
                <w:rStyle w:val="DTFStrong"/>
              </w:rPr>
              <w:t>O</w:t>
            </w:r>
            <w:r w:rsidR="00E346E0" w:rsidRPr="00415D66">
              <w:rPr>
                <w:rStyle w:val="DTFStrong"/>
              </w:rPr>
              <w:t>fficer or a</w:t>
            </w:r>
            <w:r w:rsidR="00674891" w:rsidRPr="00415D66">
              <w:rPr>
                <w:rStyle w:val="DTFStrong"/>
              </w:rPr>
              <w:t xml:space="preserve"> duly delegated officer, is required prior </w:t>
            </w:r>
            <w:r w:rsidR="005B5679" w:rsidRPr="00415D66">
              <w:rPr>
                <w:rStyle w:val="DTFStrong"/>
              </w:rPr>
              <w:t>for all</w:t>
            </w:r>
            <w:r w:rsidR="00E346E0" w:rsidRPr="00415D66">
              <w:rPr>
                <w:rStyle w:val="DTFStrong"/>
              </w:rPr>
              <w:t xml:space="preserve"> payment</w:t>
            </w:r>
            <w:r w:rsidR="005B5679" w:rsidRPr="00415D66">
              <w:rPr>
                <w:rStyle w:val="DTFStrong"/>
              </w:rPr>
              <w:t>s</w:t>
            </w:r>
            <w:r w:rsidR="00674891" w:rsidRPr="00415D66">
              <w:rPr>
                <w:rStyle w:val="DTFStrong"/>
              </w:rPr>
              <w:t>.</w:t>
            </w:r>
          </w:p>
        </w:tc>
      </w:tr>
    </w:tbl>
    <w:p w14:paraId="6E541C65" w14:textId="77777777" w:rsidR="00D85F9A" w:rsidRDefault="00D85F9A" w:rsidP="00885FF1">
      <w:pPr>
        <w:pStyle w:val="DTFListNumber1-Roman"/>
        <w:numPr>
          <w:ilvl w:val="0"/>
          <w:numId w:val="32"/>
        </w:numPr>
      </w:pPr>
      <w:r>
        <w:lastRenderedPageBreak/>
        <w:t xml:space="preserve">Approval of the </w:t>
      </w:r>
      <w:r w:rsidR="007D1EC2">
        <w:t>A</w:t>
      </w:r>
      <w:r>
        <w:t xml:space="preserve">ccountable </w:t>
      </w:r>
      <w:r w:rsidR="007D1EC2">
        <w:t>O</w:t>
      </w:r>
      <w:r>
        <w:t>fficer or duly delegated officer is required prior to committing expenditure and processing a payment. The payment must be supported by a valid claim for payment/invoice or other documentation that supports the payment. Examples of other documentation include grant arrangements and lease payments</w:t>
      </w:r>
      <w:r w:rsidR="005B5679">
        <w:t>.</w:t>
      </w:r>
      <w:r w:rsidR="00674891" w:rsidRPr="00DB1A40">
        <w:t xml:space="preserve"> </w:t>
      </w:r>
    </w:p>
    <w:p w14:paraId="6E541C66" w14:textId="3030A5C0" w:rsidR="00D85F9A" w:rsidRDefault="00D85F9A" w:rsidP="00885FF1">
      <w:pPr>
        <w:pStyle w:val="DTFListNumber1-Roman"/>
        <w:numPr>
          <w:ilvl w:val="0"/>
          <w:numId w:val="32"/>
        </w:numPr>
      </w:pPr>
      <w:r>
        <w:t xml:space="preserve">The </w:t>
      </w:r>
      <w:r w:rsidR="007D1EC2">
        <w:t>A</w:t>
      </w:r>
      <w:r>
        <w:t xml:space="preserve">ccountable </w:t>
      </w:r>
      <w:r w:rsidR="007D1EC2">
        <w:t>O</w:t>
      </w:r>
      <w:r>
        <w:t xml:space="preserve">fficer of an agency may delegate powers or functions provided under the </w:t>
      </w:r>
      <w:r w:rsidRPr="008F2245">
        <w:rPr>
          <w:rStyle w:val="DTFItalic"/>
        </w:rPr>
        <w:t>Financial Management Act</w:t>
      </w:r>
      <w:r w:rsidR="00A67F67">
        <w:rPr>
          <w:rStyle w:val="DTFItalic"/>
        </w:rPr>
        <w:t xml:space="preserve"> 1995 </w:t>
      </w:r>
      <w:r w:rsidR="00A67F67" w:rsidRPr="00885FF1">
        <w:rPr>
          <w:rStyle w:val="DTFItalic"/>
          <w:i w:val="0"/>
        </w:rPr>
        <w:t>including</w:t>
      </w:r>
      <w:r>
        <w:t xml:space="preserve"> the power to approve the commitment of expenditure and subsequent payment. Agency financial and procurement delegations and Treasurer’s Direction F3.3 provide instruction and guidan</w:t>
      </w:r>
      <w:bookmarkStart w:id="2" w:name="_GoBack"/>
      <w:bookmarkEnd w:id="2"/>
      <w:r>
        <w:t>ce relating to delegations.</w:t>
      </w:r>
    </w:p>
    <w:p w14:paraId="6E541C67" w14:textId="1CBD450A" w:rsidR="00674891" w:rsidRDefault="00D85F9A" w:rsidP="00885FF1">
      <w:pPr>
        <w:pStyle w:val="DTFListNumber1-Roman"/>
        <w:numPr>
          <w:ilvl w:val="0"/>
          <w:numId w:val="32"/>
        </w:numPr>
      </w:pPr>
      <w:r>
        <w:t>W</w:t>
      </w:r>
      <w:r w:rsidR="00674891">
        <w:t>here the payment will be supported by a</w:t>
      </w:r>
      <w:r w:rsidR="00013F9B">
        <w:t>n approved</w:t>
      </w:r>
      <w:r w:rsidR="00674891">
        <w:t xml:space="preserve"> purchase order</w:t>
      </w:r>
      <w:r w:rsidR="00013F9B">
        <w:t xml:space="preserve"> or spend plan</w:t>
      </w:r>
      <w:r w:rsidR="00674891">
        <w:t xml:space="preserve">, </w:t>
      </w:r>
      <w:r>
        <w:t>a separate payment approval is not required providing the payment is supported by a valid invoice and confirmation that goods and services have been received or provided.</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6C" w14:textId="77777777" w:rsidTr="004E00F8">
        <w:trPr>
          <w:tblHeader/>
        </w:trPr>
        <w:tc>
          <w:tcPr>
            <w:tcW w:w="9638" w:type="dxa"/>
            <w:tcMar>
              <w:left w:w="0" w:type="dxa"/>
              <w:right w:w="0" w:type="dxa"/>
            </w:tcMar>
            <w:vAlign w:val="center"/>
          </w:tcPr>
          <w:p w14:paraId="6E541C68" w14:textId="77777777" w:rsidR="00674891" w:rsidRDefault="00674891" w:rsidP="00B47ACA">
            <w:pPr>
              <w:pStyle w:val="DTFHeading3-HighlightText"/>
              <w:framePr w:hSpace="0" w:wrap="auto" w:vAnchor="margin" w:yAlign="inline"/>
              <w:suppressOverlap w:val="0"/>
            </w:pPr>
            <w:r>
              <w:t>C3.2.9</w:t>
            </w:r>
          </w:p>
          <w:p w14:paraId="6E541C69" w14:textId="77777777" w:rsidR="00674891" w:rsidRPr="00415D66" w:rsidRDefault="00674891" w:rsidP="00B47ACA">
            <w:pPr>
              <w:pStyle w:val="DTFBodyText"/>
              <w:rPr>
                <w:rStyle w:val="DTFStrong"/>
              </w:rPr>
            </w:pPr>
            <w:r w:rsidRPr="00415D66">
              <w:rPr>
                <w:rStyle w:val="DTFStrong"/>
              </w:rPr>
              <w:t>Payment prior to the receipt of goods and services is only to be made where:</w:t>
            </w:r>
          </w:p>
          <w:p w14:paraId="6E541C6A" w14:textId="555394A2" w:rsidR="00674891" w:rsidRPr="00415D66" w:rsidRDefault="00674891" w:rsidP="00CF6200">
            <w:pPr>
              <w:pStyle w:val="DTFListBullet1-Black"/>
              <w:rPr>
                <w:rStyle w:val="DTFStrong"/>
                <w:color w:val="auto"/>
              </w:rPr>
            </w:pPr>
            <w:r w:rsidRPr="00415D66">
              <w:rPr>
                <w:rStyle w:val="DTFStrong"/>
              </w:rPr>
              <w:t>it is a requirement of the procurement process or</w:t>
            </w:r>
          </w:p>
          <w:p w14:paraId="6E541C6B" w14:textId="77777777" w:rsidR="00674891" w:rsidRDefault="00674891" w:rsidP="00CF6200">
            <w:pPr>
              <w:pStyle w:val="DTFListBullet1-Black"/>
            </w:pPr>
            <w:proofErr w:type="gramStart"/>
            <w:r w:rsidRPr="00415D66">
              <w:rPr>
                <w:rStyle w:val="DTFStrong"/>
              </w:rPr>
              <w:t>there</w:t>
            </w:r>
            <w:proofErr w:type="gramEnd"/>
            <w:r w:rsidRPr="00415D66">
              <w:rPr>
                <w:rStyle w:val="DTFStrong"/>
              </w:rPr>
              <w:t xml:space="preserve"> is an identifiable benefit to the Territory.</w:t>
            </w:r>
          </w:p>
        </w:tc>
      </w:tr>
    </w:tbl>
    <w:p w14:paraId="6E541C6D" w14:textId="77777777" w:rsidR="00674891" w:rsidRDefault="00674891" w:rsidP="00885FF1">
      <w:pPr>
        <w:pStyle w:val="DTFListNumber1-Roman"/>
        <w:numPr>
          <w:ilvl w:val="0"/>
          <w:numId w:val="33"/>
        </w:numPr>
      </w:pPr>
      <w:r>
        <w:t>As a general rule, payment will not be made in advance of the receipt of goods or services. However, payments in advance may occur in certain circumstances. Examples where prior payment may be required include documented contractual requirements, conference bookings, subscriptions and air travel bookings.</w:t>
      </w:r>
    </w:p>
    <w:p w14:paraId="6E541C6E" w14:textId="77777777" w:rsidR="00674891" w:rsidRPr="00674891" w:rsidRDefault="00674891" w:rsidP="00885FF1">
      <w:pPr>
        <w:pStyle w:val="DTFListNumber1-Roman"/>
        <w:numPr>
          <w:ilvl w:val="0"/>
          <w:numId w:val="31"/>
        </w:numPr>
      </w:pPr>
      <w:r w:rsidRPr="00674891">
        <w:t>Where</w:t>
      </w:r>
      <w:r w:rsidR="00E346E0">
        <w:t xml:space="preserve"> payments are made in advance, a</w:t>
      </w:r>
      <w:r w:rsidRPr="00674891">
        <w:t>gencies should remain aware of requirements in relation to the recognition and recording of these prepa</w:t>
      </w:r>
      <w:r w:rsidR="00E346E0">
        <w:t>yments. Treasurer’s Direction</w:t>
      </w:r>
      <w:r w:rsidRPr="00674891">
        <w:t xml:space="preserve"> A2.9 provides instruction and guidance </w:t>
      </w:r>
      <w:r w:rsidR="00E346E0">
        <w:t>relating</w:t>
      </w:r>
      <w:r w:rsidRPr="00674891">
        <w:t xml:space="preserve"> to prepayments.</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71" w14:textId="77777777" w:rsidTr="004E00F8">
        <w:trPr>
          <w:tblHeader/>
        </w:trPr>
        <w:tc>
          <w:tcPr>
            <w:tcW w:w="9638" w:type="dxa"/>
            <w:tcMar>
              <w:left w:w="0" w:type="dxa"/>
              <w:right w:w="0" w:type="dxa"/>
            </w:tcMar>
            <w:vAlign w:val="center"/>
          </w:tcPr>
          <w:p w14:paraId="6E541C6F" w14:textId="77777777" w:rsidR="00674891" w:rsidRDefault="00674891" w:rsidP="00B47ACA">
            <w:pPr>
              <w:pStyle w:val="DTFHeading3-HighlightText"/>
              <w:framePr w:hSpace="0" w:wrap="auto" w:vAnchor="margin" w:yAlign="inline"/>
              <w:suppressOverlap w:val="0"/>
            </w:pPr>
            <w:r>
              <w:t>C3.2.10</w:t>
            </w:r>
          </w:p>
          <w:p w14:paraId="6E541C70" w14:textId="77777777" w:rsidR="00674891" w:rsidRPr="00415D66" w:rsidRDefault="00674891" w:rsidP="00D85F9A">
            <w:pPr>
              <w:pStyle w:val="DTFBodyText"/>
              <w:rPr>
                <w:rStyle w:val="DTFStrong"/>
              </w:rPr>
            </w:pPr>
            <w:r w:rsidRPr="00415D66">
              <w:rPr>
                <w:rStyle w:val="DTFStrong"/>
              </w:rPr>
              <w:t xml:space="preserve">To facilitate effective whole of </w:t>
            </w:r>
            <w:r w:rsidR="00E346E0" w:rsidRPr="00415D66">
              <w:rPr>
                <w:rStyle w:val="DTFStrong"/>
              </w:rPr>
              <w:t>g</w:t>
            </w:r>
            <w:r w:rsidRPr="00415D66">
              <w:rPr>
                <w:rStyle w:val="DTFStrong"/>
              </w:rPr>
              <w:t>overnment cash management, individual payment transactions in excess of $</w:t>
            </w:r>
            <w:r w:rsidR="00D85F9A" w:rsidRPr="00415D66">
              <w:rPr>
                <w:rStyle w:val="DTFStrong"/>
              </w:rPr>
              <w:t>1 million</w:t>
            </w:r>
            <w:r w:rsidR="00773F4B">
              <w:rPr>
                <w:rStyle w:val="DTFStrong"/>
              </w:rPr>
              <w:t xml:space="preserve"> </w:t>
            </w:r>
            <w:r w:rsidRPr="00415D66">
              <w:rPr>
                <w:rStyle w:val="DTFStrong"/>
              </w:rPr>
              <w:t>(with the exception of payments processed through GAS Accounts Payable) are to be notified to the Northern Territory Treasury Corporation at the earliest opportunity prior to the payment being made.</w:t>
            </w:r>
          </w:p>
        </w:tc>
      </w:tr>
    </w:tbl>
    <w:p w14:paraId="6E541C72" w14:textId="0DBB5BC5" w:rsidR="00674891" w:rsidRDefault="00674891" w:rsidP="00885FF1">
      <w:pPr>
        <w:pStyle w:val="DTFListNumber1-Roman"/>
        <w:numPr>
          <w:ilvl w:val="0"/>
          <w:numId w:val="34"/>
        </w:numPr>
      </w:pPr>
      <w:r>
        <w:t>Information regarding anticipated cash outflows in excess of $1</w:t>
      </w:r>
      <w:r w:rsidR="00F96273">
        <w:t xml:space="preserve"> million </w:t>
      </w:r>
      <w:r>
        <w:t xml:space="preserve">allows the </w:t>
      </w:r>
      <w:r w:rsidR="00885FF1">
        <w:t>g</w:t>
      </w:r>
      <w:r>
        <w:t>overnment to plan borrowing requirements and investment schedules to ensure fin</w:t>
      </w:r>
      <w:r w:rsidR="00A00150">
        <w:t>ances are available to support a</w:t>
      </w:r>
      <w:r>
        <w:t xml:space="preserve">gency operations. </w:t>
      </w:r>
      <w:r w:rsidR="00A00150">
        <w:t>Therefore</w:t>
      </w:r>
      <w:r>
        <w:t>, the Northern Territory Treasury Corporation is to be advised of payment transactions in excess of $</w:t>
      </w:r>
      <w:r w:rsidR="00D85F9A">
        <w:t>1 million</w:t>
      </w:r>
      <w:r>
        <w:t xml:space="preserve"> (with the exception of payments processed through GAS Accounts Payable) at the earliest opportunity prior to </w:t>
      </w:r>
      <w:r w:rsidR="00E72286">
        <w:t>making the payment</w:t>
      </w:r>
      <w:r>
        <w:t>.</w:t>
      </w:r>
    </w:p>
    <w:p w14:paraId="6E541C73" w14:textId="3D91DAC1" w:rsidR="00D85F9A" w:rsidRDefault="00D85F9A" w:rsidP="00885FF1">
      <w:pPr>
        <w:pStyle w:val="DTFListNumber1-Roman"/>
        <w:numPr>
          <w:ilvl w:val="0"/>
          <w:numId w:val="34"/>
        </w:numPr>
      </w:pPr>
      <w:r>
        <w:t xml:space="preserve">Accurate and timely cash flow forecasts promote the efficient use of cash and ensure funds are available to meet </w:t>
      </w:r>
      <w:r w:rsidR="00885FF1">
        <w:t>a</w:t>
      </w:r>
      <w:r>
        <w:t>gency financial obligations when they fall due, as well as assisting in strategic long</w:t>
      </w:r>
      <w:r w:rsidR="00885FF1">
        <w:t>-</w:t>
      </w:r>
      <w:r>
        <w:t>term planning</w:t>
      </w:r>
      <w:r w:rsidRPr="00773F4B">
        <w:t xml:space="preserve"> </w:t>
      </w:r>
      <w:r w:rsidRPr="00925E25">
        <w:t>(for example, determination of total Territory borrowing requirements).</w:t>
      </w:r>
    </w:p>
    <w:p w14:paraId="6E541C74" w14:textId="77777777" w:rsidR="00674891" w:rsidRDefault="00E72286" w:rsidP="00885FF1">
      <w:pPr>
        <w:pStyle w:val="DTFListNumber1-Roman"/>
        <w:numPr>
          <w:ilvl w:val="0"/>
          <w:numId w:val="31"/>
        </w:numPr>
      </w:pPr>
      <w:r>
        <w:t>Treasurer’s Direction</w:t>
      </w:r>
      <w:r w:rsidR="00674891">
        <w:t xml:space="preserve"> C1.1 provides </w:t>
      </w:r>
      <w:r>
        <w:t>instruction and guidance relating</w:t>
      </w:r>
      <w:r w:rsidR="00674891">
        <w:t xml:space="preserve"> to effective cash management.</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79" w14:textId="77777777" w:rsidTr="004E00F8">
        <w:trPr>
          <w:tblHeader/>
        </w:trPr>
        <w:tc>
          <w:tcPr>
            <w:tcW w:w="9638" w:type="dxa"/>
            <w:tcMar>
              <w:left w:w="0" w:type="dxa"/>
              <w:right w:w="0" w:type="dxa"/>
            </w:tcMar>
            <w:vAlign w:val="center"/>
          </w:tcPr>
          <w:p w14:paraId="6E541C75" w14:textId="77777777" w:rsidR="00674891" w:rsidRDefault="00674891" w:rsidP="008B7F52">
            <w:pPr>
              <w:pStyle w:val="DTFHeading3-HighlightText"/>
              <w:framePr w:hSpace="0" w:wrap="auto" w:vAnchor="margin" w:yAlign="inline"/>
              <w:suppressOverlap w:val="0"/>
            </w:pPr>
            <w:r>
              <w:lastRenderedPageBreak/>
              <w:t>C3.2.11</w:t>
            </w:r>
          </w:p>
          <w:p w14:paraId="6E541C76" w14:textId="77777777" w:rsidR="00674891" w:rsidRPr="00415D66" w:rsidRDefault="00674891" w:rsidP="008B7F52">
            <w:pPr>
              <w:pStyle w:val="DTFBodyText"/>
              <w:rPr>
                <w:rStyle w:val="DTFStrong"/>
              </w:rPr>
            </w:pPr>
            <w:r w:rsidRPr="00415D66">
              <w:rPr>
                <w:rStyle w:val="DTFStrong"/>
              </w:rPr>
              <w:t>Payments due to a deceased person are to be settled with that person's estate.</w:t>
            </w:r>
          </w:p>
          <w:p w14:paraId="6E541C77" w14:textId="77777777" w:rsidR="00674891" w:rsidRDefault="00674891" w:rsidP="008B7F52">
            <w:pPr>
              <w:pStyle w:val="DTFHeading3-HighlightText"/>
              <w:framePr w:hSpace="0" w:wrap="auto" w:vAnchor="margin" w:yAlign="inline"/>
              <w:suppressOverlap w:val="0"/>
            </w:pPr>
            <w:r>
              <w:t>C3.2.12</w:t>
            </w:r>
          </w:p>
          <w:p w14:paraId="6E541C78" w14:textId="77777777" w:rsidR="00674891" w:rsidRPr="00415D66" w:rsidRDefault="00674891" w:rsidP="008B7F52">
            <w:pPr>
              <w:pStyle w:val="DTFBodyText"/>
              <w:rPr>
                <w:rStyle w:val="DTFStrong"/>
              </w:rPr>
            </w:pPr>
            <w:r w:rsidRPr="00415D66">
              <w:rPr>
                <w:rStyle w:val="DTFStrong"/>
              </w:rPr>
              <w:t>Payments due to a ceased or modified entity are to be settled with the entity or person with legal responsibility for the entity.</w:t>
            </w:r>
          </w:p>
        </w:tc>
      </w:tr>
    </w:tbl>
    <w:p w14:paraId="6E541C7A" w14:textId="77777777" w:rsidR="00674891" w:rsidRDefault="00674891" w:rsidP="00885FF1">
      <w:pPr>
        <w:pStyle w:val="DTFListNumber1-Roman"/>
        <w:numPr>
          <w:ilvl w:val="0"/>
          <w:numId w:val="35"/>
        </w:numPr>
      </w:pPr>
      <w:r>
        <w:t>The death of a creditor does not extingu</w:t>
      </w:r>
      <w:r w:rsidR="00E72286">
        <w:t>ish an agency’s lia</w:t>
      </w:r>
      <w:r>
        <w:t>bility for the debt and therefore any outstanding payments are to be processed through the executor of the deceased person’s estate.</w:t>
      </w:r>
    </w:p>
    <w:p w14:paraId="6E541C7B" w14:textId="77777777" w:rsidR="00674891" w:rsidRDefault="00674891" w:rsidP="00885FF1">
      <w:pPr>
        <w:pStyle w:val="DTFListNumber1-Roman"/>
        <w:numPr>
          <w:ilvl w:val="0"/>
          <w:numId w:val="31"/>
        </w:numPr>
      </w:pPr>
      <w:r>
        <w:t>Similarly, the cessation, winding up or change in an entity does not extingui</w:t>
      </w:r>
      <w:r w:rsidR="00E72286">
        <w:t>sh an age</w:t>
      </w:r>
      <w:r>
        <w:t>ncy’s liability for the debt. Any outstanding debts are to be paid to the entity or person that now has</w:t>
      </w:r>
      <w:r w:rsidR="00E72286">
        <w:t xml:space="preserve"> legal control of the entity or</w:t>
      </w:r>
      <w:r>
        <w:t xml:space="preserve"> its receivable assets. Examples would include debts paid to a liquidator or receiver for companies in liquidation or receivership and debts paid to a new firm following a merger or takeover.</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80" w14:textId="77777777" w:rsidTr="004E00F8">
        <w:trPr>
          <w:tblHeader/>
        </w:trPr>
        <w:tc>
          <w:tcPr>
            <w:tcW w:w="9638" w:type="dxa"/>
            <w:tcMar>
              <w:left w:w="0" w:type="dxa"/>
              <w:right w:w="0" w:type="dxa"/>
            </w:tcMar>
            <w:vAlign w:val="center"/>
          </w:tcPr>
          <w:p w14:paraId="6E541C7C" w14:textId="77777777" w:rsidR="00674891" w:rsidRDefault="00674891" w:rsidP="008B7F52">
            <w:pPr>
              <w:pStyle w:val="DTFHeading3-HighlightText"/>
              <w:framePr w:hSpace="0" w:wrap="auto" w:vAnchor="margin" w:yAlign="inline"/>
              <w:suppressOverlap w:val="0"/>
            </w:pPr>
            <w:r>
              <w:t>C3.2.13</w:t>
            </w:r>
          </w:p>
          <w:p w14:paraId="6E541C7D" w14:textId="77777777" w:rsidR="00674891" w:rsidRPr="00415D66" w:rsidRDefault="00674891" w:rsidP="008B7F52">
            <w:pPr>
              <w:pStyle w:val="DTFBodyText"/>
              <w:rPr>
                <w:rStyle w:val="DTFStrong"/>
              </w:rPr>
            </w:pPr>
            <w:r w:rsidRPr="00415D66">
              <w:rPr>
                <w:rStyle w:val="DTFStrong"/>
              </w:rPr>
              <w:t>Payments are to be made to the supplier, except where the supplier has nominated:</w:t>
            </w:r>
          </w:p>
          <w:p w14:paraId="6E541C7E" w14:textId="1F81F45C" w:rsidR="00674891" w:rsidRPr="00415D66" w:rsidRDefault="00674891" w:rsidP="00CF6200">
            <w:pPr>
              <w:pStyle w:val="DTFListBullet1-Black"/>
              <w:rPr>
                <w:rStyle w:val="DTFStrong"/>
                <w:color w:val="auto"/>
              </w:rPr>
            </w:pPr>
            <w:r w:rsidRPr="00415D66">
              <w:rPr>
                <w:rStyle w:val="DTFStrong"/>
              </w:rPr>
              <w:t>an authorised agent (and evidence of that authorisation has been obtained) or</w:t>
            </w:r>
          </w:p>
          <w:p w14:paraId="6E541C7F" w14:textId="77777777" w:rsidR="00674891" w:rsidRDefault="00674891" w:rsidP="00CF6200">
            <w:pPr>
              <w:pStyle w:val="DTFListBullet1-Black"/>
            </w:pPr>
            <w:proofErr w:type="gramStart"/>
            <w:r w:rsidRPr="00415D66">
              <w:rPr>
                <w:rStyle w:val="DTFStrong"/>
              </w:rPr>
              <w:t>a</w:t>
            </w:r>
            <w:proofErr w:type="gramEnd"/>
            <w:r w:rsidRPr="00415D66">
              <w:rPr>
                <w:rStyle w:val="DTFStrong"/>
              </w:rPr>
              <w:t xml:space="preserve"> third party through a formal Deed of Assignment.</w:t>
            </w:r>
          </w:p>
        </w:tc>
      </w:tr>
    </w:tbl>
    <w:p w14:paraId="6E541C81" w14:textId="77777777" w:rsidR="00674891" w:rsidRDefault="00674891" w:rsidP="00885FF1">
      <w:pPr>
        <w:pStyle w:val="DTFListNumber1-Roman"/>
        <w:numPr>
          <w:ilvl w:val="0"/>
          <w:numId w:val="36"/>
        </w:numPr>
      </w:pPr>
      <w:r>
        <w:t>Payments will generally be made direct to a supplier. However, payments may be made to an agent or a third party of a supplier in certain circumstances.</w:t>
      </w:r>
    </w:p>
    <w:p w14:paraId="6E541C82" w14:textId="77777777" w:rsidR="00674891" w:rsidRDefault="00674891" w:rsidP="00885FF1">
      <w:pPr>
        <w:pStyle w:val="DTFListNumber1-Roman"/>
        <w:numPr>
          <w:ilvl w:val="0"/>
          <w:numId w:val="31"/>
        </w:numPr>
      </w:pPr>
      <w:r>
        <w:t>Payment to an authorised agent should not occur until the supplier provides evidence of the authorisation. A written statement specifying the name of the agent and the nature of the payment, including a sample of the agent’s signature, verified by the claimant, is usually considered satisfactory evidence. The agent would also be required to provide proof of identification.</w:t>
      </w:r>
    </w:p>
    <w:p w14:paraId="6E541C83" w14:textId="77777777" w:rsidR="00674891" w:rsidRDefault="00674891" w:rsidP="00885FF1">
      <w:pPr>
        <w:pStyle w:val="DTFListNumber1-Roman"/>
        <w:numPr>
          <w:ilvl w:val="0"/>
          <w:numId w:val="31"/>
        </w:numPr>
      </w:pPr>
      <w:r>
        <w:t>A third party may only receive a payment where the third party has a legal entitlement conferred on them by a Deed of Assignment. It would be</w:t>
      </w:r>
      <w:r w:rsidR="00E72286">
        <w:t xml:space="preserve"> appropriate for an a</w:t>
      </w:r>
      <w:r>
        <w:t>gency to obtain legal advice in respect of a Deed of Assignment before a payment to the third party is made.</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674891" w14:paraId="6E541C86" w14:textId="77777777" w:rsidTr="004E00F8">
        <w:trPr>
          <w:tblHeader/>
        </w:trPr>
        <w:tc>
          <w:tcPr>
            <w:tcW w:w="9638" w:type="dxa"/>
            <w:tcMar>
              <w:left w:w="0" w:type="dxa"/>
              <w:right w:w="0" w:type="dxa"/>
            </w:tcMar>
            <w:vAlign w:val="center"/>
          </w:tcPr>
          <w:p w14:paraId="6E541C84" w14:textId="77777777" w:rsidR="00674891" w:rsidRDefault="00674891" w:rsidP="008B7F52">
            <w:pPr>
              <w:pStyle w:val="DTFHeading3-HighlightText"/>
              <w:framePr w:hSpace="0" w:wrap="auto" w:vAnchor="margin" w:yAlign="inline"/>
              <w:suppressOverlap w:val="0"/>
            </w:pPr>
            <w:r>
              <w:t>C3.2.14</w:t>
            </w:r>
          </w:p>
          <w:p w14:paraId="6E541C85" w14:textId="77777777" w:rsidR="00674891" w:rsidRPr="00415D66" w:rsidRDefault="00674891" w:rsidP="00E72286">
            <w:pPr>
              <w:pStyle w:val="DTFBodyText"/>
              <w:rPr>
                <w:rStyle w:val="DTFStrong"/>
              </w:rPr>
            </w:pPr>
            <w:r w:rsidRPr="00415D66">
              <w:rPr>
                <w:rStyle w:val="DTFStrong"/>
              </w:rPr>
              <w:t xml:space="preserve">In situations where a payee cannot be located, unclaimed payments are to be recognised and recorded in an Accountable Officer’s Trust Account </w:t>
            </w:r>
            <w:r w:rsidR="00310C59" w:rsidRPr="00415D66">
              <w:rPr>
                <w:rStyle w:val="DTFStrong"/>
              </w:rPr>
              <w:t xml:space="preserve">(AOTA) </w:t>
            </w:r>
            <w:r w:rsidRPr="00415D66">
              <w:rPr>
                <w:rStyle w:val="DTFStrong"/>
              </w:rPr>
              <w:t xml:space="preserve">within </w:t>
            </w:r>
            <w:r w:rsidR="00E72286" w:rsidRPr="00415D66">
              <w:rPr>
                <w:rStyle w:val="DTFStrong"/>
              </w:rPr>
              <w:t>six</w:t>
            </w:r>
            <w:r w:rsidRPr="00415D66">
              <w:rPr>
                <w:rStyle w:val="DTFStrong"/>
              </w:rPr>
              <w:t xml:space="preserve"> months and are to be paid to the Central Holding Authority </w:t>
            </w:r>
            <w:r w:rsidR="00310C59" w:rsidRPr="00415D66">
              <w:rPr>
                <w:rStyle w:val="DTFStrong"/>
              </w:rPr>
              <w:t xml:space="preserve">(CHA) </w:t>
            </w:r>
            <w:r w:rsidRPr="00415D66">
              <w:rPr>
                <w:rStyle w:val="DTFStrong"/>
              </w:rPr>
              <w:t>after being held in the AOTA for a period of 24 months.</w:t>
            </w:r>
          </w:p>
        </w:tc>
      </w:tr>
    </w:tbl>
    <w:p w14:paraId="6E541C87" w14:textId="77777777" w:rsidR="00674891" w:rsidRDefault="00674891" w:rsidP="00885FF1">
      <w:pPr>
        <w:pStyle w:val="DTFListNumber1-Roman"/>
        <w:numPr>
          <w:ilvl w:val="0"/>
          <w:numId w:val="38"/>
        </w:numPr>
      </w:pPr>
      <w:r>
        <w:t xml:space="preserve">Payments may be returned unclaimed. For example, a cheque for services provided is returned unclaimed or is returned as unpresented by the Territory’s banking provider. In situations where a payment is unclaimed and a valid payee cannot be located, monies are to be recognised and recorded in an </w:t>
      </w:r>
      <w:r w:rsidR="00310C59">
        <w:t>AOTA</w:t>
      </w:r>
      <w:r w:rsidR="00E72286">
        <w:t xml:space="preserve"> within six</w:t>
      </w:r>
      <w:r>
        <w:t xml:space="preserve"> months rather than as credits to expenditure.</w:t>
      </w:r>
    </w:p>
    <w:p w14:paraId="6E541C88" w14:textId="77777777" w:rsidR="00674891" w:rsidRDefault="00674891" w:rsidP="00885FF1">
      <w:pPr>
        <w:pStyle w:val="DTFListNumber1-Roman"/>
        <w:numPr>
          <w:ilvl w:val="0"/>
          <w:numId w:val="31"/>
        </w:numPr>
      </w:pPr>
      <w:r>
        <w:t xml:space="preserve">Unclaimed payments will be held in an AOTA for a period of 24 months before being paid to the </w:t>
      </w:r>
      <w:r w:rsidR="007D417C" w:rsidRPr="00632008">
        <w:t>CHA</w:t>
      </w:r>
      <w:r w:rsidRPr="00632008">
        <w:t>.</w:t>
      </w:r>
      <w:r>
        <w:t xml:space="preserve"> </w:t>
      </w:r>
    </w:p>
    <w:p w14:paraId="6E541C89" w14:textId="77777777" w:rsidR="00A54D83" w:rsidRDefault="00A54D83" w:rsidP="008B7F52">
      <w:pPr>
        <w:pStyle w:val="DTFHeading2"/>
      </w:pPr>
      <w:r>
        <w:lastRenderedPageBreak/>
        <w:t>Appendix A</w:t>
      </w:r>
      <w:r w:rsidR="00433498">
        <w:t xml:space="preserve">: </w:t>
      </w:r>
      <w:r w:rsidR="00674891" w:rsidRPr="00674891">
        <w:t>Payment Controls – Examples</w:t>
      </w:r>
    </w:p>
    <w:p w14:paraId="6E541C8A" w14:textId="77777777" w:rsidR="00674891" w:rsidRDefault="00674891" w:rsidP="00ED656A">
      <w:pPr>
        <w:pStyle w:val="DTFHeading3"/>
      </w:pPr>
      <w:r>
        <w:t xml:space="preserve">General Payment Controls </w:t>
      </w:r>
    </w:p>
    <w:p w14:paraId="6E541C8B" w14:textId="77777777" w:rsidR="00807B8C" w:rsidRPr="00F72052" w:rsidRDefault="00807B8C" w:rsidP="005F62AA">
      <w:pPr>
        <w:pStyle w:val="DTFListBullet1-Black"/>
      </w:pPr>
      <w:r w:rsidRPr="00F72052">
        <w:t>Clear procedures and processes have been established over payments processing, including those processes and procedures necessary to allow undisputed invoices to be promptly paid.</w:t>
      </w:r>
    </w:p>
    <w:p w14:paraId="6E541C8C" w14:textId="77777777" w:rsidR="00807B8C" w:rsidRPr="00F72052" w:rsidRDefault="00807B8C" w:rsidP="005F62AA">
      <w:pPr>
        <w:pStyle w:val="DTFListBullet1-Black"/>
      </w:pPr>
      <w:r w:rsidRPr="00F72052">
        <w:t>Adequate segregation of functions exists, including separation of accounts payable and purchasing staff.</w:t>
      </w:r>
    </w:p>
    <w:p w14:paraId="6E541C8D" w14:textId="77777777" w:rsidR="00807B8C" w:rsidRPr="00F72052" w:rsidRDefault="00807B8C" w:rsidP="005F62AA">
      <w:pPr>
        <w:pStyle w:val="DTFListBullet1-Black"/>
      </w:pPr>
      <w:r w:rsidRPr="00F72052">
        <w:t>Appropriate delegations have been established for purchasing and payments.</w:t>
      </w:r>
    </w:p>
    <w:p w14:paraId="6E541C8E" w14:textId="77777777" w:rsidR="00807B8C" w:rsidRPr="00F72052" w:rsidRDefault="00807B8C" w:rsidP="005F62AA">
      <w:pPr>
        <w:pStyle w:val="DTFListBullet1-Black"/>
      </w:pPr>
      <w:r w:rsidRPr="00F72052">
        <w:t>Invoice complies with GST requirements and is appropriately coded for GST purposes.</w:t>
      </w:r>
    </w:p>
    <w:p w14:paraId="6E541C8F" w14:textId="77777777" w:rsidR="00807B8C" w:rsidRPr="00F72052" w:rsidRDefault="00807B8C" w:rsidP="005F62AA">
      <w:pPr>
        <w:pStyle w:val="DTFListBullet1-Black"/>
      </w:pPr>
      <w:r w:rsidRPr="00F72052">
        <w:t>Matching of purchase order (if applicable), goods received and invoice details to ensure that payments made are only for goods or services received.</w:t>
      </w:r>
    </w:p>
    <w:p w14:paraId="6E541C90" w14:textId="77777777" w:rsidR="00807B8C" w:rsidRPr="00F72052" w:rsidRDefault="00807B8C" w:rsidP="005F62AA">
      <w:pPr>
        <w:pStyle w:val="DTFListBullet1-Black"/>
      </w:pPr>
      <w:r w:rsidRPr="00F72052">
        <w:t>Confirm that the account has not previously been paid and that the payment amount is accurate.</w:t>
      </w:r>
    </w:p>
    <w:p w14:paraId="6E541C91" w14:textId="77777777" w:rsidR="00807B8C" w:rsidRPr="00F72052" w:rsidRDefault="00807B8C" w:rsidP="005F62AA">
      <w:pPr>
        <w:pStyle w:val="DTFListBullet1-Black"/>
      </w:pPr>
      <w:r w:rsidRPr="00F72052">
        <w:t>Payment prior to the receipt of goods or services to occur in certain circumstances only, and be approved by persons holding properly delegated authority.</w:t>
      </w:r>
    </w:p>
    <w:p w14:paraId="6E541C92" w14:textId="77777777" w:rsidR="00807B8C" w:rsidRPr="00F72052" w:rsidRDefault="00807B8C" w:rsidP="005F62AA">
      <w:pPr>
        <w:pStyle w:val="DTFListBullet1-Black"/>
      </w:pPr>
      <w:r w:rsidRPr="00F72052">
        <w:t>Accurate coding of payments into the general ledger and subsidiary systems.</w:t>
      </w:r>
    </w:p>
    <w:p w14:paraId="6E541C93" w14:textId="77777777" w:rsidR="00807B8C" w:rsidRPr="00F72052" w:rsidRDefault="00807B8C" w:rsidP="005F62AA">
      <w:pPr>
        <w:pStyle w:val="DTFListBullet1-Black"/>
      </w:pPr>
      <w:r w:rsidRPr="00F72052">
        <w:t>Strict controls exist over access to supplier and vendor files, including controls over modifications to supplier/vendor files and the creation of new suppliers/vendors.</w:t>
      </w:r>
    </w:p>
    <w:p w14:paraId="6E541C94" w14:textId="77777777" w:rsidR="00807B8C" w:rsidRPr="00F72052" w:rsidRDefault="00807B8C" w:rsidP="005F62AA">
      <w:pPr>
        <w:pStyle w:val="DTFListBullet1-Black"/>
      </w:pPr>
      <w:r w:rsidRPr="00F72052">
        <w:t>Where theft or fraud is a factor in a dispute involving a payment, the Northern Territory Police are immediately advised.</w:t>
      </w:r>
    </w:p>
    <w:p w14:paraId="6E541C95" w14:textId="77777777" w:rsidR="00807B8C" w:rsidRPr="00F72052" w:rsidRDefault="00807B8C" w:rsidP="005F62AA">
      <w:pPr>
        <w:pStyle w:val="DTFListBullet1-Black"/>
      </w:pPr>
      <w:r w:rsidRPr="00F72052">
        <w:t>Provision of timely, releva</w:t>
      </w:r>
      <w:r w:rsidR="00E72286">
        <w:t>nt and reliable information on a</w:t>
      </w:r>
      <w:r w:rsidRPr="00F72052">
        <w:t>gency expenses for management review and for internal and external reporting.</w:t>
      </w:r>
    </w:p>
    <w:p w14:paraId="6E541C96" w14:textId="77777777" w:rsidR="00674891" w:rsidRPr="00310C59" w:rsidRDefault="00674891" w:rsidP="00310C59">
      <w:pPr>
        <w:pStyle w:val="DTFBodyText"/>
        <w:rPr>
          <w:rStyle w:val="DTFItalic"/>
          <w:i w:val="0"/>
        </w:rPr>
      </w:pPr>
      <w:r w:rsidRPr="00310C59">
        <w:rPr>
          <w:rStyle w:val="DTFItalic"/>
          <w:i w:val="0"/>
        </w:rPr>
        <w:t>In addition to the examples of general payment controls above, the following payment controls relate to specific payment methods.</w:t>
      </w:r>
    </w:p>
    <w:p w14:paraId="6E541C97" w14:textId="77777777" w:rsidR="00674891" w:rsidRDefault="00674891" w:rsidP="008B7F52">
      <w:pPr>
        <w:pStyle w:val="DTFHeading4"/>
      </w:pPr>
      <w:r>
        <w:t>Ledger Transfer Payment Controls</w:t>
      </w:r>
    </w:p>
    <w:p w14:paraId="6E541C98" w14:textId="77777777" w:rsidR="00674891" w:rsidRDefault="00674891" w:rsidP="005F62AA">
      <w:pPr>
        <w:pStyle w:val="DTFListBullet1-Black"/>
      </w:pPr>
      <w:r>
        <w:t>Confirmation of the use of approp</w:t>
      </w:r>
      <w:r w:rsidR="00E72286">
        <w:t>riate ledger codes by affected a</w:t>
      </w:r>
      <w:r>
        <w:t>gencies, with written authorisation.</w:t>
      </w:r>
    </w:p>
    <w:p w14:paraId="6E541C99" w14:textId="77777777" w:rsidR="00674891" w:rsidRPr="00807B8C" w:rsidRDefault="00674891" w:rsidP="005F62AA">
      <w:pPr>
        <w:pStyle w:val="DTFListBullet1-Black"/>
      </w:pPr>
      <w:r>
        <w:t>Timely follow-up and resolution of ledger coding discrepancies.</w:t>
      </w:r>
    </w:p>
    <w:p w14:paraId="79F09BCA" w14:textId="5893E3D0" w:rsidR="00674891" w:rsidRPr="00885FF1" w:rsidRDefault="00674891" w:rsidP="00885FF1">
      <w:pPr>
        <w:pStyle w:val="DTFHeading4"/>
      </w:pPr>
      <w:r>
        <w:t xml:space="preserve">Electronic Funds Transfer (EFT) Payment Controls </w:t>
      </w:r>
    </w:p>
    <w:p w14:paraId="6E541C9B" w14:textId="77777777" w:rsidR="00674891" w:rsidRDefault="00674891" w:rsidP="005F62AA">
      <w:pPr>
        <w:pStyle w:val="DTFListBullet1-Black"/>
      </w:pPr>
      <w:r>
        <w:t>Authorisation of EFT payments by a properly delegated person.</w:t>
      </w:r>
    </w:p>
    <w:p w14:paraId="6E541C9C" w14:textId="77777777" w:rsidR="00674891" w:rsidRDefault="00674891" w:rsidP="005F62AA">
      <w:pPr>
        <w:pStyle w:val="DTFListBullet1-Black"/>
      </w:pPr>
      <w:r>
        <w:t>Prompt follow-up and resolution of EFT discrepancies and unusual transactions.</w:t>
      </w:r>
    </w:p>
    <w:p w14:paraId="6E541C9D" w14:textId="77777777" w:rsidR="00516B12" w:rsidRDefault="00674891" w:rsidP="005F62AA">
      <w:pPr>
        <w:pStyle w:val="DTFListBullet1-Black"/>
      </w:pPr>
      <w:r>
        <w:t>Verification of bank statement debits not represented by a corresponding EFT approval and supporting invoice or other documentation.</w:t>
      </w:r>
    </w:p>
    <w:p w14:paraId="6E541C9E" w14:textId="77777777" w:rsidR="00674891" w:rsidRPr="005B072F" w:rsidRDefault="00674891" w:rsidP="005F62AA">
      <w:pPr>
        <w:pStyle w:val="DTFListBullet1-Black"/>
      </w:pPr>
      <w:r>
        <w:t>Controls over transfer of payment information to the banking provider or approved deposit-taking institution (ADI).</w:t>
      </w:r>
    </w:p>
    <w:p w14:paraId="6E541C9F" w14:textId="77777777" w:rsidR="00674891" w:rsidRPr="005B072F" w:rsidRDefault="00674891" w:rsidP="005F62AA">
      <w:pPr>
        <w:pStyle w:val="DTFListBullet1-Black"/>
      </w:pPr>
      <w:r>
        <w:lastRenderedPageBreak/>
        <w:t>Restricted access to prevent changes to data on EFT payment files.</w:t>
      </w:r>
    </w:p>
    <w:p w14:paraId="6E541CA0" w14:textId="77777777" w:rsidR="008B7F52" w:rsidRDefault="00674891" w:rsidP="008B7F52">
      <w:pPr>
        <w:pStyle w:val="DTFHeading4"/>
      </w:pPr>
      <w:r>
        <w:t xml:space="preserve">Corporate Credit Card Payment Controls </w:t>
      </w:r>
    </w:p>
    <w:p w14:paraId="6E541CA1" w14:textId="77777777" w:rsidR="00674891" w:rsidRPr="00310C59" w:rsidRDefault="00674891" w:rsidP="008B7F52">
      <w:pPr>
        <w:pStyle w:val="DTFBodyText"/>
      </w:pPr>
      <w:r w:rsidRPr="005B072F">
        <w:t>(</w:t>
      </w:r>
      <w:r w:rsidR="008B7F52">
        <w:t>R</w:t>
      </w:r>
      <w:r w:rsidRPr="005B072F">
        <w:t xml:space="preserve">efer </w:t>
      </w:r>
      <w:r w:rsidR="002131DF">
        <w:t>also to Treasurer’s Direction</w:t>
      </w:r>
      <w:r w:rsidRPr="005B072F">
        <w:t xml:space="preserve"> C3.3)</w:t>
      </w:r>
    </w:p>
    <w:p w14:paraId="6E541CA2" w14:textId="77777777" w:rsidR="00674891" w:rsidRDefault="00674891" w:rsidP="005F62AA">
      <w:pPr>
        <w:pStyle w:val="DTFListBullet1-Black"/>
      </w:pPr>
      <w:r>
        <w:t>Maintenance of a record of cardholders and periodic review as to each cardholder’s need for</w:t>
      </w:r>
      <w:r w:rsidR="002131DF">
        <w:t xml:space="preserve"> a corporate credit card.</w:t>
      </w:r>
    </w:p>
    <w:p w14:paraId="6E541CA3" w14:textId="77777777" w:rsidR="00674891" w:rsidRDefault="00674891" w:rsidP="005F62AA">
      <w:pPr>
        <w:pStyle w:val="DTFListBullet1-Black"/>
      </w:pPr>
      <w:r>
        <w:t>Credit limits exist for individual cardholders and in certain cases, individual transactions.</w:t>
      </w:r>
    </w:p>
    <w:p w14:paraId="6E541CA4" w14:textId="77777777" w:rsidR="00674891" w:rsidRDefault="00674891" w:rsidP="005F62AA">
      <w:pPr>
        <w:pStyle w:val="DTFListBullet1-Black"/>
      </w:pPr>
      <w:r>
        <w:t>Use o</w:t>
      </w:r>
      <w:r w:rsidR="002131DF">
        <w:t>f corporate credit cards by authorised agency person</w:t>
      </w:r>
      <w:r>
        <w:t>nel only.</w:t>
      </w:r>
    </w:p>
    <w:p w14:paraId="6E541CA5" w14:textId="77777777" w:rsidR="00674891" w:rsidRDefault="00674891" w:rsidP="005F62AA">
      <w:pPr>
        <w:pStyle w:val="DTFListBullet1-Black"/>
      </w:pPr>
      <w:r>
        <w:t>Agency procedures are in place to e</w:t>
      </w:r>
      <w:r w:rsidR="002131DF">
        <w:t>nsure corporate credit cards are u</w:t>
      </w:r>
      <w:r>
        <w:t xml:space="preserve">sed for specified purchases and payments (refer </w:t>
      </w:r>
      <w:r w:rsidR="002131DF">
        <w:t xml:space="preserve">Treasurer’s </w:t>
      </w:r>
      <w:r w:rsidR="007D417C">
        <w:t>Direction</w:t>
      </w:r>
      <w:r>
        <w:t>s C3.2.2</w:t>
      </w:r>
      <w:r w:rsidR="001C7587">
        <w:t xml:space="preserve"> and C3.2.3</w:t>
      </w:r>
      <w:r>
        <w:t xml:space="preserve"> and Treasurer’s Direction </w:t>
      </w:r>
      <w:r w:rsidR="002E219B">
        <w:t>s</w:t>
      </w:r>
      <w:r>
        <w:t>ection C3.3).</w:t>
      </w:r>
    </w:p>
    <w:p w14:paraId="6E541CA6" w14:textId="77777777" w:rsidR="00674891" w:rsidRDefault="00674891" w:rsidP="005F62AA">
      <w:pPr>
        <w:pStyle w:val="DTFListBullet1-Black"/>
      </w:pPr>
      <w:r>
        <w:t>Prohibiti</w:t>
      </w:r>
      <w:r w:rsidR="002E219B">
        <w:t xml:space="preserve">on on corporate credit card cash </w:t>
      </w:r>
      <w:r w:rsidR="00325DF5">
        <w:t>withdrawals and non-work-</w:t>
      </w:r>
      <w:r>
        <w:t>related purchases.</w:t>
      </w:r>
    </w:p>
    <w:p w14:paraId="6E541CA7" w14:textId="77777777" w:rsidR="00674891" w:rsidRDefault="00674891" w:rsidP="005F62AA">
      <w:pPr>
        <w:pStyle w:val="DTFListBullet1-Black"/>
      </w:pPr>
      <w:r>
        <w:t>Periodic review for evidence of</w:t>
      </w:r>
      <w:r w:rsidR="00325DF5">
        <w:t xml:space="preserve"> responsible use of and accountability for corporate credit card transactions, inc</w:t>
      </w:r>
      <w:r>
        <w:t>luding adequate description of purchases made.</w:t>
      </w:r>
    </w:p>
    <w:p w14:paraId="6E541CA8" w14:textId="77777777" w:rsidR="00674891" w:rsidRDefault="00674891" w:rsidP="005F62AA">
      <w:pPr>
        <w:pStyle w:val="DTFListBullet1-Black"/>
      </w:pPr>
      <w:r>
        <w:t>Prompt follow-up of discrepancies an</w:t>
      </w:r>
      <w:r w:rsidR="00325DF5">
        <w:t>d irregularities, including excessive use of a corporate credit card and unsupported charges.</w:t>
      </w:r>
    </w:p>
    <w:p w14:paraId="6E541CA9" w14:textId="77777777" w:rsidR="00674891" w:rsidRDefault="00674891" w:rsidP="005F62AA">
      <w:pPr>
        <w:pStyle w:val="DTFListBullet1-Black"/>
      </w:pPr>
      <w:r>
        <w:t>Adequate cardholder training in relation to the use of an</w:t>
      </w:r>
      <w:r w:rsidR="00325DF5">
        <w:t>d risks associated with corporate credit cards.</w:t>
      </w:r>
    </w:p>
    <w:p w14:paraId="6E541CAA" w14:textId="77777777" w:rsidR="00674891" w:rsidRDefault="00674891" w:rsidP="005F62AA">
      <w:pPr>
        <w:pStyle w:val="DTFListBullet1-Black"/>
      </w:pPr>
      <w:r>
        <w:t>Procedures</w:t>
      </w:r>
      <w:r w:rsidR="00325DF5">
        <w:t xml:space="preserve"> established to deal with lost, stolen and fraudulent use of corporate credit cards.</w:t>
      </w:r>
    </w:p>
    <w:p w14:paraId="6E541CAB" w14:textId="77777777" w:rsidR="00674891" w:rsidRDefault="00674891" w:rsidP="008B7F52">
      <w:pPr>
        <w:pStyle w:val="DTFHeading4"/>
      </w:pPr>
      <w:r>
        <w:t xml:space="preserve">Cheque Payment Controls </w:t>
      </w:r>
    </w:p>
    <w:p w14:paraId="6E541CAC" w14:textId="77777777" w:rsidR="00674891" w:rsidRDefault="00674891" w:rsidP="005F62AA">
      <w:pPr>
        <w:pStyle w:val="DTFListBullet1-Black"/>
      </w:pPr>
      <w:r>
        <w:t>All cheques drawn on an off</w:t>
      </w:r>
      <w:r w:rsidR="00325DF5">
        <w:t>icial bank account are crossed ‘</w:t>
      </w:r>
      <w:r>
        <w:t xml:space="preserve">Not </w:t>
      </w:r>
      <w:r w:rsidR="00325DF5">
        <w:t>Negotiable’</w:t>
      </w:r>
      <w:r>
        <w:t xml:space="preserve"> unless otherwise approved by</w:t>
      </w:r>
      <w:r w:rsidR="00325DF5">
        <w:t xml:space="preserve"> the </w:t>
      </w:r>
      <w:r w:rsidR="00516B12">
        <w:t>A</w:t>
      </w:r>
      <w:r w:rsidR="00325DF5">
        <w:t xml:space="preserve">ccountable </w:t>
      </w:r>
      <w:r w:rsidR="00516B12">
        <w:t>O</w:t>
      </w:r>
      <w:r w:rsidR="00325DF5">
        <w:t>fficer.</w:t>
      </w:r>
    </w:p>
    <w:p w14:paraId="6E541CAD" w14:textId="77777777" w:rsidR="00674891" w:rsidRDefault="00674891" w:rsidP="005F62AA">
      <w:pPr>
        <w:pStyle w:val="DTFListBullet1-Black"/>
      </w:pPr>
      <w:r>
        <w:t>Reconciliation of cheque runs with system reports occurs in a timely manner and any discrepancies are investigated and resolved.</w:t>
      </w:r>
    </w:p>
    <w:p w14:paraId="6E541CAE" w14:textId="77777777" w:rsidR="00674891" w:rsidRDefault="00674891" w:rsidP="005F62AA">
      <w:pPr>
        <w:pStyle w:val="DTFListBullet1-Black"/>
      </w:pPr>
      <w:r>
        <w:t>Where there is a require</w:t>
      </w:r>
      <w:r w:rsidR="00325DF5">
        <w:t>ment for cheques to be open to ‘</w:t>
      </w:r>
      <w:r>
        <w:t>pay cash</w:t>
      </w:r>
      <w:r w:rsidR="00325DF5">
        <w:t>’</w:t>
      </w:r>
      <w:r>
        <w:t xml:space="preserve"> the payee is required to provide suitable identification and acknowledgment of receipt.</w:t>
      </w:r>
    </w:p>
    <w:p w14:paraId="6E541CAF" w14:textId="77777777" w:rsidR="00674891" w:rsidRDefault="00674891" w:rsidP="005F62AA">
      <w:pPr>
        <w:pStyle w:val="DTFListBullet1-Black"/>
      </w:pPr>
      <w:r>
        <w:t>The name of the payee and the amount of a cheque are not altered and any other changes are initialled by the cheque signatories to the account.</w:t>
      </w:r>
    </w:p>
    <w:p w14:paraId="6E541CB0" w14:textId="77777777" w:rsidR="00674891" w:rsidRDefault="00674891" w:rsidP="005F62AA">
      <w:pPr>
        <w:pStyle w:val="DTFListBullet1-Black"/>
      </w:pPr>
      <w:r>
        <w:t xml:space="preserve">Requests to pay or </w:t>
      </w:r>
      <w:r w:rsidR="00325DF5">
        <w:t>lift a ‘stop payment’</w:t>
      </w:r>
      <w:r>
        <w:t xml:space="preserve"> on a cheque are confirmed in writing.</w:t>
      </w:r>
    </w:p>
    <w:p w14:paraId="6E541CB1" w14:textId="77777777" w:rsidR="00674891" w:rsidRDefault="00674891" w:rsidP="005F62AA">
      <w:pPr>
        <w:pStyle w:val="DTFListBullet1-Black"/>
      </w:pPr>
      <w:r>
        <w:t xml:space="preserve">Unclaimed cheques are recognised and recorded in an AOTA and are subsequently paid to the </w:t>
      </w:r>
      <w:r w:rsidR="00632008">
        <w:t>CHA</w:t>
      </w:r>
      <w:r w:rsidR="00325DF5">
        <w:t xml:space="preserve"> </w:t>
      </w:r>
      <w:r>
        <w:t>after 24 months.</w:t>
      </w:r>
    </w:p>
    <w:p w14:paraId="6E541CB2" w14:textId="77777777" w:rsidR="00674891" w:rsidRDefault="00674891" w:rsidP="008B7F52">
      <w:pPr>
        <w:pStyle w:val="DTFHeading4"/>
      </w:pPr>
      <w:r>
        <w:t>Cash Payment Controls</w:t>
      </w:r>
    </w:p>
    <w:p w14:paraId="6E541CB3" w14:textId="77777777" w:rsidR="00674891" w:rsidRDefault="00674891" w:rsidP="005F62AA">
      <w:pPr>
        <w:pStyle w:val="DTFListBullet1-Black"/>
      </w:pPr>
      <w:r>
        <w:t xml:space="preserve">Only use cash as a means of payment if the purchase of goods or services is of a small value and other payment options (for example, </w:t>
      </w:r>
      <w:r w:rsidR="00325DF5">
        <w:t>corporate credit cards</w:t>
      </w:r>
      <w:r>
        <w:t>) are not possible.</w:t>
      </w:r>
    </w:p>
    <w:p w14:paraId="6E541CB4" w14:textId="77777777" w:rsidR="00557204" w:rsidRPr="00557204" w:rsidRDefault="00674891" w:rsidP="005F62AA">
      <w:pPr>
        <w:pStyle w:val="DTFListBullet1-Black"/>
      </w:pPr>
      <w:r>
        <w:t>Maint</w:t>
      </w:r>
      <w:r w:rsidR="00325DF5">
        <w:t>ain</w:t>
      </w:r>
      <w:r>
        <w:t xml:space="preserve"> adequate petty cash records for small value purchases and periodic</w:t>
      </w:r>
      <w:r w:rsidR="00325DF5">
        <w:t>ally conduct</w:t>
      </w:r>
      <w:r>
        <w:t xml:space="preserve"> independent review</w:t>
      </w:r>
      <w:r w:rsidR="00325DF5">
        <w:t>s</w:t>
      </w:r>
      <w:r>
        <w:t>.</w:t>
      </w:r>
    </w:p>
    <w:sectPr w:rsidR="00557204" w:rsidRPr="00557204" w:rsidSect="004F2747">
      <w:headerReference w:type="default" r:id="rId11"/>
      <w:footerReference w:type="default" r:id="rId12"/>
      <w:headerReference w:type="first" r:id="rId13"/>
      <w:footerReference w:type="first" r:id="rId14"/>
      <w:pgSz w:w="11906" w:h="16838" w:code="9"/>
      <w:pgMar w:top="1106" w:right="1134" w:bottom="96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AD17C" w14:textId="77777777" w:rsidR="001A431F" w:rsidRDefault="001A431F" w:rsidP="00557204">
      <w:r>
        <w:separator/>
      </w:r>
    </w:p>
    <w:p w14:paraId="5F53603B" w14:textId="77777777" w:rsidR="001A431F" w:rsidRDefault="001A431F" w:rsidP="00557204"/>
    <w:p w14:paraId="1C9F9DA3" w14:textId="77777777" w:rsidR="001A431F" w:rsidRDefault="001A431F" w:rsidP="00557204"/>
  </w:endnote>
  <w:endnote w:type="continuationSeparator" w:id="0">
    <w:p w14:paraId="71FA8ACB" w14:textId="77777777" w:rsidR="001A431F" w:rsidRDefault="001A431F" w:rsidP="00557204">
      <w:r>
        <w:continuationSeparator/>
      </w:r>
    </w:p>
    <w:p w14:paraId="33AB736D" w14:textId="77777777" w:rsidR="001A431F" w:rsidRDefault="001A431F" w:rsidP="00557204"/>
    <w:p w14:paraId="5377E2CE" w14:textId="77777777" w:rsidR="001A431F" w:rsidRDefault="001A431F" w:rsidP="0055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Std Light">
    <w:panose1 w:val="020B03020304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bottomFromText="62" w:vertAnchor="text" w:tblpY="1"/>
      <w:tblOverlap w:val="never"/>
      <w:tblW w:w="9639" w:type="dxa"/>
      <w:tblBorders>
        <w:bottom w:val="none" w:sz="0" w:space="0" w:color="auto"/>
      </w:tblBorders>
      <w:tblCellMar>
        <w:left w:w="0" w:type="dxa"/>
        <w:right w:w="0" w:type="dxa"/>
      </w:tblCellMar>
      <w:tblLook w:val="04A0" w:firstRow="1" w:lastRow="0" w:firstColumn="1" w:lastColumn="0" w:noHBand="0" w:noVBand="1"/>
      <w:tblDescription w:val="Footer area"/>
    </w:tblPr>
    <w:tblGrid>
      <w:gridCol w:w="6153"/>
      <w:gridCol w:w="3486"/>
    </w:tblGrid>
    <w:tr w:rsidR="007B4213" w:rsidRPr="00132658" w14:paraId="6E541CC4" w14:textId="77777777" w:rsidTr="004E00F8">
      <w:trPr>
        <w:cantSplit/>
        <w:trHeight w:hRule="exact" w:val="964"/>
        <w:tblHeader/>
      </w:trPr>
      <w:tc>
        <w:tcPr>
          <w:tcW w:w="6824" w:type="dxa"/>
          <w:vAlign w:val="center"/>
        </w:tcPr>
        <w:p w14:paraId="6E541CC2" w14:textId="0F564F9D" w:rsidR="007B4213" w:rsidRPr="001E7D4E" w:rsidRDefault="007C1AB3" w:rsidP="004F687B">
          <w:pPr>
            <w:pStyle w:val="DTFFooter"/>
          </w:pPr>
          <w:r w:rsidRPr="00D74C2A">
            <w:t>DEPARTMENT O</w:t>
          </w:r>
          <w:r w:rsidRPr="007E7B5B">
            <w:t>F</w:t>
          </w:r>
          <w:r w:rsidRPr="007E7B5B">
            <w:rPr>
              <w:rStyle w:val="DTFArialBlack"/>
            </w:rPr>
            <w:t xml:space="preserve"> TREASURY AND FINANCE</w:t>
          </w:r>
          <w:r w:rsidRPr="007E7B5B">
            <w:br/>
            <w:t xml:space="preserve">Page </w:t>
          </w:r>
          <w:r w:rsidRPr="007E7B5B">
            <w:fldChar w:fldCharType="begin"/>
          </w:r>
          <w:r w:rsidRPr="007E7B5B">
            <w:instrText xml:space="preserve"> PAGE  \* Arabic  \* MERGEFORMAT </w:instrText>
          </w:r>
          <w:r w:rsidRPr="007E7B5B">
            <w:fldChar w:fldCharType="separate"/>
          </w:r>
          <w:r w:rsidR="00723D9B">
            <w:rPr>
              <w:noProof/>
            </w:rPr>
            <w:t>4</w:t>
          </w:r>
          <w:r w:rsidRPr="007E7B5B">
            <w:fldChar w:fldCharType="end"/>
          </w:r>
          <w:r w:rsidRPr="007E7B5B">
            <w:t xml:space="preserve"> of </w:t>
          </w:r>
          <w:r w:rsidR="0064241A">
            <w:rPr>
              <w:noProof/>
            </w:rPr>
            <w:fldChar w:fldCharType="begin"/>
          </w:r>
          <w:r w:rsidR="0064241A">
            <w:rPr>
              <w:noProof/>
            </w:rPr>
            <w:instrText xml:space="preserve"> NUMPAGES  \* Arabic  \* MERGEFORMAT </w:instrText>
          </w:r>
          <w:r w:rsidR="0064241A">
            <w:rPr>
              <w:noProof/>
            </w:rPr>
            <w:fldChar w:fldCharType="separate"/>
          </w:r>
          <w:r w:rsidR="00723D9B">
            <w:rPr>
              <w:noProof/>
            </w:rPr>
            <w:t>10</w:t>
          </w:r>
          <w:r w:rsidR="0064241A">
            <w:rPr>
              <w:noProof/>
            </w:rPr>
            <w:fldChar w:fldCharType="end"/>
          </w:r>
          <w:r w:rsidRPr="007E7B5B">
            <w:tab/>
          </w:r>
          <w:r w:rsidR="00723D9B" w:rsidRPr="007E7B5B">
            <w:t xml:space="preserve"> </w:t>
          </w:r>
          <w:r w:rsidR="00723D9B" w:rsidRPr="007E7B5B">
            <w:t xml:space="preserve">Updated </w:t>
          </w:r>
          <w:r w:rsidR="00723D9B">
            <w:t>17 August 2023</w:t>
          </w:r>
        </w:p>
      </w:tc>
      <w:tc>
        <w:tcPr>
          <w:tcW w:w="3949" w:type="dxa"/>
          <w:vAlign w:val="center"/>
        </w:tcPr>
        <w:p w14:paraId="6E541CC3" w14:textId="77777777" w:rsidR="007B4213" w:rsidRPr="001E14EB" w:rsidRDefault="007B4213" w:rsidP="004E00F8">
          <w:pPr>
            <w:pStyle w:val="DTFFooter"/>
          </w:pPr>
        </w:p>
      </w:tc>
    </w:tr>
  </w:tbl>
  <w:p w14:paraId="6E541CC5" w14:textId="77777777" w:rsidR="00550A5F" w:rsidRPr="00B76943" w:rsidRDefault="00550A5F" w:rsidP="0055720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tblpY="1"/>
      <w:tblOverlap w:val="never"/>
      <w:tblW w:w="9639" w:type="dxa"/>
      <w:tblBorders>
        <w:bottom w:val="none" w:sz="0" w:space="0" w:color="auto"/>
      </w:tblBorders>
      <w:tblCellMar>
        <w:left w:w="0" w:type="dxa"/>
        <w:right w:w="0" w:type="dxa"/>
      </w:tblCellMar>
      <w:tblLook w:val="04A0" w:firstRow="1" w:lastRow="0" w:firstColumn="1" w:lastColumn="0" w:noHBand="0" w:noVBand="1"/>
      <w:tblDescription w:val="Footer area"/>
    </w:tblPr>
    <w:tblGrid>
      <w:gridCol w:w="5929"/>
      <w:gridCol w:w="3710"/>
    </w:tblGrid>
    <w:tr w:rsidR="007B4213" w:rsidRPr="00132658" w14:paraId="6E541CC9" w14:textId="77777777" w:rsidTr="004E00F8">
      <w:trPr>
        <w:cantSplit/>
        <w:trHeight w:hRule="exact" w:val="1134"/>
        <w:tblHeader/>
      </w:trPr>
      <w:tc>
        <w:tcPr>
          <w:tcW w:w="6782" w:type="dxa"/>
          <w:vAlign w:val="center"/>
        </w:tcPr>
        <w:p w14:paraId="6E541CC7" w14:textId="624123B3" w:rsidR="007B4213" w:rsidRPr="007E7B5B" w:rsidRDefault="007C1AB3" w:rsidP="00723D9B">
          <w:pPr>
            <w:pStyle w:val="DTFFooter"/>
          </w:pPr>
          <w:r w:rsidRPr="00D74C2A">
            <w:t>DEPARTMENT O</w:t>
          </w:r>
          <w:r w:rsidRPr="007E7B5B">
            <w:t>F</w:t>
          </w:r>
          <w:r w:rsidRPr="007E7B5B">
            <w:rPr>
              <w:rStyle w:val="DTFArialBlack"/>
            </w:rPr>
            <w:t xml:space="preserve"> TREASURY AND FINANCE</w:t>
          </w:r>
          <w:r w:rsidRPr="007E7B5B">
            <w:br/>
            <w:t xml:space="preserve">Page </w:t>
          </w:r>
          <w:r w:rsidRPr="007E7B5B">
            <w:fldChar w:fldCharType="begin"/>
          </w:r>
          <w:r w:rsidRPr="007E7B5B">
            <w:instrText xml:space="preserve"> PAGE  \* Arabic  \* MERGEFORMAT </w:instrText>
          </w:r>
          <w:r w:rsidRPr="007E7B5B">
            <w:fldChar w:fldCharType="separate"/>
          </w:r>
          <w:r w:rsidR="00723D9B">
            <w:rPr>
              <w:noProof/>
            </w:rPr>
            <w:t>1</w:t>
          </w:r>
          <w:r w:rsidRPr="007E7B5B">
            <w:fldChar w:fldCharType="end"/>
          </w:r>
          <w:r w:rsidRPr="007E7B5B">
            <w:t xml:space="preserve"> of </w:t>
          </w:r>
          <w:r w:rsidR="0064241A">
            <w:rPr>
              <w:noProof/>
            </w:rPr>
            <w:fldChar w:fldCharType="begin"/>
          </w:r>
          <w:r w:rsidR="0064241A">
            <w:rPr>
              <w:noProof/>
            </w:rPr>
            <w:instrText xml:space="preserve"> NUMPAGES  \* Arabic  \* MERGEFORMAT </w:instrText>
          </w:r>
          <w:r w:rsidR="0064241A">
            <w:rPr>
              <w:noProof/>
            </w:rPr>
            <w:fldChar w:fldCharType="separate"/>
          </w:r>
          <w:r w:rsidR="00723D9B">
            <w:rPr>
              <w:noProof/>
            </w:rPr>
            <w:t>10</w:t>
          </w:r>
          <w:r w:rsidR="0064241A">
            <w:rPr>
              <w:noProof/>
            </w:rPr>
            <w:fldChar w:fldCharType="end"/>
          </w:r>
          <w:r w:rsidRPr="007E7B5B">
            <w:tab/>
            <w:t xml:space="preserve">Updated </w:t>
          </w:r>
          <w:r w:rsidR="00516B12">
            <w:t>1</w:t>
          </w:r>
          <w:r w:rsidR="00723D9B">
            <w:t>7 August 2023</w:t>
          </w:r>
        </w:p>
      </w:tc>
      <w:tc>
        <w:tcPr>
          <w:tcW w:w="3991" w:type="dxa"/>
          <w:vAlign w:val="center"/>
        </w:tcPr>
        <w:p w14:paraId="6E541CC8" w14:textId="77777777" w:rsidR="007B4213" w:rsidRPr="001E14EB" w:rsidRDefault="007B4213" w:rsidP="004E00F8">
          <w:pPr>
            <w:jc w:val="right"/>
          </w:pPr>
          <w:r w:rsidRPr="00132658">
            <w:rPr>
              <w:noProof/>
            </w:rPr>
            <w:drawing>
              <wp:inline distT="0" distB="0" distL="0" distR="0" wp14:anchorId="6E541CCB" wp14:editId="6E541CCC">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6E541CCA" w14:textId="77777777" w:rsidR="00550A5F" w:rsidRPr="00B76943" w:rsidRDefault="00550A5F" w:rsidP="0055720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DBF4A" w14:textId="77777777" w:rsidR="001A431F" w:rsidRDefault="001A431F" w:rsidP="00557204">
      <w:r>
        <w:separator/>
      </w:r>
    </w:p>
    <w:p w14:paraId="7A906AA6" w14:textId="77777777" w:rsidR="001A431F" w:rsidRDefault="001A431F" w:rsidP="00557204"/>
    <w:p w14:paraId="11584A4F" w14:textId="77777777" w:rsidR="001A431F" w:rsidRDefault="001A431F" w:rsidP="00557204"/>
  </w:footnote>
  <w:footnote w:type="continuationSeparator" w:id="0">
    <w:p w14:paraId="1B1A4443" w14:textId="77777777" w:rsidR="001A431F" w:rsidRDefault="001A431F" w:rsidP="00557204">
      <w:r>
        <w:continuationSeparator/>
      </w:r>
    </w:p>
    <w:p w14:paraId="59B986A6" w14:textId="77777777" w:rsidR="001A431F" w:rsidRDefault="001A431F" w:rsidP="00557204"/>
    <w:p w14:paraId="3D6F63A6" w14:textId="77777777" w:rsidR="001A431F" w:rsidRDefault="001A431F" w:rsidP="005572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41CC1" w14:textId="77777777" w:rsidR="00550A5F" w:rsidRPr="007B4213" w:rsidRDefault="00541628" w:rsidP="008B7F52">
    <w:pPr>
      <w:pStyle w:val="DTFBodyText"/>
      <w:rPr>
        <w:rStyle w:val="DTFGreyText"/>
      </w:rPr>
    </w:pPr>
    <w:r w:rsidRPr="007B4213">
      <w:rPr>
        <w:rStyle w:val="DTFGreyText"/>
      </w:rPr>
      <w:t>C3.2: Transaction Management –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41CC6" w14:textId="77777777" w:rsidR="00550A5F" w:rsidRDefault="00AA44F5" w:rsidP="008C38DA">
    <w:pPr>
      <w:pStyle w:val="DTFTitle"/>
    </w:pPr>
    <w:r w:rsidRPr="002E3A4D">
      <w:t>Treasurer’s Directions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C07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B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161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B87780"/>
    <w:lvl w:ilvl="0">
      <w:start w:val="1"/>
      <w:numFmt w:val="lowerRoman"/>
      <w:pStyle w:val="ListNumber2"/>
      <w:lvlText w:val="(%1)"/>
      <w:lvlJc w:val="left"/>
      <w:pPr>
        <w:ind w:left="64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FFFFFF80"/>
    <w:multiLevelType w:val="singleLevel"/>
    <w:tmpl w:val="865E61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2A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C3D8A"/>
    <w:multiLevelType w:val="multilevel"/>
    <w:tmpl w:val="FD484DA6"/>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A073069"/>
    <w:multiLevelType w:val="hybridMultilevel"/>
    <w:tmpl w:val="72E8C2B0"/>
    <w:lvl w:ilvl="0" w:tplc="8E6A10D8">
      <w:start w:val="1"/>
      <w:numFmt w:val="bullet"/>
      <w:pStyle w:val="DTFTableDash"/>
      <w:lvlText w:val=""/>
      <w:lvlJc w:val="left"/>
      <w:pPr>
        <w:ind w:left="785" w:hanging="360"/>
      </w:pPr>
      <w:rPr>
        <w:rFonts w:ascii="Symbol" w:hAnsi="Symbol" w:hint="default"/>
        <w:color w:val="2F7D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C487F"/>
    <w:multiLevelType w:val="multilevel"/>
    <w:tmpl w:val="318AEE06"/>
    <w:lvl w:ilvl="0">
      <w:start w:val="1"/>
      <w:numFmt w:val="decimal"/>
      <w:pStyle w:val="MainFeature-Text"/>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15:restartNumberingAfterBreak="0">
    <w:nsid w:val="28EE5CC4"/>
    <w:multiLevelType w:val="hybridMultilevel"/>
    <w:tmpl w:val="3B50E062"/>
    <w:lvl w:ilvl="0" w:tplc="A206663A">
      <w:start w:val="1"/>
      <w:numFmt w:val="bullet"/>
      <w:pStyle w:val="ListBullet2"/>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11" w15:restartNumberingAfterBreak="0">
    <w:nsid w:val="311A6781"/>
    <w:multiLevelType w:val="multilevel"/>
    <w:tmpl w:val="A45AB330"/>
    <w:lvl w:ilvl="0">
      <w:start w:val="1"/>
      <w:numFmt w:val="decimal"/>
      <w:pStyle w:val="DTFListNumber1"/>
      <w:lvlText w:val="%1."/>
      <w:lvlJc w:val="left"/>
      <w:pPr>
        <w:ind w:left="680" w:hanging="39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6C0527"/>
    <w:multiLevelType w:val="hybridMultilevel"/>
    <w:tmpl w:val="DEA885C4"/>
    <w:lvl w:ilvl="0" w:tplc="33583142">
      <w:numFmt w:val="bullet"/>
      <w:pStyle w:val="ListParagraph"/>
      <w:lvlText w:val="●"/>
      <w:lvlJc w:val="left"/>
      <w:pPr>
        <w:ind w:left="644"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1E36164"/>
    <w:multiLevelType w:val="hybridMultilevel"/>
    <w:tmpl w:val="4028CC18"/>
    <w:lvl w:ilvl="0" w:tplc="28467BCE">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124C73"/>
    <w:multiLevelType w:val="hybridMultilevel"/>
    <w:tmpl w:val="2304A374"/>
    <w:lvl w:ilvl="0" w:tplc="34842568">
      <w:numFmt w:val="bullet"/>
      <w:pStyle w:val="ListBullet1"/>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A8A4FA9"/>
    <w:multiLevelType w:val="singleLevel"/>
    <w:tmpl w:val="4B30DFB0"/>
    <w:lvl w:ilvl="0">
      <w:start w:val="1"/>
      <w:numFmt w:val="bullet"/>
      <w:pStyle w:val="MainFeature-Heading"/>
      <w:lvlText w:val=""/>
      <w:lvlJc w:val="left"/>
      <w:pPr>
        <w:tabs>
          <w:tab w:val="num" w:pos="360"/>
        </w:tabs>
        <w:ind w:left="360" w:hanging="360"/>
      </w:pPr>
      <w:rPr>
        <w:rFonts w:ascii="Symbol" w:hAnsi="Symbol" w:hint="default"/>
      </w:rPr>
    </w:lvl>
  </w:abstractNum>
  <w:abstractNum w:abstractNumId="17" w15:restartNumberingAfterBreak="0">
    <w:nsid w:val="530D5528"/>
    <w:multiLevelType w:val="multilevel"/>
    <w:tmpl w:val="1FE4E8D0"/>
    <w:lvl w:ilvl="0">
      <w:start w:val="1"/>
      <w:numFmt w:val="lowerRoman"/>
      <w:pStyle w:val="DTFListNumber1-Roman"/>
      <w:lvlText w:val="(%1)"/>
      <w:lvlJc w:val="left"/>
      <w:pPr>
        <w:ind w:left="680" w:hanging="396"/>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18" w15:restartNumberingAfterBreak="0">
    <w:nsid w:val="55304DAD"/>
    <w:multiLevelType w:val="multilevel"/>
    <w:tmpl w:val="7AA8E2D0"/>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07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57BD2918"/>
    <w:multiLevelType w:val="hybridMultilevel"/>
    <w:tmpl w:val="F7923736"/>
    <w:lvl w:ilvl="0" w:tplc="2E5002B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BD5472"/>
    <w:multiLevelType w:val="hybridMultilevel"/>
    <w:tmpl w:val="7B4A501E"/>
    <w:lvl w:ilvl="0" w:tplc="FE3286DA">
      <w:start w:val="1"/>
      <w:numFmt w:val="bullet"/>
      <w:pStyle w:val="ListBullet3"/>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21" w15:restartNumberingAfterBreak="0">
    <w:nsid w:val="668F3B9B"/>
    <w:multiLevelType w:val="hybridMultilevel"/>
    <w:tmpl w:val="4C76A1DA"/>
    <w:lvl w:ilvl="0" w:tplc="BB4C001E">
      <w:numFmt w:val="bullet"/>
      <w:pStyle w:val="Listparagraph-black"/>
      <w:lvlText w:val="●"/>
      <w:lvlJc w:val="left"/>
      <w:pPr>
        <w:ind w:left="720" w:hanging="360"/>
      </w:pPr>
      <w:rPr>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3"/>
  </w:num>
  <w:num w:numId="4">
    <w:abstractNumId w:val="20"/>
  </w:num>
  <w:num w:numId="5">
    <w:abstractNumId w:val="10"/>
  </w:num>
  <w:num w:numId="6">
    <w:abstractNumId w:val="21"/>
  </w:num>
  <w:num w:numId="7">
    <w:abstractNumId w:val="13"/>
  </w:num>
  <w:num w:numId="8">
    <w:abstractNumId w:val="16"/>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18"/>
  </w:num>
  <w:num w:numId="23">
    <w:abstractNumId w:val="22"/>
  </w:num>
  <w:num w:numId="24">
    <w:abstractNumId w:val="12"/>
  </w:num>
  <w:num w:numId="25">
    <w:abstractNumId w:val="11"/>
  </w:num>
  <w:num w:numId="26">
    <w:abstractNumId w:val="17"/>
  </w:num>
  <w:num w:numId="27">
    <w:abstractNumId w:val="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5"/>
  </w:num>
  <w:num w:numId="41">
    <w:abstractNumId w:val="4"/>
  </w:num>
  <w:num w:numId="42">
    <w:abstractNumId w:val="2"/>
  </w:num>
  <w:num w:numId="43">
    <w:abstractNumId w:val="1"/>
  </w:num>
  <w:num w:numId="4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F5"/>
    <w:rsid w:val="00013F9B"/>
    <w:rsid w:val="00025791"/>
    <w:rsid w:val="00027DB8"/>
    <w:rsid w:val="00030B6D"/>
    <w:rsid w:val="00031A96"/>
    <w:rsid w:val="00051F45"/>
    <w:rsid w:val="0007259C"/>
    <w:rsid w:val="00086A5F"/>
    <w:rsid w:val="00096661"/>
    <w:rsid w:val="00096FEB"/>
    <w:rsid w:val="000D1EB2"/>
    <w:rsid w:val="00111B8B"/>
    <w:rsid w:val="001137EC"/>
    <w:rsid w:val="00117743"/>
    <w:rsid w:val="00117F5B"/>
    <w:rsid w:val="00132658"/>
    <w:rsid w:val="00164A3E"/>
    <w:rsid w:val="00173102"/>
    <w:rsid w:val="001803FB"/>
    <w:rsid w:val="00181620"/>
    <w:rsid w:val="00191A2B"/>
    <w:rsid w:val="001A0536"/>
    <w:rsid w:val="001A2B7F"/>
    <w:rsid w:val="001A431F"/>
    <w:rsid w:val="001B2B6C"/>
    <w:rsid w:val="001B6A8B"/>
    <w:rsid w:val="001C7587"/>
    <w:rsid w:val="001D59C7"/>
    <w:rsid w:val="001E14EB"/>
    <w:rsid w:val="001E7D4E"/>
    <w:rsid w:val="00206936"/>
    <w:rsid w:val="00206FBD"/>
    <w:rsid w:val="00207746"/>
    <w:rsid w:val="002131DF"/>
    <w:rsid w:val="002363D2"/>
    <w:rsid w:val="00246CEA"/>
    <w:rsid w:val="00247343"/>
    <w:rsid w:val="00247415"/>
    <w:rsid w:val="002574C6"/>
    <w:rsid w:val="00274D4B"/>
    <w:rsid w:val="002806F5"/>
    <w:rsid w:val="00281577"/>
    <w:rsid w:val="00293A72"/>
    <w:rsid w:val="002A30C3"/>
    <w:rsid w:val="002A318E"/>
    <w:rsid w:val="002B210C"/>
    <w:rsid w:val="002C1FE9"/>
    <w:rsid w:val="002D3A57"/>
    <w:rsid w:val="002E20C8"/>
    <w:rsid w:val="002E219B"/>
    <w:rsid w:val="002E3A4D"/>
    <w:rsid w:val="002E6CF0"/>
    <w:rsid w:val="002F1F24"/>
    <w:rsid w:val="002F2885"/>
    <w:rsid w:val="002F4486"/>
    <w:rsid w:val="00303D5F"/>
    <w:rsid w:val="00310C59"/>
    <w:rsid w:val="00312007"/>
    <w:rsid w:val="00325DF5"/>
    <w:rsid w:val="003276DD"/>
    <w:rsid w:val="003341C7"/>
    <w:rsid w:val="00342283"/>
    <w:rsid w:val="00343A87"/>
    <w:rsid w:val="00347FB6"/>
    <w:rsid w:val="003504FD"/>
    <w:rsid w:val="00350881"/>
    <w:rsid w:val="00354139"/>
    <w:rsid w:val="00357D55"/>
    <w:rsid w:val="00365BD0"/>
    <w:rsid w:val="00371DC7"/>
    <w:rsid w:val="0038175C"/>
    <w:rsid w:val="00394AAF"/>
    <w:rsid w:val="003B00AA"/>
    <w:rsid w:val="003B440F"/>
    <w:rsid w:val="003C777B"/>
    <w:rsid w:val="003D42C0"/>
    <w:rsid w:val="003D6E42"/>
    <w:rsid w:val="003E38F5"/>
    <w:rsid w:val="0040222A"/>
    <w:rsid w:val="004047BC"/>
    <w:rsid w:val="00415D66"/>
    <w:rsid w:val="004219E9"/>
    <w:rsid w:val="00426E25"/>
    <w:rsid w:val="00433498"/>
    <w:rsid w:val="0044358C"/>
    <w:rsid w:val="0045420A"/>
    <w:rsid w:val="00454EF2"/>
    <w:rsid w:val="00456C22"/>
    <w:rsid w:val="00473C98"/>
    <w:rsid w:val="00497A05"/>
    <w:rsid w:val="004A2538"/>
    <w:rsid w:val="004B0464"/>
    <w:rsid w:val="004B0C15"/>
    <w:rsid w:val="004D075F"/>
    <w:rsid w:val="004D3A8A"/>
    <w:rsid w:val="004E00F8"/>
    <w:rsid w:val="004E019E"/>
    <w:rsid w:val="004E06EC"/>
    <w:rsid w:val="004E384C"/>
    <w:rsid w:val="004F2747"/>
    <w:rsid w:val="004F687B"/>
    <w:rsid w:val="004F70C1"/>
    <w:rsid w:val="00502FB3"/>
    <w:rsid w:val="00503DE9"/>
    <w:rsid w:val="0050530C"/>
    <w:rsid w:val="00507782"/>
    <w:rsid w:val="00512A04"/>
    <w:rsid w:val="00516254"/>
    <w:rsid w:val="00516B12"/>
    <w:rsid w:val="00541628"/>
    <w:rsid w:val="0054396D"/>
    <w:rsid w:val="00543BD1"/>
    <w:rsid w:val="00550A5F"/>
    <w:rsid w:val="0055408D"/>
    <w:rsid w:val="00557204"/>
    <w:rsid w:val="0056130D"/>
    <w:rsid w:val="005654B8"/>
    <w:rsid w:val="005762CC"/>
    <w:rsid w:val="005816B5"/>
    <w:rsid w:val="0058791F"/>
    <w:rsid w:val="005A4AC0"/>
    <w:rsid w:val="005B072F"/>
    <w:rsid w:val="005B0FB7"/>
    <w:rsid w:val="005B51DC"/>
    <w:rsid w:val="005B5679"/>
    <w:rsid w:val="005B5AC2"/>
    <w:rsid w:val="005C2ECF"/>
    <w:rsid w:val="005C439A"/>
    <w:rsid w:val="005D0272"/>
    <w:rsid w:val="005D0D2D"/>
    <w:rsid w:val="005D3C24"/>
    <w:rsid w:val="005E144D"/>
    <w:rsid w:val="005E6302"/>
    <w:rsid w:val="005F62AA"/>
    <w:rsid w:val="00604805"/>
    <w:rsid w:val="00613EF5"/>
    <w:rsid w:val="0062277F"/>
    <w:rsid w:val="00626D42"/>
    <w:rsid w:val="00632008"/>
    <w:rsid w:val="00634376"/>
    <w:rsid w:val="0064241A"/>
    <w:rsid w:val="00646D6C"/>
    <w:rsid w:val="00650BC1"/>
    <w:rsid w:val="00650F5B"/>
    <w:rsid w:val="006719EA"/>
    <w:rsid w:val="00671F13"/>
    <w:rsid w:val="00674891"/>
    <w:rsid w:val="00695655"/>
    <w:rsid w:val="006C3053"/>
    <w:rsid w:val="006C58DC"/>
    <w:rsid w:val="006C618F"/>
    <w:rsid w:val="006D66F7"/>
    <w:rsid w:val="006D7534"/>
    <w:rsid w:val="00714F1D"/>
    <w:rsid w:val="007209AF"/>
    <w:rsid w:val="00722DDB"/>
    <w:rsid w:val="00723D9B"/>
    <w:rsid w:val="00730B9B"/>
    <w:rsid w:val="007332FF"/>
    <w:rsid w:val="007408F5"/>
    <w:rsid w:val="00746387"/>
    <w:rsid w:val="00747F24"/>
    <w:rsid w:val="0076190B"/>
    <w:rsid w:val="00763A2D"/>
    <w:rsid w:val="00773F4B"/>
    <w:rsid w:val="00783A57"/>
    <w:rsid w:val="007A4294"/>
    <w:rsid w:val="007A6A4F"/>
    <w:rsid w:val="007B03F5"/>
    <w:rsid w:val="007B4213"/>
    <w:rsid w:val="007B60ED"/>
    <w:rsid w:val="007C1AB3"/>
    <w:rsid w:val="007C5CFD"/>
    <w:rsid w:val="007D032D"/>
    <w:rsid w:val="007D1EC2"/>
    <w:rsid w:val="007D417C"/>
    <w:rsid w:val="00807B8C"/>
    <w:rsid w:val="008116DB"/>
    <w:rsid w:val="00814E9A"/>
    <w:rsid w:val="00815297"/>
    <w:rsid w:val="008313C4"/>
    <w:rsid w:val="00842037"/>
    <w:rsid w:val="0085797F"/>
    <w:rsid w:val="00861DC3"/>
    <w:rsid w:val="008735A9"/>
    <w:rsid w:val="00881C48"/>
    <w:rsid w:val="00885E9B"/>
    <w:rsid w:val="00885FF1"/>
    <w:rsid w:val="008B66D3"/>
    <w:rsid w:val="008B7F52"/>
    <w:rsid w:val="008C0E36"/>
    <w:rsid w:val="008C38DA"/>
    <w:rsid w:val="008D2430"/>
    <w:rsid w:val="008D3B0C"/>
    <w:rsid w:val="008D5338"/>
    <w:rsid w:val="008D57B8"/>
    <w:rsid w:val="008E510B"/>
    <w:rsid w:val="008F2245"/>
    <w:rsid w:val="00902B13"/>
    <w:rsid w:val="00912F1B"/>
    <w:rsid w:val="00943F19"/>
    <w:rsid w:val="009468BC"/>
    <w:rsid w:val="009616DF"/>
    <w:rsid w:val="0096542F"/>
    <w:rsid w:val="009670EC"/>
    <w:rsid w:val="00967FA7"/>
    <w:rsid w:val="00971645"/>
    <w:rsid w:val="00977919"/>
    <w:rsid w:val="00986406"/>
    <w:rsid w:val="00987E02"/>
    <w:rsid w:val="00997B35"/>
    <w:rsid w:val="009B1913"/>
    <w:rsid w:val="009B6657"/>
    <w:rsid w:val="009D1A8C"/>
    <w:rsid w:val="009D6A69"/>
    <w:rsid w:val="009D7249"/>
    <w:rsid w:val="009E175D"/>
    <w:rsid w:val="009F6673"/>
    <w:rsid w:val="009F6DA2"/>
    <w:rsid w:val="00A00150"/>
    <w:rsid w:val="00A10655"/>
    <w:rsid w:val="00A25193"/>
    <w:rsid w:val="00A3739D"/>
    <w:rsid w:val="00A37DDA"/>
    <w:rsid w:val="00A37FA3"/>
    <w:rsid w:val="00A54D83"/>
    <w:rsid w:val="00A60DA3"/>
    <w:rsid w:val="00A62286"/>
    <w:rsid w:val="00A67F67"/>
    <w:rsid w:val="00A704DB"/>
    <w:rsid w:val="00A81986"/>
    <w:rsid w:val="00A90F7F"/>
    <w:rsid w:val="00A925EC"/>
    <w:rsid w:val="00AA25B4"/>
    <w:rsid w:val="00AA2FF3"/>
    <w:rsid w:val="00AA44F5"/>
    <w:rsid w:val="00AB6653"/>
    <w:rsid w:val="00AD51D4"/>
    <w:rsid w:val="00AF59D4"/>
    <w:rsid w:val="00B0056A"/>
    <w:rsid w:val="00B20E8B"/>
    <w:rsid w:val="00B343CC"/>
    <w:rsid w:val="00B47ACA"/>
    <w:rsid w:val="00B5190D"/>
    <w:rsid w:val="00B614F7"/>
    <w:rsid w:val="00B61B26"/>
    <w:rsid w:val="00B67A23"/>
    <w:rsid w:val="00B76943"/>
    <w:rsid w:val="00B81261"/>
    <w:rsid w:val="00B81C8C"/>
    <w:rsid w:val="00B832AE"/>
    <w:rsid w:val="00B854FF"/>
    <w:rsid w:val="00B96513"/>
    <w:rsid w:val="00BA48B9"/>
    <w:rsid w:val="00BB6464"/>
    <w:rsid w:val="00BC0846"/>
    <w:rsid w:val="00BC1BB8"/>
    <w:rsid w:val="00BC3172"/>
    <w:rsid w:val="00BD6F3F"/>
    <w:rsid w:val="00BE63DF"/>
    <w:rsid w:val="00BE71B2"/>
    <w:rsid w:val="00BF2ABB"/>
    <w:rsid w:val="00C06BAC"/>
    <w:rsid w:val="00C17842"/>
    <w:rsid w:val="00C61AFA"/>
    <w:rsid w:val="00C62099"/>
    <w:rsid w:val="00C75E81"/>
    <w:rsid w:val="00C8216F"/>
    <w:rsid w:val="00CA6BC5"/>
    <w:rsid w:val="00CA7AE3"/>
    <w:rsid w:val="00CB0C6C"/>
    <w:rsid w:val="00CB2223"/>
    <w:rsid w:val="00CB4865"/>
    <w:rsid w:val="00CC36C7"/>
    <w:rsid w:val="00CD02DA"/>
    <w:rsid w:val="00CE640F"/>
    <w:rsid w:val="00CF540E"/>
    <w:rsid w:val="00CF6200"/>
    <w:rsid w:val="00D27C27"/>
    <w:rsid w:val="00D33322"/>
    <w:rsid w:val="00D33AB6"/>
    <w:rsid w:val="00D36A81"/>
    <w:rsid w:val="00D6193A"/>
    <w:rsid w:val="00D71D84"/>
    <w:rsid w:val="00D85F9A"/>
    <w:rsid w:val="00D975C0"/>
    <w:rsid w:val="00DA13F5"/>
    <w:rsid w:val="00DB036E"/>
    <w:rsid w:val="00DC5DD9"/>
    <w:rsid w:val="00DE152A"/>
    <w:rsid w:val="00DE33B5"/>
    <w:rsid w:val="00DF0487"/>
    <w:rsid w:val="00E02681"/>
    <w:rsid w:val="00E04CC0"/>
    <w:rsid w:val="00E07471"/>
    <w:rsid w:val="00E15816"/>
    <w:rsid w:val="00E33136"/>
    <w:rsid w:val="00E346E0"/>
    <w:rsid w:val="00E3723D"/>
    <w:rsid w:val="00E37C0C"/>
    <w:rsid w:val="00E72286"/>
    <w:rsid w:val="00E861DB"/>
    <w:rsid w:val="00E86347"/>
    <w:rsid w:val="00E95C39"/>
    <w:rsid w:val="00EB770A"/>
    <w:rsid w:val="00EB77F9"/>
    <w:rsid w:val="00EB7E46"/>
    <w:rsid w:val="00EC4F5B"/>
    <w:rsid w:val="00EC51C7"/>
    <w:rsid w:val="00EC6AB8"/>
    <w:rsid w:val="00ED656A"/>
    <w:rsid w:val="00EE002C"/>
    <w:rsid w:val="00EE38FA"/>
    <w:rsid w:val="00F51DD3"/>
    <w:rsid w:val="00F55334"/>
    <w:rsid w:val="00F72052"/>
    <w:rsid w:val="00F743AF"/>
    <w:rsid w:val="00F85DAC"/>
    <w:rsid w:val="00F95A63"/>
    <w:rsid w:val="00F96273"/>
    <w:rsid w:val="00FA0F56"/>
    <w:rsid w:val="00FB13E8"/>
    <w:rsid w:val="00FB2184"/>
    <w:rsid w:val="00FC12BF"/>
    <w:rsid w:val="00FC4CAA"/>
    <w:rsid w:val="00FD51B9"/>
    <w:rsid w:val="00FE587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541BE9"/>
  <w15:docId w15:val="{857BFE08-059B-4597-9CAA-D57D5930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66"/>
    <w:pPr>
      <w:tabs>
        <w:tab w:val="left" w:pos="709"/>
        <w:tab w:val="left" w:pos="1276"/>
        <w:tab w:val="left" w:pos="4536"/>
      </w:tabs>
      <w:spacing w:after="200"/>
    </w:pPr>
    <w:rPr>
      <w:rFonts w:ascii="Arial" w:eastAsia="Times New Roman" w:hAnsi="Arial" w:cs="Arial"/>
      <w:sz w:val="22"/>
      <w:lang w:eastAsia="en-AU"/>
    </w:rPr>
  </w:style>
  <w:style w:type="paragraph" w:styleId="Heading1">
    <w:name w:val="heading 1"/>
    <w:next w:val="Normal"/>
    <w:link w:val="Heading1Char"/>
    <w:qFormat/>
    <w:rsid w:val="00AA44F5"/>
    <w:pPr>
      <w:keepNext/>
      <w:spacing w:before="360" w:after="240"/>
      <w:outlineLvl w:val="0"/>
    </w:pPr>
    <w:rPr>
      <w:rFonts w:ascii="Arial" w:eastAsiaTheme="majorEastAsia" w:hAnsi="Arial" w:cs="Arial"/>
      <w:b/>
      <w:bCs/>
      <w:kern w:val="32"/>
      <w:sz w:val="32"/>
      <w:szCs w:val="32"/>
      <w:lang w:eastAsia="en-AU"/>
    </w:rPr>
  </w:style>
  <w:style w:type="paragraph" w:styleId="Heading2">
    <w:name w:val="heading 2"/>
    <w:next w:val="Normal"/>
    <w:link w:val="Heading2Char"/>
    <w:unhideWhenUsed/>
    <w:qFormat/>
    <w:rsid w:val="00AA44F5"/>
    <w:pPr>
      <w:keepNext/>
      <w:spacing w:before="360" w:after="240"/>
      <w:outlineLvl w:val="1"/>
    </w:pPr>
    <w:rPr>
      <w:rFonts w:ascii="Arial" w:eastAsiaTheme="majorEastAsia" w:hAnsi="Arial" w:cs="Arial"/>
      <w:b/>
      <w:bCs/>
      <w:iCs/>
      <w:color w:val="606060"/>
      <w:sz w:val="28"/>
      <w:szCs w:val="28"/>
      <w:lang w:eastAsia="en-AU"/>
    </w:rPr>
  </w:style>
  <w:style w:type="paragraph" w:styleId="Heading3">
    <w:name w:val="heading 3"/>
    <w:next w:val="Normal"/>
    <w:link w:val="Heading3Char"/>
    <w:qFormat/>
    <w:rsid w:val="00AA44F5"/>
    <w:pPr>
      <w:keepNext/>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nhideWhenUsed/>
    <w:qFormat/>
    <w:rsid w:val="00AA44F5"/>
    <w:pPr>
      <w:keepNext/>
      <w:keepLines/>
      <w:spacing w:before="360" w:after="240"/>
      <w:outlineLvl w:val="3"/>
    </w:pPr>
    <w:rPr>
      <w:rFonts w:ascii="Arial" w:eastAsiaTheme="majorEastAsia" w:hAnsi="Arial" w:cs="Arial"/>
      <w:b/>
      <w:bCs/>
      <w:iCs/>
      <w:color w:val="606060"/>
      <w:sz w:val="22"/>
      <w:lang w:eastAsia="en-AU"/>
    </w:rPr>
  </w:style>
  <w:style w:type="paragraph" w:styleId="Heading5">
    <w:name w:val="heading 5"/>
    <w:basedOn w:val="Normal"/>
    <w:next w:val="Normal"/>
    <w:link w:val="Heading5Char"/>
    <w:unhideWhenUsed/>
    <w:qFormat/>
    <w:rsid w:val="00FB218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4F2747"/>
    <w:pPr>
      <w:keepNext/>
      <w:pBdr>
        <w:top w:val="single" w:sz="4" w:space="1" w:color="auto"/>
        <w:left w:val="single" w:sz="4" w:space="4" w:color="auto"/>
        <w:bottom w:val="single" w:sz="4" w:space="1" w:color="auto"/>
        <w:right w:val="single" w:sz="4" w:space="4" w:color="auto"/>
      </w:pBdr>
      <w:tabs>
        <w:tab w:val="clear" w:pos="709"/>
        <w:tab w:val="clear" w:pos="1276"/>
        <w:tab w:val="clear" w:pos="4536"/>
      </w:tabs>
      <w:spacing w:before="120" w:after="120"/>
      <w:jc w:val="both"/>
      <w:outlineLvl w:val="5"/>
    </w:pPr>
    <w:rPr>
      <w:rFonts w:ascii="Arial Narrow" w:hAnsi="Arial Narrow" w:cs="Times New Roman"/>
      <w:b/>
      <w:sz w:val="26"/>
    </w:rPr>
  </w:style>
  <w:style w:type="paragraph" w:styleId="Heading7">
    <w:name w:val="heading 7"/>
    <w:basedOn w:val="Normal"/>
    <w:next w:val="Normal"/>
    <w:link w:val="Heading7Char"/>
    <w:qFormat/>
    <w:rsid w:val="004F2747"/>
    <w:pPr>
      <w:keepNext/>
      <w:tabs>
        <w:tab w:val="clear" w:pos="709"/>
        <w:tab w:val="clear" w:pos="1276"/>
        <w:tab w:val="clear" w:pos="4536"/>
      </w:tabs>
      <w:spacing w:before="120" w:after="120"/>
      <w:jc w:val="center"/>
      <w:outlineLvl w:val="6"/>
    </w:pPr>
    <w:rPr>
      <w:rFonts w:ascii="Arial Narrow" w:hAnsi="Arial Narrow" w:cs="Times New Roman"/>
      <w:b/>
      <w:sz w:val="24"/>
    </w:rPr>
  </w:style>
  <w:style w:type="paragraph" w:styleId="Heading8">
    <w:name w:val="heading 8"/>
    <w:basedOn w:val="Normal"/>
    <w:next w:val="Normal"/>
    <w:link w:val="Heading8Char"/>
    <w:qFormat/>
    <w:rsid w:val="004F2747"/>
    <w:pPr>
      <w:keepNext/>
      <w:tabs>
        <w:tab w:val="clear" w:pos="709"/>
        <w:tab w:val="clear" w:pos="1276"/>
        <w:tab w:val="clear" w:pos="4536"/>
      </w:tabs>
      <w:spacing w:before="120" w:after="120"/>
      <w:jc w:val="both"/>
      <w:outlineLvl w:val="7"/>
    </w:pPr>
    <w:rPr>
      <w:rFonts w:ascii="Arial Narrow" w:hAnsi="Arial Narrow" w:cs="Times New Roman"/>
      <w:sz w:val="24"/>
      <w:u w:val="single"/>
    </w:rPr>
  </w:style>
  <w:style w:type="paragraph" w:styleId="Heading9">
    <w:name w:val="heading 9"/>
    <w:basedOn w:val="Normal"/>
    <w:next w:val="Normal"/>
    <w:link w:val="Heading9Char"/>
    <w:qFormat/>
    <w:rsid w:val="004F2747"/>
    <w:pPr>
      <w:keepNext/>
      <w:tabs>
        <w:tab w:val="clear" w:pos="709"/>
        <w:tab w:val="clear" w:pos="1276"/>
        <w:tab w:val="clear" w:pos="4536"/>
      </w:tabs>
      <w:spacing w:before="120" w:after="120"/>
      <w:jc w:val="right"/>
      <w:outlineLvl w:val="8"/>
    </w:pPr>
    <w:rPr>
      <w:rFonts w:ascii="Arial Narrow" w:hAnsi="Arial Narrow" w:cs="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rPr>
      <w:rFonts w:ascii="Arial" w:hAnsi="Arial"/>
      <w:sz w:val="22"/>
    </w:rPr>
  </w:style>
  <w:style w:type="character" w:customStyle="1" w:styleId="Heading1Char">
    <w:name w:val="Heading 1 Char"/>
    <w:basedOn w:val="DefaultParagraphFont"/>
    <w:link w:val="Heading1"/>
    <w:rsid w:val="00AA44F5"/>
    <w:rPr>
      <w:rFonts w:ascii="Arial" w:eastAsiaTheme="majorEastAsia" w:hAnsi="Arial" w:cs="Arial"/>
      <w:b/>
      <w:bCs/>
      <w:kern w:val="32"/>
      <w:sz w:val="32"/>
      <w:szCs w:val="32"/>
      <w:lang w:eastAsia="en-AU"/>
    </w:rPr>
  </w:style>
  <w:style w:type="character" w:customStyle="1" w:styleId="Heading2Char">
    <w:name w:val="Heading 2 Char"/>
    <w:basedOn w:val="DefaultParagraphFont"/>
    <w:link w:val="Heading2"/>
    <w:rsid w:val="00AA44F5"/>
    <w:rPr>
      <w:rFonts w:ascii="Arial" w:eastAsiaTheme="majorEastAsia" w:hAnsi="Arial" w:cs="Arial"/>
      <w:b/>
      <w:bCs/>
      <w:iCs/>
      <w:color w:val="606060"/>
      <w:sz w:val="28"/>
      <w:szCs w:val="28"/>
      <w:lang w:eastAsia="en-AU"/>
    </w:rPr>
  </w:style>
  <w:style w:type="paragraph" w:styleId="Title">
    <w:name w:val="Title"/>
    <w:next w:val="Normal"/>
    <w:link w:val="TitleChar"/>
    <w:uiPriority w:val="10"/>
    <w:qFormat/>
    <w:rsid w:val="00497A05"/>
    <w:pPr>
      <w:spacing w:before="240"/>
    </w:pPr>
    <w:rPr>
      <w:rFonts w:ascii="Lato Black" w:eastAsia="Times New Roman" w:hAnsi="Lato Black" w:cs="Arial"/>
      <w:b/>
      <w:color w:val="CB6015"/>
      <w:sz w:val="36"/>
      <w:szCs w:val="36"/>
      <w:lang w:eastAsia="en-AU"/>
    </w:rPr>
  </w:style>
  <w:style w:type="character" w:customStyle="1" w:styleId="TitleChar">
    <w:name w:val="Title Char"/>
    <w:basedOn w:val="DefaultParagraphFont"/>
    <w:link w:val="Title"/>
    <w:uiPriority w:val="10"/>
    <w:rsid w:val="00497A05"/>
    <w:rPr>
      <w:rFonts w:ascii="Lato Black" w:eastAsia="Times New Roman" w:hAnsi="Lato Black" w:cs="Arial"/>
      <w:b/>
      <w:color w:val="CB6015"/>
      <w:sz w:val="36"/>
      <w:szCs w:val="36"/>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AA44F5"/>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2"/>
      </w:numPr>
    </w:pPr>
  </w:style>
  <w:style w:type="character" w:customStyle="1" w:styleId="Italic">
    <w:name w:val="Italic"/>
    <w:uiPriority w:val="1"/>
    <w:qFormat/>
    <w:rsid w:val="009D7249"/>
    <w:rPr>
      <w:i/>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Heading4Char">
    <w:name w:val="Heading 4 Char"/>
    <w:basedOn w:val="DefaultParagraphFont"/>
    <w:link w:val="Heading4"/>
    <w:uiPriority w:val="9"/>
    <w:rsid w:val="00AA44F5"/>
    <w:rPr>
      <w:rFonts w:ascii="Arial" w:eastAsiaTheme="majorEastAsia" w:hAnsi="Arial" w:cs="Arial"/>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Normal"/>
    <w:autoRedefine/>
    <w:uiPriority w:val="34"/>
    <w:qFormat/>
    <w:rsid w:val="00C06BAC"/>
    <w:pPr>
      <w:numPr>
        <w:numId w:val="7"/>
      </w:numPr>
      <w:spacing w:after="120"/>
      <w:ind w:left="681" w:hanging="397"/>
    </w:pPr>
  </w:style>
  <w:style w:type="table" w:styleId="TableGrid">
    <w:name w:val="Table Grid"/>
    <w:aliases w:val="TD Table"/>
    <w:basedOn w:val="TableNormal"/>
    <w:uiPriority w:val="59"/>
    <w:rsid w:val="008D5338"/>
    <w:tblPr>
      <w:tblBorders>
        <w:top w:val="single" w:sz="4" w:space="0" w:color="auto"/>
        <w:bottom w:val="single" w:sz="4" w:space="0" w:color="auto"/>
      </w:tblBorders>
    </w:tblPr>
  </w:style>
  <w:style w:type="paragraph" w:styleId="ListBullet2">
    <w:name w:val="List Bullet 2"/>
    <w:basedOn w:val="Normal"/>
    <w:autoRedefine/>
    <w:uiPriority w:val="99"/>
    <w:unhideWhenUsed/>
    <w:rsid w:val="009D7249"/>
    <w:pPr>
      <w:numPr>
        <w:numId w:val="5"/>
      </w:numPr>
      <w:ind w:left="1071" w:hanging="357"/>
    </w:pPr>
  </w:style>
  <w:style w:type="character" w:styleId="Strong">
    <w:name w:val="Strong"/>
    <w:basedOn w:val="DefaultParagraphFont"/>
    <w:uiPriority w:val="22"/>
    <w:qFormat/>
    <w:rsid w:val="008C0E36"/>
    <w:rPr>
      <w:b/>
      <w:bCs/>
    </w:rPr>
  </w:style>
  <w:style w:type="paragraph" w:styleId="ListNumber2">
    <w:name w:val="List Number 2"/>
    <w:basedOn w:val="Normal"/>
    <w:next w:val="ListContinue2"/>
    <w:autoRedefine/>
    <w:uiPriority w:val="99"/>
    <w:unhideWhenUsed/>
    <w:rsid w:val="00C06BAC"/>
    <w:pPr>
      <w:numPr>
        <w:numId w:val="3"/>
      </w:numPr>
    </w:pPr>
  </w:style>
  <w:style w:type="paragraph" w:styleId="ListBullet3">
    <w:name w:val="List Bullet 3"/>
    <w:basedOn w:val="Normal"/>
    <w:uiPriority w:val="99"/>
    <w:unhideWhenUsed/>
    <w:rsid w:val="001B6A8B"/>
    <w:pPr>
      <w:numPr>
        <w:numId w:val="4"/>
      </w:numPr>
      <w:ind w:left="1429" w:hanging="357"/>
    </w:pPr>
  </w:style>
  <w:style w:type="paragraph" w:styleId="ListContinue2">
    <w:name w:val="List Continue 2"/>
    <w:basedOn w:val="Normal"/>
    <w:uiPriority w:val="99"/>
    <w:unhideWhenUsed/>
    <w:rsid w:val="008C0E36"/>
    <w:pPr>
      <w:spacing w:after="120"/>
      <w:ind w:left="714"/>
      <w:contextualSpacing/>
    </w:pPr>
  </w:style>
  <w:style w:type="character" w:customStyle="1" w:styleId="Heading5Char">
    <w:name w:val="Heading 5 Char"/>
    <w:basedOn w:val="DefaultParagraphFont"/>
    <w:link w:val="Heading5"/>
    <w:uiPriority w:val="9"/>
    <w:rsid w:val="00FB2184"/>
    <w:rPr>
      <w:rFonts w:asciiTheme="majorHAnsi" w:eastAsiaTheme="majorEastAsia" w:hAnsiTheme="majorHAnsi" w:cstheme="majorBidi"/>
      <w:color w:val="243F60" w:themeColor="accent1" w:themeShade="7F"/>
      <w:sz w:val="22"/>
      <w:lang w:eastAsia="en-AU"/>
    </w:rPr>
  </w:style>
  <w:style w:type="paragraph" w:styleId="Quote">
    <w:name w:val="Quote"/>
    <w:basedOn w:val="Normal"/>
    <w:next w:val="Normal"/>
    <w:link w:val="QuoteChar"/>
    <w:uiPriority w:val="29"/>
    <w:qFormat/>
    <w:rsid w:val="004219E9"/>
    <w:rPr>
      <w:i/>
      <w:iCs/>
      <w:color w:val="000000" w:themeColor="text1"/>
    </w:rPr>
  </w:style>
  <w:style w:type="character" w:customStyle="1" w:styleId="QuoteChar">
    <w:name w:val="Quote Char"/>
    <w:basedOn w:val="DefaultParagraphFont"/>
    <w:link w:val="Quote"/>
    <w:uiPriority w:val="29"/>
    <w:rsid w:val="004219E9"/>
    <w:rPr>
      <w:rFonts w:ascii="Arial" w:eastAsia="Times New Roman" w:hAnsi="Arial" w:cs="Arial"/>
      <w:i/>
      <w:iCs/>
      <w:color w:val="000000" w:themeColor="text1"/>
      <w:sz w:val="22"/>
      <w:lang w:eastAsia="en-AU"/>
    </w:rPr>
  </w:style>
  <w:style w:type="character" w:styleId="Hyperlink">
    <w:name w:val="Hyperlink"/>
    <w:basedOn w:val="DefaultParagraphFont"/>
    <w:uiPriority w:val="99"/>
    <w:unhideWhenUsed/>
    <w:rsid w:val="00E37C0C"/>
    <w:rPr>
      <w:color w:val="0000FF" w:themeColor="hyperlink"/>
      <w:u w:val="single"/>
    </w:rPr>
  </w:style>
  <w:style w:type="paragraph" w:styleId="TOC1">
    <w:name w:val="toc 1"/>
    <w:basedOn w:val="Normal"/>
    <w:next w:val="Normal"/>
    <w:autoRedefine/>
    <w:uiPriority w:val="39"/>
    <w:unhideWhenUsed/>
    <w:rsid w:val="00096FEB"/>
    <w:pPr>
      <w:tabs>
        <w:tab w:val="clear" w:pos="1276"/>
        <w:tab w:val="clear" w:pos="4536"/>
        <w:tab w:val="left" w:pos="9639"/>
      </w:tabs>
      <w:spacing w:after="100"/>
    </w:pPr>
  </w:style>
  <w:style w:type="paragraph" w:styleId="List2">
    <w:name w:val="List 2"/>
    <w:basedOn w:val="Normal"/>
    <w:uiPriority w:val="99"/>
    <w:unhideWhenUsed/>
    <w:rsid w:val="00EC6AB8"/>
    <w:pPr>
      <w:ind w:left="566" w:hanging="283"/>
      <w:contextualSpacing/>
    </w:pPr>
  </w:style>
  <w:style w:type="paragraph" w:styleId="ListBullet">
    <w:name w:val="List Bullet"/>
    <w:basedOn w:val="ListParagraph"/>
    <w:uiPriority w:val="99"/>
    <w:unhideWhenUsed/>
    <w:rsid w:val="008116DB"/>
    <w:pPr>
      <w:framePr w:wrap="around" w:hAnchor="text"/>
    </w:pPr>
  </w:style>
  <w:style w:type="paragraph" w:customStyle="1" w:styleId="Listparagraph-black">
    <w:name w:val="List paragraph - black"/>
    <w:basedOn w:val="Normal"/>
    <w:qFormat/>
    <w:rsid w:val="009D7249"/>
    <w:pPr>
      <w:numPr>
        <w:numId w:val="6"/>
      </w:numPr>
      <w:ind w:left="714" w:hanging="357"/>
    </w:pPr>
    <w:rPr>
      <w:color w:val="000000" w:themeColor="text1"/>
    </w:rPr>
  </w:style>
  <w:style w:type="paragraph" w:customStyle="1" w:styleId="Heading2-Highlighttext">
    <w:name w:val="Heading 2 - Highlight text"/>
    <w:basedOn w:val="Heading2"/>
    <w:qFormat/>
    <w:rsid w:val="00D27C27"/>
    <w:pPr>
      <w:spacing w:before="240"/>
    </w:pPr>
  </w:style>
  <w:style w:type="paragraph" w:customStyle="1" w:styleId="Heading3Highlighttext">
    <w:name w:val="Heading 3 Highlight text"/>
    <w:basedOn w:val="Heading3"/>
    <w:qFormat/>
    <w:rsid w:val="00516254"/>
    <w:pPr>
      <w:framePr w:hSpace="181" w:wrap="around" w:vAnchor="text" w:hAnchor="text" w:y="1"/>
      <w:spacing w:before="120"/>
      <w:suppressOverlap/>
    </w:pPr>
  </w:style>
  <w:style w:type="paragraph" w:customStyle="1" w:styleId="Heading4centred">
    <w:name w:val="Heading 4 centred"/>
    <w:basedOn w:val="Heading4"/>
    <w:rsid w:val="00CB2223"/>
    <w:pPr>
      <w:spacing w:before="120" w:after="120"/>
      <w:jc w:val="center"/>
    </w:pPr>
    <w:rPr>
      <w:rFonts w:eastAsia="Times New Roman" w:cs="Times New Roman"/>
      <w:iCs w:val="0"/>
    </w:rPr>
  </w:style>
  <w:style w:type="paragraph" w:customStyle="1" w:styleId="Normalcentred">
    <w:name w:val="Normal centred"/>
    <w:basedOn w:val="Normal"/>
    <w:rsid w:val="00CB2223"/>
    <w:pPr>
      <w:spacing w:before="120" w:after="120"/>
      <w:jc w:val="center"/>
    </w:pPr>
    <w:rPr>
      <w:rFonts w:cs="Times New Roman"/>
    </w:rPr>
  </w:style>
  <w:style w:type="paragraph" w:styleId="Header">
    <w:name w:val="header"/>
    <w:basedOn w:val="Normal"/>
    <w:link w:val="HeaderChar"/>
    <w:unhideWhenUsed/>
    <w:rsid w:val="00B76943"/>
    <w:pPr>
      <w:tabs>
        <w:tab w:val="clear" w:pos="709"/>
        <w:tab w:val="clear" w:pos="1276"/>
        <w:tab w:val="clear" w:pos="4536"/>
        <w:tab w:val="center" w:pos="4513"/>
        <w:tab w:val="right" w:pos="9026"/>
      </w:tabs>
      <w:spacing w:after="0"/>
    </w:pPr>
  </w:style>
  <w:style w:type="character" w:customStyle="1" w:styleId="HeaderChar">
    <w:name w:val="Header Char"/>
    <w:basedOn w:val="DefaultParagraphFont"/>
    <w:link w:val="Header"/>
    <w:uiPriority w:val="99"/>
    <w:rsid w:val="00B76943"/>
    <w:rPr>
      <w:rFonts w:ascii="Arial" w:eastAsia="Times New Roman" w:hAnsi="Arial" w:cs="Arial"/>
      <w:sz w:val="22"/>
      <w:lang w:eastAsia="en-AU"/>
    </w:rPr>
  </w:style>
  <w:style w:type="paragraph" w:customStyle="1" w:styleId="Tablenumbers">
    <w:name w:val="Table numbers"/>
    <w:basedOn w:val="Normal"/>
    <w:autoRedefine/>
    <w:qFormat/>
    <w:rsid w:val="008D5338"/>
    <w:pPr>
      <w:ind w:right="284"/>
      <w:jc w:val="right"/>
    </w:pPr>
  </w:style>
  <w:style w:type="paragraph" w:customStyle="1" w:styleId="Direction-Spacer">
    <w:name w:val="Direction - Spacer"/>
    <w:next w:val="Normal"/>
    <w:rsid w:val="00613EF5"/>
    <w:rPr>
      <w:rFonts w:ascii="Arial Narrow" w:eastAsia="Times New Roman" w:hAnsi="Arial Narrow"/>
      <w:lang w:eastAsia="en-AU"/>
    </w:rPr>
  </w:style>
  <w:style w:type="paragraph" w:customStyle="1" w:styleId="MainFeature-Text">
    <w:name w:val="Main Feature - Text"/>
    <w:basedOn w:val="Normal"/>
    <w:rsid w:val="00613EF5"/>
    <w:pPr>
      <w:numPr>
        <w:numId w:val="1"/>
      </w:numPr>
      <w:tabs>
        <w:tab w:val="clear" w:pos="720"/>
        <w:tab w:val="clear" w:pos="1276"/>
        <w:tab w:val="clear" w:pos="4536"/>
      </w:tabs>
      <w:spacing w:before="60" w:after="60"/>
      <w:ind w:left="357" w:hanging="357"/>
      <w:jc w:val="both"/>
    </w:pPr>
    <w:rPr>
      <w:rFonts w:ascii="Arial Narrow" w:hAnsi="Arial Narrow" w:cs="Times New Roman"/>
      <w:sz w:val="24"/>
    </w:rPr>
  </w:style>
  <w:style w:type="paragraph" w:customStyle="1" w:styleId="MainFeature-Heading">
    <w:name w:val="Main Feature - Heading"/>
    <w:next w:val="MainFeature-Text"/>
    <w:rsid w:val="00613EF5"/>
    <w:pPr>
      <w:numPr>
        <w:numId w:val="8"/>
      </w:numPr>
      <w:spacing w:before="60" w:after="60"/>
    </w:pPr>
    <w:rPr>
      <w:rFonts w:ascii="Arial Narrow" w:eastAsia="Times New Roman" w:hAnsi="Arial Narrow"/>
      <w:b/>
      <w:sz w:val="24"/>
      <w:lang w:eastAsia="en-AU"/>
    </w:rPr>
  </w:style>
  <w:style w:type="paragraph" w:customStyle="1" w:styleId="MainFeatures-FixedText">
    <w:name w:val="Main Features - Fixed Text"/>
    <w:next w:val="Normal"/>
    <w:rsid w:val="00613EF5"/>
    <w:pPr>
      <w:spacing w:before="60" w:after="180"/>
      <w:jc w:val="both"/>
    </w:pPr>
    <w:rPr>
      <w:rFonts w:ascii="Arial Narrow" w:eastAsia="Times New Roman" w:hAnsi="Arial Narrow"/>
      <w:sz w:val="24"/>
      <w:lang w:eastAsia="en-AU"/>
    </w:rPr>
  </w:style>
  <w:style w:type="paragraph" w:customStyle="1" w:styleId="ListBullet1">
    <w:name w:val="List Bullet 1"/>
    <w:basedOn w:val="ListBullet"/>
    <w:qFormat/>
    <w:rsid w:val="00613EF5"/>
    <w:pPr>
      <w:framePr w:wrap="around"/>
      <w:numPr>
        <w:numId w:val="9"/>
      </w:numPr>
    </w:pPr>
    <w:rPr>
      <w:color w:val="000000" w:themeColor="text1"/>
    </w:rPr>
  </w:style>
  <w:style w:type="character" w:customStyle="1" w:styleId="Heading6Char">
    <w:name w:val="Heading 6 Char"/>
    <w:basedOn w:val="DefaultParagraphFont"/>
    <w:link w:val="Heading6"/>
    <w:rsid w:val="004F2747"/>
    <w:rPr>
      <w:rFonts w:ascii="Arial Narrow" w:eastAsia="Times New Roman" w:hAnsi="Arial Narrow"/>
      <w:b/>
      <w:sz w:val="26"/>
      <w:lang w:eastAsia="en-AU"/>
    </w:rPr>
  </w:style>
  <w:style w:type="character" w:customStyle="1" w:styleId="Heading7Char">
    <w:name w:val="Heading 7 Char"/>
    <w:basedOn w:val="DefaultParagraphFont"/>
    <w:link w:val="Heading7"/>
    <w:rsid w:val="004F2747"/>
    <w:rPr>
      <w:rFonts w:ascii="Arial Narrow" w:eastAsia="Times New Roman" w:hAnsi="Arial Narrow"/>
      <w:b/>
      <w:sz w:val="24"/>
      <w:lang w:eastAsia="en-AU"/>
    </w:rPr>
  </w:style>
  <w:style w:type="character" w:customStyle="1" w:styleId="Heading8Char">
    <w:name w:val="Heading 8 Char"/>
    <w:basedOn w:val="DefaultParagraphFont"/>
    <w:link w:val="Heading8"/>
    <w:rsid w:val="004F2747"/>
    <w:rPr>
      <w:rFonts w:ascii="Arial Narrow" w:eastAsia="Times New Roman" w:hAnsi="Arial Narrow"/>
      <w:sz w:val="24"/>
      <w:u w:val="single"/>
      <w:lang w:eastAsia="en-AU"/>
    </w:rPr>
  </w:style>
  <w:style w:type="character" w:customStyle="1" w:styleId="Heading9Char">
    <w:name w:val="Heading 9 Char"/>
    <w:basedOn w:val="DefaultParagraphFont"/>
    <w:link w:val="Heading9"/>
    <w:rsid w:val="004F2747"/>
    <w:rPr>
      <w:rFonts w:ascii="Arial Narrow" w:eastAsia="Times New Roman" w:hAnsi="Arial Narrow"/>
      <w:b/>
      <w:sz w:val="24"/>
      <w:u w:val="single"/>
      <w:lang w:eastAsia="en-AU"/>
    </w:rPr>
  </w:style>
  <w:style w:type="paragraph" w:customStyle="1" w:styleId="Direction-Number">
    <w:name w:val="Direction-Number"/>
    <w:basedOn w:val="Normal"/>
    <w:next w:val="Normal"/>
    <w:rsid w:val="004F2747"/>
    <w:pPr>
      <w:tabs>
        <w:tab w:val="clear" w:pos="709"/>
        <w:tab w:val="clear" w:pos="1276"/>
        <w:tab w:val="clear" w:pos="4536"/>
        <w:tab w:val="num" w:pos="720"/>
      </w:tabs>
      <w:spacing w:before="120" w:after="120"/>
      <w:ind w:left="357" w:hanging="357"/>
      <w:jc w:val="center"/>
    </w:pPr>
    <w:rPr>
      <w:rFonts w:ascii="Arial Narrow" w:hAnsi="Arial Narrow" w:cs="Times New Roman"/>
      <w:b/>
      <w:sz w:val="24"/>
    </w:rPr>
  </w:style>
  <w:style w:type="paragraph" w:customStyle="1" w:styleId="Direction-Heading">
    <w:name w:val="Direction - Heading"/>
    <w:next w:val="Normal"/>
    <w:rsid w:val="004F2747"/>
    <w:pPr>
      <w:spacing w:before="120" w:after="120"/>
    </w:pPr>
    <w:rPr>
      <w:rFonts w:ascii="Arial Narrow" w:eastAsia="Times New Roman" w:hAnsi="Arial Narrow"/>
      <w:b/>
      <w:caps/>
      <w:sz w:val="24"/>
      <w:lang w:eastAsia="en-AU"/>
    </w:rPr>
  </w:style>
  <w:style w:type="paragraph" w:customStyle="1" w:styleId="Commentry">
    <w:name w:val="Commentry"/>
    <w:rsid w:val="00E07471"/>
    <w:pPr>
      <w:spacing w:before="120" w:after="120"/>
      <w:jc w:val="both"/>
    </w:pPr>
    <w:rPr>
      <w:rFonts w:ascii="Arial Narrow" w:eastAsia="Times New Roman" w:hAnsi="Arial Narrow"/>
      <w:sz w:val="24"/>
      <w:lang w:eastAsia="en-AU"/>
    </w:rPr>
  </w:style>
  <w:style w:type="paragraph" w:customStyle="1" w:styleId="ListBullet1-Orange">
    <w:name w:val="List Bullet 1 - Orange"/>
    <w:basedOn w:val="ListParagraph"/>
    <w:qFormat/>
    <w:rsid w:val="00C06BAC"/>
  </w:style>
  <w:style w:type="paragraph" w:customStyle="1" w:styleId="ListBullet2-Dash">
    <w:name w:val="List Bullet 2 - Dash"/>
    <w:basedOn w:val="ListBullet1"/>
    <w:qFormat/>
    <w:rsid w:val="00C06BAC"/>
    <w:pPr>
      <w:framePr w:wrap="around"/>
      <w:ind w:left="1111" w:hanging="397"/>
    </w:pPr>
  </w:style>
  <w:style w:type="paragraph" w:customStyle="1" w:styleId="ListNumber2-Roman">
    <w:name w:val="List Number 2 - Roman"/>
    <w:basedOn w:val="ListNumber2"/>
    <w:qFormat/>
    <w:rsid w:val="005C2ECF"/>
    <w:pPr>
      <w:ind w:left="681" w:hanging="397"/>
    </w:pPr>
  </w:style>
  <w:style w:type="paragraph" w:customStyle="1" w:styleId="ListBullet1-Black">
    <w:name w:val="List Bullet 1 - Black"/>
    <w:basedOn w:val="Listparagraph-black"/>
    <w:qFormat/>
    <w:rsid w:val="00C06BAC"/>
    <w:pPr>
      <w:ind w:left="681" w:hanging="397"/>
    </w:pPr>
  </w:style>
  <w:style w:type="paragraph" w:customStyle="1" w:styleId="ListBullet2-Black">
    <w:name w:val="List Bullet 2 - Black"/>
    <w:basedOn w:val="ListBullet2"/>
    <w:qFormat/>
    <w:rsid w:val="005C2ECF"/>
    <w:pPr>
      <w:ind w:left="1077" w:hanging="397"/>
    </w:pPr>
  </w:style>
  <w:style w:type="paragraph" w:customStyle="1" w:styleId="ListNumber1-Roman">
    <w:name w:val="List Number 1 - Roman"/>
    <w:basedOn w:val="ListNumber2"/>
    <w:autoRedefine/>
    <w:qFormat/>
    <w:rsid w:val="00F72052"/>
    <w:pPr>
      <w:numPr>
        <w:numId w:val="0"/>
      </w:numPr>
    </w:pPr>
  </w:style>
  <w:style w:type="character" w:customStyle="1" w:styleId="DTFArialBlack">
    <w:name w:val="DTF Arial Black"/>
    <w:uiPriority w:val="1"/>
    <w:qFormat/>
    <w:rsid w:val="008C38DA"/>
    <w:rPr>
      <w:rFonts w:ascii="Arial Black" w:hAnsi="Arial Black"/>
    </w:rPr>
  </w:style>
  <w:style w:type="paragraph" w:customStyle="1" w:styleId="DTFBodyText">
    <w:name w:val="DTF Body Text"/>
    <w:basedOn w:val="Normal"/>
    <w:qFormat/>
    <w:rsid w:val="008C38DA"/>
  </w:style>
  <w:style w:type="paragraph" w:customStyle="1" w:styleId="DTFFooter">
    <w:name w:val="DTF Footer"/>
    <w:qFormat/>
    <w:rsid w:val="008C38DA"/>
    <w:rPr>
      <w:rFonts w:ascii="Arial" w:eastAsia="Times New Roman" w:hAnsi="Arial" w:cs="Arial"/>
      <w:sz w:val="16"/>
      <w:szCs w:val="16"/>
      <w:lang w:eastAsia="en-AU"/>
    </w:rPr>
  </w:style>
  <w:style w:type="paragraph" w:customStyle="1" w:styleId="DTFFootnote">
    <w:name w:val="DTF Footnote"/>
    <w:basedOn w:val="Normal"/>
    <w:qFormat/>
    <w:rsid w:val="008C38DA"/>
    <w:pPr>
      <w:spacing w:before="60" w:after="60"/>
    </w:pPr>
    <w:rPr>
      <w:sz w:val="18"/>
      <w:szCs w:val="18"/>
    </w:rPr>
  </w:style>
  <w:style w:type="paragraph" w:customStyle="1" w:styleId="DTFHeading1">
    <w:name w:val="DTF Heading 1"/>
    <w:next w:val="DTFBodyText"/>
    <w:qFormat/>
    <w:rsid w:val="008C38DA"/>
    <w:pPr>
      <w:spacing w:before="360" w:after="240"/>
    </w:pPr>
    <w:rPr>
      <w:rFonts w:ascii="Arial" w:eastAsiaTheme="majorEastAsia" w:hAnsi="Arial" w:cs="Arial"/>
      <w:b/>
      <w:bCs/>
      <w:kern w:val="32"/>
      <w:sz w:val="32"/>
      <w:szCs w:val="32"/>
      <w:lang w:eastAsia="en-AU"/>
    </w:rPr>
  </w:style>
  <w:style w:type="paragraph" w:customStyle="1" w:styleId="DTFHeading2">
    <w:name w:val="DTF Heading 2"/>
    <w:next w:val="DTFBodyText"/>
    <w:qFormat/>
    <w:rsid w:val="008C38DA"/>
    <w:pPr>
      <w:spacing w:before="360" w:after="240"/>
    </w:pPr>
    <w:rPr>
      <w:rFonts w:ascii="Arial" w:eastAsiaTheme="majorEastAsia" w:hAnsi="Arial" w:cs="Arial"/>
      <w:b/>
      <w:bCs/>
      <w:iCs/>
      <w:color w:val="606060"/>
      <w:sz w:val="28"/>
      <w:szCs w:val="28"/>
      <w:lang w:eastAsia="en-AU"/>
    </w:rPr>
  </w:style>
  <w:style w:type="paragraph" w:customStyle="1" w:styleId="DTFHeading2-HighlightText">
    <w:name w:val="DTF Heading 2 - Highlight Text"/>
    <w:next w:val="DTFBodyText"/>
    <w:autoRedefine/>
    <w:qFormat/>
    <w:rsid w:val="008C38DA"/>
    <w:pPr>
      <w:spacing w:before="240" w:after="240"/>
    </w:pPr>
    <w:rPr>
      <w:rFonts w:ascii="Arial" w:eastAsiaTheme="majorEastAsia" w:hAnsi="Arial" w:cs="Arial"/>
      <w:b/>
      <w:bCs/>
      <w:iCs/>
      <w:color w:val="606060"/>
      <w:sz w:val="28"/>
      <w:szCs w:val="28"/>
      <w:lang w:eastAsia="en-AU"/>
    </w:rPr>
  </w:style>
  <w:style w:type="paragraph" w:customStyle="1" w:styleId="DTFHeading3">
    <w:name w:val="DTF Heading 3"/>
    <w:next w:val="DTFBodyText"/>
    <w:autoRedefine/>
    <w:qFormat/>
    <w:rsid w:val="00ED656A"/>
    <w:pPr>
      <w:spacing w:before="360" w:after="240"/>
    </w:pPr>
    <w:rPr>
      <w:rFonts w:ascii="Arial" w:eastAsia="Times New Roman" w:hAnsi="Arial" w:cs="Arial"/>
      <w:b/>
      <w:bCs/>
      <w:color w:val="000000" w:themeColor="text1"/>
      <w:sz w:val="24"/>
      <w:szCs w:val="24"/>
      <w:lang w:eastAsia="en-AU"/>
    </w:rPr>
  </w:style>
  <w:style w:type="paragraph" w:customStyle="1" w:styleId="DTFHeading3-HighlightText">
    <w:name w:val="DTF Heading 3 - Highlight Text"/>
    <w:next w:val="DTFBodyText"/>
    <w:autoRedefine/>
    <w:qFormat/>
    <w:rsid w:val="008C38DA"/>
    <w:pPr>
      <w:framePr w:hSpace="181" w:wrap="around" w:vAnchor="text" w:hAnchor="text" w:y="1"/>
      <w:spacing w:before="120" w:after="240"/>
      <w:suppressOverlap/>
    </w:pPr>
    <w:rPr>
      <w:rFonts w:ascii="Arial" w:eastAsia="Times New Roman" w:hAnsi="Arial" w:cs="Arial"/>
      <w:b/>
      <w:bCs/>
      <w:sz w:val="24"/>
      <w:szCs w:val="26"/>
      <w:lang w:eastAsia="en-AU"/>
    </w:rPr>
  </w:style>
  <w:style w:type="paragraph" w:customStyle="1" w:styleId="DTFHeading4">
    <w:name w:val="DTF Heading 4"/>
    <w:next w:val="DTFBodyText"/>
    <w:qFormat/>
    <w:rsid w:val="008C38DA"/>
    <w:pPr>
      <w:spacing w:before="360" w:after="240"/>
    </w:pPr>
    <w:rPr>
      <w:rFonts w:ascii="Arial" w:eastAsia="Times New Roman" w:hAnsi="Arial" w:cs="Arial"/>
      <w:b/>
      <w:bCs/>
      <w:color w:val="606060"/>
      <w:sz w:val="22"/>
      <w:szCs w:val="22"/>
      <w:lang w:eastAsia="en-AU"/>
    </w:rPr>
  </w:style>
  <w:style w:type="character" w:customStyle="1" w:styleId="DTFItalic">
    <w:name w:val="DTF Italic"/>
    <w:uiPriority w:val="1"/>
    <w:qFormat/>
    <w:rsid w:val="008C38DA"/>
    <w:rPr>
      <w:i/>
    </w:rPr>
  </w:style>
  <w:style w:type="paragraph" w:customStyle="1" w:styleId="DTFListBullet1-Black">
    <w:name w:val="DTF List Bullet 1 - Black"/>
    <w:autoRedefine/>
    <w:qFormat/>
    <w:rsid w:val="004F70C1"/>
    <w:pPr>
      <w:numPr>
        <w:numId w:val="20"/>
      </w:numPr>
      <w:spacing w:after="200"/>
    </w:pPr>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7209AF"/>
    <w:pPr>
      <w:numPr>
        <w:numId w:val="21"/>
      </w:numPr>
      <w:spacing w:after="12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885FF1"/>
    <w:pPr>
      <w:numPr>
        <w:ilvl w:val="1"/>
        <w:numId w:val="22"/>
      </w:numPr>
      <w:spacing w:after="200"/>
    </w:pPr>
    <w:rPr>
      <w:rFonts w:ascii="Arial" w:eastAsia="Times New Roman" w:hAnsi="Arial" w:cs="Arial"/>
      <w:sz w:val="22"/>
      <w:lang w:eastAsia="en-AU"/>
    </w:rPr>
  </w:style>
  <w:style w:type="paragraph" w:customStyle="1" w:styleId="DTFListBullet2-Dash">
    <w:name w:val="DTF List Bullet 2 - Dash"/>
    <w:autoRedefine/>
    <w:qFormat/>
    <w:rsid w:val="008C38DA"/>
    <w:pPr>
      <w:numPr>
        <w:numId w:val="23"/>
      </w:numPr>
      <w:spacing w:after="200"/>
    </w:pPr>
    <w:rPr>
      <w:rFonts w:ascii="Arial" w:eastAsia="Times New Roman" w:hAnsi="Arial" w:cs="Arial"/>
      <w:sz w:val="22"/>
      <w:lang w:eastAsia="en-AU"/>
    </w:rPr>
  </w:style>
  <w:style w:type="paragraph" w:customStyle="1" w:styleId="DTFListBullet3-Dash">
    <w:name w:val="DTF List Bullet 3 - Dash"/>
    <w:autoRedefine/>
    <w:qFormat/>
    <w:rsid w:val="008C38DA"/>
    <w:pPr>
      <w:numPr>
        <w:ilvl w:val="2"/>
        <w:numId w:val="24"/>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8C38DA"/>
    <w:pPr>
      <w:numPr>
        <w:numId w:val="25"/>
      </w:numPr>
      <w:spacing w:after="200"/>
    </w:pPr>
    <w:rPr>
      <w:rFonts w:ascii="Arial" w:eastAsia="Times New Roman" w:hAnsi="Arial" w:cs="Arial"/>
      <w:sz w:val="22"/>
      <w:lang w:eastAsia="en-AU"/>
    </w:rPr>
  </w:style>
  <w:style w:type="paragraph" w:customStyle="1" w:styleId="DTFListNumber1-Roman">
    <w:name w:val="DTF List Number 1 - Roman"/>
    <w:autoRedefine/>
    <w:qFormat/>
    <w:rsid w:val="00885FF1"/>
    <w:pPr>
      <w:numPr>
        <w:numId w:val="26"/>
      </w:numPr>
      <w:spacing w:after="120"/>
    </w:pPr>
    <w:rPr>
      <w:rFonts w:ascii="Arial" w:eastAsia="Times New Roman" w:hAnsi="Arial" w:cs="Arial"/>
      <w:sz w:val="22"/>
      <w:lang w:eastAsia="en-AU"/>
    </w:rPr>
  </w:style>
  <w:style w:type="character" w:customStyle="1" w:styleId="DTFStrong">
    <w:name w:val="DTF Strong"/>
    <w:uiPriority w:val="1"/>
    <w:qFormat/>
    <w:rsid w:val="008C38DA"/>
    <w:rPr>
      <w:b/>
    </w:rPr>
  </w:style>
  <w:style w:type="character" w:customStyle="1" w:styleId="DTFSuperscript">
    <w:name w:val="DTF Superscript"/>
    <w:uiPriority w:val="1"/>
    <w:qFormat/>
    <w:rsid w:val="008C38DA"/>
    <w:rPr>
      <w:vertAlign w:val="superscript"/>
    </w:rPr>
  </w:style>
  <w:style w:type="paragraph" w:customStyle="1" w:styleId="DTFTableDash">
    <w:name w:val="DTF Table Dash"/>
    <w:basedOn w:val="Normal"/>
    <w:qFormat/>
    <w:rsid w:val="008C38DA"/>
    <w:pPr>
      <w:numPr>
        <w:numId w:val="27"/>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hAnsi="Arial MT Std Light"/>
      <w:color w:val="000000"/>
      <w:w w:val="90"/>
      <w:sz w:val="21"/>
      <w:szCs w:val="21"/>
    </w:rPr>
  </w:style>
  <w:style w:type="paragraph" w:customStyle="1" w:styleId="DTFTableHeading4-Centred">
    <w:name w:val="DTF Table Heading 4 - Centred"/>
    <w:basedOn w:val="Heading4"/>
    <w:rsid w:val="008C38DA"/>
    <w:pPr>
      <w:spacing w:before="0" w:after="0"/>
      <w:jc w:val="center"/>
      <w:outlineLvl w:val="9"/>
    </w:pPr>
    <w:rPr>
      <w:rFonts w:eastAsia="Times New Roman" w:cs="Times New Roman"/>
      <w:iCs w:val="0"/>
    </w:rPr>
  </w:style>
  <w:style w:type="paragraph" w:customStyle="1" w:styleId="DTFTableNumbers">
    <w:name w:val="DTF Table Numbers"/>
    <w:basedOn w:val="Normal"/>
    <w:autoRedefine/>
    <w:qFormat/>
    <w:rsid w:val="008C38DA"/>
    <w:pPr>
      <w:spacing w:after="0"/>
      <w:ind w:right="284"/>
      <w:jc w:val="right"/>
    </w:pPr>
  </w:style>
  <w:style w:type="paragraph" w:customStyle="1" w:styleId="DTFTableText">
    <w:name w:val="DTF Table Text"/>
    <w:basedOn w:val="Normal"/>
    <w:qFormat/>
    <w:rsid w:val="008C38DA"/>
    <w:pPr>
      <w:spacing w:after="0"/>
    </w:pPr>
  </w:style>
  <w:style w:type="paragraph" w:customStyle="1" w:styleId="DTFTableText-Centred">
    <w:name w:val="DTF Table Text - Centred"/>
    <w:basedOn w:val="DTFTableText"/>
    <w:qFormat/>
    <w:rsid w:val="008C38DA"/>
    <w:pPr>
      <w:jc w:val="center"/>
    </w:pPr>
  </w:style>
  <w:style w:type="paragraph" w:customStyle="1" w:styleId="DTFTitle">
    <w:name w:val="DTF Title"/>
    <w:next w:val="DTFBodyText"/>
    <w:qFormat/>
    <w:rsid w:val="008C38DA"/>
    <w:pPr>
      <w:spacing w:before="240"/>
    </w:pPr>
    <w:rPr>
      <w:rFonts w:ascii="Lato Black" w:eastAsia="Times New Roman" w:hAnsi="Lato Black" w:cs="Arial"/>
      <w:b/>
      <w:color w:val="CB6015"/>
      <w:sz w:val="36"/>
      <w:szCs w:val="36"/>
      <w:lang w:eastAsia="en-AU"/>
    </w:rPr>
  </w:style>
  <w:style w:type="paragraph" w:customStyle="1" w:styleId="DTFTOC1">
    <w:name w:val="DTF TOC 1"/>
    <w:autoRedefine/>
    <w:qFormat/>
    <w:rsid w:val="008C38DA"/>
    <w:pPr>
      <w:tabs>
        <w:tab w:val="left" w:pos="9638"/>
      </w:tabs>
      <w:spacing w:after="100"/>
    </w:pPr>
    <w:rPr>
      <w:rFonts w:ascii="Arial" w:eastAsia="Times New Roman" w:hAnsi="Arial" w:cs="Arial"/>
      <w:sz w:val="22"/>
      <w:lang w:eastAsia="en-AU"/>
    </w:rPr>
  </w:style>
  <w:style w:type="paragraph" w:customStyle="1" w:styleId="DTFListContinue3">
    <w:name w:val="DTF List Continue 3"/>
    <w:qFormat/>
    <w:rsid w:val="00B47ACA"/>
    <w:pPr>
      <w:spacing w:after="200"/>
      <w:ind w:left="1077"/>
    </w:pPr>
    <w:rPr>
      <w:rFonts w:ascii="Arial" w:eastAsia="Times New Roman" w:hAnsi="Arial" w:cs="Arial"/>
      <w:sz w:val="22"/>
      <w:lang w:eastAsia="en-AU"/>
    </w:rPr>
  </w:style>
  <w:style w:type="paragraph" w:styleId="Footer">
    <w:name w:val="footer"/>
    <w:basedOn w:val="Normal"/>
    <w:link w:val="FooterChar"/>
    <w:uiPriority w:val="99"/>
    <w:unhideWhenUsed/>
    <w:rsid w:val="009F6DA2"/>
    <w:pPr>
      <w:tabs>
        <w:tab w:val="clear" w:pos="709"/>
        <w:tab w:val="clear" w:pos="1276"/>
        <w:tab w:val="clear" w:pos="4536"/>
        <w:tab w:val="center" w:pos="4513"/>
        <w:tab w:val="right" w:pos="9026"/>
      </w:tabs>
      <w:spacing w:after="0"/>
    </w:pPr>
  </w:style>
  <w:style w:type="character" w:customStyle="1" w:styleId="FooterChar">
    <w:name w:val="Footer Char"/>
    <w:basedOn w:val="DefaultParagraphFont"/>
    <w:link w:val="Footer"/>
    <w:uiPriority w:val="99"/>
    <w:rsid w:val="009F6DA2"/>
    <w:rPr>
      <w:rFonts w:ascii="Arial" w:eastAsia="Times New Roman" w:hAnsi="Arial" w:cs="Arial"/>
      <w:sz w:val="22"/>
      <w:lang w:eastAsia="en-AU"/>
    </w:rPr>
  </w:style>
  <w:style w:type="character" w:customStyle="1" w:styleId="DTFGreyText">
    <w:name w:val="DTF Grey Text"/>
    <w:uiPriority w:val="1"/>
    <w:qFormat/>
    <w:rsid w:val="007B4213"/>
    <w:rPr>
      <w:color w:val="606060"/>
    </w:rPr>
  </w:style>
  <w:style w:type="paragraph" w:customStyle="1" w:styleId="Numberedlistlevel2">
    <w:name w:val="Numbered list level 2"/>
    <w:basedOn w:val="ListNumber"/>
    <w:autoRedefine/>
    <w:qFormat/>
    <w:rsid w:val="007B4213"/>
    <w:pPr>
      <w:tabs>
        <w:tab w:val="clear" w:pos="709"/>
        <w:tab w:val="clear" w:pos="1276"/>
        <w:tab w:val="clear" w:pos="4536"/>
      </w:tabs>
      <w:spacing w:after="60" w:line="300" w:lineRule="atLeast"/>
      <w:ind w:left="720"/>
    </w:pPr>
    <w:rPr>
      <w:rFonts w:ascii="Arial MT Std Light" w:eastAsiaTheme="minorHAnsi" w:hAnsi="Arial MT Std Light" w:cs="Times New Roman"/>
      <w:w w:val="90"/>
      <w:szCs w:val="22"/>
      <w:lang w:eastAsia="en-US"/>
    </w:rPr>
  </w:style>
  <w:style w:type="paragraph" w:styleId="ListNumber">
    <w:name w:val="List Number"/>
    <w:basedOn w:val="Normal"/>
    <w:uiPriority w:val="99"/>
    <w:semiHidden/>
    <w:unhideWhenUsed/>
    <w:rsid w:val="007B4213"/>
    <w:pPr>
      <w:ind w:left="360" w:hanging="360"/>
      <w:contextualSpacing/>
    </w:pPr>
  </w:style>
  <w:style w:type="paragraph" w:styleId="Revision">
    <w:name w:val="Revision"/>
    <w:hidden/>
    <w:uiPriority w:val="99"/>
    <w:semiHidden/>
    <w:rsid w:val="00F96273"/>
    <w:rPr>
      <w:rFonts w:ascii="Arial" w:eastAsia="Times New Roman" w:hAnsi="Arial" w:cs="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4313407">
      <w:bodyDiv w:val="1"/>
      <w:marLeft w:val="0"/>
      <w:marRight w:val="0"/>
      <w:marTop w:val="0"/>
      <w:marBottom w:val="0"/>
      <w:divBdr>
        <w:top w:val="none" w:sz="0" w:space="0" w:color="auto"/>
        <w:left w:val="none" w:sz="0" w:space="0" w:color="auto"/>
        <w:bottom w:val="none" w:sz="0" w:space="0" w:color="auto"/>
        <w:right w:val="none" w:sz="0" w:space="0" w:color="auto"/>
      </w:divBdr>
      <w:divsChild>
        <w:div w:id="19554474">
          <w:marLeft w:val="0"/>
          <w:marRight w:val="0"/>
          <w:marTop w:val="0"/>
          <w:marBottom w:val="0"/>
          <w:divBdr>
            <w:top w:val="none" w:sz="0" w:space="0" w:color="auto"/>
            <w:left w:val="none" w:sz="0" w:space="0" w:color="auto"/>
            <w:bottom w:val="none" w:sz="0" w:space="0" w:color="auto"/>
            <w:right w:val="none" w:sz="0" w:space="0" w:color="auto"/>
          </w:divBdr>
        </w:div>
        <w:div w:id="56706430">
          <w:marLeft w:val="0"/>
          <w:marRight w:val="0"/>
          <w:marTop w:val="0"/>
          <w:marBottom w:val="0"/>
          <w:divBdr>
            <w:top w:val="none" w:sz="0" w:space="0" w:color="auto"/>
            <w:left w:val="none" w:sz="0" w:space="0" w:color="auto"/>
            <w:bottom w:val="none" w:sz="0" w:space="0" w:color="auto"/>
            <w:right w:val="none" w:sz="0" w:space="0" w:color="auto"/>
          </w:divBdr>
        </w:div>
        <w:div w:id="196431778">
          <w:marLeft w:val="0"/>
          <w:marRight w:val="0"/>
          <w:marTop w:val="0"/>
          <w:marBottom w:val="0"/>
          <w:divBdr>
            <w:top w:val="none" w:sz="0" w:space="0" w:color="auto"/>
            <w:left w:val="none" w:sz="0" w:space="0" w:color="auto"/>
            <w:bottom w:val="none" w:sz="0" w:space="0" w:color="auto"/>
            <w:right w:val="none" w:sz="0" w:space="0" w:color="auto"/>
          </w:divBdr>
        </w:div>
        <w:div w:id="314381176">
          <w:marLeft w:val="0"/>
          <w:marRight w:val="0"/>
          <w:marTop w:val="0"/>
          <w:marBottom w:val="0"/>
          <w:divBdr>
            <w:top w:val="none" w:sz="0" w:space="0" w:color="auto"/>
            <w:left w:val="none" w:sz="0" w:space="0" w:color="auto"/>
            <w:bottom w:val="none" w:sz="0" w:space="0" w:color="auto"/>
            <w:right w:val="none" w:sz="0" w:space="0" w:color="auto"/>
          </w:divBdr>
        </w:div>
        <w:div w:id="430008765">
          <w:marLeft w:val="0"/>
          <w:marRight w:val="0"/>
          <w:marTop w:val="0"/>
          <w:marBottom w:val="0"/>
          <w:divBdr>
            <w:top w:val="none" w:sz="0" w:space="0" w:color="auto"/>
            <w:left w:val="none" w:sz="0" w:space="0" w:color="auto"/>
            <w:bottom w:val="none" w:sz="0" w:space="0" w:color="auto"/>
            <w:right w:val="none" w:sz="0" w:space="0" w:color="auto"/>
          </w:divBdr>
        </w:div>
        <w:div w:id="459111516">
          <w:marLeft w:val="0"/>
          <w:marRight w:val="0"/>
          <w:marTop w:val="0"/>
          <w:marBottom w:val="0"/>
          <w:divBdr>
            <w:top w:val="none" w:sz="0" w:space="0" w:color="auto"/>
            <w:left w:val="none" w:sz="0" w:space="0" w:color="auto"/>
            <w:bottom w:val="none" w:sz="0" w:space="0" w:color="auto"/>
            <w:right w:val="none" w:sz="0" w:space="0" w:color="auto"/>
          </w:divBdr>
        </w:div>
        <w:div w:id="471404987">
          <w:marLeft w:val="0"/>
          <w:marRight w:val="0"/>
          <w:marTop w:val="0"/>
          <w:marBottom w:val="0"/>
          <w:divBdr>
            <w:top w:val="none" w:sz="0" w:space="0" w:color="auto"/>
            <w:left w:val="none" w:sz="0" w:space="0" w:color="auto"/>
            <w:bottom w:val="none" w:sz="0" w:space="0" w:color="auto"/>
            <w:right w:val="none" w:sz="0" w:space="0" w:color="auto"/>
          </w:divBdr>
        </w:div>
        <w:div w:id="496002686">
          <w:marLeft w:val="0"/>
          <w:marRight w:val="0"/>
          <w:marTop w:val="0"/>
          <w:marBottom w:val="0"/>
          <w:divBdr>
            <w:top w:val="none" w:sz="0" w:space="0" w:color="auto"/>
            <w:left w:val="none" w:sz="0" w:space="0" w:color="auto"/>
            <w:bottom w:val="none" w:sz="0" w:space="0" w:color="auto"/>
            <w:right w:val="none" w:sz="0" w:space="0" w:color="auto"/>
          </w:divBdr>
        </w:div>
        <w:div w:id="516114889">
          <w:marLeft w:val="0"/>
          <w:marRight w:val="0"/>
          <w:marTop w:val="0"/>
          <w:marBottom w:val="0"/>
          <w:divBdr>
            <w:top w:val="none" w:sz="0" w:space="0" w:color="auto"/>
            <w:left w:val="none" w:sz="0" w:space="0" w:color="auto"/>
            <w:bottom w:val="none" w:sz="0" w:space="0" w:color="auto"/>
            <w:right w:val="none" w:sz="0" w:space="0" w:color="auto"/>
          </w:divBdr>
        </w:div>
        <w:div w:id="638612632">
          <w:marLeft w:val="0"/>
          <w:marRight w:val="0"/>
          <w:marTop w:val="0"/>
          <w:marBottom w:val="0"/>
          <w:divBdr>
            <w:top w:val="none" w:sz="0" w:space="0" w:color="auto"/>
            <w:left w:val="none" w:sz="0" w:space="0" w:color="auto"/>
            <w:bottom w:val="none" w:sz="0" w:space="0" w:color="auto"/>
            <w:right w:val="none" w:sz="0" w:space="0" w:color="auto"/>
          </w:divBdr>
        </w:div>
        <w:div w:id="649332378">
          <w:marLeft w:val="0"/>
          <w:marRight w:val="0"/>
          <w:marTop w:val="0"/>
          <w:marBottom w:val="0"/>
          <w:divBdr>
            <w:top w:val="none" w:sz="0" w:space="0" w:color="auto"/>
            <w:left w:val="none" w:sz="0" w:space="0" w:color="auto"/>
            <w:bottom w:val="none" w:sz="0" w:space="0" w:color="auto"/>
            <w:right w:val="none" w:sz="0" w:space="0" w:color="auto"/>
          </w:divBdr>
        </w:div>
        <w:div w:id="714162600">
          <w:marLeft w:val="0"/>
          <w:marRight w:val="0"/>
          <w:marTop w:val="0"/>
          <w:marBottom w:val="0"/>
          <w:divBdr>
            <w:top w:val="none" w:sz="0" w:space="0" w:color="auto"/>
            <w:left w:val="none" w:sz="0" w:space="0" w:color="auto"/>
            <w:bottom w:val="none" w:sz="0" w:space="0" w:color="auto"/>
            <w:right w:val="none" w:sz="0" w:space="0" w:color="auto"/>
          </w:divBdr>
        </w:div>
        <w:div w:id="814377607">
          <w:marLeft w:val="0"/>
          <w:marRight w:val="0"/>
          <w:marTop w:val="0"/>
          <w:marBottom w:val="0"/>
          <w:divBdr>
            <w:top w:val="none" w:sz="0" w:space="0" w:color="auto"/>
            <w:left w:val="none" w:sz="0" w:space="0" w:color="auto"/>
            <w:bottom w:val="none" w:sz="0" w:space="0" w:color="auto"/>
            <w:right w:val="none" w:sz="0" w:space="0" w:color="auto"/>
          </w:divBdr>
        </w:div>
        <w:div w:id="852456437">
          <w:marLeft w:val="0"/>
          <w:marRight w:val="0"/>
          <w:marTop w:val="0"/>
          <w:marBottom w:val="0"/>
          <w:divBdr>
            <w:top w:val="none" w:sz="0" w:space="0" w:color="auto"/>
            <w:left w:val="none" w:sz="0" w:space="0" w:color="auto"/>
            <w:bottom w:val="none" w:sz="0" w:space="0" w:color="auto"/>
            <w:right w:val="none" w:sz="0" w:space="0" w:color="auto"/>
          </w:divBdr>
        </w:div>
        <w:div w:id="860164945">
          <w:marLeft w:val="0"/>
          <w:marRight w:val="0"/>
          <w:marTop w:val="0"/>
          <w:marBottom w:val="0"/>
          <w:divBdr>
            <w:top w:val="none" w:sz="0" w:space="0" w:color="auto"/>
            <w:left w:val="none" w:sz="0" w:space="0" w:color="auto"/>
            <w:bottom w:val="none" w:sz="0" w:space="0" w:color="auto"/>
            <w:right w:val="none" w:sz="0" w:space="0" w:color="auto"/>
          </w:divBdr>
        </w:div>
        <w:div w:id="893468846">
          <w:marLeft w:val="0"/>
          <w:marRight w:val="0"/>
          <w:marTop w:val="0"/>
          <w:marBottom w:val="0"/>
          <w:divBdr>
            <w:top w:val="none" w:sz="0" w:space="0" w:color="auto"/>
            <w:left w:val="none" w:sz="0" w:space="0" w:color="auto"/>
            <w:bottom w:val="none" w:sz="0" w:space="0" w:color="auto"/>
            <w:right w:val="none" w:sz="0" w:space="0" w:color="auto"/>
          </w:divBdr>
        </w:div>
        <w:div w:id="904606351">
          <w:marLeft w:val="0"/>
          <w:marRight w:val="0"/>
          <w:marTop w:val="0"/>
          <w:marBottom w:val="0"/>
          <w:divBdr>
            <w:top w:val="none" w:sz="0" w:space="0" w:color="auto"/>
            <w:left w:val="none" w:sz="0" w:space="0" w:color="auto"/>
            <w:bottom w:val="none" w:sz="0" w:space="0" w:color="auto"/>
            <w:right w:val="none" w:sz="0" w:space="0" w:color="auto"/>
          </w:divBdr>
        </w:div>
        <w:div w:id="934554114">
          <w:marLeft w:val="0"/>
          <w:marRight w:val="0"/>
          <w:marTop w:val="0"/>
          <w:marBottom w:val="0"/>
          <w:divBdr>
            <w:top w:val="none" w:sz="0" w:space="0" w:color="auto"/>
            <w:left w:val="none" w:sz="0" w:space="0" w:color="auto"/>
            <w:bottom w:val="none" w:sz="0" w:space="0" w:color="auto"/>
            <w:right w:val="none" w:sz="0" w:space="0" w:color="auto"/>
          </w:divBdr>
        </w:div>
        <w:div w:id="975839051">
          <w:marLeft w:val="0"/>
          <w:marRight w:val="0"/>
          <w:marTop w:val="0"/>
          <w:marBottom w:val="0"/>
          <w:divBdr>
            <w:top w:val="none" w:sz="0" w:space="0" w:color="auto"/>
            <w:left w:val="none" w:sz="0" w:space="0" w:color="auto"/>
            <w:bottom w:val="none" w:sz="0" w:space="0" w:color="auto"/>
            <w:right w:val="none" w:sz="0" w:space="0" w:color="auto"/>
          </w:divBdr>
        </w:div>
        <w:div w:id="1078291168">
          <w:marLeft w:val="0"/>
          <w:marRight w:val="0"/>
          <w:marTop w:val="0"/>
          <w:marBottom w:val="0"/>
          <w:divBdr>
            <w:top w:val="none" w:sz="0" w:space="0" w:color="auto"/>
            <w:left w:val="none" w:sz="0" w:space="0" w:color="auto"/>
            <w:bottom w:val="none" w:sz="0" w:space="0" w:color="auto"/>
            <w:right w:val="none" w:sz="0" w:space="0" w:color="auto"/>
          </w:divBdr>
        </w:div>
        <w:div w:id="1179662033">
          <w:marLeft w:val="0"/>
          <w:marRight w:val="0"/>
          <w:marTop w:val="0"/>
          <w:marBottom w:val="0"/>
          <w:divBdr>
            <w:top w:val="none" w:sz="0" w:space="0" w:color="auto"/>
            <w:left w:val="none" w:sz="0" w:space="0" w:color="auto"/>
            <w:bottom w:val="none" w:sz="0" w:space="0" w:color="auto"/>
            <w:right w:val="none" w:sz="0" w:space="0" w:color="auto"/>
          </w:divBdr>
        </w:div>
        <w:div w:id="1184591145">
          <w:marLeft w:val="0"/>
          <w:marRight w:val="0"/>
          <w:marTop w:val="0"/>
          <w:marBottom w:val="0"/>
          <w:divBdr>
            <w:top w:val="none" w:sz="0" w:space="0" w:color="auto"/>
            <w:left w:val="none" w:sz="0" w:space="0" w:color="auto"/>
            <w:bottom w:val="none" w:sz="0" w:space="0" w:color="auto"/>
            <w:right w:val="none" w:sz="0" w:space="0" w:color="auto"/>
          </w:divBdr>
        </w:div>
        <w:div w:id="1202592666">
          <w:marLeft w:val="0"/>
          <w:marRight w:val="0"/>
          <w:marTop w:val="0"/>
          <w:marBottom w:val="0"/>
          <w:divBdr>
            <w:top w:val="none" w:sz="0" w:space="0" w:color="auto"/>
            <w:left w:val="none" w:sz="0" w:space="0" w:color="auto"/>
            <w:bottom w:val="none" w:sz="0" w:space="0" w:color="auto"/>
            <w:right w:val="none" w:sz="0" w:space="0" w:color="auto"/>
          </w:divBdr>
        </w:div>
        <w:div w:id="1224632835">
          <w:marLeft w:val="0"/>
          <w:marRight w:val="0"/>
          <w:marTop w:val="0"/>
          <w:marBottom w:val="0"/>
          <w:divBdr>
            <w:top w:val="none" w:sz="0" w:space="0" w:color="auto"/>
            <w:left w:val="none" w:sz="0" w:space="0" w:color="auto"/>
            <w:bottom w:val="none" w:sz="0" w:space="0" w:color="auto"/>
            <w:right w:val="none" w:sz="0" w:space="0" w:color="auto"/>
          </w:divBdr>
        </w:div>
        <w:div w:id="1419715822">
          <w:marLeft w:val="0"/>
          <w:marRight w:val="0"/>
          <w:marTop w:val="0"/>
          <w:marBottom w:val="0"/>
          <w:divBdr>
            <w:top w:val="none" w:sz="0" w:space="0" w:color="auto"/>
            <w:left w:val="none" w:sz="0" w:space="0" w:color="auto"/>
            <w:bottom w:val="none" w:sz="0" w:space="0" w:color="auto"/>
            <w:right w:val="none" w:sz="0" w:space="0" w:color="auto"/>
          </w:divBdr>
        </w:div>
        <w:div w:id="1456604912">
          <w:marLeft w:val="0"/>
          <w:marRight w:val="0"/>
          <w:marTop w:val="0"/>
          <w:marBottom w:val="0"/>
          <w:divBdr>
            <w:top w:val="none" w:sz="0" w:space="0" w:color="auto"/>
            <w:left w:val="none" w:sz="0" w:space="0" w:color="auto"/>
            <w:bottom w:val="none" w:sz="0" w:space="0" w:color="auto"/>
            <w:right w:val="none" w:sz="0" w:space="0" w:color="auto"/>
          </w:divBdr>
        </w:div>
        <w:div w:id="1808552343">
          <w:marLeft w:val="0"/>
          <w:marRight w:val="0"/>
          <w:marTop w:val="0"/>
          <w:marBottom w:val="0"/>
          <w:divBdr>
            <w:top w:val="none" w:sz="0" w:space="0" w:color="auto"/>
            <w:left w:val="none" w:sz="0" w:space="0" w:color="auto"/>
            <w:bottom w:val="none" w:sz="0" w:space="0" w:color="auto"/>
            <w:right w:val="none" w:sz="0" w:space="0" w:color="auto"/>
          </w:divBdr>
        </w:div>
        <w:div w:id="1852257441">
          <w:marLeft w:val="0"/>
          <w:marRight w:val="0"/>
          <w:marTop w:val="0"/>
          <w:marBottom w:val="0"/>
          <w:divBdr>
            <w:top w:val="none" w:sz="0" w:space="0" w:color="auto"/>
            <w:left w:val="none" w:sz="0" w:space="0" w:color="auto"/>
            <w:bottom w:val="none" w:sz="0" w:space="0" w:color="auto"/>
            <w:right w:val="none" w:sz="0" w:space="0" w:color="auto"/>
          </w:divBdr>
        </w:div>
        <w:div w:id="1915310961">
          <w:marLeft w:val="0"/>
          <w:marRight w:val="0"/>
          <w:marTop w:val="0"/>
          <w:marBottom w:val="0"/>
          <w:divBdr>
            <w:top w:val="none" w:sz="0" w:space="0" w:color="auto"/>
            <w:left w:val="none" w:sz="0" w:space="0" w:color="auto"/>
            <w:bottom w:val="none" w:sz="0" w:space="0" w:color="auto"/>
            <w:right w:val="none" w:sz="0" w:space="0" w:color="auto"/>
          </w:divBdr>
        </w:div>
        <w:div w:id="1944805642">
          <w:marLeft w:val="0"/>
          <w:marRight w:val="0"/>
          <w:marTop w:val="0"/>
          <w:marBottom w:val="0"/>
          <w:divBdr>
            <w:top w:val="none" w:sz="0" w:space="0" w:color="auto"/>
            <w:left w:val="none" w:sz="0" w:space="0" w:color="auto"/>
            <w:bottom w:val="none" w:sz="0" w:space="0" w:color="auto"/>
            <w:right w:val="none" w:sz="0" w:space="0" w:color="auto"/>
          </w:divBdr>
        </w:div>
        <w:div w:id="1952667949">
          <w:marLeft w:val="0"/>
          <w:marRight w:val="0"/>
          <w:marTop w:val="0"/>
          <w:marBottom w:val="0"/>
          <w:divBdr>
            <w:top w:val="none" w:sz="0" w:space="0" w:color="auto"/>
            <w:left w:val="none" w:sz="0" w:space="0" w:color="auto"/>
            <w:bottom w:val="none" w:sz="0" w:space="0" w:color="auto"/>
            <w:right w:val="none" w:sz="0" w:space="0" w:color="auto"/>
          </w:divBdr>
        </w:div>
        <w:div w:id="2024700694">
          <w:marLeft w:val="0"/>
          <w:marRight w:val="0"/>
          <w:marTop w:val="0"/>
          <w:marBottom w:val="0"/>
          <w:divBdr>
            <w:top w:val="none" w:sz="0" w:space="0" w:color="auto"/>
            <w:left w:val="none" w:sz="0" w:space="0" w:color="auto"/>
            <w:bottom w:val="none" w:sz="0" w:space="0" w:color="auto"/>
            <w:right w:val="none" w:sz="0" w:space="0" w:color="auto"/>
          </w:divBdr>
        </w:div>
        <w:div w:id="2092391724">
          <w:marLeft w:val="0"/>
          <w:marRight w:val="0"/>
          <w:marTop w:val="0"/>
          <w:marBottom w:val="0"/>
          <w:divBdr>
            <w:top w:val="none" w:sz="0" w:space="0" w:color="auto"/>
            <w:left w:val="none" w:sz="0" w:space="0" w:color="auto"/>
            <w:bottom w:val="none" w:sz="0" w:space="0" w:color="auto"/>
            <w:right w:val="none" w:sz="0" w:space="0" w:color="auto"/>
          </w:divBdr>
        </w:div>
      </w:divsChild>
    </w:div>
    <w:div w:id="1367171968">
      <w:bodyDiv w:val="1"/>
      <w:marLeft w:val="0"/>
      <w:marRight w:val="0"/>
      <w:marTop w:val="0"/>
      <w:marBottom w:val="0"/>
      <w:divBdr>
        <w:top w:val="none" w:sz="0" w:space="0" w:color="auto"/>
        <w:left w:val="none" w:sz="0" w:space="0" w:color="auto"/>
        <w:bottom w:val="none" w:sz="0" w:space="0" w:color="auto"/>
        <w:right w:val="none" w:sz="0" w:space="0" w:color="auto"/>
      </w:divBdr>
      <w:divsChild>
        <w:div w:id="98912710">
          <w:marLeft w:val="0"/>
          <w:marRight w:val="0"/>
          <w:marTop w:val="0"/>
          <w:marBottom w:val="0"/>
          <w:divBdr>
            <w:top w:val="none" w:sz="0" w:space="0" w:color="auto"/>
            <w:left w:val="none" w:sz="0" w:space="0" w:color="auto"/>
            <w:bottom w:val="none" w:sz="0" w:space="0" w:color="auto"/>
            <w:right w:val="none" w:sz="0" w:space="0" w:color="auto"/>
          </w:divBdr>
        </w:div>
        <w:div w:id="596329057">
          <w:marLeft w:val="0"/>
          <w:marRight w:val="0"/>
          <w:marTop w:val="0"/>
          <w:marBottom w:val="0"/>
          <w:divBdr>
            <w:top w:val="none" w:sz="0" w:space="0" w:color="auto"/>
            <w:left w:val="none" w:sz="0" w:space="0" w:color="auto"/>
            <w:bottom w:val="none" w:sz="0" w:space="0" w:color="auto"/>
            <w:right w:val="none" w:sz="0" w:space="0" w:color="auto"/>
          </w:divBdr>
        </w:div>
        <w:div w:id="679427059">
          <w:marLeft w:val="0"/>
          <w:marRight w:val="0"/>
          <w:marTop w:val="0"/>
          <w:marBottom w:val="0"/>
          <w:divBdr>
            <w:top w:val="none" w:sz="0" w:space="0" w:color="auto"/>
            <w:left w:val="none" w:sz="0" w:space="0" w:color="auto"/>
            <w:bottom w:val="none" w:sz="0" w:space="0" w:color="auto"/>
            <w:right w:val="none" w:sz="0" w:space="0" w:color="auto"/>
          </w:divBdr>
        </w:div>
        <w:div w:id="688025293">
          <w:marLeft w:val="0"/>
          <w:marRight w:val="0"/>
          <w:marTop w:val="0"/>
          <w:marBottom w:val="0"/>
          <w:divBdr>
            <w:top w:val="none" w:sz="0" w:space="0" w:color="auto"/>
            <w:left w:val="none" w:sz="0" w:space="0" w:color="auto"/>
            <w:bottom w:val="none" w:sz="0" w:space="0" w:color="auto"/>
            <w:right w:val="none" w:sz="0" w:space="0" w:color="auto"/>
          </w:divBdr>
        </w:div>
        <w:div w:id="1032222279">
          <w:marLeft w:val="0"/>
          <w:marRight w:val="0"/>
          <w:marTop w:val="0"/>
          <w:marBottom w:val="0"/>
          <w:divBdr>
            <w:top w:val="none" w:sz="0" w:space="0" w:color="auto"/>
            <w:left w:val="none" w:sz="0" w:space="0" w:color="auto"/>
            <w:bottom w:val="none" w:sz="0" w:space="0" w:color="auto"/>
            <w:right w:val="none" w:sz="0" w:space="0" w:color="auto"/>
          </w:divBdr>
        </w:div>
        <w:div w:id="1580672127">
          <w:marLeft w:val="0"/>
          <w:marRight w:val="0"/>
          <w:marTop w:val="0"/>
          <w:marBottom w:val="0"/>
          <w:divBdr>
            <w:top w:val="none" w:sz="0" w:space="0" w:color="auto"/>
            <w:left w:val="none" w:sz="0" w:space="0" w:color="auto"/>
            <w:bottom w:val="none" w:sz="0" w:space="0" w:color="auto"/>
            <w:right w:val="none" w:sz="0" w:space="0" w:color="auto"/>
          </w:divBdr>
        </w:div>
        <w:div w:id="2048944948">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10013498">
      <w:bodyDiv w:val="1"/>
      <w:marLeft w:val="0"/>
      <w:marRight w:val="0"/>
      <w:marTop w:val="0"/>
      <w:marBottom w:val="0"/>
      <w:divBdr>
        <w:top w:val="none" w:sz="0" w:space="0" w:color="auto"/>
        <w:left w:val="none" w:sz="0" w:space="0" w:color="auto"/>
        <w:bottom w:val="none" w:sz="0" w:space="0" w:color="auto"/>
        <w:right w:val="none" w:sz="0" w:space="0" w:color="auto"/>
      </w:divBdr>
      <w:divsChild>
        <w:div w:id="919142767">
          <w:marLeft w:val="0"/>
          <w:marRight w:val="0"/>
          <w:marTop w:val="0"/>
          <w:marBottom w:val="0"/>
          <w:divBdr>
            <w:top w:val="none" w:sz="0" w:space="0" w:color="auto"/>
            <w:left w:val="none" w:sz="0" w:space="0" w:color="auto"/>
            <w:bottom w:val="none" w:sz="0" w:space="0" w:color="auto"/>
            <w:right w:val="none" w:sz="0" w:space="0" w:color="auto"/>
          </w:divBdr>
        </w:div>
        <w:div w:id="138930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2016-06-21T14:30:00+00:00</Release_x0020_Date>
    <Publication_x0020_Title xmlns="378e824e-6e02-4c0d-8321-dd86fba681ee">Cash Management – Transaction Management Section C3.2: Payments</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TD-C3.2</Identifier>
    <Notify xmlns="378e824e-6e02-4c0d-8321-dd86fba681ee">false</Notify>
    <Publication_x0020_Type xmlns="378e824e-6e02-4c0d-8321-dd86fba681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9D84-D9B0-4A18-A96A-A09F90AB59B0}">
  <ds:schemaRefs>
    <ds:schemaRef ds:uri="http://schemas.microsoft.com/office/2006/metadata/properties"/>
    <ds:schemaRef ds:uri="378e824e-6e02-4c0d-8321-dd86fba681ee"/>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C060A41-E7C0-4167-8E6A-DEEB7F8A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994DC-3525-4A4A-AAE3-49480033B84E}">
  <ds:schemaRefs>
    <ds:schemaRef ds:uri="http://schemas.microsoft.com/sharepoint/v3/contenttype/forms"/>
  </ds:schemaRefs>
</ds:datastoreItem>
</file>

<file path=customXml/itemProps4.xml><?xml version="1.0" encoding="utf-8"?>
<ds:datastoreItem xmlns:ds="http://schemas.openxmlformats.org/officeDocument/2006/customXml" ds:itemID="{83EF6D76-B9F2-402C-B3A0-CDA1F973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Cash Management – Transaction Management Section C3.2: Payments</vt:lpstr>
    </vt:vector>
  </TitlesOfParts>
  <Company>Northern Territory Government</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Management – Transaction Management Section C3.2: Payments</dc:title>
  <dc:subject/>
  <dc:creator>Barbara Beamsley</dc:creator>
  <cp:keywords/>
  <dc:description/>
  <cp:lastModifiedBy>Jenna Box</cp:lastModifiedBy>
  <cp:revision>3</cp:revision>
  <cp:lastPrinted>2019-06-18T06:49:00Z</cp:lastPrinted>
  <dcterms:created xsi:type="dcterms:W3CDTF">2023-08-17T07:32:00Z</dcterms:created>
  <dcterms:modified xsi:type="dcterms:W3CDTF">2023-08-21T00:13:00Z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