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333EB" w14:textId="2181746D" w:rsidR="00707DD9" w:rsidRPr="00726418" w:rsidRDefault="00707DD9" w:rsidP="00707DD9">
      <w:pPr>
        <w:pStyle w:val="Heading1"/>
        <w:spacing w:before="0"/>
        <w:rPr>
          <w:rFonts w:asciiTheme="minorHAnsi" w:hAnsiTheme="minorHAnsi"/>
        </w:rPr>
      </w:pPr>
      <w:r w:rsidRPr="00726418">
        <w:rPr>
          <w:rFonts w:asciiTheme="minorHAnsi" w:hAnsiTheme="minorHAnsi"/>
        </w:rPr>
        <w:t>Treasurer’s Direction (mandatory)</w:t>
      </w:r>
    </w:p>
    <w:tbl>
      <w:tblPr>
        <w:tblStyle w:val="NTGtable"/>
        <w:tblW w:w="9771" w:type="dxa"/>
        <w:tblLook w:val="04A0" w:firstRow="1" w:lastRow="0" w:firstColumn="1" w:lastColumn="0" w:noHBand="0" w:noVBand="1"/>
        <w:tblDescription w:val="Details about this Treasurer's Direction."/>
      </w:tblPr>
      <w:tblGrid>
        <w:gridCol w:w="1870"/>
        <w:gridCol w:w="7901"/>
      </w:tblGrid>
      <w:tr w:rsidR="00B2229C" w:rsidRPr="008B15E6" w14:paraId="2573F61C" w14:textId="77777777" w:rsidTr="00B22C6C">
        <w:trPr>
          <w:cnfStyle w:val="100000000000" w:firstRow="1" w:lastRow="0" w:firstColumn="0" w:lastColumn="0" w:oddVBand="0" w:evenVBand="0" w:oddHBand="0" w:evenHBand="0" w:firstRowFirstColumn="0" w:firstRowLastColumn="0" w:lastRowFirstColumn="0" w:lastRowLastColumn="0"/>
          <w:trHeight w:val="921"/>
          <w:tblHeader/>
        </w:trPr>
        <w:tc>
          <w:tcPr>
            <w:cnfStyle w:val="001000000100" w:firstRow="0" w:lastRow="0" w:firstColumn="1" w:lastColumn="0" w:oddVBand="0" w:evenVBand="0" w:oddHBand="0" w:evenHBand="0" w:firstRowFirstColumn="1" w:firstRowLastColumn="0" w:lastRowFirstColumn="0" w:lastRowLastColumn="0"/>
            <w:tcW w:w="1870" w:type="dxa"/>
          </w:tcPr>
          <w:p w14:paraId="689FC779" w14:textId="77777777" w:rsidR="00B2229C" w:rsidRPr="00607D13" w:rsidRDefault="00B2229C">
            <w:pPr>
              <w:rPr>
                <w:bCs/>
              </w:rPr>
            </w:pPr>
            <w:r w:rsidRPr="00607D13">
              <w:rPr>
                <w:bCs/>
              </w:rPr>
              <w:t>Purpose</w:t>
            </w:r>
          </w:p>
        </w:tc>
        <w:tc>
          <w:tcPr>
            <w:tcW w:w="7901" w:type="dxa"/>
            <w:shd w:val="clear" w:color="auto" w:fill="auto"/>
          </w:tcPr>
          <w:p w14:paraId="54B456D4" w14:textId="5C842CE7" w:rsidR="00B2229C" w:rsidRPr="007C6903" w:rsidRDefault="00E3290E">
            <w:pPr>
              <w:cnfStyle w:val="100000000000" w:firstRow="1" w:lastRow="0" w:firstColumn="0" w:lastColumn="0" w:oddVBand="0" w:evenVBand="0" w:oddHBand="0" w:evenHBand="0" w:firstRowFirstColumn="0" w:firstRowLastColumn="0" w:lastRowFirstColumn="0" w:lastRowLastColumn="0"/>
              <w:rPr>
                <w:b w:val="0"/>
              </w:rPr>
            </w:pPr>
            <w:r w:rsidRPr="007C6903">
              <w:rPr>
                <w:b w:val="0"/>
              </w:rPr>
              <w:t xml:space="preserve">To </w:t>
            </w:r>
            <w:r w:rsidR="000304A6" w:rsidRPr="007C6903">
              <w:rPr>
                <w:b w:val="0"/>
              </w:rPr>
              <w:t>establish</w:t>
            </w:r>
            <w:r w:rsidRPr="007C6903">
              <w:rPr>
                <w:b w:val="0"/>
              </w:rPr>
              <w:t xml:space="preserve"> the </w:t>
            </w:r>
            <w:r w:rsidR="000304A6" w:rsidRPr="007C6903">
              <w:rPr>
                <w:b w:val="0"/>
              </w:rPr>
              <w:t>minimum standards for Territory</w:t>
            </w:r>
            <w:r w:rsidR="009A4DCD" w:rsidRPr="007C6903">
              <w:rPr>
                <w:b w:val="0"/>
              </w:rPr>
              <w:t> </w:t>
            </w:r>
            <w:r w:rsidR="00930C3B" w:rsidRPr="007C6903">
              <w:rPr>
                <w:b w:val="0"/>
              </w:rPr>
              <w:t>G</w:t>
            </w:r>
            <w:r w:rsidR="000304A6" w:rsidRPr="007C6903">
              <w:rPr>
                <w:b w:val="0"/>
              </w:rPr>
              <w:t xml:space="preserve">overnment agencies to </w:t>
            </w:r>
            <w:r w:rsidR="00D47995" w:rsidRPr="007C6903">
              <w:rPr>
                <w:b w:val="0"/>
              </w:rPr>
              <w:t xml:space="preserve">plan, review and report </w:t>
            </w:r>
            <w:r w:rsidR="003C2E72" w:rsidRPr="007C6903">
              <w:rPr>
                <w:b w:val="0"/>
              </w:rPr>
              <w:t>their organisational</w:t>
            </w:r>
            <w:r w:rsidR="000304A6" w:rsidRPr="007C6903">
              <w:rPr>
                <w:b w:val="0"/>
              </w:rPr>
              <w:t xml:space="preserve"> performance and accountability. </w:t>
            </w:r>
          </w:p>
        </w:tc>
      </w:tr>
      <w:tr w:rsidR="00B2229C" w:rsidRPr="008B15E6" w14:paraId="39F2385C" w14:textId="77777777" w:rsidTr="00B22C6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870" w:type="dxa"/>
            <w:shd w:val="clear" w:color="auto" w:fill="1F1F5F" w:themeFill="text1"/>
          </w:tcPr>
          <w:p w14:paraId="6CB543A5" w14:textId="77777777" w:rsidR="00B2229C" w:rsidRPr="008B15E6" w:rsidRDefault="00B2229C">
            <w:pPr>
              <w:rPr>
                <w:b/>
                <w:bCs/>
              </w:rPr>
            </w:pPr>
            <w:r w:rsidRPr="008B15E6">
              <w:rPr>
                <w:b/>
                <w:bCs/>
              </w:rPr>
              <w:t>Last reviewed</w:t>
            </w:r>
          </w:p>
        </w:tc>
        <w:tc>
          <w:tcPr>
            <w:tcW w:w="7901" w:type="dxa"/>
          </w:tcPr>
          <w:p w14:paraId="00F108FB" w14:textId="77777777" w:rsidR="00B2229C" w:rsidRPr="00707DD9" w:rsidRDefault="00E3290E">
            <w:pPr>
              <w:cnfStyle w:val="000000100000" w:firstRow="0" w:lastRow="0" w:firstColumn="0" w:lastColumn="0" w:oddVBand="0" w:evenVBand="0" w:oddHBand="1" w:evenHBand="0" w:firstRowFirstColumn="0" w:firstRowLastColumn="0" w:lastRowFirstColumn="0" w:lastRowLastColumn="0"/>
            </w:pPr>
            <w:r w:rsidRPr="00707DD9">
              <w:t>Not applicable</w:t>
            </w:r>
          </w:p>
        </w:tc>
      </w:tr>
      <w:tr w:rsidR="00E3290E" w:rsidRPr="008B15E6" w14:paraId="47FDEA4E" w14:textId="77777777" w:rsidTr="00B22C6C">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870" w:type="dxa"/>
            <w:shd w:val="clear" w:color="auto" w:fill="1F1F5F" w:themeFill="text1"/>
          </w:tcPr>
          <w:p w14:paraId="1C68FD96" w14:textId="77777777" w:rsidR="00E3290E" w:rsidRPr="008B15E6" w:rsidRDefault="00E3290E">
            <w:pPr>
              <w:rPr>
                <w:b/>
                <w:bCs/>
              </w:rPr>
            </w:pPr>
            <w:r w:rsidRPr="008B15E6">
              <w:rPr>
                <w:b/>
                <w:bCs/>
              </w:rPr>
              <w:t>Operative date</w:t>
            </w:r>
          </w:p>
        </w:tc>
        <w:tc>
          <w:tcPr>
            <w:tcW w:w="7901" w:type="dxa"/>
            <w:shd w:val="clear" w:color="auto" w:fill="auto"/>
          </w:tcPr>
          <w:p w14:paraId="02D53278" w14:textId="50FBF274" w:rsidR="00E3290E" w:rsidRPr="00707DD9" w:rsidRDefault="00224C10">
            <w:pPr>
              <w:cnfStyle w:val="000000010000" w:firstRow="0" w:lastRow="0" w:firstColumn="0" w:lastColumn="0" w:oddVBand="0" w:evenVBand="0" w:oddHBand="0" w:evenHBand="1" w:firstRowFirstColumn="0" w:firstRowLastColumn="0" w:lastRowFirstColumn="0" w:lastRowLastColumn="0"/>
            </w:pPr>
            <w:r>
              <w:t>3</w:t>
            </w:r>
            <w:r w:rsidR="004722D2" w:rsidRPr="00707DD9">
              <w:t xml:space="preserve"> November</w:t>
            </w:r>
            <w:r w:rsidR="00CE17AA" w:rsidRPr="00707DD9">
              <w:t xml:space="preserve"> </w:t>
            </w:r>
            <w:r w:rsidR="00A548BB" w:rsidRPr="00707DD9">
              <w:t>2022</w:t>
            </w:r>
          </w:p>
        </w:tc>
      </w:tr>
      <w:tr w:rsidR="00E3290E" w:rsidRPr="008B15E6" w14:paraId="6937560D" w14:textId="77777777" w:rsidTr="00B22C6C">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1870" w:type="dxa"/>
            <w:shd w:val="clear" w:color="auto" w:fill="1F1F5F" w:themeFill="text1"/>
          </w:tcPr>
          <w:p w14:paraId="73127B77" w14:textId="77777777" w:rsidR="00E3290E" w:rsidRPr="008B15E6" w:rsidRDefault="00E3290E">
            <w:pPr>
              <w:rPr>
                <w:b/>
                <w:bCs/>
              </w:rPr>
            </w:pPr>
            <w:r w:rsidRPr="008B15E6">
              <w:rPr>
                <w:b/>
                <w:bCs/>
              </w:rPr>
              <w:t>References</w:t>
            </w:r>
          </w:p>
        </w:tc>
        <w:tc>
          <w:tcPr>
            <w:tcW w:w="7901" w:type="dxa"/>
          </w:tcPr>
          <w:p w14:paraId="73A26C6A" w14:textId="77777777" w:rsidR="00224C10" w:rsidRPr="006D69D7" w:rsidRDefault="00224C10" w:rsidP="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rPr>
            </w:pPr>
            <w:r w:rsidRPr="006D69D7">
              <w:rPr>
                <w:rFonts w:ascii="Lato" w:hAnsi="Lato"/>
              </w:rPr>
              <w:t>Budget Paper No. 3 Key Performance Indicators Guidance Document</w:t>
            </w:r>
          </w:p>
          <w:p w14:paraId="6B318226" w14:textId="5740FCB5" w:rsidR="00224C10" w:rsidRDefault="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rPr>
            </w:pPr>
            <w:r w:rsidRPr="006D69D7">
              <w:rPr>
                <w:rFonts w:ascii="Lato" w:hAnsi="Lato"/>
              </w:rPr>
              <w:t>Cabinet Handbook</w:t>
            </w:r>
          </w:p>
          <w:p w14:paraId="09B4B90F" w14:textId="77777777" w:rsidR="00224C10" w:rsidRPr="006D69D7" w:rsidRDefault="00224C10" w:rsidP="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6D69D7">
              <w:rPr>
                <w:rFonts w:ascii="Lato" w:hAnsi="Lato"/>
                <w:i/>
              </w:rPr>
              <w:t>Financial Management Act 1995</w:t>
            </w:r>
          </w:p>
          <w:p w14:paraId="752C3988" w14:textId="7AE765ED" w:rsidR="00224C10" w:rsidRDefault="00224C10" w:rsidP="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6D69D7">
              <w:rPr>
                <w:rFonts w:ascii="Lato" w:hAnsi="Lato"/>
                <w:i/>
              </w:rPr>
              <w:t>Fiscal Integrity</w:t>
            </w:r>
            <w:r>
              <w:rPr>
                <w:rFonts w:ascii="Lato" w:hAnsi="Lato"/>
                <w:i/>
              </w:rPr>
              <w:t xml:space="preserve"> and </w:t>
            </w:r>
            <w:r w:rsidRPr="006D69D7">
              <w:rPr>
                <w:rFonts w:ascii="Lato" w:hAnsi="Lato"/>
                <w:i/>
              </w:rPr>
              <w:t>Transparency Act 2001</w:t>
            </w:r>
          </w:p>
          <w:p w14:paraId="1828929F" w14:textId="77777777" w:rsidR="00224C10" w:rsidRPr="006D69D7" w:rsidRDefault="00224C10" w:rsidP="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rPr>
            </w:pPr>
            <w:r w:rsidRPr="006D69D7">
              <w:rPr>
                <w:rFonts w:ascii="Lato" w:hAnsi="Lato"/>
              </w:rPr>
              <w:t>Northern Territory Government Agency Organisational Review Framework</w:t>
            </w:r>
          </w:p>
          <w:p w14:paraId="67F4412E" w14:textId="65D17FEB" w:rsidR="00E3290E" w:rsidRPr="001C6B00" w:rsidRDefault="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 xml:space="preserve">Northern Territory Government </w:t>
            </w:r>
            <w:r w:rsidR="00E3290E" w:rsidRPr="001C6B00">
              <w:rPr>
                <w:rFonts w:ascii="Lato" w:hAnsi="Lato"/>
              </w:rPr>
              <w:t xml:space="preserve">Charter of </w:t>
            </w:r>
            <w:r w:rsidR="00EE5032" w:rsidRPr="001C6B00">
              <w:rPr>
                <w:rFonts w:ascii="Lato" w:hAnsi="Lato"/>
              </w:rPr>
              <w:t>B</w:t>
            </w:r>
            <w:r w:rsidR="00E3290E" w:rsidRPr="001C6B00">
              <w:rPr>
                <w:rFonts w:ascii="Lato" w:hAnsi="Lato"/>
              </w:rPr>
              <w:t xml:space="preserve">udget </w:t>
            </w:r>
            <w:r w:rsidR="00230A41" w:rsidRPr="001C6B00">
              <w:rPr>
                <w:rFonts w:ascii="Lato" w:hAnsi="Lato"/>
              </w:rPr>
              <w:t>D</w:t>
            </w:r>
            <w:r w:rsidR="00E3290E" w:rsidRPr="001C6B00">
              <w:rPr>
                <w:rFonts w:ascii="Lato" w:hAnsi="Lato"/>
              </w:rPr>
              <w:t>iscipline</w:t>
            </w:r>
          </w:p>
          <w:p w14:paraId="62A99782" w14:textId="77777777" w:rsidR="009E0EC4" w:rsidRPr="001C6B00" w:rsidRDefault="008D79C3">
            <w:pPr>
              <w:pStyle w:val="NTGTableBulletList1"/>
              <w:cnfStyle w:val="000000100000" w:firstRow="0" w:lastRow="0" w:firstColumn="0" w:lastColumn="0" w:oddVBand="0" w:evenVBand="0" w:oddHBand="1" w:evenHBand="0" w:firstRowFirstColumn="0" w:firstRowLastColumn="0" w:lastRowFirstColumn="0" w:lastRowLastColumn="0"/>
              <w:rPr>
                <w:rFonts w:ascii="Lato" w:hAnsi="Lato"/>
              </w:rPr>
            </w:pPr>
            <w:r w:rsidRPr="001C6B00">
              <w:rPr>
                <w:rFonts w:ascii="Lato" w:hAnsi="Lato"/>
              </w:rPr>
              <w:t xml:space="preserve">Northern Territory Government </w:t>
            </w:r>
            <w:r w:rsidR="009E0EC4" w:rsidRPr="001C6B00">
              <w:rPr>
                <w:rFonts w:ascii="Lato" w:hAnsi="Lato"/>
              </w:rPr>
              <w:t xml:space="preserve">Program Evaluation Framework </w:t>
            </w:r>
          </w:p>
          <w:p w14:paraId="677BB3A2" w14:textId="29AB3414" w:rsidR="00224C10" w:rsidRDefault="00224C10" w:rsidP="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6D69D7">
              <w:rPr>
                <w:rFonts w:ascii="Lato" w:hAnsi="Lato"/>
                <w:i/>
              </w:rPr>
              <w:t>Public Sector</w:t>
            </w:r>
            <w:r w:rsidR="00F93C44">
              <w:rPr>
                <w:rFonts w:ascii="Lato" w:hAnsi="Lato"/>
                <w:i/>
              </w:rPr>
              <w:t xml:space="preserve"> Employment and Management Act </w:t>
            </w:r>
            <w:r w:rsidRPr="006D69D7">
              <w:rPr>
                <w:rFonts w:ascii="Lato" w:hAnsi="Lato"/>
                <w:i/>
              </w:rPr>
              <w:t>1993</w:t>
            </w:r>
          </w:p>
          <w:p w14:paraId="56B4D4BB" w14:textId="77777777" w:rsidR="00224C10" w:rsidRPr="006D69D7" w:rsidRDefault="00224C10" w:rsidP="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rPr>
            </w:pPr>
            <w:r w:rsidRPr="006D69D7">
              <w:rPr>
                <w:rFonts w:ascii="Lato" w:hAnsi="Lato"/>
              </w:rPr>
              <w:t>Treasurer’s Direction – Carryovers</w:t>
            </w:r>
          </w:p>
          <w:p w14:paraId="7251EDCF" w14:textId="77777777" w:rsidR="00224C10" w:rsidRPr="006D69D7" w:rsidRDefault="00224C10" w:rsidP="00224C10">
            <w:pPr>
              <w:pStyle w:val="NTGTableBulletList1"/>
              <w:cnfStyle w:val="000000100000" w:firstRow="0" w:lastRow="0" w:firstColumn="0" w:lastColumn="0" w:oddVBand="0" w:evenVBand="0" w:oddHBand="1" w:evenHBand="0" w:firstRowFirstColumn="0" w:firstRowLastColumn="0" w:lastRowFirstColumn="0" w:lastRowLastColumn="0"/>
              <w:rPr>
                <w:rFonts w:ascii="Lato" w:hAnsi="Lato"/>
              </w:rPr>
            </w:pPr>
            <w:r w:rsidRPr="006D69D7">
              <w:rPr>
                <w:rFonts w:ascii="Lato" w:hAnsi="Lato"/>
              </w:rPr>
              <w:t>Treasurer’s Direction – Standard Classification Codes</w:t>
            </w:r>
          </w:p>
          <w:p w14:paraId="23615CF1" w14:textId="0E4956AD" w:rsidR="00331F2F" w:rsidRPr="001C6B00" w:rsidRDefault="00331F2F" w:rsidP="001C6B00">
            <w:pPr>
              <w:pStyle w:val="NTGTableBulletList1"/>
              <w:numPr>
                <w:ilvl w:val="0"/>
                <w:numId w:val="0"/>
              </w:numPr>
              <w:ind w:left="284"/>
              <w:cnfStyle w:val="000000100000" w:firstRow="0" w:lastRow="0" w:firstColumn="0" w:lastColumn="0" w:oddVBand="0" w:evenVBand="0" w:oddHBand="1" w:evenHBand="0" w:firstRowFirstColumn="0" w:firstRowLastColumn="0" w:lastRowFirstColumn="0" w:lastRowLastColumn="0"/>
              <w:rPr>
                <w:rFonts w:ascii="Lato" w:hAnsi="Lato"/>
              </w:rPr>
            </w:pPr>
          </w:p>
        </w:tc>
      </w:tr>
    </w:tbl>
    <w:p w14:paraId="0AED1C06" w14:textId="77777777" w:rsidR="008C73B1" w:rsidRPr="008B15E6" w:rsidRDefault="008C73B1"/>
    <w:p w14:paraId="4558C9DA" w14:textId="77777777" w:rsidR="00031D3E" w:rsidRPr="008B15E6" w:rsidRDefault="00031D3E">
      <w:pPr>
        <w:pStyle w:val="Heading1"/>
      </w:pPr>
      <w:r w:rsidRPr="008B15E6">
        <w:t>Overview</w:t>
      </w:r>
    </w:p>
    <w:p w14:paraId="7A448875" w14:textId="77777777" w:rsidR="00E3290E" w:rsidRPr="008B15E6" w:rsidRDefault="00E3290E">
      <w:pPr>
        <w:pStyle w:val="Heading2"/>
      </w:pPr>
      <w:r w:rsidRPr="008B15E6">
        <w:t>Scope</w:t>
      </w:r>
      <w:r w:rsidRPr="008B15E6">
        <w:tab/>
      </w:r>
    </w:p>
    <w:p w14:paraId="3233EFA9" w14:textId="22B806DD" w:rsidR="00896957" w:rsidRPr="008B15E6" w:rsidRDefault="00E3290E">
      <w:pPr>
        <w:pStyle w:val="ListParagraph"/>
        <w:numPr>
          <w:ilvl w:val="0"/>
          <w:numId w:val="15"/>
        </w:numPr>
        <w:spacing w:line="276" w:lineRule="auto"/>
      </w:pPr>
      <w:bookmarkStart w:id="0" w:name="_Ref110351005"/>
      <w:r w:rsidRPr="008B15E6">
        <w:t xml:space="preserve">This Treasurer’s Direction outlines </w:t>
      </w:r>
      <w:r w:rsidR="003645BE" w:rsidRPr="008B15E6">
        <w:t>the</w:t>
      </w:r>
      <w:r w:rsidR="00AB7460" w:rsidRPr="008B15E6">
        <w:t xml:space="preserve"> </w:t>
      </w:r>
      <w:r w:rsidR="003331D3" w:rsidRPr="008B15E6">
        <w:t xml:space="preserve">minimum requirements </w:t>
      </w:r>
      <w:r w:rsidR="00D35F69" w:rsidRPr="008B15E6">
        <w:t xml:space="preserve">for </w:t>
      </w:r>
      <w:r w:rsidR="0057675C" w:rsidRPr="008B15E6">
        <w:t xml:space="preserve">Territory Government agencies </w:t>
      </w:r>
      <w:r w:rsidR="00AC1922" w:rsidRPr="008B15E6">
        <w:t xml:space="preserve">to </w:t>
      </w:r>
      <w:r w:rsidR="00D47995" w:rsidRPr="008B15E6">
        <w:rPr>
          <w:lang w:eastAsia="en-AU"/>
        </w:rPr>
        <w:t>plan,</w:t>
      </w:r>
      <w:r w:rsidR="00D57C3C" w:rsidRPr="008B15E6">
        <w:rPr>
          <w:lang w:eastAsia="en-AU"/>
        </w:rPr>
        <w:t xml:space="preserve"> </w:t>
      </w:r>
      <w:r w:rsidR="00D47995" w:rsidRPr="008B15E6">
        <w:rPr>
          <w:lang w:eastAsia="en-AU"/>
        </w:rPr>
        <w:t>review and report</w:t>
      </w:r>
      <w:r w:rsidR="00AC1922" w:rsidRPr="008B15E6">
        <w:t xml:space="preserve"> </w:t>
      </w:r>
      <w:r w:rsidR="000B0AC7" w:rsidRPr="008B15E6">
        <w:t xml:space="preserve">their organisational </w:t>
      </w:r>
      <w:r w:rsidR="00AC1922" w:rsidRPr="008B15E6">
        <w:t>performance and accountability.</w:t>
      </w:r>
      <w:bookmarkEnd w:id="0"/>
    </w:p>
    <w:p w14:paraId="0D7DE351" w14:textId="77777777" w:rsidR="000743CE" w:rsidRPr="008B15E6" w:rsidRDefault="00BE639C">
      <w:pPr>
        <w:pStyle w:val="ListParagraph"/>
        <w:numPr>
          <w:ilvl w:val="0"/>
          <w:numId w:val="15"/>
        </w:numPr>
      </w:pPr>
      <w:r w:rsidRPr="008B15E6">
        <w:t xml:space="preserve">Any reference to ‘agency’ also includes </w:t>
      </w:r>
      <w:r w:rsidR="00885A57" w:rsidRPr="008B15E6">
        <w:t>government business divisions (GBDs)</w:t>
      </w:r>
      <w:r w:rsidR="00E20364" w:rsidRPr="008B15E6">
        <w:t xml:space="preserve">. </w:t>
      </w:r>
    </w:p>
    <w:p w14:paraId="31864164" w14:textId="20B93FD4" w:rsidR="000B0AC7" w:rsidRPr="008B15E6" w:rsidRDefault="000B0AC7">
      <w:pPr>
        <w:pStyle w:val="ListParagraph"/>
        <w:numPr>
          <w:ilvl w:val="0"/>
          <w:numId w:val="15"/>
        </w:numPr>
      </w:pPr>
      <w:r w:rsidRPr="008B15E6">
        <w:t xml:space="preserve">GBDs are exempt from applying paragraphs </w:t>
      </w:r>
      <w:r w:rsidR="00AB32B7" w:rsidRPr="001C6B00">
        <w:fldChar w:fldCharType="begin"/>
      </w:r>
      <w:r w:rsidR="00AB32B7" w:rsidRPr="008B15E6">
        <w:instrText xml:space="preserve"> REF _Ref115872578 \r \h </w:instrText>
      </w:r>
      <w:r w:rsidR="008B15E6" w:rsidRPr="001C6B00">
        <w:instrText xml:space="preserve"> \* MERGEFORMAT </w:instrText>
      </w:r>
      <w:r w:rsidR="00AB32B7" w:rsidRPr="001C6B00">
        <w:fldChar w:fldCharType="separate"/>
      </w:r>
      <w:r w:rsidR="00F61257">
        <w:t>38</w:t>
      </w:r>
      <w:r w:rsidR="00AB32B7" w:rsidRPr="001C6B00">
        <w:fldChar w:fldCharType="end"/>
      </w:r>
      <w:r w:rsidRPr="008B15E6">
        <w:t xml:space="preserve"> to</w:t>
      </w:r>
      <w:r w:rsidR="00AB32B7" w:rsidRPr="008B15E6">
        <w:t xml:space="preserve"> </w:t>
      </w:r>
      <w:r w:rsidR="00FD21FD" w:rsidRPr="003D717F">
        <w:fldChar w:fldCharType="begin"/>
      </w:r>
      <w:r w:rsidR="00FD21FD" w:rsidRPr="008B15E6">
        <w:instrText xml:space="preserve"> REF _Ref117757771 \r \h </w:instrText>
      </w:r>
      <w:r w:rsidR="008B15E6" w:rsidRPr="008B15E6">
        <w:instrText xml:space="preserve"> \* MERGEFORMAT </w:instrText>
      </w:r>
      <w:r w:rsidR="00FD21FD" w:rsidRPr="003D717F">
        <w:fldChar w:fldCharType="separate"/>
      </w:r>
      <w:r w:rsidR="00F61257">
        <w:t>43</w:t>
      </w:r>
      <w:r w:rsidR="00FD21FD" w:rsidRPr="003D717F">
        <w:fldChar w:fldCharType="end"/>
      </w:r>
      <w:r w:rsidRPr="008B15E6">
        <w:t>.</w:t>
      </w:r>
    </w:p>
    <w:p w14:paraId="06875E31" w14:textId="16377EDD" w:rsidR="00E20364" w:rsidRPr="008B15E6" w:rsidRDefault="00D15BCD">
      <w:pPr>
        <w:pStyle w:val="ListParagraph"/>
        <w:numPr>
          <w:ilvl w:val="0"/>
          <w:numId w:val="15"/>
        </w:numPr>
      </w:pPr>
      <w:bookmarkStart w:id="1" w:name="_Ref106370849"/>
      <w:r w:rsidRPr="008B15E6">
        <w:t>A</w:t>
      </w:r>
      <w:r w:rsidR="00E20364" w:rsidRPr="008B15E6">
        <w:t xml:space="preserve">gencies that </w:t>
      </w:r>
      <w:r w:rsidR="00BC1D37" w:rsidRPr="008B15E6">
        <w:t xml:space="preserve">directly </w:t>
      </w:r>
      <w:r w:rsidR="00E20364" w:rsidRPr="008B15E6">
        <w:t>support the following independent statutory officers are</w:t>
      </w:r>
      <w:r w:rsidR="000B0AC7" w:rsidRPr="008B15E6">
        <w:t xml:space="preserve"> exempt from provisions in </w:t>
      </w:r>
      <w:r w:rsidR="00E20364" w:rsidRPr="008B15E6">
        <w:t>paragraph</w:t>
      </w:r>
      <w:r w:rsidR="007B0E5A" w:rsidRPr="008B15E6">
        <w:t>s</w:t>
      </w:r>
      <w:r w:rsidR="00FF766F" w:rsidRPr="008B15E6">
        <w:t xml:space="preserve"> </w:t>
      </w:r>
      <w:r w:rsidR="00FF595B" w:rsidRPr="003D717F">
        <w:fldChar w:fldCharType="begin"/>
      </w:r>
      <w:r w:rsidR="00FF595B" w:rsidRPr="008B15E6">
        <w:instrText xml:space="preserve"> REF _Ref105675134 \r \h </w:instrText>
      </w:r>
      <w:r w:rsidR="008B15E6" w:rsidRPr="008B15E6">
        <w:instrText xml:space="preserve"> \* MERGEFORMAT </w:instrText>
      </w:r>
      <w:r w:rsidR="00FF595B" w:rsidRPr="003D717F">
        <w:fldChar w:fldCharType="separate"/>
      </w:r>
      <w:r w:rsidR="00F61257">
        <w:t>41.ii</w:t>
      </w:r>
      <w:r w:rsidR="00FF595B" w:rsidRPr="003D717F">
        <w:fldChar w:fldCharType="end"/>
      </w:r>
      <w:r w:rsidR="007B0E5A" w:rsidRPr="008B15E6">
        <w:t xml:space="preserve"> </w:t>
      </w:r>
      <w:r w:rsidR="00313682" w:rsidRPr="008B15E6">
        <w:t xml:space="preserve">to </w:t>
      </w:r>
      <w:r w:rsidR="00FF595B" w:rsidRPr="003D717F">
        <w:fldChar w:fldCharType="begin"/>
      </w:r>
      <w:r w:rsidR="00FF595B" w:rsidRPr="008B15E6">
        <w:instrText xml:space="preserve"> REF _Ref115873366 \r \h </w:instrText>
      </w:r>
      <w:r w:rsidR="008B15E6" w:rsidRPr="008B15E6">
        <w:instrText xml:space="preserve"> \* MERGEFORMAT </w:instrText>
      </w:r>
      <w:r w:rsidR="00FF595B" w:rsidRPr="003D717F">
        <w:fldChar w:fldCharType="separate"/>
      </w:r>
      <w:r w:rsidR="00F61257">
        <w:t>44</w:t>
      </w:r>
      <w:r w:rsidR="00FF595B" w:rsidRPr="003D717F">
        <w:fldChar w:fldCharType="end"/>
      </w:r>
      <w:r w:rsidR="00E20364" w:rsidRPr="008B15E6">
        <w:t>:</w:t>
      </w:r>
      <w:bookmarkEnd w:id="1"/>
    </w:p>
    <w:p w14:paraId="12352E82" w14:textId="77777777" w:rsidR="00E20364" w:rsidRPr="008B15E6" w:rsidRDefault="00E20364">
      <w:pPr>
        <w:pStyle w:val="ListParagraph"/>
        <w:numPr>
          <w:ilvl w:val="1"/>
          <w:numId w:val="15"/>
        </w:numPr>
      </w:pPr>
      <w:r w:rsidRPr="008B15E6">
        <w:t>Auditor-General</w:t>
      </w:r>
    </w:p>
    <w:p w14:paraId="1D45E741" w14:textId="77777777" w:rsidR="00E20364" w:rsidRPr="008B15E6" w:rsidRDefault="00E20364">
      <w:pPr>
        <w:pStyle w:val="ListParagraph"/>
        <w:numPr>
          <w:ilvl w:val="1"/>
          <w:numId w:val="15"/>
        </w:numPr>
      </w:pPr>
      <w:r w:rsidRPr="008B15E6">
        <w:t>Ombudsman</w:t>
      </w:r>
    </w:p>
    <w:p w14:paraId="1DC55AAB" w14:textId="77777777" w:rsidR="00E20364" w:rsidRPr="008B15E6" w:rsidRDefault="00E20364">
      <w:pPr>
        <w:pStyle w:val="ListParagraph"/>
        <w:numPr>
          <w:ilvl w:val="1"/>
          <w:numId w:val="15"/>
        </w:numPr>
      </w:pPr>
      <w:r w:rsidRPr="008B15E6">
        <w:t>Northern Territory Electoral Commissioner</w:t>
      </w:r>
    </w:p>
    <w:p w14:paraId="3734127C" w14:textId="77777777" w:rsidR="00885A57" w:rsidRPr="008B15E6" w:rsidRDefault="00E20364">
      <w:pPr>
        <w:pStyle w:val="ListParagraph"/>
        <w:numPr>
          <w:ilvl w:val="1"/>
          <w:numId w:val="15"/>
        </w:numPr>
        <w:spacing w:line="276" w:lineRule="auto"/>
      </w:pPr>
      <w:r w:rsidRPr="008B15E6">
        <w:t xml:space="preserve">Independent Commissioner </w:t>
      </w:r>
      <w:proofErr w:type="gramStart"/>
      <w:r w:rsidRPr="008B15E6">
        <w:t>Against</w:t>
      </w:r>
      <w:proofErr w:type="gramEnd"/>
      <w:r w:rsidRPr="008B15E6">
        <w:t xml:space="preserve"> Corruption</w:t>
      </w:r>
      <w:r w:rsidR="00885A57" w:rsidRPr="008B15E6">
        <w:t>.</w:t>
      </w:r>
    </w:p>
    <w:p w14:paraId="63B5FA02" w14:textId="0C983E30" w:rsidR="000B0AC7" w:rsidRPr="008B15E6" w:rsidRDefault="000B0AC7">
      <w:pPr>
        <w:pStyle w:val="ListParagraph"/>
        <w:numPr>
          <w:ilvl w:val="0"/>
          <w:numId w:val="15"/>
        </w:numPr>
        <w:spacing w:line="276" w:lineRule="auto"/>
      </w:pPr>
      <w:r w:rsidRPr="008B15E6">
        <w:t>Agencies with an operating expense cap of less than $50 million are exempt from provisions in paragraph</w:t>
      </w:r>
      <w:r w:rsidR="007B0E5A" w:rsidRPr="008B15E6">
        <w:t>s</w:t>
      </w:r>
      <w:r w:rsidRPr="008B15E6">
        <w:t xml:space="preserve"> </w:t>
      </w:r>
      <w:r w:rsidR="00FF595B" w:rsidRPr="003D717F">
        <w:fldChar w:fldCharType="begin"/>
      </w:r>
      <w:r w:rsidR="00FF595B" w:rsidRPr="008B15E6">
        <w:instrText xml:space="preserve"> REF _Ref115873562 \r \h </w:instrText>
      </w:r>
      <w:r w:rsidR="008B15E6" w:rsidRPr="008B15E6">
        <w:instrText xml:space="preserve"> \* MERGEFORMAT </w:instrText>
      </w:r>
      <w:r w:rsidR="00FF595B" w:rsidRPr="003D717F">
        <w:fldChar w:fldCharType="separate"/>
      </w:r>
      <w:r w:rsidR="00F61257">
        <w:t>39</w:t>
      </w:r>
      <w:r w:rsidR="00FF595B" w:rsidRPr="003D717F">
        <w:fldChar w:fldCharType="end"/>
      </w:r>
      <w:r w:rsidR="00FF595B" w:rsidRPr="008B15E6">
        <w:t xml:space="preserve"> </w:t>
      </w:r>
      <w:r w:rsidRPr="008B15E6">
        <w:t xml:space="preserve">to </w:t>
      </w:r>
      <w:r w:rsidR="00FF595B" w:rsidRPr="003D717F">
        <w:fldChar w:fldCharType="begin"/>
      </w:r>
      <w:r w:rsidR="00FF595B" w:rsidRPr="008B15E6">
        <w:instrText xml:space="preserve"> REF _Ref103937423 \r \h </w:instrText>
      </w:r>
      <w:r w:rsidR="008B15E6" w:rsidRPr="008B15E6">
        <w:instrText xml:space="preserve"> \* MERGEFORMAT </w:instrText>
      </w:r>
      <w:r w:rsidR="00FF595B" w:rsidRPr="003D717F">
        <w:fldChar w:fldCharType="separate"/>
      </w:r>
      <w:r w:rsidR="00F61257">
        <w:t>41.i</w:t>
      </w:r>
      <w:r w:rsidR="00FF595B" w:rsidRPr="003D717F">
        <w:fldChar w:fldCharType="end"/>
      </w:r>
      <w:r w:rsidRPr="008B15E6">
        <w:t>.</w:t>
      </w:r>
    </w:p>
    <w:p w14:paraId="57450C32" w14:textId="77777777" w:rsidR="001F17FB" w:rsidRPr="008B15E6" w:rsidRDefault="00633A84">
      <w:pPr>
        <w:pStyle w:val="Heading2"/>
      </w:pPr>
      <w:r w:rsidRPr="008B15E6">
        <w:lastRenderedPageBreak/>
        <w:t>Definitions</w:t>
      </w:r>
    </w:p>
    <w:p w14:paraId="7EA04D47" w14:textId="60FFDC7D" w:rsidR="00D57C3C" w:rsidRPr="008B15E6" w:rsidRDefault="00D57C3C">
      <w:pPr>
        <w:pStyle w:val="ListParagraph"/>
        <w:numPr>
          <w:ilvl w:val="0"/>
          <w:numId w:val="15"/>
        </w:numPr>
        <w:spacing w:line="276" w:lineRule="auto"/>
      </w:pPr>
      <w:r w:rsidRPr="008B15E6">
        <w:rPr>
          <w:b/>
        </w:rPr>
        <w:t xml:space="preserve">Agency final approved budget </w:t>
      </w:r>
      <w:r w:rsidRPr="008B15E6">
        <w:t>is the agency’s revised</w:t>
      </w:r>
      <w:r w:rsidR="00150AFA" w:rsidRPr="008B15E6">
        <w:t xml:space="preserve"> b</w:t>
      </w:r>
      <w:r w:rsidRPr="008B15E6">
        <w:t>udget</w:t>
      </w:r>
      <w:r w:rsidR="00150AFA" w:rsidRPr="008B15E6">
        <w:t xml:space="preserve"> published</w:t>
      </w:r>
      <w:r w:rsidRPr="008B15E6">
        <w:t xml:space="preserve"> in Budget Paper No.3 plus any changes to appropriation</w:t>
      </w:r>
      <w:r w:rsidR="00EA772A" w:rsidRPr="008B15E6">
        <w:t xml:space="preserve"> and corresponding expenditure</w:t>
      </w:r>
      <w:r w:rsidRPr="008B15E6">
        <w:t xml:space="preserve"> since the publication of the revised </w:t>
      </w:r>
      <w:r w:rsidR="00150AFA" w:rsidRPr="008B15E6">
        <w:t>b</w:t>
      </w:r>
      <w:r w:rsidRPr="008B15E6">
        <w:t>udget in Budget Paper No.3.</w:t>
      </w:r>
    </w:p>
    <w:p w14:paraId="0EF1C278" w14:textId="6D39B78B" w:rsidR="00332C7F" w:rsidRPr="008B15E6" w:rsidRDefault="00332C7F">
      <w:pPr>
        <w:pStyle w:val="ListParagraph"/>
        <w:numPr>
          <w:ilvl w:val="0"/>
          <w:numId w:val="15"/>
        </w:numPr>
        <w:spacing w:line="276" w:lineRule="auto"/>
        <w:rPr>
          <w:b/>
        </w:rPr>
      </w:pPr>
      <w:r w:rsidRPr="008B15E6">
        <w:rPr>
          <w:b/>
        </w:rPr>
        <w:t>Agency final approved</w:t>
      </w:r>
      <w:r w:rsidR="00685CDF" w:rsidRPr="008B15E6">
        <w:rPr>
          <w:b/>
        </w:rPr>
        <w:t xml:space="preserve"> expenditure</w:t>
      </w:r>
      <w:r w:rsidRPr="008B15E6">
        <w:rPr>
          <w:b/>
        </w:rPr>
        <w:t xml:space="preserve"> budget </w:t>
      </w:r>
      <w:r w:rsidRPr="008B15E6">
        <w:t xml:space="preserve">is </w:t>
      </w:r>
      <w:r w:rsidR="00EC0991" w:rsidRPr="008B15E6">
        <w:t xml:space="preserve">the </w:t>
      </w:r>
      <w:r w:rsidR="00504B4B" w:rsidRPr="008B15E6">
        <w:t>agency’s revised</w:t>
      </w:r>
      <w:r w:rsidR="00EA772A" w:rsidRPr="008B15E6">
        <w:t xml:space="preserve"> </w:t>
      </w:r>
      <w:r w:rsidR="00EC0991" w:rsidRPr="008B15E6">
        <w:t xml:space="preserve">expenditure </w:t>
      </w:r>
      <w:r w:rsidR="00E47709" w:rsidRPr="008B15E6">
        <w:t xml:space="preserve">budget </w:t>
      </w:r>
      <w:r w:rsidR="00EA772A" w:rsidRPr="008B15E6">
        <w:t xml:space="preserve">published in Budget Paper No.3 plus </w:t>
      </w:r>
      <w:r w:rsidR="00150AFA" w:rsidRPr="008B15E6">
        <w:t>any</w:t>
      </w:r>
      <w:r w:rsidR="00EA772A" w:rsidRPr="008B15E6">
        <w:t xml:space="preserve"> variations to expenditure resulting from</w:t>
      </w:r>
      <w:r w:rsidR="00150AFA" w:rsidRPr="008B15E6">
        <w:t xml:space="preserve"> changes to appropriation since the publication of the revised budget in Budget Paper No.3</w:t>
      </w:r>
      <w:r w:rsidR="00577CD2" w:rsidRPr="008B15E6">
        <w:t>.</w:t>
      </w:r>
    </w:p>
    <w:p w14:paraId="6BBE2313" w14:textId="77777777" w:rsidR="00332C7F" w:rsidRPr="008B15E6" w:rsidRDefault="00332C7F">
      <w:pPr>
        <w:pStyle w:val="ListParagraph"/>
        <w:numPr>
          <w:ilvl w:val="0"/>
          <w:numId w:val="15"/>
        </w:numPr>
        <w:spacing w:line="276" w:lineRule="auto"/>
        <w:rPr>
          <w:rFonts w:asciiTheme="minorHAnsi" w:hAnsiTheme="minorHAnsi"/>
        </w:rPr>
      </w:pPr>
      <w:bookmarkStart w:id="2" w:name="_Ref115873763"/>
      <w:r w:rsidRPr="008B15E6">
        <w:rPr>
          <w:b/>
        </w:rPr>
        <w:t>Agency final budget outcome</w:t>
      </w:r>
      <w:r w:rsidRPr="008B15E6">
        <w:t xml:space="preserve"> </w:t>
      </w:r>
      <w:r w:rsidRPr="008B15E6">
        <w:rPr>
          <w:rFonts w:asciiTheme="minorHAnsi" w:hAnsiTheme="minorHAnsi"/>
        </w:rPr>
        <w:t>is the agency’s end of financial year actual operating result compared t</w:t>
      </w:r>
      <w:r w:rsidR="00AB5E80" w:rsidRPr="008B15E6">
        <w:rPr>
          <w:rFonts w:asciiTheme="minorHAnsi" w:hAnsiTheme="minorHAnsi"/>
        </w:rPr>
        <w:t xml:space="preserve">o budgeted operating result, </w:t>
      </w:r>
      <w:r w:rsidRPr="008B15E6">
        <w:rPr>
          <w:rFonts w:asciiTheme="minorHAnsi" w:hAnsiTheme="minorHAnsi"/>
        </w:rPr>
        <w:t>after:</w:t>
      </w:r>
      <w:bookmarkEnd w:id="2"/>
    </w:p>
    <w:p w14:paraId="7854738E" w14:textId="77777777" w:rsidR="00332C7F" w:rsidRPr="008B15E6" w:rsidRDefault="00332C7F" w:rsidP="001C6B00">
      <w:pPr>
        <w:pStyle w:val="ListNumber"/>
        <w:numPr>
          <w:ilvl w:val="0"/>
          <w:numId w:val="16"/>
        </w:numPr>
        <w:ind w:left="709"/>
        <w:rPr>
          <w:rFonts w:asciiTheme="minorHAnsi" w:hAnsiTheme="minorHAnsi"/>
        </w:rPr>
      </w:pPr>
      <w:r w:rsidRPr="008B15E6">
        <w:rPr>
          <w:rFonts w:asciiTheme="minorHAnsi" w:hAnsiTheme="minorHAnsi"/>
        </w:rPr>
        <w:t>excluding variations for:</w:t>
      </w:r>
    </w:p>
    <w:p w14:paraId="240E5A97" w14:textId="77777777" w:rsidR="00000AC9" w:rsidRPr="008B15E6" w:rsidRDefault="00000AC9">
      <w:pPr>
        <w:pStyle w:val="ListNumber3"/>
        <w:numPr>
          <w:ilvl w:val="0"/>
          <w:numId w:val="17"/>
        </w:numPr>
        <w:ind w:left="1134" w:hanging="141"/>
        <w:rPr>
          <w:rFonts w:asciiTheme="minorHAnsi" w:hAnsiTheme="minorHAnsi"/>
        </w:rPr>
      </w:pPr>
      <w:r w:rsidRPr="008B15E6">
        <w:rPr>
          <w:rFonts w:asciiTheme="minorHAnsi" w:hAnsiTheme="minorHAnsi"/>
        </w:rPr>
        <w:t xml:space="preserve">gain or loss on disposal of assets in the operating statement </w:t>
      </w:r>
    </w:p>
    <w:p w14:paraId="2139B542" w14:textId="77777777" w:rsidR="00000AC9" w:rsidRPr="008B15E6" w:rsidRDefault="00000AC9">
      <w:pPr>
        <w:pStyle w:val="ListNumber3"/>
        <w:numPr>
          <w:ilvl w:val="0"/>
          <w:numId w:val="17"/>
        </w:numPr>
        <w:ind w:left="1134" w:hanging="141"/>
        <w:rPr>
          <w:rFonts w:asciiTheme="minorHAnsi" w:hAnsiTheme="minorHAnsi"/>
        </w:rPr>
      </w:pPr>
      <w:r w:rsidRPr="008B15E6">
        <w:rPr>
          <w:rFonts w:asciiTheme="minorHAnsi" w:hAnsiTheme="minorHAnsi"/>
        </w:rPr>
        <w:t>interest expense, depreciation and amortisation expense and other administrative expenses in the operating statement</w:t>
      </w:r>
    </w:p>
    <w:p w14:paraId="6EBB1643" w14:textId="77777777" w:rsidR="00000AC9" w:rsidRPr="008B15E6" w:rsidRDefault="00000AC9">
      <w:pPr>
        <w:pStyle w:val="ListNumber3"/>
        <w:numPr>
          <w:ilvl w:val="0"/>
          <w:numId w:val="17"/>
        </w:numPr>
        <w:ind w:left="1134" w:hanging="141"/>
        <w:rPr>
          <w:rFonts w:asciiTheme="minorHAnsi" w:hAnsiTheme="minorHAnsi"/>
        </w:rPr>
      </w:pPr>
      <w:r w:rsidRPr="008B15E6">
        <w:rPr>
          <w:rFonts w:asciiTheme="minorHAnsi" w:hAnsiTheme="minorHAnsi"/>
        </w:rPr>
        <w:t>waivers as specified in the Treasurer’s Direction – Standard Classification Codes: Appendix A</w:t>
      </w:r>
    </w:p>
    <w:p w14:paraId="6CCAF036" w14:textId="77777777" w:rsidR="00000AC9" w:rsidRPr="008B15E6" w:rsidRDefault="00000AC9">
      <w:pPr>
        <w:pStyle w:val="ListNumber3"/>
        <w:numPr>
          <w:ilvl w:val="0"/>
          <w:numId w:val="17"/>
        </w:numPr>
        <w:ind w:left="1134" w:hanging="141"/>
        <w:rPr>
          <w:rFonts w:asciiTheme="minorHAnsi" w:hAnsiTheme="minorHAnsi"/>
        </w:rPr>
      </w:pPr>
      <w:r w:rsidRPr="008B15E6">
        <w:rPr>
          <w:rFonts w:asciiTheme="minorHAnsi" w:hAnsiTheme="minorHAnsi"/>
        </w:rPr>
        <w:t>any further variations for non-cash items and other economic flows as specified in Treasurer’s Direction – Standard Classification Codes: Appendix A, not already captured in (</w:t>
      </w:r>
      <w:proofErr w:type="spellStart"/>
      <w:r w:rsidRPr="008B15E6">
        <w:rPr>
          <w:rFonts w:asciiTheme="minorHAnsi" w:hAnsiTheme="minorHAnsi"/>
        </w:rPr>
        <w:t>i</w:t>
      </w:r>
      <w:proofErr w:type="spellEnd"/>
      <w:r w:rsidRPr="008B15E6">
        <w:rPr>
          <w:rFonts w:asciiTheme="minorHAnsi" w:hAnsiTheme="minorHAnsi"/>
        </w:rPr>
        <w:t xml:space="preserve"> to iii) above  </w:t>
      </w:r>
    </w:p>
    <w:p w14:paraId="3EA67A87" w14:textId="52643F5E" w:rsidR="00332C7F" w:rsidRPr="008B15E6" w:rsidRDefault="00332C7F" w:rsidP="001C6B00">
      <w:pPr>
        <w:pStyle w:val="ListNumber3"/>
        <w:numPr>
          <w:ilvl w:val="0"/>
          <w:numId w:val="17"/>
        </w:numPr>
        <w:ind w:left="1134" w:hanging="141"/>
        <w:rPr>
          <w:rFonts w:asciiTheme="minorHAnsi" w:hAnsiTheme="minorHAnsi"/>
        </w:rPr>
      </w:pPr>
      <w:r w:rsidRPr="008B15E6">
        <w:rPr>
          <w:rFonts w:asciiTheme="minorHAnsi" w:hAnsiTheme="minorHAnsi"/>
        </w:rPr>
        <w:t>expenses eligible for a Treasurer’s Advance in accordance with Treasurer’s Direction – Treasurer’s Advance that have been absorbed from within existing resources</w:t>
      </w:r>
    </w:p>
    <w:p w14:paraId="13B75474" w14:textId="77777777" w:rsidR="00332C7F" w:rsidRPr="008B15E6" w:rsidRDefault="00332C7F" w:rsidP="001C6B00">
      <w:pPr>
        <w:pStyle w:val="ListNumber"/>
        <w:numPr>
          <w:ilvl w:val="0"/>
          <w:numId w:val="16"/>
        </w:numPr>
        <w:ind w:left="709"/>
        <w:rPr>
          <w:rFonts w:asciiTheme="minorHAnsi" w:hAnsiTheme="minorHAnsi"/>
        </w:rPr>
      </w:pPr>
      <w:r w:rsidRPr="008B15E6">
        <w:rPr>
          <w:rFonts w:asciiTheme="minorHAnsi" w:hAnsiTheme="minorHAnsi"/>
        </w:rPr>
        <w:t>including variations for:</w:t>
      </w:r>
    </w:p>
    <w:p w14:paraId="7B2F9D96" w14:textId="1825F8E7" w:rsidR="00194B02" w:rsidRPr="008B15E6" w:rsidRDefault="00194B02" w:rsidP="001C6B00">
      <w:pPr>
        <w:pStyle w:val="ListNumber3"/>
        <w:numPr>
          <w:ilvl w:val="1"/>
          <w:numId w:val="18"/>
        </w:numPr>
        <w:rPr>
          <w:rFonts w:asciiTheme="minorHAnsi" w:hAnsiTheme="minorHAnsi"/>
        </w:rPr>
      </w:pPr>
      <w:bookmarkStart w:id="3" w:name="_Ref115873716"/>
      <w:r w:rsidRPr="008B15E6">
        <w:rPr>
          <w:rFonts w:asciiTheme="minorHAnsi" w:hAnsiTheme="minorHAnsi"/>
        </w:rPr>
        <w:t>purchases of assets</w:t>
      </w:r>
      <w:bookmarkEnd w:id="3"/>
      <w:r w:rsidRPr="008B15E6">
        <w:rPr>
          <w:rFonts w:asciiTheme="minorHAnsi" w:hAnsiTheme="minorHAnsi"/>
        </w:rPr>
        <w:t xml:space="preserve"> </w:t>
      </w:r>
      <w:r w:rsidR="003D717F">
        <w:rPr>
          <w:rFonts w:asciiTheme="minorHAnsi" w:hAnsiTheme="minorHAnsi"/>
        </w:rPr>
        <w:t>in the cash</w:t>
      </w:r>
      <w:r w:rsidR="00F61257">
        <w:rPr>
          <w:rFonts w:asciiTheme="minorHAnsi" w:hAnsiTheme="minorHAnsi"/>
        </w:rPr>
        <w:t xml:space="preserve"> </w:t>
      </w:r>
      <w:r w:rsidR="003D717F">
        <w:rPr>
          <w:rFonts w:asciiTheme="minorHAnsi" w:hAnsiTheme="minorHAnsi"/>
        </w:rPr>
        <w:t>flow statement</w:t>
      </w:r>
    </w:p>
    <w:p w14:paraId="6CBD6D37" w14:textId="5B3280A6" w:rsidR="00BD61A0" w:rsidRPr="008B15E6" w:rsidRDefault="00BD61A0" w:rsidP="001C6B00">
      <w:pPr>
        <w:pStyle w:val="ListNumber3"/>
        <w:numPr>
          <w:ilvl w:val="1"/>
          <w:numId w:val="18"/>
        </w:numPr>
        <w:rPr>
          <w:rFonts w:asciiTheme="minorHAnsi" w:hAnsiTheme="minorHAnsi"/>
        </w:rPr>
      </w:pPr>
      <w:r w:rsidRPr="008B15E6">
        <w:rPr>
          <w:rFonts w:asciiTheme="minorHAnsi" w:hAnsiTheme="minorHAnsi"/>
        </w:rPr>
        <w:t>advances and investing payments</w:t>
      </w:r>
      <w:r w:rsidR="003D717F">
        <w:rPr>
          <w:rFonts w:asciiTheme="minorHAnsi" w:hAnsiTheme="minorHAnsi"/>
        </w:rPr>
        <w:t xml:space="preserve"> in the cash</w:t>
      </w:r>
      <w:r w:rsidR="00F61257">
        <w:rPr>
          <w:rFonts w:asciiTheme="minorHAnsi" w:hAnsiTheme="minorHAnsi"/>
        </w:rPr>
        <w:t xml:space="preserve"> </w:t>
      </w:r>
      <w:r w:rsidR="003D717F">
        <w:rPr>
          <w:rFonts w:asciiTheme="minorHAnsi" w:hAnsiTheme="minorHAnsi"/>
        </w:rPr>
        <w:t>flow statement</w:t>
      </w:r>
      <w:r w:rsidRPr="008B15E6">
        <w:rPr>
          <w:rFonts w:asciiTheme="minorHAnsi" w:hAnsiTheme="minorHAnsi"/>
        </w:rPr>
        <w:t>, where deemed applicable by Department of Treasury and Finance</w:t>
      </w:r>
    </w:p>
    <w:p w14:paraId="3A13BC36" w14:textId="380FCC9D" w:rsidR="00BD61A0" w:rsidRPr="008B15E6" w:rsidRDefault="00BD61A0" w:rsidP="001C6B00">
      <w:pPr>
        <w:pStyle w:val="ListNumber3"/>
        <w:numPr>
          <w:ilvl w:val="1"/>
          <w:numId w:val="18"/>
        </w:numPr>
        <w:rPr>
          <w:rFonts w:asciiTheme="minorHAnsi" w:hAnsiTheme="minorHAnsi"/>
        </w:rPr>
      </w:pPr>
      <w:r w:rsidRPr="008B15E6">
        <w:rPr>
          <w:rFonts w:asciiTheme="minorHAnsi" w:hAnsiTheme="minorHAnsi"/>
        </w:rPr>
        <w:t>lease payments</w:t>
      </w:r>
      <w:r w:rsidR="009A3467" w:rsidRPr="008B15E6">
        <w:rPr>
          <w:rFonts w:asciiTheme="minorHAnsi" w:hAnsiTheme="minorHAnsi"/>
        </w:rPr>
        <w:t xml:space="preserve"> recorded as financing payments in </w:t>
      </w:r>
      <w:r w:rsidR="00DA0989" w:rsidRPr="008B15E6">
        <w:rPr>
          <w:rFonts w:asciiTheme="minorHAnsi" w:hAnsiTheme="minorHAnsi"/>
        </w:rPr>
        <w:t xml:space="preserve">the </w:t>
      </w:r>
      <w:r w:rsidR="005A7DC2" w:rsidRPr="008B15E6">
        <w:rPr>
          <w:rFonts w:asciiTheme="minorHAnsi" w:hAnsiTheme="minorHAnsi"/>
        </w:rPr>
        <w:t>cash flow statement</w:t>
      </w:r>
    </w:p>
    <w:p w14:paraId="22282661" w14:textId="4F30B2ED" w:rsidR="00D215CD" w:rsidRPr="008B15E6" w:rsidRDefault="00BD61A0" w:rsidP="001C6B00">
      <w:pPr>
        <w:pStyle w:val="ListNumber3"/>
        <w:numPr>
          <w:ilvl w:val="1"/>
          <w:numId w:val="18"/>
        </w:numPr>
        <w:rPr>
          <w:rFonts w:asciiTheme="minorHAnsi" w:hAnsiTheme="minorHAnsi"/>
        </w:rPr>
      </w:pPr>
      <w:proofErr w:type="gramStart"/>
      <w:r w:rsidRPr="008B15E6">
        <w:rPr>
          <w:rFonts w:asciiTheme="minorHAnsi" w:hAnsiTheme="minorHAnsi"/>
        </w:rPr>
        <w:t>service</w:t>
      </w:r>
      <w:proofErr w:type="gramEnd"/>
      <w:r w:rsidRPr="008B15E6">
        <w:rPr>
          <w:rFonts w:asciiTheme="minorHAnsi" w:hAnsiTheme="minorHAnsi"/>
        </w:rPr>
        <w:t xml:space="preserve"> concession liability payments</w:t>
      </w:r>
      <w:r w:rsidR="003D717F">
        <w:rPr>
          <w:rFonts w:asciiTheme="minorHAnsi" w:hAnsiTheme="minorHAnsi"/>
        </w:rPr>
        <w:t xml:space="preserve"> in the cash</w:t>
      </w:r>
      <w:r w:rsidR="00F61257">
        <w:rPr>
          <w:rFonts w:asciiTheme="minorHAnsi" w:hAnsiTheme="minorHAnsi"/>
        </w:rPr>
        <w:t xml:space="preserve"> </w:t>
      </w:r>
      <w:r w:rsidR="003D717F">
        <w:rPr>
          <w:rFonts w:asciiTheme="minorHAnsi" w:hAnsiTheme="minorHAnsi"/>
        </w:rPr>
        <w:t>flow statement</w:t>
      </w:r>
      <w:r w:rsidR="006F6E81" w:rsidRPr="008B15E6">
        <w:rPr>
          <w:rFonts w:asciiTheme="minorHAnsi" w:hAnsiTheme="minorHAnsi"/>
        </w:rPr>
        <w:t>.</w:t>
      </w:r>
      <w:r w:rsidR="00D215CD" w:rsidRPr="008B15E6">
        <w:rPr>
          <w:rFonts w:asciiTheme="minorHAnsi" w:hAnsiTheme="minorHAnsi"/>
        </w:rPr>
        <w:t xml:space="preserve"> </w:t>
      </w:r>
    </w:p>
    <w:p w14:paraId="79552B01" w14:textId="53442384" w:rsidR="00BD61A0" w:rsidRPr="008B15E6" w:rsidRDefault="00BD61A0">
      <w:pPr>
        <w:pStyle w:val="ListNumber3"/>
        <w:numPr>
          <w:ilvl w:val="0"/>
          <w:numId w:val="15"/>
        </w:numPr>
        <w:rPr>
          <w:rFonts w:asciiTheme="minorHAnsi" w:hAnsiTheme="minorHAnsi"/>
        </w:rPr>
      </w:pPr>
      <w:r w:rsidRPr="008B15E6">
        <w:rPr>
          <w:rFonts w:asciiTheme="minorHAnsi" w:hAnsiTheme="minorHAnsi"/>
        </w:rPr>
        <w:t>Pursuant to paragrap</w:t>
      </w:r>
      <w:r w:rsidR="00B56B1D" w:rsidRPr="008B15E6">
        <w:rPr>
          <w:rFonts w:asciiTheme="minorHAnsi" w:hAnsiTheme="minorHAnsi"/>
        </w:rPr>
        <w:t xml:space="preserve">h </w:t>
      </w:r>
      <w:r w:rsidR="00FF595B" w:rsidRPr="008B15E6">
        <w:rPr>
          <w:rFonts w:asciiTheme="minorHAnsi" w:hAnsiTheme="minorHAnsi"/>
        </w:rPr>
        <w:t>8b</w:t>
      </w:r>
      <w:r w:rsidR="00FA1FC8" w:rsidRPr="008B15E6">
        <w:rPr>
          <w:rFonts w:asciiTheme="minorHAnsi" w:hAnsiTheme="minorHAnsi"/>
        </w:rPr>
        <w:t>.(</w:t>
      </w:r>
      <w:proofErr w:type="spellStart"/>
      <w:r w:rsidR="00FF595B" w:rsidRPr="003D717F">
        <w:rPr>
          <w:rFonts w:asciiTheme="minorHAnsi" w:hAnsiTheme="minorHAnsi"/>
        </w:rPr>
        <w:fldChar w:fldCharType="begin"/>
      </w:r>
      <w:r w:rsidR="00FF595B" w:rsidRPr="008B15E6">
        <w:rPr>
          <w:rFonts w:asciiTheme="minorHAnsi" w:hAnsiTheme="minorHAnsi"/>
        </w:rPr>
        <w:instrText xml:space="preserve"> REF _Ref115873716 \r \h </w:instrText>
      </w:r>
      <w:r w:rsidR="008B15E6" w:rsidRPr="008B15E6">
        <w:rPr>
          <w:rFonts w:asciiTheme="minorHAnsi" w:hAnsiTheme="minorHAnsi"/>
        </w:rPr>
        <w:instrText xml:space="preserve"> \* MERGEFORMAT </w:instrText>
      </w:r>
      <w:r w:rsidR="00FF595B" w:rsidRPr="003D717F">
        <w:rPr>
          <w:rFonts w:asciiTheme="minorHAnsi" w:hAnsiTheme="minorHAnsi"/>
        </w:rPr>
      </w:r>
      <w:r w:rsidR="00FF595B" w:rsidRPr="003D717F">
        <w:rPr>
          <w:rFonts w:asciiTheme="minorHAnsi" w:hAnsiTheme="minorHAnsi"/>
        </w:rPr>
        <w:fldChar w:fldCharType="separate"/>
      </w:r>
      <w:r w:rsidR="00F61257">
        <w:rPr>
          <w:rFonts w:asciiTheme="minorHAnsi" w:hAnsiTheme="minorHAnsi"/>
        </w:rPr>
        <w:t>i</w:t>
      </w:r>
      <w:proofErr w:type="spellEnd"/>
      <w:r w:rsidR="00FF595B" w:rsidRPr="003D717F">
        <w:rPr>
          <w:rFonts w:asciiTheme="minorHAnsi" w:hAnsiTheme="minorHAnsi"/>
        </w:rPr>
        <w:fldChar w:fldCharType="end"/>
      </w:r>
      <w:r w:rsidR="00FA1FC8" w:rsidRPr="008B15E6">
        <w:rPr>
          <w:rFonts w:asciiTheme="minorHAnsi" w:hAnsiTheme="minorHAnsi"/>
        </w:rPr>
        <w:t>)</w:t>
      </w:r>
      <w:r w:rsidRPr="008B15E6">
        <w:rPr>
          <w:rFonts w:asciiTheme="minorHAnsi" w:hAnsiTheme="minorHAnsi"/>
        </w:rPr>
        <w:t xml:space="preserve">, </w:t>
      </w:r>
      <w:r w:rsidR="005A7DC2" w:rsidRPr="008B15E6">
        <w:rPr>
          <w:rFonts w:asciiTheme="minorHAnsi" w:hAnsiTheme="minorHAnsi"/>
        </w:rPr>
        <w:t>variations relating to</w:t>
      </w:r>
      <w:r w:rsidR="00150AFA" w:rsidRPr="008B15E6">
        <w:rPr>
          <w:rFonts w:asciiTheme="minorHAnsi" w:hAnsiTheme="minorHAnsi"/>
        </w:rPr>
        <w:t xml:space="preserve"> Territory Government fund</w:t>
      </w:r>
      <w:r w:rsidR="004D03C4" w:rsidRPr="008B15E6">
        <w:rPr>
          <w:rFonts w:asciiTheme="minorHAnsi" w:hAnsiTheme="minorHAnsi"/>
        </w:rPr>
        <w:t>ed capital works projects</w:t>
      </w:r>
      <w:r w:rsidR="005A7DC2" w:rsidRPr="008B15E6">
        <w:rPr>
          <w:rFonts w:asciiTheme="minorHAnsi" w:hAnsiTheme="minorHAnsi"/>
        </w:rPr>
        <w:t xml:space="preserve"> within the </w:t>
      </w:r>
      <w:r w:rsidRPr="008B15E6">
        <w:rPr>
          <w:rFonts w:asciiTheme="minorHAnsi" w:hAnsiTheme="minorHAnsi"/>
        </w:rPr>
        <w:t>Department of Infras</w:t>
      </w:r>
      <w:r w:rsidR="004810B0" w:rsidRPr="008B15E6">
        <w:rPr>
          <w:rFonts w:asciiTheme="minorHAnsi" w:hAnsiTheme="minorHAnsi"/>
        </w:rPr>
        <w:t>tructure, Planning and Logistics</w:t>
      </w:r>
      <w:r w:rsidR="005A7DC2" w:rsidRPr="008B15E6">
        <w:rPr>
          <w:rFonts w:asciiTheme="minorHAnsi" w:hAnsiTheme="minorHAnsi"/>
        </w:rPr>
        <w:t xml:space="preserve"> are excluded from the agency’s final </w:t>
      </w:r>
      <w:r w:rsidR="005F4227" w:rsidRPr="008B15E6">
        <w:rPr>
          <w:rFonts w:asciiTheme="minorHAnsi" w:hAnsiTheme="minorHAnsi"/>
        </w:rPr>
        <w:t xml:space="preserve">budget outcome and will be addressed </w:t>
      </w:r>
      <w:r w:rsidR="005A7DC2" w:rsidRPr="008B15E6">
        <w:rPr>
          <w:rFonts w:asciiTheme="minorHAnsi" w:hAnsiTheme="minorHAnsi"/>
        </w:rPr>
        <w:t>separately</w:t>
      </w:r>
      <w:r w:rsidR="00B356A8" w:rsidRPr="008B15E6">
        <w:rPr>
          <w:rFonts w:asciiTheme="minorHAnsi" w:hAnsiTheme="minorHAnsi"/>
        </w:rPr>
        <w:t xml:space="preserve"> in the </w:t>
      </w:r>
      <w:r w:rsidR="00150AFA" w:rsidRPr="008B15E6">
        <w:rPr>
          <w:rFonts w:asciiTheme="minorHAnsi" w:hAnsiTheme="minorHAnsi"/>
        </w:rPr>
        <w:t>budget development process.</w:t>
      </w:r>
      <w:r w:rsidR="005A7DC2" w:rsidRPr="008B15E6">
        <w:rPr>
          <w:rFonts w:asciiTheme="minorHAnsi" w:hAnsiTheme="minorHAnsi"/>
        </w:rPr>
        <w:t xml:space="preserve"> </w:t>
      </w:r>
    </w:p>
    <w:p w14:paraId="535FC869" w14:textId="78135CC3" w:rsidR="008727E4" w:rsidRPr="008B15E6" w:rsidRDefault="008727E4">
      <w:pPr>
        <w:pStyle w:val="ListParagraph"/>
        <w:numPr>
          <w:ilvl w:val="0"/>
          <w:numId w:val="15"/>
        </w:numPr>
        <w:spacing w:line="276" w:lineRule="auto"/>
        <w:rPr>
          <w:rFonts w:asciiTheme="minorHAnsi" w:eastAsia="Calibri" w:hAnsiTheme="minorHAnsi"/>
          <w:iCs w:val="0"/>
        </w:rPr>
      </w:pPr>
      <w:r w:rsidRPr="008B15E6">
        <w:rPr>
          <w:rFonts w:asciiTheme="minorHAnsi" w:eastAsia="Calibri" w:hAnsiTheme="minorHAnsi"/>
          <w:iCs w:val="0"/>
        </w:rPr>
        <w:t>Pursuant</w:t>
      </w:r>
      <w:r w:rsidR="008B05CA" w:rsidRPr="008B15E6">
        <w:rPr>
          <w:rFonts w:asciiTheme="minorHAnsi" w:eastAsia="Calibri" w:hAnsiTheme="minorHAnsi"/>
          <w:iCs w:val="0"/>
        </w:rPr>
        <w:t xml:space="preserve"> to</w:t>
      </w:r>
      <w:r w:rsidRPr="008B15E6">
        <w:rPr>
          <w:rFonts w:asciiTheme="minorHAnsi" w:eastAsia="Calibri" w:hAnsiTheme="minorHAnsi"/>
          <w:iCs w:val="0"/>
        </w:rPr>
        <w:t xml:space="preserve"> paragraph </w:t>
      </w:r>
      <w:r w:rsidR="00FA1FC8" w:rsidRPr="003D717F">
        <w:rPr>
          <w:rFonts w:asciiTheme="minorHAnsi" w:eastAsia="Calibri" w:hAnsiTheme="minorHAnsi"/>
          <w:iCs w:val="0"/>
        </w:rPr>
        <w:fldChar w:fldCharType="begin"/>
      </w:r>
      <w:r w:rsidR="00FA1FC8" w:rsidRPr="008B15E6">
        <w:rPr>
          <w:rFonts w:asciiTheme="minorHAnsi" w:eastAsia="Calibri" w:hAnsiTheme="minorHAnsi"/>
          <w:iCs w:val="0"/>
        </w:rPr>
        <w:instrText xml:space="preserve"> REF _Ref115873763 \r \h </w:instrText>
      </w:r>
      <w:r w:rsidR="008B15E6" w:rsidRPr="008B15E6">
        <w:rPr>
          <w:rFonts w:asciiTheme="minorHAnsi" w:eastAsia="Calibri" w:hAnsiTheme="minorHAnsi"/>
          <w:iCs w:val="0"/>
        </w:rPr>
        <w:instrText xml:space="preserve"> \* MERGEFORMAT </w:instrText>
      </w:r>
      <w:r w:rsidR="00FA1FC8" w:rsidRPr="003D717F">
        <w:rPr>
          <w:rFonts w:asciiTheme="minorHAnsi" w:eastAsia="Calibri" w:hAnsiTheme="minorHAnsi"/>
          <w:iCs w:val="0"/>
        </w:rPr>
      </w:r>
      <w:r w:rsidR="00FA1FC8" w:rsidRPr="003D717F">
        <w:rPr>
          <w:rFonts w:asciiTheme="minorHAnsi" w:eastAsia="Calibri" w:hAnsiTheme="minorHAnsi"/>
          <w:iCs w:val="0"/>
        </w:rPr>
        <w:fldChar w:fldCharType="separate"/>
      </w:r>
      <w:r w:rsidR="00F61257">
        <w:rPr>
          <w:rFonts w:asciiTheme="minorHAnsi" w:eastAsia="Calibri" w:hAnsiTheme="minorHAnsi"/>
          <w:iCs w:val="0"/>
        </w:rPr>
        <w:t>8</w:t>
      </w:r>
      <w:r w:rsidR="00FA1FC8" w:rsidRPr="003D717F">
        <w:rPr>
          <w:rFonts w:asciiTheme="minorHAnsi" w:eastAsia="Calibri" w:hAnsiTheme="minorHAnsi"/>
          <w:iCs w:val="0"/>
        </w:rPr>
        <w:fldChar w:fldCharType="end"/>
      </w:r>
      <w:r w:rsidRPr="008B15E6">
        <w:rPr>
          <w:rFonts w:asciiTheme="minorHAnsi" w:eastAsia="Calibri" w:hAnsiTheme="minorHAnsi"/>
          <w:iCs w:val="0"/>
        </w:rPr>
        <w:t xml:space="preserve">, other items may be included or excluded in an agency’s final budget outcome on a case by case basis as determined by the Department of Treasury and Finance. </w:t>
      </w:r>
    </w:p>
    <w:p w14:paraId="1C985883" w14:textId="77777777" w:rsidR="00B07283" w:rsidRPr="008B15E6" w:rsidRDefault="000577C7">
      <w:pPr>
        <w:pStyle w:val="ListParagraph"/>
        <w:numPr>
          <w:ilvl w:val="0"/>
          <w:numId w:val="15"/>
        </w:numPr>
        <w:spacing w:line="276" w:lineRule="auto"/>
      </w:pPr>
      <w:r w:rsidRPr="008B15E6">
        <w:rPr>
          <w:b/>
        </w:rPr>
        <w:t xml:space="preserve">Agency residual improvement </w:t>
      </w:r>
      <w:r w:rsidR="00B07283" w:rsidRPr="008B15E6">
        <w:rPr>
          <w:b/>
        </w:rPr>
        <w:t>or worsening</w:t>
      </w:r>
      <w:r w:rsidR="00B07283" w:rsidRPr="008B15E6">
        <w:t xml:space="preserve"> </w:t>
      </w:r>
      <w:r w:rsidRPr="008B15E6">
        <w:rPr>
          <w:rFonts w:asciiTheme="minorHAnsi" w:hAnsiTheme="minorHAnsi"/>
        </w:rPr>
        <w:t>is an agency’s final budget outcome</w:t>
      </w:r>
      <w:r w:rsidR="008B05CA" w:rsidRPr="008B15E6">
        <w:rPr>
          <w:rFonts w:asciiTheme="minorHAnsi" w:hAnsiTheme="minorHAnsi"/>
        </w:rPr>
        <w:t xml:space="preserve"> less any</w:t>
      </w:r>
      <w:r w:rsidR="00B07283" w:rsidRPr="008B15E6">
        <w:rPr>
          <w:rFonts w:asciiTheme="minorHAnsi" w:hAnsiTheme="minorHAnsi"/>
        </w:rPr>
        <w:t xml:space="preserve"> carryovers</w:t>
      </w:r>
      <w:r w:rsidR="00F36382" w:rsidRPr="008B15E6">
        <w:rPr>
          <w:rFonts w:asciiTheme="minorHAnsi" w:hAnsiTheme="minorHAnsi"/>
        </w:rPr>
        <w:t xml:space="preserve"> that is </w:t>
      </w:r>
      <w:r w:rsidR="004810B0" w:rsidRPr="008B15E6">
        <w:rPr>
          <w:rFonts w:asciiTheme="minorHAnsi" w:hAnsiTheme="minorHAnsi"/>
        </w:rPr>
        <w:t xml:space="preserve">in excess of </w:t>
      </w:r>
      <w:r w:rsidR="004810B0" w:rsidRPr="008B15E6">
        <w:t>$500</w:t>
      </w:r>
      <w:r w:rsidR="008B05CA" w:rsidRPr="008B15E6">
        <w:t>,</w:t>
      </w:r>
      <w:r w:rsidR="004810B0" w:rsidRPr="008B15E6">
        <w:t>000 or 1% of the agency’s operating expense cap, whichever is greater</w:t>
      </w:r>
      <w:r w:rsidR="00B07283" w:rsidRPr="008B15E6">
        <w:rPr>
          <w:rFonts w:asciiTheme="minorHAnsi" w:hAnsiTheme="minorHAnsi"/>
        </w:rPr>
        <w:t>. Carryovers exclude</w:t>
      </w:r>
      <w:r w:rsidR="002A5985" w:rsidRPr="008B15E6">
        <w:rPr>
          <w:rFonts w:asciiTheme="minorHAnsi" w:hAnsiTheme="minorHAnsi"/>
        </w:rPr>
        <w:t xml:space="preserve"> adjustments related to unearned revenue in accordance with Australian Accounting Standards</w:t>
      </w:r>
      <w:r w:rsidR="006B547F" w:rsidRPr="008B15E6">
        <w:rPr>
          <w:rFonts w:asciiTheme="minorHAnsi" w:hAnsiTheme="minorHAnsi"/>
        </w:rPr>
        <w:t>.</w:t>
      </w:r>
    </w:p>
    <w:p w14:paraId="1B885071" w14:textId="68126E54" w:rsidR="00284055" w:rsidRPr="008B15E6" w:rsidRDefault="00284055">
      <w:pPr>
        <w:pStyle w:val="ListParagraph"/>
        <w:numPr>
          <w:ilvl w:val="0"/>
          <w:numId w:val="15"/>
        </w:numPr>
        <w:spacing w:line="276" w:lineRule="auto"/>
        <w:rPr>
          <w:b/>
        </w:rPr>
      </w:pPr>
      <w:r w:rsidRPr="008B15E6">
        <w:rPr>
          <w:b/>
        </w:rPr>
        <w:t xml:space="preserve">Budget development process </w:t>
      </w:r>
      <w:r w:rsidRPr="008B15E6">
        <w:t>is a period</w:t>
      </w:r>
      <w:r w:rsidR="00D6477D" w:rsidRPr="008B15E6">
        <w:t xml:space="preserve"> each year</w:t>
      </w:r>
      <w:r w:rsidRPr="008B15E6">
        <w:t xml:space="preserve"> during which the Budget is developed and finalised</w:t>
      </w:r>
      <w:r w:rsidR="00830E73" w:rsidRPr="008B15E6">
        <w:t xml:space="preserve"> as specified in a Treasury Circular issued by the Department of Treasury and Finance.</w:t>
      </w:r>
      <w:r w:rsidR="001706CE" w:rsidRPr="008B15E6">
        <w:t xml:space="preserve"> This includes the mid-year review process.</w:t>
      </w:r>
    </w:p>
    <w:p w14:paraId="5782B107" w14:textId="77777777" w:rsidR="00332C7F" w:rsidRPr="008B15E6" w:rsidRDefault="00332C7F">
      <w:pPr>
        <w:pStyle w:val="ListParagraph"/>
        <w:numPr>
          <w:ilvl w:val="0"/>
          <w:numId w:val="15"/>
        </w:numPr>
        <w:spacing w:line="276" w:lineRule="auto"/>
      </w:pPr>
      <w:r w:rsidRPr="008B15E6">
        <w:rPr>
          <w:b/>
        </w:rPr>
        <w:lastRenderedPageBreak/>
        <w:t>Carryover</w:t>
      </w:r>
      <w:r w:rsidRPr="008B15E6">
        <w:t xml:space="preserve"> </w:t>
      </w:r>
      <w:r w:rsidRPr="008B15E6">
        <w:rPr>
          <w:rFonts w:asciiTheme="minorHAnsi" w:hAnsiTheme="minorHAnsi"/>
        </w:rPr>
        <w:t xml:space="preserve">is a funding amount not fully expended in a financial year that is carried over for use </w:t>
      </w:r>
      <w:r w:rsidR="00CC099A" w:rsidRPr="008B15E6">
        <w:rPr>
          <w:rFonts w:asciiTheme="minorHAnsi" w:hAnsiTheme="minorHAnsi"/>
        </w:rPr>
        <w:t xml:space="preserve">for the same purpose </w:t>
      </w:r>
      <w:r w:rsidRPr="008B15E6">
        <w:rPr>
          <w:rFonts w:asciiTheme="minorHAnsi" w:hAnsiTheme="minorHAnsi"/>
        </w:rPr>
        <w:t>in future financial years from agency cash balances</w:t>
      </w:r>
      <w:r w:rsidR="002A5985" w:rsidRPr="008B15E6">
        <w:rPr>
          <w:rFonts w:asciiTheme="minorHAnsi" w:hAnsiTheme="minorHAnsi"/>
        </w:rPr>
        <w:t xml:space="preserve"> with no corresponding revenue adjustment</w:t>
      </w:r>
      <w:r w:rsidRPr="008B15E6">
        <w:rPr>
          <w:rFonts w:asciiTheme="minorHAnsi" w:hAnsiTheme="minorHAnsi"/>
        </w:rPr>
        <w:t>.</w:t>
      </w:r>
      <w:r w:rsidR="002A5985" w:rsidRPr="008B15E6">
        <w:rPr>
          <w:rFonts w:asciiTheme="minorHAnsi" w:hAnsiTheme="minorHAnsi"/>
        </w:rPr>
        <w:t xml:space="preserve"> It excludes adjustments related to unearned revenue in accordance with Australian Accounting Standards. </w:t>
      </w:r>
    </w:p>
    <w:p w14:paraId="4BCE394D" w14:textId="261F7844" w:rsidR="001F17FB" w:rsidRPr="008B15E6" w:rsidRDefault="005434FE">
      <w:pPr>
        <w:pStyle w:val="ListParagraph"/>
        <w:numPr>
          <w:ilvl w:val="0"/>
          <w:numId w:val="15"/>
        </w:numPr>
        <w:spacing w:line="276" w:lineRule="auto"/>
      </w:pPr>
      <w:r w:rsidRPr="008B15E6">
        <w:rPr>
          <w:b/>
        </w:rPr>
        <w:t xml:space="preserve">Data dictionaries </w:t>
      </w:r>
      <w:r w:rsidRPr="008B15E6">
        <w:t xml:space="preserve">document key performance indicator definitions, </w:t>
      </w:r>
      <w:r w:rsidR="00D6477D" w:rsidRPr="008B15E6">
        <w:t>data sources</w:t>
      </w:r>
      <w:r w:rsidR="009011EB" w:rsidRPr="008B15E6">
        <w:t>,</w:t>
      </w:r>
      <w:r w:rsidR="00D6477D" w:rsidRPr="008B15E6">
        <w:t xml:space="preserve"> </w:t>
      </w:r>
      <w:r w:rsidRPr="008B15E6">
        <w:t xml:space="preserve">calculation methodology and reporting requirements. </w:t>
      </w:r>
    </w:p>
    <w:p w14:paraId="5E82EC2E" w14:textId="7BEB01E3" w:rsidR="00DF7569" w:rsidRPr="008B15E6" w:rsidRDefault="008C068C">
      <w:pPr>
        <w:pStyle w:val="ListParagraph"/>
        <w:numPr>
          <w:ilvl w:val="0"/>
          <w:numId w:val="15"/>
        </w:numPr>
        <w:spacing w:line="276" w:lineRule="auto"/>
      </w:pPr>
      <w:r w:rsidRPr="008B15E6">
        <w:rPr>
          <w:b/>
        </w:rPr>
        <w:t>Employee</w:t>
      </w:r>
      <w:r w:rsidR="008B3139" w:rsidRPr="008B15E6">
        <w:rPr>
          <w:b/>
        </w:rPr>
        <w:t xml:space="preserve"> expense cap</w:t>
      </w:r>
      <w:r w:rsidR="008B3139" w:rsidRPr="008B15E6">
        <w:t xml:space="preserve"> </w:t>
      </w:r>
      <w:r w:rsidR="00EE1126" w:rsidRPr="008B15E6">
        <w:t xml:space="preserve">is </w:t>
      </w:r>
      <w:r w:rsidR="008B3139" w:rsidRPr="008B15E6">
        <w:t>an agency’s final approved employee expense budget</w:t>
      </w:r>
      <w:r w:rsidRPr="008B15E6">
        <w:t>, also referred to as labour</w:t>
      </w:r>
      <w:r w:rsidR="005022F6" w:rsidRPr="008B15E6">
        <w:t xml:space="preserve"> expense cap</w:t>
      </w:r>
      <w:r w:rsidR="00D6477D" w:rsidRPr="008B15E6">
        <w:t>, as may be determined by government from time to time.</w:t>
      </w:r>
    </w:p>
    <w:p w14:paraId="5FAB8C88" w14:textId="01B45C0D" w:rsidR="00DF7569" w:rsidRPr="008B15E6" w:rsidRDefault="00DF7569">
      <w:pPr>
        <w:pStyle w:val="ListParagraph"/>
        <w:numPr>
          <w:ilvl w:val="0"/>
          <w:numId w:val="15"/>
        </w:numPr>
        <w:spacing w:line="276" w:lineRule="auto"/>
      </w:pPr>
      <w:r w:rsidRPr="008B15E6">
        <w:rPr>
          <w:b/>
        </w:rPr>
        <w:t>Key performance indicators</w:t>
      </w:r>
      <w:r w:rsidRPr="008B15E6">
        <w:t xml:space="preserve"> (KPIs) are indicators considered by an agency to be the most important measures of agency performance. </w:t>
      </w:r>
    </w:p>
    <w:p w14:paraId="1CA6061E" w14:textId="77777777" w:rsidR="00000AC9" w:rsidRPr="001C6B00" w:rsidRDefault="00785E82">
      <w:pPr>
        <w:pStyle w:val="ListParagraph"/>
        <w:numPr>
          <w:ilvl w:val="0"/>
          <w:numId w:val="15"/>
        </w:numPr>
        <w:spacing w:line="276" w:lineRule="auto"/>
      </w:pPr>
      <w:r w:rsidRPr="008B15E6">
        <w:rPr>
          <w:b/>
        </w:rPr>
        <w:t>Operating expense cap</w:t>
      </w:r>
      <w:r w:rsidRPr="008B15E6">
        <w:t xml:space="preserve"> is an</w:t>
      </w:r>
      <w:r w:rsidR="002A5985" w:rsidRPr="008B15E6">
        <w:t xml:space="preserve"> agency's final approved expenditure</w:t>
      </w:r>
      <w:r w:rsidRPr="008B15E6">
        <w:t xml:space="preserve"> budget, less</w:t>
      </w:r>
      <w:r w:rsidR="00000AC9" w:rsidRPr="001C6B00">
        <w:t>:</w:t>
      </w:r>
    </w:p>
    <w:p w14:paraId="7D60A80E" w14:textId="79C81D64" w:rsidR="00000AC9" w:rsidRPr="001C6B00" w:rsidRDefault="00000AC9" w:rsidP="001C6B00">
      <w:pPr>
        <w:pStyle w:val="ListParagraph"/>
        <w:numPr>
          <w:ilvl w:val="1"/>
          <w:numId w:val="15"/>
        </w:numPr>
        <w:spacing w:line="276" w:lineRule="auto"/>
      </w:pPr>
      <w:r w:rsidRPr="001C6B00">
        <w:t>interest expense,</w:t>
      </w:r>
      <w:r w:rsidR="00785E82" w:rsidRPr="008B15E6">
        <w:t xml:space="preserve"> </w:t>
      </w:r>
      <w:r w:rsidRPr="008B15E6">
        <w:rPr>
          <w:rFonts w:asciiTheme="minorHAnsi" w:hAnsiTheme="minorHAnsi"/>
        </w:rPr>
        <w:t xml:space="preserve">depreciation and amortisation expense, </w:t>
      </w:r>
      <w:r w:rsidRPr="001C6B00">
        <w:t>other administrative expense,  and services free of charge expense</w:t>
      </w:r>
      <w:r w:rsidR="00633A7C" w:rsidRPr="001C6B00">
        <w:t xml:space="preserve"> in the operating</w:t>
      </w:r>
      <w:r w:rsidR="00C45368" w:rsidRPr="001C6B00">
        <w:t xml:space="preserve"> statement</w:t>
      </w:r>
    </w:p>
    <w:p w14:paraId="4F4D2BBF" w14:textId="521F97FA" w:rsidR="00000AC9" w:rsidRPr="001C6B00" w:rsidRDefault="00000AC9" w:rsidP="001C6B00">
      <w:pPr>
        <w:pStyle w:val="ListParagraph"/>
        <w:numPr>
          <w:ilvl w:val="1"/>
          <w:numId w:val="15"/>
        </w:numPr>
        <w:spacing w:line="276" w:lineRule="auto"/>
      </w:pPr>
      <w:r w:rsidRPr="001C6B00">
        <w:t>waivers</w:t>
      </w:r>
      <w:r w:rsidR="00C45368" w:rsidRPr="001C6B00">
        <w:t xml:space="preserve"> as specified in Treasurer’s Direction – Standard Classification Codes: Appendix A </w:t>
      </w:r>
    </w:p>
    <w:p w14:paraId="445D654B" w14:textId="21F226ED" w:rsidR="00C45368" w:rsidRPr="001C6B00" w:rsidRDefault="005D6D04" w:rsidP="001C6B00">
      <w:pPr>
        <w:pStyle w:val="ListParagraph"/>
        <w:numPr>
          <w:ilvl w:val="1"/>
          <w:numId w:val="15"/>
        </w:numPr>
        <w:spacing w:line="276" w:lineRule="auto"/>
      </w:pPr>
      <w:r w:rsidRPr="001C6B00">
        <w:t xml:space="preserve">any further variations for </w:t>
      </w:r>
      <w:r w:rsidR="00785E82" w:rsidRPr="008B15E6">
        <w:t>non-cash items a</w:t>
      </w:r>
      <w:r w:rsidR="006B547F" w:rsidRPr="008B15E6">
        <w:t xml:space="preserve">nd </w:t>
      </w:r>
      <w:r w:rsidR="00CD13B8" w:rsidRPr="008B15E6">
        <w:t>other economic flows</w:t>
      </w:r>
      <w:r w:rsidR="00785E82" w:rsidRPr="008B15E6">
        <w:t xml:space="preserve"> as specified in Treasurer’s Direction – Standard Classification Code</w:t>
      </w:r>
      <w:r w:rsidR="00AB5E80" w:rsidRPr="008B15E6">
        <w:t>s</w:t>
      </w:r>
      <w:r w:rsidR="00785E82" w:rsidRPr="008B15E6">
        <w:t>: Appendix A</w:t>
      </w:r>
      <w:r w:rsidRPr="001C6B00">
        <w:t xml:space="preserve">, not already captured in </w:t>
      </w:r>
      <w:r w:rsidR="0093619D">
        <w:t>(</w:t>
      </w:r>
      <w:proofErr w:type="spellStart"/>
      <w:r w:rsidRPr="001C6B00">
        <w:t>i</w:t>
      </w:r>
      <w:proofErr w:type="spellEnd"/>
      <w:r w:rsidRPr="001C6B00">
        <w:t xml:space="preserve"> and ii) above</w:t>
      </w:r>
      <w:r w:rsidR="00000AC9" w:rsidRPr="001C6B00">
        <w:t>.</w:t>
      </w:r>
      <w:r w:rsidR="00D6477D" w:rsidRPr="008B15E6">
        <w:t xml:space="preserve"> </w:t>
      </w:r>
    </w:p>
    <w:p w14:paraId="1F282458" w14:textId="6DAACB4B" w:rsidR="00785E82" w:rsidRPr="003D717F" w:rsidRDefault="00C45368" w:rsidP="001C6B00">
      <w:pPr>
        <w:spacing w:line="276" w:lineRule="auto"/>
      </w:pPr>
      <w:r w:rsidRPr="001C6B00">
        <w:t>Government from time to time may set a cap</w:t>
      </w:r>
      <w:r w:rsidR="00D6477D" w:rsidRPr="003D717F">
        <w:t>.</w:t>
      </w:r>
    </w:p>
    <w:p w14:paraId="6206F904" w14:textId="77777777" w:rsidR="00AB5E80" w:rsidRPr="008B15E6" w:rsidRDefault="00AB5E80">
      <w:pPr>
        <w:pStyle w:val="ListParagraph"/>
        <w:numPr>
          <w:ilvl w:val="0"/>
          <w:numId w:val="15"/>
        </w:numPr>
        <w:spacing w:line="276" w:lineRule="auto"/>
      </w:pPr>
      <w:r w:rsidRPr="008B15E6">
        <w:rPr>
          <w:b/>
        </w:rPr>
        <w:t xml:space="preserve">Operating result </w:t>
      </w:r>
      <w:r w:rsidRPr="008B15E6">
        <w:t>is the agency’s end of financial year outcome, calculated as total income less total expenses, and also referred to as net surplus(+)/deficit(-) on the operating statement.</w:t>
      </w:r>
    </w:p>
    <w:p w14:paraId="408BFF5F" w14:textId="505EB4D0" w:rsidR="00E4515A" w:rsidRPr="008B15E6" w:rsidRDefault="00E4515A">
      <w:pPr>
        <w:pStyle w:val="ListParagraph"/>
        <w:numPr>
          <w:ilvl w:val="0"/>
          <w:numId w:val="15"/>
        </w:numPr>
        <w:spacing w:line="276" w:lineRule="auto"/>
      </w:pPr>
      <w:r w:rsidRPr="008B15E6">
        <w:rPr>
          <w:b/>
        </w:rPr>
        <w:t>Performance indicators</w:t>
      </w:r>
      <w:r w:rsidRPr="008B15E6">
        <w:t xml:space="preserve"> are quantifiable measures of agency performance </w:t>
      </w:r>
      <w:r w:rsidR="00D6477D" w:rsidRPr="008B15E6">
        <w:t xml:space="preserve">with respect to </w:t>
      </w:r>
      <w:r w:rsidRPr="008B15E6">
        <w:t>implementation, efficiency</w:t>
      </w:r>
      <w:r w:rsidR="00D6477D" w:rsidRPr="008B15E6">
        <w:t>, effectiveness</w:t>
      </w:r>
      <w:r w:rsidRPr="008B15E6">
        <w:t xml:space="preserve"> and</w:t>
      </w:r>
      <w:r w:rsidR="00B11401" w:rsidRPr="008B15E6">
        <w:t xml:space="preserve"> </w:t>
      </w:r>
      <w:r w:rsidRPr="008B15E6">
        <w:t>or impact of service delivery.</w:t>
      </w:r>
    </w:p>
    <w:p w14:paraId="55D0AF16" w14:textId="77777777" w:rsidR="00EC07E8" w:rsidRPr="008B15E6" w:rsidRDefault="00EC07E8">
      <w:pPr>
        <w:pStyle w:val="ListParagraph"/>
        <w:numPr>
          <w:ilvl w:val="0"/>
          <w:numId w:val="15"/>
        </w:numPr>
        <w:spacing w:line="276" w:lineRule="auto"/>
      </w:pPr>
      <w:r w:rsidRPr="008B15E6">
        <w:rPr>
          <w:b/>
        </w:rPr>
        <w:t>Program</w:t>
      </w:r>
      <w:r w:rsidRPr="008B15E6">
        <w:t xml:space="preserve"> </w:t>
      </w:r>
      <w:r w:rsidR="008C50B0" w:rsidRPr="008B15E6">
        <w:t>is a set of activities managed together over a sustained period of time that aim to deliver an outcome for a client or client group. Program is sometimes used interchangeably with strategy, policy, project, initiative or intervention. Programs may include one or more projects that aim to deliver a specific product or output and achieve a strategic objective within a specific timeframe and budget. Programs are discrete sets of activities that are differentiated from the day to day delivery of services, business activities or operational functions that are business as usual.</w:t>
      </w:r>
    </w:p>
    <w:p w14:paraId="41D9B516" w14:textId="77777777" w:rsidR="000C00F7" w:rsidRPr="008B15E6" w:rsidRDefault="000C00F7">
      <w:pPr>
        <w:pStyle w:val="ListParagraph"/>
        <w:numPr>
          <w:ilvl w:val="0"/>
          <w:numId w:val="15"/>
        </w:numPr>
        <w:spacing w:line="276" w:lineRule="auto"/>
        <w:rPr>
          <w:b/>
        </w:rPr>
      </w:pPr>
      <w:r w:rsidRPr="008B15E6">
        <w:rPr>
          <w:b/>
        </w:rPr>
        <w:t>Program master list</w:t>
      </w:r>
      <w:r w:rsidRPr="008B15E6">
        <w:t xml:space="preserve"> is a register of an agency’s Territory Government funded, or partially Territory Government funded</w:t>
      </w:r>
      <w:r w:rsidR="00FD3BD4" w:rsidRPr="008B15E6">
        <w:t xml:space="preserve"> </w:t>
      </w:r>
      <w:r w:rsidRPr="008B15E6">
        <w:t>programs that c</w:t>
      </w:r>
      <w:r w:rsidR="00E349C6" w:rsidRPr="008B15E6">
        <w:t>an</w:t>
      </w:r>
      <w:r w:rsidRPr="008B15E6">
        <w:t xml:space="preserve"> be evaluated (refer to the</w:t>
      </w:r>
      <w:r w:rsidR="00785E82" w:rsidRPr="008B15E6">
        <w:t xml:space="preserve"> </w:t>
      </w:r>
      <w:hyperlink r:id="rId9" w:history="1">
        <w:r w:rsidR="00785E82" w:rsidRPr="008B15E6">
          <w:rPr>
            <w:rStyle w:val="Hyperlink"/>
          </w:rPr>
          <w:t>Northern Territory Government</w:t>
        </w:r>
        <w:r w:rsidRPr="008B15E6">
          <w:rPr>
            <w:rStyle w:val="Hyperlink"/>
          </w:rPr>
          <w:t xml:space="preserve"> Program Evaluation Framework</w:t>
        </w:r>
      </w:hyperlink>
      <w:r w:rsidRPr="008B15E6">
        <w:t xml:space="preserve"> and toolkit for further information).</w:t>
      </w:r>
    </w:p>
    <w:p w14:paraId="5804DB84" w14:textId="5428A550" w:rsidR="00CC099A" w:rsidRPr="008B15E6" w:rsidRDefault="00CC099A">
      <w:pPr>
        <w:pStyle w:val="ListParagraph"/>
        <w:numPr>
          <w:ilvl w:val="0"/>
          <w:numId w:val="15"/>
        </w:numPr>
        <w:spacing w:line="276" w:lineRule="auto"/>
      </w:pPr>
      <w:r w:rsidRPr="008B15E6">
        <w:rPr>
          <w:b/>
        </w:rPr>
        <w:t>Reward carryover</w:t>
      </w:r>
      <w:r w:rsidRPr="008B15E6">
        <w:t xml:space="preserve"> </w:t>
      </w:r>
      <w:r w:rsidRPr="008B15E6">
        <w:rPr>
          <w:rFonts w:asciiTheme="minorHAnsi" w:hAnsiTheme="minorHAnsi"/>
        </w:rPr>
        <w:t xml:space="preserve">is any portion of an agency’s residual improvement that is carried over for use for </w:t>
      </w:r>
      <w:r w:rsidR="00B11401" w:rsidRPr="008B15E6">
        <w:rPr>
          <w:rFonts w:asciiTheme="minorHAnsi" w:hAnsiTheme="minorHAnsi"/>
        </w:rPr>
        <w:t xml:space="preserve">a different or similar </w:t>
      </w:r>
      <w:r w:rsidRPr="008B15E6">
        <w:rPr>
          <w:rFonts w:asciiTheme="minorHAnsi" w:hAnsiTheme="minorHAnsi"/>
        </w:rPr>
        <w:t>purpose in future financial years</w:t>
      </w:r>
      <w:r w:rsidR="00B16289" w:rsidRPr="008B15E6">
        <w:rPr>
          <w:rFonts w:asciiTheme="minorHAnsi" w:hAnsiTheme="minorHAnsi"/>
        </w:rPr>
        <w:t xml:space="preserve">, funded from </w:t>
      </w:r>
      <w:r w:rsidRPr="008B15E6">
        <w:rPr>
          <w:rFonts w:asciiTheme="minorHAnsi" w:hAnsiTheme="minorHAnsi"/>
        </w:rPr>
        <w:t>agency cash balances.</w:t>
      </w:r>
    </w:p>
    <w:p w14:paraId="4D663E94" w14:textId="77777777" w:rsidR="000C1FEC" w:rsidRPr="008B15E6" w:rsidRDefault="000C1FEC">
      <w:pPr>
        <w:pStyle w:val="ListParagraph"/>
        <w:numPr>
          <w:ilvl w:val="0"/>
          <w:numId w:val="15"/>
        </w:numPr>
        <w:spacing w:line="276" w:lineRule="auto"/>
      </w:pPr>
      <w:r w:rsidRPr="008B15E6">
        <w:rPr>
          <w:b/>
        </w:rPr>
        <w:t>Sunset clause</w:t>
      </w:r>
      <w:r w:rsidRPr="008B15E6">
        <w:t xml:space="preserve"> </w:t>
      </w:r>
      <w:r w:rsidR="00EE1126" w:rsidRPr="008B15E6">
        <w:t xml:space="preserve">is </w:t>
      </w:r>
      <w:r w:rsidRPr="008B15E6">
        <w:t xml:space="preserve">a specified period after which funding for </w:t>
      </w:r>
      <w:r w:rsidR="00B3241E" w:rsidRPr="008B15E6">
        <w:t>a</w:t>
      </w:r>
      <w:r w:rsidRPr="008B15E6">
        <w:t xml:space="preserve"> </w:t>
      </w:r>
      <w:r w:rsidR="00F937A6" w:rsidRPr="008B15E6">
        <w:t xml:space="preserve">program is reviewed or </w:t>
      </w:r>
      <w:r w:rsidR="00331F2F" w:rsidRPr="008B15E6">
        <w:t>ceases</w:t>
      </w:r>
      <w:r w:rsidR="00F937A6" w:rsidRPr="008B15E6">
        <w:t>.</w:t>
      </w:r>
    </w:p>
    <w:p w14:paraId="667B959F" w14:textId="4C45E645" w:rsidR="008B3139" w:rsidRPr="008B15E6" w:rsidRDefault="008B3139">
      <w:pPr>
        <w:pStyle w:val="ListParagraph"/>
        <w:numPr>
          <w:ilvl w:val="0"/>
          <w:numId w:val="15"/>
        </w:numPr>
        <w:spacing w:line="276" w:lineRule="auto"/>
      </w:pPr>
      <w:r w:rsidRPr="008B15E6">
        <w:rPr>
          <w:b/>
        </w:rPr>
        <w:t>Staffing cap</w:t>
      </w:r>
      <w:r w:rsidRPr="008B15E6">
        <w:t xml:space="preserve"> </w:t>
      </w:r>
      <w:r w:rsidR="00B16289" w:rsidRPr="008B15E6">
        <w:t>is</w:t>
      </w:r>
      <w:r w:rsidR="00EE1126" w:rsidRPr="008B15E6">
        <w:t xml:space="preserve"> </w:t>
      </w:r>
      <w:r w:rsidRPr="008B15E6">
        <w:t>the maximum number of full</w:t>
      </w:r>
      <w:r w:rsidR="00B16289" w:rsidRPr="008B15E6">
        <w:t>-</w:t>
      </w:r>
      <w:r w:rsidRPr="008B15E6">
        <w:t xml:space="preserve">time equivalent staff an agency </w:t>
      </w:r>
      <w:r w:rsidR="00B16289" w:rsidRPr="008B15E6">
        <w:t>can engage, as</w:t>
      </w:r>
      <w:r w:rsidR="00331F2F" w:rsidRPr="008B15E6">
        <w:t xml:space="preserve"> may be </w:t>
      </w:r>
      <w:r w:rsidRPr="008B15E6">
        <w:t>determined by Government</w:t>
      </w:r>
      <w:r w:rsidR="00B16289" w:rsidRPr="008B15E6">
        <w:t xml:space="preserve"> from time to time. It is</w:t>
      </w:r>
      <w:r w:rsidRPr="008B15E6">
        <w:t xml:space="preserve"> measured as an average over the financial year.</w:t>
      </w:r>
      <w:r w:rsidR="00241CBD" w:rsidRPr="008B15E6">
        <w:t xml:space="preserve"> Caps may be specified at the total </w:t>
      </w:r>
      <w:r w:rsidR="00B16289" w:rsidRPr="008B15E6">
        <w:t xml:space="preserve">level, </w:t>
      </w:r>
      <w:r w:rsidR="00241CBD" w:rsidRPr="008B15E6">
        <w:t xml:space="preserve">or </w:t>
      </w:r>
      <w:r w:rsidR="00B16289" w:rsidRPr="008B15E6">
        <w:t>by component of staffing cohort</w:t>
      </w:r>
      <w:r w:rsidR="00241CBD" w:rsidRPr="008B15E6">
        <w:t xml:space="preserve"> (for example, administrative or executive contract officer).</w:t>
      </w:r>
    </w:p>
    <w:p w14:paraId="2E3D3C8D" w14:textId="77777777" w:rsidR="006F1DDD" w:rsidRPr="008B15E6" w:rsidRDefault="006F1DDD">
      <w:pPr>
        <w:pStyle w:val="Heading1"/>
      </w:pPr>
      <w:r w:rsidRPr="008B15E6">
        <w:lastRenderedPageBreak/>
        <w:t>Planning</w:t>
      </w:r>
    </w:p>
    <w:p w14:paraId="7E48C1F7" w14:textId="77777777" w:rsidR="007A71FA" w:rsidRPr="008B15E6" w:rsidRDefault="002F7008">
      <w:pPr>
        <w:pStyle w:val="Heading2"/>
      </w:pPr>
      <w:r w:rsidRPr="008B15E6">
        <w:t>S</w:t>
      </w:r>
      <w:r w:rsidR="007A71FA" w:rsidRPr="008B15E6">
        <w:t>trategic planning</w:t>
      </w:r>
    </w:p>
    <w:p w14:paraId="48460B47" w14:textId="77777777" w:rsidR="003F51CC" w:rsidRPr="008B15E6" w:rsidRDefault="007A71FA">
      <w:pPr>
        <w:pStyle w:val="ListParagraph"/>
        <w:numPr>
          <w:ilvl w:val="0"/>
          <w:numId w:val="15"/>
        </w:numPr>
      </w:pPr>
      <w:r w:rsidRPr="008B15E6">
        <w:t xml:space="preserve">An accountable officer must </w:t>
      </w:r>
      <w:r w:rsidR="008D690F" w:rsidRPr="008B15E6">
        <w:t xml:space="preserve">make publicly available </w:t>
      </w:r>
      <w:r w:rsidRPr="008B15E6">
        <w:t>a</w:t>
      </w:r>
      <w:r w:rsidR="009F7422" w:rsidRPr="008B15E6">
        <w:t>n agency</w:t>
      </w:r>
      <w:r w:rsidR="00580CCF" w:rsidRPr="008B15E6">
        <w:t>’s</w:t>
      </w:r>
      <w:r w:rsidRPr="008B15E6">
        <w:t xml:space="preserve"> strategic plan that</w:t>
      </w:r>
      <w:r w:rsidR="004C28B6" w:rsidRPr="008B15E6">
        <w:t>, at a minimum, specifies</w:t>
      </w:r>
      <w:r w:rsidR="003F51CC" w:rsidRPr="008B15E6">
        <w:t>:</w:t>
      </w:r>
    </w:p>
    <w:p w14:paraId="422B8805" w14:textId="77777777" w:rsidR="004810B0" w:rsidRPr="008B15E6" w:rsidRDefault="003F51CC">
      <w:pPr>
        <w:pStyle w:val="ListParagraph"/>
        <w:numPr>
          <w:ilvl w:val="1"/>
          <w:numId w:val="15"/>
        </w:numPr>
      </w:pPr>
      <w:r w:rsidRPr="008B15E6">
        <w:t>the agency’s medium term objectives</w:t>
      </w:r>
      <w:r w:rsidR="00BC1D37" w:rsidRPr="008B15E6">
        <w:t xml:space="preserve"> </w:t>
      </w:r>
    </w:p>
    <w:p w14:paraId="1B0E10DE" w14:textId="77777777" w:rsidR="003F51CC" w:rsidRPr="008B15E6" w:rsidRDefault="00BC1D37">
      <w:pPr>
        <w:pStyle w:val="ListParagraph"/>
        <w:numPr>
          <w:ilvl w:val="1"/>
          <w:numId w:val="15"/>
        </w:numPr>
      </w:pPr>
      <w:r w:rsidRPr="008B15E6">
        <w:t>how</w:t>
      </w:r>
      <w:r w:rsidR="004810B0" w:rsidRPr="008B15E6">
        <w:t xml:space="preserve"> the agency’s objectives </w:t>
      </w:r>
      <w:r w:rsidRPr="008B15E6">
        <w:t xml:space="preserve">relate to </w:t>
      </w:r>
      <w:bookmarkStart w:id="4" w:name="_Ref105502794"/>
      <w:r w:rsidR="007A71FA" w:rsidRPr="008B15E6">
        <w:t>government priorities</w:t>
      </w:r>
      <w:r w:rsidR="000223DC" w:rsidRPr="008B15E6">
        <w:t xml:space="preserve"> and or statutory responsibilities</w:t>
      </w:r>
      <w:r w:rsidR="009F7422" w:rsidRPr="008B15E6">
        <w:t xml:space="preserve"> </w:t>
      </w:r>
      <w:bookmarkEnd w:id="4"/>
      <w:r w:rsidR="008938BC" w:rsidRPr="008B15E6">
        <w:t>and other whole of government strategies, where relevant</w:t>
      </w:r>
    </w:p>
    <w:p w14:paraId="05A9E174" w14:textId="77777777" w:rsidR="00BC1D37" w:rsidRPr="008B15E6" w:rsidRDefault="003F51CC">
      <w:pPr>
        <w:pStyle w:val="ListParagraph"/>
        <w:numPr>
          <w:ilvl w:val="1"/>
          <w:numId w:val="15"/>
        </w:numPr>
      </w:pPr>
      <w:bookmarkStart w:id="5" w:name="_Ref105576983"/>
      <w:proofErr w:type="gramStart"/>
      <w:r w:rsidRPr="008B15E6">
        <w:t>performance</w:t>
      </w:r>
      <w:proofErr w:type="gramEnd"/>
      <w:r w:rsidRPr="008B15E6">
        <w:t xml:space="preserve"> indicators against which performance</w:t>
      </w:r>
      <w:r w:rsidR="00BC1D37" w:rsidRPr="008B15E6">
        <w:t xml:space="preserve"> will be assessed</w:t>
      </w:r>
      <w:bookmarkEnd w:id="5"/>
      <w:r w:rsidR="00FD3BD4" w:rsidRPr="008B15E6">
        <w:t>.</w:t>
      </w:r>
    </w:p>
    <w:p w14:paraId="613AD995" w14:textId="77777777" w:rsidR="00DC4D76" w:rsidRPr="008B15E6" w:rsidRDefault="008D690F">
      <w:pPr>
        <w:pStyle w:val="ListParagraph"/>
        <w:numPr>
          <w:ilvl w:val="0"/>
          <w:numId w:val="15"/>
        </w:numPr>
      </w:pPr>
      <w:r w:rsidRPr="008B15E6">
        <w:t>A</w:t>
      </w:r>
      <w:r w:rsidR="009F7422" w:rsidRPr="008B15E6">
        <w:t xml:space="preserve">gency strategic plans </w:t>
      </w:r>
      <w:r w:rsidR="007A71FA" w:rsidRPr="008B15E6">
        <w:t>must</w:t>
      </w:r>
      <w:r w:rsidRPr="008B15E6">
        <w:t>, at a minimum,</w:t>
      </w:r>
      <w:r w:rsidR="007A71FA" w:rsidRPr="008B15E6">
        <w:t xml:space="preserve"> be reviewed every four years. </w:t>
      </w:r>
    </w:p>
    <w:p w14:paraId="7D6614C5" w14:textId="77777777" w:rsidR="00AC0CEF" w:rsidRPr="003D717F" w:rsidRDefault="00AC0CEF" w:rsidP="001C6B00">
      <w:pPr>
        <w:pStyle w:val="Heading2"/>
      </w:pPr>
      <w:r w:rsidRPr="003D717F">
        <w:t>Developing performance indicators and targets</w:t>
      </w:r>
    </w:p>
    <w:p w14:paraId="5037B47D" w14:textId="77777777" w:rsidR="00AC0CEF" w:rsidRPr="008B15E6" w:rsidRDefault="00AC0CEF">
      <w:pPr>
        <w:pStyle w:val="ListParagraph"/>
        <w:numPr>
          <w:ilvl w:val="0"/>
          <w:numId w:val="15"/>
        </w:numPr>
      </w:pPr>
      <w:r w:rsidRPr="008B15E6">
        <w:t>An accountable officer must ensure that performance indicators are developed that:</w:t>
      </w:r>
    </w:p>
    <w:p w14:paraId="0414010C" w14:textId="77777777" w:rsidR="00AC0CEF" w:rsidRPr="008B15E6" w:rsidRDefault="00AC0CEF">
      <w:pPr>
        <w:pStyle w:val="ListParagraph"/>
        <w:numPr>
          <w:ilvl w:val="1"/>
          <w:numId w:val="15"/>
        </w:numPr>
      </w:pPr>
      <w:r w:rsidRPr="008B15E6">
        <w:t>align with government priorities and or statutory responsibilities</w:t>
      </w:r>
    </w:p>
    <w:p w14:paraId="0E78D07A" w14:textId="77777777" w:rsidR="00AC0CEF" w:rsidRPr="008B15E6" w:rsidRDefault="00AC0CEF">
      <w:pPr>
        <w:pStyle w:val="ListParagraph"/>
        <w:numPr>
          <w:ilvl w:val="1"/>
          <w:numId w:val="15"/>
        </w:numPr>
      </w:pPr>
      <w:r w:rsidRPr="008B15E6">
        <w:t>align with agency objectives</w:t>
      </w:r>
    </w:p>
    <w:p w14:paraId="4BE284C1" w14:textId="77777777" w:rsidR="00AC0CEF" w:rsidRPr="008B15E6" w:rsidRDefault="00AC0CEF">
      <w:pPr>
        <w:pStyle w:val="ListParagraph"/>
        <w:numPr>
          <w:ilvl w:val="1"/>
          <w:numId w:val="15"/>
        </w:numPr>
      </w:pPr>
      <w:r w:rsidRPr="008B15E6">
        <w:t>satisfy the following principles:</w:t>
      </w:r>
    </w:p>
    <w:p w14:paraId="4C0BAEF0" w14:textId="77777777" w:rsidR="00AC0CEF" w:rsidRPr="008B15E6" w:rsidRDefault="00AC0CEF">
      <w:pPr>
        <w:pStyle w:val="ListParagraph"/>
        <w:numPr>
          <w:ilvl w:val="2"/>
          <w:numId w:val="15"/>
        </w:numPr>
      </w:pPr>
      <w:r w:rsidRPr="008B15E6">
        <w:t>Specific</w:t>
      </w:r>
    </w:p>
    <w:p w14:paraId="77430A52" w14:textId="77777777" w:rsidR="00AC0CEF" w:rsidRPr="008B15E6" w:rsidRDefault="00AC0CEF">
      <w:pPr>
        <w:pStyle w:val="ListParagraph"/>
        <w:numPr>
          <w:ilvl w:val="2"/>
          <w:numId w:val="15"/>
        </w:numPr>
      </w:pPr>
      <w:r w:rsidRPr="008B15E6">
        <w:t>Measurable</w:t>
      </w:r>
    </w:p>
    <w:p w14:paraId="61EFE386" w14:textId="77777777" w:rsidR="00AC0CEF" w:rsidRPr="008B15E6" w:rsidRDefault="00AC0CEF">
      <w:pPr>
        <w:pStyle w:val="ListParagraph"/>
        <w:numPr>
          <w:ilvl w:val="2"/>
          <w:numId w:val="15"/>
        </w:numPr>
      </w:pPr>
      <w:r w:rsidRPr="008B15E6">
        <w:t>Achievable</w:t>
      </w:r>
    </w:p>
    <w:p w14:paraId="4AF86FB5" w14:textId="77777777" w:rsidR="00AC0CEF" w:rsidRPr="008B15E6" w:rsidRDefault="00AC0CEF">
      <w:pPr>
        <w:pStyle w:val="ListParagraph"/>
        <w:numPr>
          <w:ilvl w:val="2"/>
          <w:numId w:val="15"/>
        </w:numPr>
      </w:pPr>
      <w:r w:rsidRPr="008B15E6">
        <w:t>Relevant</w:t>
      </w:r>
    </w:p>
    <w:p w14:paraId="37E25F67" w14:textId="77777777" w:rsidR="00AC0CEF" w:rsidRPr="008B15E6" w:rsidRDefault="00AC0CEF">
      <w:pPr>
        <w:pStyle w:val="ListParagraph"/>
        <w:numPr>
          <w:ilvl w:val="2"/>
          <w:numId w:val="15"/>
        </w:numPr>
      </w:pPr>
      <w:r w:rsidRPr="008B15E6">
        <w:t>Time-bound</w:t>
      </w:r>
    </w:p>
    <w:p w14:paraId="0272B46F" w14:textId="77777777" w:rsidR="00AC0CEF" w:rsidRPr="008B15E6" w:rsidRDefault="00AC0CEF">
      <w:pPr>
        <w:pStyle w:val="ListParagraph"/>
        <w:numPr>
          <w:ilvl w:val="0"/>
          <w:numId w:val="15"/>
        </w:numPr>
      </w:pPr>
      <w:r w:rsidRPr="008B15E6">
        <w:t>An accountable officer must ensure targets are developed for performance indicators that:</w:t>
      </w:r>
    </w:p>
    <w:p w14:paraId="0580BAC7" w14:textId="77777777" w:rsidR="00AC0CEF" w:rsidRPr="008B15E6" w:rsidRDefault="00AC0CEF">
      <w:pPr>
        <w:pStyle w:val="ListParagraph"/>
        <w:numPr>
          <w:ilvl w:val="1"/>
          <w:numId w:val="15"/>
        </w:numPr>
      </w:pPr>
      <w:r w:rsidRPr="008B15E6">
        <w:t>are achievable within the relevant timeframe and or</w:t>
      </w:r>
    </w:p>
    <w:p w14:paraId="368A1D77" w14:textId="77777777" w:rsidR="00AC0CEF" w:rsidRPr="008B15E6" w:rsidRDefault="00AC0CEF">
      <w:pPr>
        <w:pStyle w:val="ListParagraph"/>
        <w:numPr>
          <w:ilvl w:val="1"/>
          <w:numId w:val="15"/>
        </w:numPr>
      </w:pPr>
      <w:proofErr w:type="gramStart"/>
      <w:r w:rsidRPr="008B15E6">
        <w:t>reflect</w:t>
      </w:r>
      <w:proofErr w:type="gramEnd"/>
      <w:r w:rsidRPr="008B15E6">
        <w:t xml:space="preserve">, where relevant, established benchmarks or legislative requirements. </w:t>
      </w:r>
    </w:p>
    <w:p w14:paraId="6B993F67" w14:textId="77777777" w:rsidR="00AC0CEF" w:rsidRPr="008B15E6" w:rsidRDefault="00AC0CEF">
      <w:pPr>
        <w:pStyle w:val="ListParagraph"/>
        <w:numPr>
          <w:ilvl w:val="0"/>
          <w:numId w:val="15"/>
        </w:numPr>
      </w:pPr>
      <w:bookmarkStart w:id="6" w:name="_Ref115873962"/>
      <w:r w:rsidRPr="008B15E6">
        <w:t>An accountable officer must ensure performance indicators are developed for the agency’s Budget Paper No. 3 reporting that:</w:t>
      </w:r>
      <w:bookmarkEnd w:id="6"/>
    </w:p>
    <w:p w14:paraId="71223386" w14:textId="77777777" w:rsidR="00AC0CEF" w:rsidRPr="008B15E6" w:rsidRDefault="00AC0CEF">
      <w:pPr>
        <w:pStyle w:val="ListParagraph"/>
        <w:numPr>
          <w:ilvl w:val="1"/>
          <w:numId w:val="15"/>
        </w:numPr>
      </w:pPr>
      <w:r w:rsidRPr="008B15E6">
        <w:rPr>
          <w:lang w:eastAsia="en-AU"/>
        </w:rPr>
        <w:t>include at least one key performance indicator for each output group and</w:t>
      </w:r>
    </w:p>
    <w:p w14:paraId="481F851B" w14:textId="77777777" w:rsidR="00AC0CEF" w:rsidRPr="008B15E6" w:rsidRDefault="00AC0CEF">
      <w:pPr>
        <w:pStyle w:val="ListParagraph"/>
        <w:numPr>
          <w:ilvl w:val="1"/>
          <w:numId w:val="15"/>
        </w:numPr>
      </w:pPr>
      <w:r w:rsidRPr="008B15E6">
        <w:t>are the most relevant measure(s) of agency performance against the specified objective for each output group</w:t>
      </w:r>
    </w:p>
    <w:p w14:paraId="7C422629" w14:textId="77777777" w:rsidR="00AC0CEF" w:rsidRPr="008B15E6" w:rsidRDefault="00AC0CEF">
      <w:pPr>
        <w:pStyle w:val="ListParagraph"/>
        <w:numPr>
          <w:ilvl w:val="1"/>
          <w:numId w:val="15"/>
        </w:numPr>
      </w:pPr>
      <w:proofErr w:type="gramStart"/>
      <w:r w:rsidRPr="008B15E6">
        <w:rPr>
          <w:lang w:eastAsia="en-AU"/>
        </w:rPr>
        <w:t>where</w:t>
      </w:r>
      <w:proofErr w:type="gramEnd"/>
      <w:r w:rsidRPr="008B15E6">
        <w:rPr>
          <w:lang w:eastAsia="en-AU"/>
        </w:rPr>
        <w:t xml:space="preserve"> appropriate, include a mix of indicators that measure performance against the desired objectives at either the output or the output group level.</w:t>
      </w:r>
    </w:p>
    <w:p w14:paraId="10BEEC6E" w14:textId="791B7A66" w:rsidR="00AC0CEF" w:rsidRPr="008B15E6" w:rsidRDefault="00AC0CEF">
      <w:pPr>
        <w:pStyle w:val="ListParagraph"/>
        <w:numPr>
          <w:ilvl w:val="0"/>
          <w:numId w:val="15"/>
        </w:numPr>
      </w:pPr>
      <w:r w:rsidRPr="008B15E6">
        <w:t xml:space="preserve">Paragraph </w:t>
      </w:r>
      <w:r w:rsidR="00195DFF" w:rsidRPr="003D717F">
        <w:fldChar w:fldCharType="begin"/>
      </w:r>
      <w:r w:rsidR="00195DFF" w:rsidRPr="008B15E6">
        <w:instrText xml:space="preserve"> REF _Ref115873962 \r \h </w:instrText>
      </w:r>
      <w:r w:rsidR="008B15E6" w:rsidRPr="008B15E6">
        <w:instrText xml:space="preserve"> \* MERGEFORMAT </w:instrText>
      </w:r>
      <w:r w:rsidR="00195DFF" w:rsidRPr="003D717F">
        <w:fldChar w:fldCharType="separate"/>
      </w:r>
      <w:r w:rsidR="00F61257">
        <w:t>29</w:t>
      </w:r>
      <w:r w:rsidR="00195DFF" w:rsidRPr="003D717F">
        <w:fldChar w:fldCharType="end"/>
      </w:r>
      <w:r w:rsidRPr="008B15E6">
        <w:t xml:space="preserve"> does not apply to the Corporate and Shared Services output group.</w:t>
      </w:r>
    </w:p>
    <w:p w14:paraId="29BA1D0B" w14:textId="79307D97" w:rsidR="00F72AFF" w:rsidRPr="008B15E6" w:rsidRDefault="00D42DF0">
      <w:pPr>
        <w:pStyle w:val="Heading2"/>
      </w:pPr>
      <w:r w:rsidRPr="008B15E6">
        <w:lastRenderedPageBreak/>
        <w:t>Program</w:t>
      </w:r>
      <w:r w:rsidR="00C049B3" w:rsidRPr="008B15E6">
        <w:t xml:space="preserve"> planning</w:t>
      </w:r>
    </w:p>
    <w:p w14:paraId="63F908C2" w14:textId="6D549FD6" w:rsidR="00031D3E" w:rsidRPr="008B15E6" w:rsidRDefault="00563CB3">
      <w:pPr>
        <w:pStyle w:val="Heading1"/>
        <w:rPr>
          <w:sz w:val="28"/>
          <w:szCs w:val="28"/>
        </w:rPr>
      </w:pPr>
      <w:r w:rsidRPr="008B15E6">
        <w:rPr>
          <w:sz w:val="28"/>
          <w:szCs w:val="28"/>
        </w:rPr>
        <w:t>Budget planning</w:t>
      </w:r>
    </w:p>
    <w:p w14:paraId="63D1EB8B" w14:textId="74785DC5" w:rsidR="0091614C" w:rsidRPr="008B15E6" w:rsidRDefault="004F5CD1">
      <w:pPr>
        <w:pStyle w:val="ListParagraph"/>
        <w:numPr>
          <w:ilvl w:val="0"/>
          <w:numId w:val="15"/>
        </w:numPr>
      </w:pPr>
      <w:bookmarkStart w:id="7" w:name="_Ref115874226"/>
      <w:r w:rsidRPr="008B15E6">
        <w:t>In accordance</w:t>
      </w:r>
      <w:r w:rsidR="0091614C" w:rsidRPr="008B15E6">
        <w:t xml:space="preserve"> with the Charter of Budget Discipline, </w:t>
      </w:r>
      <w:r w:rsidRPr="008B15E6">
        <w:t>an agency</w:t>
      </w:r>
      <w:r w:rsidR="001E7E23" w:rsidRPr="008B15E6">
        <w:t xml:space="preserve"> may</w:t>
      </w:r>
      <w:r w:rsidRPr="008B15E6">
        <w:t xml:space="preserve"> </w:t>
      </w:r>
      <w:r w:rsidR="00897108" w:rsidRPr="008B15E6">
        <w:t xml:space="preserve">submit funding </w:t>
      </w:r>
      <w:r w:rsidR="00504B4B" w:rsidRPr="008B15E6">
        <w:t>requests during</w:t>
      </w:r>
      <w:r w:rsidR="00E748DB" w:rsidRPr="008B15E6">
        <w:t xml:space="preserve"> the </w:t>
      </w:r>
      <w:r w:rsidR="00CD6E15" w:rsidRPr="008B15E6">
        <w:t>budget development process</w:t>
      </w:r>
      <w:r w:rsidR="00627BBB" w:rsidRPr="008B15E6">
        <w:t xml:space="preserve"> in line with instructions provided </w:t>
      </w:r>
      <w:r w:rsidR="000810E3" w:rsidRPr="008B15E6">
        <w:t>by the Department of Treasury and Finance</w:t>
      </w:r>
      <w:r w:rsidR="00A47D05" w:rsidRPr="008B15E6">
        <w:t xml:space="preserve"> in </w:t>
      </w:r>
      <w:r w:rsidR="00407614" w:rsidRPr="008B15E6">
        <w:t xml:space="preserve">a </w:t>
      </w:r>
      <w:r w:rsidR="001E7E23" w:rsidRPr="008B15E6">
        <w:t>Treasury Circular</w:t>
      </w:r>
      <w:r w:rsidR="000810E3" w:rsidRPr="008B15E6">
        <w:t>.</w:t>
      </w:r>
      <w:bookmarkEnd w:id="7"/>
    </w:p>
    <w:p w14:paraId="483B41E5" w14:textId="110445FC" w:rsidR="006C70A8" w:rsidRDefault="006C70A8">
      <w:pPr>
        <w:pStyle w:val="ListParagraph"/>
        <w:numPr>
          <w:ilvl w:val="0"/>
          <w:numId w:val="15"/>
        </w:numPr>
      </w:pPr>
      <w:r>
        <w:t>P</w:t>
      </w:r>
      <w:r w:rsidR="0039030E" w:rsidRPr="008B15E6">
        <w:t xml:space="preserve">ursuant to paragraph </w:t>
      </w:r>
      <w:r w:rsidR="00FA1FC8" w:rsidRPr="003D717F">
        <w:fldChar w:fldCharType="begin"/>
      </w:r>
      <w:r w:rsidR="00FA1FC8" w:rsidRPr="008B15E6">
        <w:instrText xml:space="preserve"> REF _Ref115874226 \r \h </w:instrText>
      </w:r>
      <w:r w:rsidR="00B66F1F" w:rsidRPr="001C6B00">
        <w:instrText xml:space="preserve"> \* MERGEFORMAT </w:instrText>
      </w:r>
      <w:r w:rsidR="00FA1FC8" w:rsidRPr="003D717F">
        <w:fldChar w:fldCharType="separate"/>
      </w:r>
      <w:r w:rsidR="00F61257">
        <w:t>31</w:t>
      </w:r>
      <w:r w:rsidR="00FA1FC8" w:rsidRPr="003D717F">
        <w:fldChar w:fldCharType="end"/>
      </w:r>
      <w:r w:rsidR="0039030E" w:rsidRPr="008B15E6">
        <w:t>, funding requests submitted during the mid-year process</w:t>
      </w:r>
      <w:r>
        <w:t xml:space="preserve"> must be limited to:</w:t>
      </w:r>
    </w:p>
    <w:p w14:paraId="0F5C81EF" w14:textId="0CD81A0D" w:rsidR="006C70A8" w:rsidRDefault="006C70A8" w:rsidP="001C6B00">
      <w:pPr>
        <w:pStyle w:val="ListParagraph"/>
        <w:numPr>
          <w:ilvl w:val="1"/>
          <w:numId w:val="15"/>
        </w:numPr>
      </w:pPr>
      <w:r>
        <w:t>urgent one-off items that require consideration before the next budget development process</w:t>
      </w:r>
    </w:p>
    <w:p w14:paraId="48B23A2A" w14:textId="2B12D0B1" w:rsidR="0039030E" w:rsidRPr="008B15E6" w:rsidRDefault="006C70A8" w:rsidP="001C6B00">
      <w:pPr>
        <w:pStyle w:val="ListParagraph"/>
        <w:numPr>
          <w:ilvl w:val="1"/>
          <w:numId w:val="15"/>
        </w:numPr>
      </w:pPr>
      <w:proofErr w:type="gramStart"/>
      <w:r>
        <w:t>items</w:t>
      </w:r>
      <w:proofErr w:type="gramEnd"/>
      <w:r>
        <w:t xml:space="preserve"> to be funded through reprioritisation or reward carryovers as a result of improved agency outcomes in the prior financial year.</w:t>
      </w:r>
    </w:p>
    <w:p w14:paraId="07461103" w14:textId="62DC642B" w:rsidR="00380B2B" w:rsidRPr="008B15E6" w:rsidRDefault="00380B2B">
      <w:pPr>
        <w:pStyle w:val="ListParagraph"/>
        <w:numPr>
          <w:ilvl w:val="0"/>
          <w:numId w:val="15"/>
        </w:numPr>
      </w:pPr>
      <w:r w:rsidRPr="008B15E6">
        <w:t>Unless otherwise approved by the Treasurer, an accountable officer must ensure that funding requests outside the budget development process</w:t>
      </w:r>
      <w:r w:rsidR="008B6ED1" w:rsidRPr="008B15E6">
        <w:t xml:space="preserve"> meet one or more of the following criteria</w:t>
      </w:r>
      <w:r w:rsidRPr="008B15E6">
        <w:t>:</w:t>
      </w:r>
    </w:p>
    <w:p w14:paraId="26074794" w14:textId="77777777" w:rsidR="00380B2B" w:rsidRPr="008B15E6" w:rsidRDefault="0013520B">
      <w:pPr>
        <w:pStyle w:val="ListParagraph"/>
        <w:numPr>
          <w:ilvl w:val="1"/>
          <w:numId w:val="15"/>
        </w:numPr>
      </w:pPr>
      <w:r w:rsidRPr="008B15E6">
        <w:t xml:space="preserve">requests </w:t>
      </w:r>
      <w:r w:rsidR="00380B2B" w:rsidRPr="008B15E6">
        <w:t xml:space="preserve">are fully funded through reprioritisation, external revenues or savings </w:t>
      </w:r>
    </w:p>
    <w:p w14:paraId="0051C80B" w14:textId="3BFBA48E" w:rsidR="00380B2B" w:rsidRPr="008B15E6" w:rsidRDefault="0013520B">
      <w:pPr>
        <w:pStyle w:val="ListParagraph"/>
        <w:numPr>
          <w:ilvl w:val="1"/>
          <w:numId w:val="15"/>
        </w:numPr>
      </w:pPr>
      <w:proofErr w:type="gramStart"/>
      <w:r w:rsidRPr="008B15E6">
        <w:t>requests</w:t>
      </w:r>
      <w:proofErr w:type="gramEnd"/>
      <w:r w:rsidRPr="008B15E6">
        <w:t xml:space="preserve"> </w:t>
      </w:r>
      <w:r w:rsidR="00380B2B" w:rsidRPr="008B15E6">
        <w:t xml:space="preserve">are </w:t>
      </w:r>
      <w:r w:rsidR="00694B3B" w:rsidRPr="008B15E6">
        <w:t xml:space="preserve">urgent </w:t>
      </w:r>
      <w:r w:rsidR="00380B2B" w:rsidRPr="008B15E6">
        <w:t>priority items and time limited</w:t>
      </w:r>
      <w:r w:rsidR="00615937" w:rsidRPr="008B15E6">
        <w:t>.</w:t>
      </w:r>
    </w:p>
    <w:p w14:paraId="5AF03C30" w14:textId="18121A8E" w:rsidR="00563CB3" w:rsidRPr="008B15E6" w:rsidRDefault="00BA043B">
      <w:pPr>
        <w:pStyle w:val="ListParagraph"/>
        <w:numPr>
          <w:ilvl w:val="0"/>
          <w:numId w:val="15"/>
        </w:numPr>
      </w:pPr>
      <w:r w:rsidRPr="008B15E6">
        <w:t>A</w:t>
      </w:r>
      <w:r w:rsidR="00CF77FB" w:rsidRPr="008B15E6">
        <w:t>n accountable officer must ensure Cabinet submissions are circulated and lodged in accordance with the requirements outlined in the Cabinet Handbook.</w:t>
      </w:r>
    </w:p>
    <w:p w14:paraId="09917023" w14:textId="7D169154" w:rsidR="00563CB3" w:rsidRPr="008B15E6" w:rsidRDefault="00563CB3">
      <w:pPr>
        <w:pStyle w:val="Heading1"/>
        <w:rPr>
          <w:sz w:val="28"/>
          <w:szCs w:val="28"/>
        </w:rPr>
      </w:pPr>
      <w:r w:rsidRPr="008B15E6">
        <w:rPr>
          <w:sz w:val="28"/>
          <w:szCs w:val="28"/>
        </w:rPr>
        <w:t>Evaluation planning</w:t>
      </w:r>
    </w:p>
    <w:p w14:paraId="4D08526C" w14:textId="77777777" w:rsidR="00747505" w:rsidRPr="008B15E6" w:rsidRDefault="00C676FA">
      <w:pPr>
        <w:pStyle w:val="ListParagraph"/>
        <w:numPr>
          <w:ilvl w:val="0"/>
          <w:numId w:val="15"/>
        </w:numPr>
      </w:pPr>
      <w:r w:rsidRPr="008B15E6">
        <w:t xml:space="preserve">Unless otherwise </w:t>
      </w:r>
      <w:r w:rsidR="00615937" w:rsidRPr="008B15E6">
        <w:t>approved</w:t>
      </w:r>
      <w:r w:rsidRPr="008B15E6">
        <w:t xml:space="preserve"> by the Treasurer, a</w:t>
      </w:r>
      <w:r w:rsidR="00665629" w:rsidRPr="008B15E6">
        <w:t xml:space="preserve">n </w:t>
      </w:r>
      <w:r w:rsidR="002F3BF1" w:rsidRPr="008B15E6">
        <w:t>accountable officer must ensure that</w:t>
      </w:r>
      <w:r w:rsidR="001044A9" w:rsidRPr="008B15E6">
        <w:t xml:space="preserve"> funding requests</w:t>
      </w:r>
      <w:r w:rsidR="00747505" w:rsidRPr="008B15E6">
        <w:t>:</w:t>
      </w:r>
    </w:p>
    <w:p w14:paraId="534EE462" w14:textId="77777777" w:rsidR="0023706F" w:rsidRPr="008B15E6" w:rsidRDefault="00046EF3">
      <w:pPr>
        <w:pStyle w:val="ListParagraph"/>
        <w:numPr>
          <w:ilvl w:val="1"/>
          <w:numId w:val="15"/>
        </w:numPr>
      </w:pPr>
      <w:r w:rsidRPr="008B15E6">
        <w:t>for all new programs, or extensions to existing programs</w:t>
      </w:r>
      <w:r w:rsidR="00747505" w:rsidRPr="008B15E6">
        <w:t>, have identified objectives that are</w:t>
      </w:r>
      <w:r w:rsidR="0023706F" w:rsidRPr="008B15E6">
        <w:t>:</w:t>
      </w:r>
    </w:p>
    <w:p w14:paraId="149C53B4" w14:textId="77777777" w:rsidR="001044A9" w:rsidRPr="008B15E6" w:rsidRDefault="001044A9">
      <w:pPr>
        <w:pStyle w:val="ListParagraph"/>
        <w:numPr>
          <w:ilvl w:val="2"/>
          <w:numId w:val="15"/>
        </w:numPr>
      </w:pPr>
      <w:r w:rsidRPr="008B15E6">
        <w:t xml:space="preserve">related to the delivery of </w:t>
      </w:r>
      <w:r w:rsidR="009872B1" w:rsidRPr="008B15E6">
        <w:t>agency objectives</w:t>
      </w:r>
    </w:p>
    <w:p w14:paraId="4C43DA89" w14:textId="77777777" w:rsidR="00C86B2E" w:rsidRPr="008B15E6" w:rsidRDefault="001061C9">
      <w:pPr>
        <w:pStyle w:val="ListParagraph"/>
        <w:numPr>
          <w:ilvl w:val="2"/>
          <w:numId w:val="15"/>
        </w:numPr>
      </w:pPr>
      <w:r w:rsidRPr="008B15E6">
        <w:rPr>
          <w:iCs w:val="0"/>
        </w:rPr>
        <w:t xml:space="preserve">achievable </w:t>
      </w:r>
      <w:r w:rsidR="00C86B2E" w:rsidRPr="008B15E6">
        <w:rPr>
          <w:iCs w:val="0"/>
        </w:rPr>
        <w:t xml:space="preserve">within the relevant timeframe </w:t>
      </w:r>
      <w:r w:rsidRPr="008B15E6">
        <w:rPr>
          <w:iCs w:val="0"/>
        </w:rPr>
        <w:t xml:space="preserve">and </w:t>
      </w:r>
      <w:r w:rsidR="00C86B2E" w:rsidRPr="008B15E6">
        <w:rPr>
          <w:iCs w:val="0"/>
        </w:rPr>
        <w:t>resources</w:t>
      </w:r>
    </w:p>
    <w:p w14:paraId="622391CF" w14:textId="77777777" w:rsidR="001061C9" w:rsidRPr="008B15E6" w:rsidRDefault="001061C9">
      <w:pPr>
        <w:pStyle w:val="ListParagraph"/>
        <w:numPr>
          <w:ilvl w:val="2"/>
          <w:numId w:val="15"/>
        </w:numPr>
      </w:pPr>
      <w:r w:rsidRPr="008B15E6">
        <w:rPr>
          <w:iCs w:val="0"/>
        </w:rPr>
        <w:t>measurable or include actions to develop measurement as part of the program</w:t>
      </w:r>
      <w:r w:rsidR="004B12C5" w:rsidRPr="008B15E6">
        <w:rPr>
          <w:iCs w:val="0"/>
        </w:rPr>
        <w:t xml:space="preserve"> planning process</w:t>
      </w:r>
    </w:p>
    <w:p w14:paraId="099D9C74" w14:textId="77777777" w:rsidR="007A4F92" w:rsidRPr="008B15E6" w:rsidRDefault="00B24EC8">
      <w:pPr>
        <w:pStyle w:val="ListParagraph"/>
        <w:numPr>
          <w:ilvl w:val="1"/>
          <w:numId w:val="15"/>
        </w:numPr>
      </w:pPr>
      <w:r w:rsidRPr="008B15E6">
        <w:rPr>
          <w:color w:val="141414"/>
          <w:shd w:val="clear" w:color="auto" w:fill="FFFFFF"/>
        </w:rPr>
        <w:t>for new programs, or</w:t>
      </w:r>
      <w:r w:rsidR="001061C9" w:rsidRPr="008B15E6">
        <w:rPr>
          <w:color w:val="141414"/>
          <w:shd w:val="clear" w:color="auto" w:fill="FFFFFF"/>
        </w:rPr>
        <w:t xml:space="preserve"> extensions to existing programs</w:t>
      </w:r>
      <w:r w:rsidRPr="008B15E6">
        <w:rPr>
          <w:color w:val="141414"/>
          <w:shd w:val="clear" w:color="auto" w:fill="FFFFFF"/>
        </w:rPr>
        <w:t>,</w:t>
      </w:r>
      <w:r w:rsidR="001061C9" w:rsidRPr="008B15E6">
        <w:rPr>
          <w:color w:val="141414"/>
          <w:shd w:val="clear" w:color="auto" w:fill="FFFFFF"/>
        </w:rPr>
        <w:t xml:space="preserve"> </w:t>
      </w:r>
      <w:r w:rsidRPr="008B15E6">
        <w:rPr>
          <w:color w:val="141414"/>
          <w:shd w:val="clear" w:color="auto" w:fill="FFFFFF"/>
        </w:rPr>
        <w:t>that exceed $1 million in a financial year</w:t>
      </w:r>
      <w:r w:rsidR="007A4F92" w:rsidRPr="008B15E6">
        <w:rPr>
          <w:color w:val="141414"/>
          <w:shd w:val="clear" w:color="auto" w:fill="FFFFFF"/>
        </w:rPr>
        <w:t>:</w:t>
      </w:r>
    </w:p>
    <w:p w14:paraId="7E87B0FB" w14:textId="77777777" w:rsidR="007A4F92" w:rsidRPr="008B15E6" w:rsidRDefault="007A4F92">
      <w:pPr>
        <w:pStyle w:val="ListParagraph"/>
        <w:numPr>
          <w:ilvl w:val="2"/>
          <w:numId w:val="15"/>
        </w:numPr>
      </w:pPr>
      <w:r w:rsidRPr="008B15E6">
        <w:t>build evaluation into program design</w:t>
      </w:r>
    </w:p>
    <w:p w14:paraId="369D78C8" w14:textId="77777777" w:rsidR="007A4F92" w:rsidRPr="008B15E6" w:rsidRDefault="004B47DC">
      <w:pPr>
        <w:pStyle w:val="ListParagraph"/>
        <w:numPr>
          <w:ilvl w:val="2"/>
          <w:numId w:val="15"/>
        </w:numPr>
      </w:pPr>
      <w:r w:rsidRPr="008B15E6">
        <w:rPr>
          <w:color w:val="141414"/>
          <w:shd w:val="clear" w:color="auto" w:fill="FFFFFF"/>
        </w:rPr>
        <w:t xml:space="preserve">include </w:t>
      </w:r>
      <w:r w:rsidR="001061C9" w:rsidRPr="008B15E6">
        <w:rPr>
          <w:color w:val="141414"/>
          <w:shd w:val="clear" w:color="auto" w:fill="FFFFFF"/>
        </w:rPr>
        <w:t xml:space="preserve">an evaluation </w:t>
      </w:r>
      <w:r w:rsidRPr="008B15E6">
        <w:rPr>
          <w:color w:val="141414"/>
          <w:shd w:val="clear" w:color="auto" w:fill="FFFFFF"/>
        </w:rPr>
        <w:t>overview</w:t>
      </w:r>
      <w:r w:rsidR="001061C9" w:rsidRPr="008B15E6">
        <w:rPr>
          <w:color w:val="141414"/>
          <w:shd w:val="clear" w:color="auto" w:fill="FFFFFF"/>
        </w:rPr>
        <w:t xml:space="preserve"> </w:t>
      </w:r>
      <w:r w:rsidR="007A4F92" w:rsidRPr="008B15E6">
        <w:rPr>
          <w:color w:val="141414"/>
          <w:shd w:val="clear" w:color="auto" w:fill="FFFFFF"/>
        </w:rPr>
        <w:t xml:space="preserve">and performance </w:t>
      </w:r>
      <w:r w:rsidR="00D70439" w:rsidRPr="008B15E6">
        <w:rPr>
          <w:color w:val="141414"/>
          <w:shd w:val="clear" w:color="auto" w:fill="FFFFFF"/>
        </w:rPr>
        <w:t>indicators</w:t>
      </w:r>
    </w:p>
    <w:p w14:paraId="522F6433" w14:textId="77777777" w:rsidR="007A4F92" w:rsidRPr="008B15E6" w:rsidRDefault="007A4F92">
      <w:pPr>
        <w:pStyle w:val="ListParagraph"/>
        <w:numPr>
          <w:ilvl w:val="2"/>
          <w:numId w:val="15"/>
        </w:numPr>
      </w:pPr>
      <w:r w:rsidRPr="008B15E6">
        <w:rPr>
          <w:color w:val="141414"/>
          <w:shd w:val="clear" w:color="auto" w:fill="FFFFFF"/>
        </w:rPr>
        <w:t>allocate resources</w:t>
      </w:r>
      <w:r w:rsidRPr="008B15E6">
        <w:t xml:space="preserve"> and time to evaluate the program</w:t>
      </w:r>
    </w:p>
    <w:p w14:paraId="7F23E6AB" w14:textId="77777777" w:rsidR="007A4F92" w:rsidRPr="008B15E6" w:rsidRDefault="007A4F92">
      <w:pPr>
        <w:pStyle w:val="ListParagraph"/>
        <w:numPr>
          <w:ilvl w:val="2"/>
          <w:numId w:val="15"/>
        </w:numPr>
      </w:pPr>
      <w:proofErr w:type="gramStart"/>
      <w:r w:rsidRPr="008B15E6">
        <w:rPr>
          <w:color w:val="141414"/>
          <w:shd w:val="clear" w:color="auto" w:fill="FFFFFF"/>
        </w:rPr>
        <w:t>incorporate</w:t>
      </w:r>
      <w:proofErr w:type="gramEnd"/>
      <w:r w:rsidRPr="008B15E6">
        <w:rPr>
          <w:color w:val="141414"/>
          <w:shd w:val="clear" w:color="auto" w:fill="FFFFFF"/>
        </w:rPr>
        <w:t>, where relevant, lessons</w:t>
      </w:r>
      <w:r w:rsidRPr="008B15E6">
        <w:t xml:space="preserve"> learned from previous evaluations into program design.</w:t>
      </w:r>
    </w:p>
    <w:p w14:paraId="1F552EC6" w14:textId="77777777" w:rsidR="001061C9" w:rsidRPr="008B15E6" w:rsidRDefault="00B24EC8">
      <w:pPr>
        <w:pStyle w:val="ListParagraph"/>
        <w:numPr>
          <w:ilvl w:val="1"/>
          <w:numId w:val="15"/>
        </w:numPr>
        <w:rPr>
          <w:color w:val="141414"/>
          <w:shd w:val="clear" w:color="auto" w:fill="FFFFFF"/>
        </w:rPr>
      </w:pPr>
      <w:proofErr w:type="gramStart"/>
      <w:r w:rsidRPr="008B15E6">
        <w:rPr>
          <w:color w:val="141414"/>
          <w:shd w:val="clear" w:color="auto" w:fill="FFFFFF"/>
        </w:rPr>
        <w:t>for</w:t>
      </w:r>
      <w:proofErr w:type="gramEnd"/>
      <w:r w:rsidRPr="008B15E6">
        <w:rPr>
          <w:color w:val="141414"/>
          <w:shd w:val="clear" w:color="auto" w:fill="FFFFFF"/>
        </w:rPr>
        <w:t xml:space="preserve"> new programs that exceed $1 million in a financial year</w:t>
      </w:r>
      <w:r w:rsidR="00886649" w:rsidRPr="008B15E6">
        <w:rPr>
          <w:color w:val="141414"/>
          <w:shd w:val="clear" w:color="auto" w:fill="FFFFFF"/>
        </w:rPr>
        <w:t>,</w:t>
      </w:r>
      <w:r w:rsidR="001061C9" w:rsidRPr="008B15E6">
        <w:rPr>
          <w:color w:val="141414"/>
          <w:shd w:val="clear" w:color="auto" w:fill="FFFFFF"/>
        </w:rPr>
        <w:t xml:space="preserve"> incorporate </w:t>
      </w:r>
      <w:r w:rsidR="000C1FEC" w:rsidRPr="008B15E6">
        <w:rPr>
          <w:color w:val="141414"/>
          <w:shd w:val="clear" w:color="auto" w:fill="FFFFFF"/>
        </w:rPr>
        <w:t xml:space="preserve">a </w:t>
      </w:r>
      <w:r w:rsidR="001061C9" w:rsidRPr="008B15E6">
        <w:rPr>
          <w:color w:val="141414"/>
          <w:shd w:val="clear" w:color="auto" w:fill="FFFFFF"/>
        </w:rPr>
        <w:t xml:space="preserve">sunset </w:t>
      </w:r>
      <w:r w:rsidR="007D2F9D" w:rsidRPr="008B15E6">
        <w:rPr>
          <w:color w:val="141414"/>
          <w:shd w:val="clear" w:color="auto" w:fill="FFFFFF"/>
        </w:rPr>
        <w:t>clause no longer than five years</w:t>
      </w:r>
      <w:r w:rsidR="00886649" w:rsidRPr="008B15E6">
        <w:rPr>
          <w:color w:val="141414"/>
          <w:shd w:val="clear" w:color="auto" w:fill="FFFFFF"/>
        </w:rPr>
        <w:t xml:space="preserve"> from program commencement</w:t>
      </w:r>
      <w:r w:rsidR="001061C9" w:rsidRPr="008B15E6">
        <w:rPr>
          <w:color w:val="141414"/>
          <w:shd w:val="clear" w:color="auto" w:fill="FFFFFF"/>
        </w:rPr>
        <w:t>, linked to evaluation outcomes</w:t>
      </w:r>
      <w:r w:rsidR="00576C5C" w:rsidRPr="008B15E6">
        <w:rPr>
          <w:color w:val="141414"/>
          <w:shd w:val="clear" w:color="auto" w:fill="FFFFFF"/>
        </w:rPr>
        <w:t>.</w:t>
      </w:r>
    </w:p>
    <w:p w14:paraId="21F03720" w14:textId="2D500073" w:rsidR="00CB608A" w:rsidRPr="008B15E6" w:rsidRDefault="00C676FA">
      <w:pPr>
        <w:pStyle w:val="ListParagraph"/>
        <w:numPr>
          <w:ilvl w:val="0"/>
          <w:numId w:val="15"/>
        </w:numPr>
      </w:pPr>
      <w:r w:rsidRPr="008B15E6">
        <w:t xml:space="preserve">Unless otherwise </w:t>
      </w:r>
      <w:r w:rsidR="004B418D" w:rsidRPr="008B15E6">
        <w:t>approved</w:t>
      </w:r>
      <w:r w:rsidRPr="008B15E6">
        <w:t xml:space="preserve"> by the Treasurer, </w:t>
      </w:r>
      <w:r w:rsidR="00396A13" w:rsidRPr="008B15E6">
        <w:t xml:space="preserve">where </w:t>
      </w:r>
      <w:r w:rsidR="002F3BF1" w:rsidRPr="008B15E6">
        <w:t xml:space="preserve">a </w:t>
      </w:r>
      <w:r w:rsidR="00CB608A" w:rsidRPr="008B15E6">
        <w:rPr>
          <w:color w:val="141414"/>
          <w:shd w:val="clear" w:color="auto" w:fill="FFFFFF"/>
        </w:rPr>
        <w:t>funding request for a new program or extension to existing program that exceeds $1 million in a financial year</w:t>
      </w:r>
      <w:r w:rsidR="00CB608A" w:rsidRPr="008B15E6">
        <w:t xml:space="preserve"> </w:t>
      </w:r>
      <w:r w:rsidR="002F3BF1" w:rsidRPr="008B15E6">
        <w:t>is approved</w:t>
      </w:r>
      <w:r w:rsidR="00A973DB" w:rsidRPr="008B15E6">
        <w:t xml:space="preserve"> by</w:t>
      </w:r>
      <w:r w:rsidR="00A36472" w:rsidRPr="008B15E6">
        <w:t xml:space="preserve"> </w:t>
      </w:r>
      <w:r w:rsidR="00A973DB" w:rsidRPr="008B15E6">
        <w:t>Government</w:t>
      </w:r>
      <w:r w:rsidR="00CB608A" w:rsidRPr="008B15E6">
        <w:t xml:space="preserve">, </w:t>
      </w:r>
      <w:r w:rsidR="006C64E1" w:rsidRPr="008B15E6">
        <w:t>an accountable officer must</w:t>
      </w:r>
      <w:r w:rsidR="00396A13" w:rsidRPr="008B15E6">
        <w:t>:</w:t>
      </w:r>
    </w:p>
    <w:p w14:paraId="177F8E42" w14:textId="52632D20" w:rsidR="00CB608A" w:rsidRPr="008B15E6" w:rsidRDefault="006C64E1">
      <w:pPr>
        <w:pStyle w:val="ListParagraph"/>
        <w:numPr>
          <w:ilvl w:val="1"/>
          <w:numId w:val="15"/>
        </w:numPr>
      </w:pPr>
      <w:r w:rsidRPr="008B15E6">
        <w:lastRenderedPageBreak/>
        <w:t xml:space="preserve">prepare an </w:t>
      </w:r>
      <w:r w:rsidR="002F3BF1" w:rsidRPr="008B15E6">
        <w:t>evaluation work plan</w:t>
      </w:r>
      <w:r w:rsidR="00A83A7A" w:rsidRPr="008B15E6">
        <w:t xml:space="preserve"> that, at a minimum, addresses all requirements in the</w:t>
      </w:r>
      <w:r w:rsidRPr="008B15E6">
        <w:t xml:space="preserve"> </w:t>
      </w:r>
      <w:hyperlink r:id="rId10" w:history="1">
        <w:r w:rsidR="00223D40" w:rsidRPr="008B15E6">
          <w:rPr>
            <w:rStyle w:val="Hyperlink"/>
          </w:rPr>
          <w:t>Program Evaluation Toolkit template</w:t>
        </w:r>
      </w:hyperlink>
    </w:p>
    <w:p w14:paraId="13814655" w14:textId="77777777" w:rsidR="00772F52" w:rsidRPr="008B15E6" w:rsidRDefault="006C64E1">
      <w:pPr>
        <w:pStyle w:val="ListParagraph"/>
        <w:numPr>
          <w:ilvl w:val="1"/>
          <w:numId w:val="15"/>
        </w:numPr>
      </w:pPr>
      <w:proofErr w:type="gramStart"/>
      <w:r w:rsidRPr="008B15E6">
        <w:t>provide</w:t>
      </w:r>
      <w:proofErr w:type="gramEnd"/>
      <w:r w:rsidRPr="008B15E6">
        <w:t xml:space="preserve"> the </w:t>
      </w:r>
      <w:r w:rsidR="00CB608A" w:rsidRPr="008B15E6">
        <w:t xml:space="preserve">evaluation </w:t>
      </w:r>
      <w:r w:rsidRPr="008B15E6">
        <w:t xml:space="preserve">work plan to the </w:t>
      </w:r>
      <w:r w:rsidR="002F3BF1" w:rsidRPr="008B15E6">
        <w:t>Department of Treasury and Finance</w:t>
      </w:r>
      <w:r w:rsidR="00CB608A" w:rsidRPr="008B15E6">
        <w:t xml:space="preserve"> within six months of the funding approval</w:t>
      </w:r>
      <w:r w:rsidR="002F3BF1" w:rsidRPr="008B15E6">
        <w:t>.</w:t>
      </w:r>
    </w:p>
    <w:p w14:paraId="6173E1E0" w14:textId="77777777" w:rsidR="00AA07D5" w:rsidRPr="008B15E6" w:rsidRDefault="00AA07D5">
      <w:pPr>
        <w:pStyle w:val="Heading1"/>
      </w:pPr>
      <w:r w:rsidRPr="008B15E6">
        <w:t>Reviewing</w:t>
      </w:r>
      <w:r w:rsidR="00B22429" w:rsidRPr="008B15E6">
        <w:tab/>
      </w:r>
    </w:p>
    <w:p w14:paraId="35AD34A7" w14:textId="77777777" w:rsidR="00311DB9" w:rsidRPr="008B15E6" w:rsidRDefault="00311DB9">
      <w:pPr>
        <w:pStyle w:val="Heading2"/>
      </w:pPr>
      <w:r w:rsidRPr="008B15E6">
        <w:t>Performance indicators</w:t>
      </w:r>
    </w:p>
    <w:p w14:paraId="50C9C22F" w14:textId="77777777" w:rsidR="00311DB9" w:rsidRPr="008B15E6" w:rsidRDefault="00311DB9">
      <w:pPr>
        <w:pStyle w:val="ListParagraph"/>
        <w:numPr>
          <w:ilvl w:val="0"/>
          <w:numId w:val="15"/>
        </w:numPr>
      </w:pPr>
      <w:r w:rsidRPr="008B15E6">
        <w:rPr>
          <w:lang w:eastAsia="en-AU"/>
        </w:rPr>
        <w:t>An accountable officer must review performan</w:t>
      </w:r>
      <w:r w:rsidR="00FE205F" w:rsidRPr="008B15E6">
        <w:rPr>
          <w:lang w:eastAsia="en-AU"/>
        </w:rPr>
        <w:t xml:space="preserve">ce indicators </w:t>
      </w:r>
      <w:r w:rsidR="00FE205F" w:rsidRPr="008B15E6">
        <w:t>published in Budget Paper No. 3</w:t>
      </w:r>
      <w:r w:rsidRPr="008B15E6">
        <w:rPr>
          <w:lang w:eastAsia="en-AU"/>
        </w:rPr>
        <w:t xml:space="preserve"> at a minimum, annually.</w:t>
      </w:r>
    </w:p>
    <w:p w14:paraId="672B64E8" w14:textId="6B3A04BF" w:rsidR="00527A1C" w:rsidRPr="008B15E6" w:rsidRDefault="00387D41">
      <w:pPr>
        <w:pStyle w:val="Heading2"/>
      </w:pPr>
      <w:r w:rsidRPr="008B15E6">
        <w:t xml:space="preserve">Annual </w:t>
      </w:r>
      <w:r w:rsidR="00694B3B" w:rsidRPr="008B15E6">
        <w:t>a</w:t>
      </w:r>
      <w:r w:rsidR="001D58B8" w:rsidRPr="008B15E6">
        <w:t xml:space="preserve">gency </w:t>
      </w:r>
      <w:r w:rsidRPr="008B15E6">
        <w:t xml:space="preserve">financial </w:t>
      </w:r>
      <w:r w:rsidR="00D20910" w:rsidRPr="008B15E6">
        <w:t>performance</w:t>
      </w:r>
    </w:p>
    <w:p w14:paraId="76E3F664" w14:textId="6284B998" w:rsidR="00904889" w:rsidRPr="008B15E6" w:rsidRDefault="0058276B">
      <w:pPr>
        <w:pStyle w:val="ListParagraph"/>
        <w:numPr>
          <w:ilvl w:val="0"/>
          <w:numId w:val="15"/>
        </w:numPr>
      </w:pPr>
      <w:bookmarkStart w:id="8" w:name="_Ref115872578"/>
      <w:bookmarkStart w:id="9" w:name="_Ref103937409"/>
      <w:r w:rsidRPr="008B15E6">
        <w:t xml:space="preserve">An accountable officer may request a carryover when the agency demonstrates a surplus </w:t>
      </w:r>
      <w:r w:rsidR="00ED4605" w:rsidRPr="008B15E6">
        <w:t xml:space="preserve">agency </w:t>
      </w:r>
      <w:r w:rsidR="001F789C" w:rsidRPr="008B15E6">
        <w:t>final budget outcome</w:t>
      </w:r>
      <w:r w:rsidR="00904889" w:rsidRPr="008B15E6">
        <w:t xml:space="preserve"> </w:t>
      </w:r>
      <w:r w:rsidRPr="008B15E6">
        <w:t xml:space="preserve">subject to other conditions being met in </w:t>
      </w:r>
      <w:r w:rsidR="00ED4605" w:rsidRPr="008B15E6">
        <w:t>accordance with Treasurer’s Direction – Carryover</w:t>
      </w:r>
      <w:r w:rsidR="00D30C05">
        <w:t>s</w:t>
      </w:r>
      <w:r w:rsidR="00904889" w:rsidRPr="008B15E6">
        <w:t>.</w:t>
      </w:r>
      <w:bookmarkEnd w:id="8"/>
    </w:p>
    <w:p w14:paraId="22703F42" w14:textId="44FBC922" w:rsidR="00A23861" w:rsidRPr="008B15E6" w:rsidRDefault="00561EBD">
      <w:pPr>
        <w:pStyle w:val="ListParagraph"/>
        <w:numPr>
          <w:ilvl w:val="0"/>
          <w:numId w:val="15"/>
        </w:numPr>
      </w:pPr>
      <w:bookmarkStart w:id="10" w:name="_Ref115873562"/>
      <w:bookmarkStart w:id="11" w:name="_Ref106373756"/>
      <w:r w:rsidRPr="008B15E6">
        <w:t xml:space="preserve">An agency may be eligible for consideration of </w:t>
      </w:r>
      <w:r w:rsidR="000C2500" w:rsidRPr="008B15E6">
        <w:t xml:space="preserve">a </w:t>
      </w:r>
      <w:r w:rsidRPr="008B15E6">
        <w:t xml:space="preserve">reward carryover, </w:t>
      </w:r>
      <w:r w:rsidR="008B6ED1" w:rsidRPr="008B15E6">
        <w:t>equal to or less than th</w:t>
      </w:r>
      <w:r w:rsidRPr="008B15E6">
        <w:t>e agency’s residual improvement</w:t>
      </w:r>
      <w:r w:rsidR="008B6ED1" w:rsidRPr="008B15E6">
        <w:t>.</w:t>
      </w:r>
      <w:bookmarkEnd w:id="10"/>
    </w:p>
    <w:p w14:paraId="4737943A" w14:textId="21852E88" w:rsidR="00561EBD" w:rsidRPr="008B15E6" w:rsidRDefault="00DB7F29">
      <w:pPr>
        <w:pStyle w:val="ListParagraph"/>
        <w:numPr>
          <w:ilvl w:val="0"/>
          <w:numId w:val="15"/>
        </w:numPr>
      </w:pPr>
      <w:r w:rsidRPr="008B15E6">
        <w:t xml:space="preserve">Pursuant </w:t>
      </w:r>
      <w:r w:rsidR="00023C84" w:rsidRPr="008B15E6">
        <w:t>to pa</w:t>
      </w:r>
      <w:r w:rsidR="00A23861" w:rsidRPr="008B15E6">
        <w:t xml:space="preserve">ragraph </w:t>
      </w:r>
      <w:r w:rsidR="00FA1FC8" w:rsidRPr="003D717F">
        <w:fldChar w:fldCharType="begin"/>
      </w:r>
      <w:r w:rsidR="00FA1FC8" w:rsidRPr="008B15E6">
        <w:instrText xml:space="preserve"> REF _Ref115873562 \r \h </w:instrText>
      </w:r>
      <w:r w:rsidR="008B15E6" w:rsidRPr="008B15E6">
        <w:instrText xml:space="preserve"> \* MERGEFORMAT </w:instrText>
      </w:r>
      <w:r w:rsidR="00FA1FC8" w:rsidRPr="003D717F">
        <w:fldChar w:fldCharType="separate"/>
      </w:r>
      <w:r w:rsidR="00F61257">
        <w:t>39</w:t>
      </w:r>
      <w:r w:rsidR="00FA1FC8" w:rsidRPr="003D717F">
        <w:fldChar w:fldCharType="end"/>
      </w:r>
      <w:r w:rsidRPr="008B15E6">
        <w:t xml:space="preserve">, </w:t>
      </w:r>
      <w:r w:rsidR="00A23861" w:rsidRPr="008B15E6">
        <w:t xml:space="preserve">the </w:t>
      </w:r>
      <w:r w:rsidRPr="008B15E6">
        <w:t>Department of Treasury and Finance will refer</w:t>
      </w:r>
      <w:r w:rsidR="00023C84" w:rsidRPr="008B15E6">
        <w:t xml:space="preserve"> </w:t>
      </w:r>
      <w:r w:rsidR="000C2500" w:rsidRPr="008B15E6">
        <w:t xml:space="preserve">proposals to use reward carryovers </w:t>
      </w:r>
      <w:r w:rsidRPr="008B15E6">
        <w:t>to the relevant Cabinet subcommittee for consideration</w:t>
      </w:r>
      <w:r w:rsidR="00A23861" w:rsidRPr="008B15E6">
        <w:t xml:space="preserve">. </w:t>
      </w:r>
    </w:p>
    <w:p w14:paraId="3A3E5953" w14:textId="77777777" w:rsidR="00ED4605" w:rsidRPr="008B15E6" w:rsidRDefault="00ED4605">
      <w:pPr>
        <w:pStyle w:val="ListParagraph"/>
        <w:numPr>
          <w:ilvl w:val="0"/>
          <w:numId w:val="15"/>
        </w:numPr>
      </w:pPr>
      <w:bookmarkStart w:id="12" w:name="_Ref115872735"/>
      <w:bookmarkEnd w:id="9"/>
      <w:bookmarkEnd w:id="11"/>
      <w:r w:rsidRPr="008B15E6">
        <w:t xml:space="preserve">Where an </w:t>
      </w:r>
      <w:r w:rsidR="00685CDF" w:rsidRPr="008B15E6">
        <w:t>agency has a residual worsening</w:t>
      </w:r>
      <w:r w:rsidR="00FF3FBB" w:rsidRPr="008B15E6">
        <w:t xml:space="preserve">, </w:t>
      </w:r>
      <w:r w:rsidRPr="008B15E6">
        <w:t>the Department of Treasury and Finance will:</w:t>
      </w:r>
      <w:bookmarkEnd w:id="12"/>
    </w:p>
    <w:p w14:paraId="04F5A058" w14:textId="2D891DB7" w:rsidR="00ED4605" w:rsidRPr="008B15E6" w:rsidRDefault="00ED4605">
      <w:pPr>
        <w:pStyle w:val="ListParagraph"/>
        <w:numPr>
          <w:ilvl w:val="1"/>
          <w:numId w:val="15"/>
        </w:numPr>
      </w:pPr>
      <w:bookmarkStart w:id="13" w:name="_Ref103937423"/>
      <w:r w:rsidRPr="008B15E6">
        <w:t xml:space="preserve">refer the agency to the relevant Cabinet subcommittee </w:t>
      </w:r>
      <w:r w:rsidR="000C2500" w:rsidRPr="008B15E6">
        <w:t>to consider applying</w:t>
      </w:r>
      <w:r w:rsidRPr="008B15E6">
        <w:t xml:space="preserve"> budget penalties</w:t>
      </w:r>
      <w:bookmarkEnd w:id="13"/>
    </w:p>
    <w:p w14:paraId="5E15059E" w14:textId="77777777" w:rsidR="00ED4605" w:rsidRPr="008B15E6" w:rsidRDefault="00ED4605">
      <w:pPr>
        <w:pStyle w:val="ListParagraph"/>
        <w:numPr>
          <w:ilvl w:val="1"/>
          <w:numId w:val="15"/>
        </w:numPr>
      </w:pPr>
      <w:bookmarkStart w:id="14" w:name="_Ref105675134"/>
      <w:proofErr w:type="gramStart"/>
      <w:r w:rsidRPr="008B15E6">
        <w:t>refer</w:t>
      </w:r>
      <w:proofErr w:type="gramEnd"/>
      <w:r w:rsidRPr="008B15E6">
        <w:t xml:space="preserve"> the accountable officer to the </w:t>
      </w:r>
      <w:r w:rsidR="00DB2242" w:rsidRPr="008B15E6">
        <w:t>E</w:t>
      </w:r>
      <w:r w:rsidRPr="008B15E6">
        <w:t xml:space="preserve">xecutive </w:t>
      </w:r>
      <w:r w:rsidR="00DB2242" w:rsidRPr="008B15E6">
        <w:t>R</w:t>
      </w:r>
      <w:r w:rsidRPr="008B15E6">
        <w:t xml:space="preserve">emuneration </w:t>
      </w:r>
      <w:r w:rsidR="00DB2242" w:rsidRPr="008B15E6">
        <w:t>R</w:t>
      </w:r>
      <w:r w:rsidRPr="008B15E6">
        <w:t xml:space="preserve">eview </w:t>
      </w:r>
      <w:r w:rsidR="00DB2242" w:rsidRPr="008B15E6">
        <w:t>P</w:t>
      </w:r>
      <w:r w:rsidRPr="008B15E6">
        <w:t>anel, which will make recommendations to the Chief Minister regarding potential actions</w:t>
      </w:r>
      <w:r w:rsidR="00DB2242" w:rsidRPr="008B15E6">
        <w:t>.</w:t>
      </w:r>
      <w:bookmarkEnd w:id="14"/>
    </w:p>
    <w:p w14:paraId="67855A55" w14:textId="2DFF7FD5" w:rsidR="000979FB" w:rsidRPr="008B15E6" w:rsidRDefault="007F0435">
      <w:pPr>
        <w:pStyle w:val="ListParagraph"/>
        <w:numPr>
          <w:ilvl w:val="0"/>
          <w:numId w:val="15"/>
        </w:numPr>
      </w:pPr>
      <w:bookmarkStart w:id="15" w:name="_Ref115874355"/>
      <w:r w:rsidRPr="008B15E6">
        <w:t>The Department of Treasury and Finance</w:t>
      </w:r>
      <w:r w:rsidR="000979FB" w:rsidRPr="008B15E6">
        <w:t xml:space="preserve"> will assess an accountable officer’s compliance with staffing, employee and operating expense caps approved by </w:t>
      </w:r>
      <w:r w:rsidR="00911DF7" w:rsidRPr="008B15E6">
        <w:t>G</w:t>
      </w:r>
      <w:r w:rsidR="000979FB" w:rsidRPr="008B15E6">
        <w:t>overnment and refer</w:t>
      </w:r>
      <w:r w:rsidR="00110514" w:rsidRPr="008B15E6">
        <w:t xml:space="preserve"> any          non-compliance</w:t>
      </w:r>
      <w:r w:rsidR="000979FB" w:rsidRPr="008B15E6">
        <w:t xml:space="preserve"> to the Executive Remuneration Review Panel.</w:t>
      </w:r>
      <w:bookmarkEnd w:id="15"/>
    </w:p>
    <w:p w14:paraId="01E76A37" w14:textId="681B68E5" w:rsidR="000C2500" w:rsidRPr="008B15E6" w:rsidRDefault="00216927">
      <w:pPr>
        <w:pStyle w:val="ListParagraph"/>
        <w:numPr>
          <w:ilvl w:val="0"/>
          <w:numId w:val="15"/>
        </w:numPr>
      </w:pPr>
      <w:bookmarkStart w:id="16" w:name="_Ref117757771"/>
      <w:r w:rsidRPr="008B15E6">
        <w:t>Pursuant to para</w:t>
      </w:r>
      <w:r w:rsidR="00E47709" w:rsidRPr="008B15E6">
        <w:t xml:space="preserve">graph </w:t>
      </w:r>
      <w:r w:rsidR="00FA1FC8" w:rsidRPr="003D717F">
        <w:fldChar w:fldCharType="begin"/>
      </w:r>
      <w:r w:rsidR="00FA1FC8" w:rsidRPr="008B15E6">
        <w:instrText xml:space="preserve"> REF _Ref115872735 \r \h </w:instrText>
      </w:r>
      <w:r w:rsidR="008B15E6" w:rsidRPr="008B15E6">
        <w:instrText xml:space="preserve"> \* MERGEFORMAT </w:instrText>
      </w:r>
      <w:r w:rsidR="00FA1FC8" w:rsidRPr="003D717F">
        <w:fldChar w:fldCharType="separate"/>
      </w:r>
      <w:r w:rsidR="00F61257">
        <w:t>41</w:t>
      </w:r>
      <w:r w:rsidR="00FA1FC8" w:rsidRPr="003D717F">
        <w:fldChar w:fldCharType="end"/>
      </w:r>
      <w:r w:rsidR="00E47709" w:rsidRPr="008B15E6">
        <w:t xml:space="preserve"> and </w:t>
      </w:r>
      <w:r w:rsidR="00FA1FC8" w:rsidRPr="003D717F">
        <w:fldChar w:fldCharType="begin"/>
      </w:r>
      <w:r w:rsidR="00FA1FC8" w:rsidRPr="008B15E6">
        <w:instrText xml:space="preserve"> REF _Ref115874355 \r \h </w:instrText>
      </w:r>
      <w:r w:rsidR="008B15E6" w:rsidRPr="008B15E6">
        <w:instrText xml:space="preserve"> \* MERGEFORMAT </w:instrText>
      </w:r>
      <w:r w:rsidR="00FA1FC8" w:rsidRPr="003D717F">
        <w:fldChar w:fldCharType="separate"/>
      </w:r>
      <w:r w:rsidR="00F61257">
        <w:t>42</w:t>
      </w:r>
      <w:r w:rsidR="00FA1FC8" w:rsidRPr="003D717F">
        <w:fldChar w:fldCharType="end"/>
      </w:r>
      <w:r w:rsidR="00041F1D" w:rsidRPr="008B15E6">
        <w:t>,</w:t>
      </w:r>
      <w:r w:rsidRPr="008B15E6">
        <w:t xml:space="preserve"> a</w:t>
      </w:r>
      <w:r w:rsidR="000C2500" w:rsidRPr="008B15E6">
        <w:t>n accountable officer</w:t>
      </w:r>
      <w:r w:rsidR="00C85138" w:rsidRPr="008B15E6">
        <w:t xml:space="preserve"> </w:t>
      </w:r>
      <w:r w:rsidR="000C2500" w:rsidRPr="008B15E6">
        <w:t xml:space="preserve">must </w:t>
      </w:r>
      <w:r w:rsidR="00C85138" w:rsidRPr="008B15E6">
        <w:t>provide the Department of Treasury and Fina</w:t>
      </w:r>
      <w:r w:rsidR="001706CE" w:rsidRPr="008B15E6">
        <w:t>nce</w:t>
      </w:r>
      <w:r w:rsidR="00041F1D" w:rsidRPr="008B15E6">
        <w:t xml:space="preserve"> </w:t>
      </w:r>
      <w:r w:rsidR="001706CE" w:rsidRPr="008B15E6">
        <w:t>with explanations for any</w:t>
      </w:r>
      <w:r w:rsidR="00C85138" w:rsidRPr="008B15E6">
        <w:t xml:space="preserve"> </w:t>
      </w:r>
      <w:proofErr w:type="spellStart"/>
      <w:r w:rsidR="000C2500" w:rsidRPr="008B15E6">
        <w:t>non compliance</w:t>
      </w:r>
      <w:proofErr w:type="spellEnd"/>
      <w:r w:rsidRPr="008B15E6">
        <w:t>,</w:t>
      </w:r>
      <w:r w:rsidR="000C2500" w:rsidRPr="008B15E6">
        <w:t xml:space="preserve"> and outline any remedial action taken or planned</w:t>
      </w:r>
      <w:r w:rsidRPr="008B15E6">
        <w:t xml:space="preserve">. This information </w:t>
      </w:r>
      <w:r w:rsidR="000C2500" w:rsidRPr="008B15E6">
        <w:t xml:space="preserve">will be included for consideration in any referral </w:t>
      </w:r>
      <w:r w:rsidR="00C85138" w:rsidRPr="008B15E6">
        <w:t xml:space="preserve">made under </w:t>
      </w:r>
      <w:r w:rsidRPr="008B15E6">
        <w:t>paragraph</w:t>
      </w:r>
      <w:r w:rsidR="00041F1D" w:rsidRPr="008B15E6">
        <w:t>s</w:t>
      </w:r>
      <w:r w:rsidR="00E47709" w:rsidRPr="008B15E6">
        <w:t xml:space="preserve"> </w:t>
      </w:r>
      <w:r w:rsidR="00FA1FC8" w:rsidRPr="003D717F">
        <w:fldChar w:fldCharType="begin"/>
      </w:r>
      <w:r w:rsidR="00FA1FC8" w:rsidRPr="008B15E6">
        <w:instrText xml:space="preserve"> REF _Ref115872735 \r \h </w:instrText>
      </w:r>
      <w:r w:rsidR="008B15E6" w:rsidRPr="008B15E6">
        <w:instrText xml:space="preserve"> \* MERGEFORMAT </w:instrText>
      </w:r>
      <w:r w:rsidR="00FA1FC8" w:rsidRPr="003D717F">
        <w:fldChar w:fldCharType="separate"/>
      </w:r>
      <w:r w:rsidR="00F61257">
        <w:t>41</w:t>
      </w:r>
      <w:r w:rsidR="00FA1FC8" w:rsidRPr="003D717F">
        <w:fldChar w:fldCharType="end"/>
      </w:r>
      <w:r w:rsidR="00307691" w:rsidRPr="008B15E6">
        <w:t xml:space="preserve"> and</w:t>
      </w:r>
      <w:r w:rsidR="000C2500" w:rsidRPr="008B15E6">
        <w:t xml:space="preserve"> </w:t>
      </w:r>
      <w:r w:rsidR="00FA1FC8" w:rsidRPr="003D717F">
        <w:fldChar w:fldCharType="begin"/>
      </w:r>
      <w:r w:rsidR="00FA1FC8" w:rsidRPr="008B15E6">
        <w:instrText xml:space="preserve"> REF _Ref115874355 \r \h </w:instrText>
      </w:r>
      <w:r w:rsidR="008B15E6" w:rsidRPr="008B15E6">
        <w:instrText xml:space="preserve"> \* MERGEFORMAT </w:instrText>
      </w:r>
      <w:r w:rsidR="00FA1FC8" w:rsidRPr="003D717F">
        <w:fldChar w:fldCharType="separate"/>
      </w:r>
      <w:r w:rsidR="00F61257">
        <w:t>42</w:t>
      </w:r>
      <w:r w:rsidR="00FA1FC8" w:rsidRPr="003D717F">
        <w:fldChar w:fldCharType="end"/>
      </w:r>
      <w:r w:rsidR="000C2500" w:rsidRPr="008B15E6">
        <w:t>.</w:t>
      </w:r>
      <w:bookmarkEnd w:id="16"/>
    </w:p>
    <w:p w14:paraId="25E272B5" w14:textId="77777777" w:rsidR="00D749C0" w:rsidRPr="008B15E6" w:rsidRDefault="00D749C0">
      <w:pPr>
        <w:pStyle w:val="Heading2"/>
      </w:pPr>
      <w:r w:rsidRPr="008B15E6">
        <w:t>Organisational review</w:t>
      </w:r>
    </w:p>
    <w:p w14:paraId="7B576278" w14:textId="14A8A593" w:rsidR="00B51DF9" w:rsidRPr="008B15E6" w:rsidRDefault="00DD3691">
      <w:pPr>
        <w:pStyle w:val="ListParagraph"/>
        <w:numPr>
          <w:ilvl w:val="0"/>
          <w:numId w:val="15"/>
        </w:numPr>
      </w:pPr>
      <w:bookmarkStart w:id="17" w:name="_Ref115873366"/>
      <w:r w:rsidRPr="008B15E6">
        <w:t>W</w:t>
      </w:r>
      <w:bookmarkStart w:id="18" w:name="_Ref105500820"/>
      <w:r w:rsidR="00B51DF9" w:rsidRPr="008B15E6">
        <w:t xml:space="preserve">here directed by </w:t>
      </w:r>
      <w:r w:rsidRPr="008B15E6">
        <w:t>G</w:t>
      </w:r>
      <w:r w:rsidR="00B51DF9" w:rsidRPr="008B15E6">
        <w:t xml:space="preserve">overnment to undertake a review under the </w:t>
      </w:r>
      <w:hyperlink r:id="rId11" w:history="1">
        <w:r w:rsidR="00B51DF9" w:rsidRPr="008B15E6">
          <w:rPr>
            <w:rStyle w:val="Hyperlink"/>
          </w:rPr>
          <w:t>Northern Territory Agency Org</w:t>
        </w:r>
        <w:bookmarkStart w:id="19" w:name="_GoBack"/>
        <w:bookmarkEnd w:id="19"/>
        <w:r w:rsidR="00B51DF9" w:rsidRPr="008B15E6">
          <w:rPr>
            <w:rStyle w:val="Hyperlink"/>
          </w:rPr>
          <w:t>anisation</w:t>
        </w:r>
        <w:r w:rsidR="00D30C05">
          <w:rPr>
            <w:rStyle w:val="Hyperlink"/>
          </w:rPr>
          <w:t>al</w:t>
        </w:r>
        <w:r w:rsidR="00B51DF9" w:rsidRPr="008B15E6">
          <w:rPr>
            <w:rStyle w:val="Hyperlink"/>
          </w:rPr>
          <w:t xml:space="preserve"> Review Framework</w:t>
        </w:r>
      </w:hyperlink>
      <w:r w:rsidR="00B51DF9" w:rsidRPr="008B15E6">
        <w:t>, an accountable officer must ensure the agency:</w:t>
      </w:r>
      <w:bookmarkEnd w:id="17"/>
      <w:bookmarkEnd w:id="18"/>
    </w:p>
    <w:p w14:paraId="626988D5" w14:textId="6C4A88AD" w:rsidR="00BD7B91" w:rsidRPr="008B15E6" w:rsidRDefault="00BD7B91">
      <w:pPr>
        <w:pStyle w:val="ListParagraph"/>
        <w:numPr>
          <w:ilvl w:val="1"/>
          <w:numId w:val="15"/>
        </w:numPr>
      </w:pPr>
      <w:r w:rsidRPr="008B15E6">
        <w:t>establishes a terms of reference for the review in consultation with</w:t>
      </w:r>
      <w:r w:rsidR="00307691" w:rsidRPr="008B15E6">
        <w:t xml:space="preserve"> the Department of Treasury and Finance, and</w:t>
      </w:r>
      <w:r w:rsidR="007802F1" w:rsidRPr="008B15E6">
        <w:t xml:space="preserve"> where appropriate</w:t>
      </w:r>
      <w:r w:rsidR="00307691" w:rsidRPr="008B15E6">
        <w:t xml:space="preserve"> other</w:t>
      </w:r>
      <w:r w:rsidRPr="008B15E6">
        <w:t xml:space="preserve"> relevant agencies and Cabinet subcommittee</w:t>
      </w:r>
    </w:p>
    <w:p w14:paraId="05B33B4F" w14:textId="3C847030" w:rsidR="00B51DF9" w:rsidRPr="008B15E6" w:rsidRDefault="00B51DF9">
      <w:pPr>
        <w:pStyle w:val="ListParagraph"/>
        <w:numPr>
          <w:ilvl w:val="1"/>
          <w:numId w:val="15"/>
        </w:numPr>
      </w:pPr>
      <w:r w:rsidRPr="008B15E6">
        <w:t>selects a lead reviewer</w:t>
      </w:r>
      <w:r w:rsidR="00307691" w:rsidRPr="008B15E6">
        <w:t xml:space="preserve"> </w:t>
      </w:r>
      <w:r w:rsidRPr="008B15E6">
        <w:t>to undertake the review</w:t>
      </w:r>
      <w:r w:rsidR="00307691" w:rsidRPr="008B15E6">
        <w:t xml:space="preserve">, </w:t>
      </w:r>
      <w:r w:rsidR="007802F1" w:rsidRPr="008B15E6">
        <w:t xml:space="preserve">where </w:t>
      </w:r>
      <w:r w:rsidR="002476F8" w:rsidRPr="008B15E6">
        <w:t>appropriate, in</w:t>
      </w:r>
      <w:r w:rsidR="00307691" w:rsidRPr="008B15E6">
        <w:t xml:space="preserve"> consultation with the minister</w:t>
      </w:r>
    </w:p>
    <w:p w14:paraId="47F6F6B4" w14:textId="77777777" w:rsidR="00B51DF9" w:rsidRPr="008B15E6" w:rsidRDefault="00B51DF9">
      <w:pPr>
        <w:pStyle w:val="ListParagraph"/>
        <w:numPr>
          <w:ilvl w:val="1"/>
          <w:numId w:val="15"/>
        </w:numPr>
      </w:pPr>
      <w:r w:rsidRPr="008B15E6">
        <w:t>provide</w:t>
      </w:r>
      <w:r w:rsidR="00BD7B91" w:rsidRPr="008B15E6">
        <w:t>s</w:t>
      </w:r>
      <w:r w:rsidRPr="008B15E6">
        <w:t xml:space="preserve"> appropriate resourcing to facilitate the review</w:t>
      </w:r>
    </w:p>
    <w:p w14:paraId="68632949" w14:textId="77777777" w:rsidR="00B51DF9" w:rsidRPr="008B15E6" w:rsidRDefault="00B51DF9">
      <w:pPr>
        <w:pStyle w:val="ListParagraph"/>
        <w:numPr>
          <w:ilvl w:val="1"/>
          <w:numId w:val="15"/>
        </w:numPr>
      </w:pPr>
      <w:proofErr w:type="gramStart"/>
      <w:r w:rsidRPr="008B15E6">
        <w:lastRenderedPageBreak/>
        <w:t>provide</w:t>
      </w:r>
      <w:r w:rsidR="00BD7B91" w:rsidRPr="008B15E6">
        <w:t>s</w:t>
      </w:r>
      <w:proofErr w:type="gramEnd"/>
      <w:r w:rsidR="00BD7B91" w:rsidRPr="008B15E6">
        <w:t xml:space="preserve"> the review and</w:t>
      </w:r>
      <w:r w:rsidRPr="008B15E6">
        <w:t xml:space="preserve"> response to any recommendation</w:t>
      </w:r>
      <w:r w:rsidR="00585B83" w:rsidRPr="008B15E6">
        <w:t>s</w:t>
      </w:r>
      <w:r w:rsidR="00BD7B91" w:rsidRPr="008B15E6">
        <w:t xml:space="preserve"> or outcome</w:t>
      </w:r>
      <w:r w:rsidRPr="008B15E6">
        <w:t xml:space="preserve"> arising from the review</w:t>
      </w:r>
      <w:r w:rsidR="00BD7B91" w:rsidRPr="008B15E6">
        <w:t xml:space="preserve"> to the relevant Cabinet subcommittee</w:t>
      </w:r>
      <w:r w:rsidRPr="008B15E6">
        <w:t>.</w:t>
      </w:r>
    </w:p>
    <w:p w14:paraId="3F33C3D0" w14:textId="3FD0C23F" w:rsidR="00C138F5" w:rsidRPr="008B15E6" w:rsidRDefault="00C138F5">
      <w:pPr>
        <w:pStyle w:val="Heading2"/>
      </w:pPr>
      <w:r w:rsidRPr="008B15E6">
        <w:t xml:space="preserve">Program </w:t>
      </w:r>
      <w:r w:rsidR="00D749C0" w:rsidRPr="008B15E6">
        <w:t>evaluation</w:t>
      </w:r>
    </w:p>
    <w:p w14:paraId="3FEBEACA" w14:textId="77777777" w:rsidR="00203530" w:rsidRPr="008B15E6" w:rsidRDefault="00726BFB">
      <w:pPr>
        <w:pStyle w:val="ListParagraph"/>
        <w:numPr>
          <w:ilvl w:val="0"/>
          <w:numId w:val="15"/>
        </w:numPr>
      </w:pPr>
      <w:r w:rsidRPr="008B15E6">
        <w:t>An accountable officer must use</w:t>
      </w:r>
      <w:r w:rsidR="00BF772D" w:rsidRPr="008B15E6">
        <w:t xml:space="preserve"> the</w:t>
      </w:r>
      <w:r w:rsidRPr="008B15E6">
        <w:t xml:space="preserve"> Northern Territory Program Evaluation Framework and toolkit to plan, commission and </w:t>
      </w:r>
      <w:r w:rsidR="00C24F0D" w:rsidRPr="008B15E6">
        <w:t xml:space="preserve">undertake </w:t>
      </w:r>
      <w:r w:rsidRPr="008B15E6">
        <w:t>evaluations.</w:t>
      </w:r>
    </w:p>
    <w:p w14:paraId="589B1442" w14:textId="77777777" w:rsidR="005B3687" w:rsidRPr="008B15E6" w:rsidRDefault="005B3687">
      <w:pPr>
        <w:pStyle w:val="Heading1"/>
      </w:pPr>
      <w:r w:rsidRPr="008B15E6">
        <w:t>Reporting</w:t>
      </w:r>
    </w:p>
    <w:p w14:paraId="50650FC0" w14:textId="77777777" w:rsidR="009D5827" w:rsidRPr="008B15E6" w:rsidRDefault="001C2C44">
      <w:pPr>
        <w:pStyle w:val="Heading2"/>
      </w:pPr>
      <w:r w:rsidRPr="008B15E6">
        <w:t>Annual reports</w:t>
      </w:r>
    </w:p>
    <w:p w14:paraId="501A288B" w14:textId="4569046A" w:rsidR="00E3175F" w:rsidRPr="008B15E6" w:rsidRDefault="00561EBD">
      <w:pPr>
        <w:pStyle w:val="ListParagraph"/>
        <w:numPr>
          <w:ilvl w:val="0"/>
          <w:numId w:val="15"/>
        </w:numPr>
      </w:pPr>
      <w:bookmarkStart w:id="20" w:name="_Ref105664605"/>
      <w:r w:rsidRPr="008B15E6">
        <w:t xml:space="preserve">In addition to reporting requirements under the </w:t>
      </w:r>
      <w:r w:rsidRPr="008B15E6">
        <w:rPr>
          <w:i/>
        </w:rPr>
        <w:t>Public Sector Employment and Management Act</w:t>
      </w:r>
      <w:r w:rsidR="00D30C05">
        <w:rPr>
          <w:i/>
        </w:rPr>
        <w:t xml:space="preserve"> </w:t>
      </w:r>
      <w:r w:rsidRPr="008B15E6">
        <w:rPr>
          <w:i/>
        </w:rPr>
        <w:t>1993</w:t>
      </w:r>
      <w:r w:rsidRPr="008B15E6">
        <w:t>, a</w:t>
      </w:r>
      <w:r w:rsidR="00E3175F" w:rsidRPr="008B15E6">
        <w:t xml:space="preserve">n accountable officer must </w:t>
      </w:r>
      <w:r w:rsidR="007D17E1" w:rsidRPr="008B15E6">
        <w:t>ensure the agency’s annual report</w:t>
      </w:r>
      <w:r w:rsidR="00D93881" w:rsidRPr="008B15E6">
        <w:t>, at a minimum,</w:t>
      </w:r>
      <w:r w:rsidR="007D17E1" w:rsidRPr="008B15E6">
        <w:t xml:space="preserve"> includes </w:t>
      </w:r>
      <w:r w:rsidR="00E3175F" w:rsidRPr="008B15E6">
        <w:t>report</w:t>
      </w:r>
      <w:r w:rsidR="007D17E1" w:rsidRPr="008B15E6">
        <w:t>ing</w:t>
      </w:r>
      <w:r w:rsidR="00E3175F" w:rsidRPr="008B15E6">
        <w:t xml:space="preserve"> </w:t>
      </w:r>
      <w:r w:rsidR="007D17E1" w:rsidRPr="008B15E6">
        <w:t>on</w:t>
      </w:r>
      <w:r w:rsidR="0047602E" w:rsidRPr="008B15E6">
        <w:t>:</w:t>
      </w:r>
      <w:bookmarkEnd w:id="20"/>
    </w:p>
    <w:p w14:paraId="169236A3" w14:textId="77777777" w:rsidR="00E3175F" w:rsidRPr="008B15E6" w:rsidRDefault="00D93881">
      <w:pPr>
        <w:pStyle w:val="ListParagraph"/>
        <w:numPr>
          <w:ilvl w:val="1"/>
          <w:numId w:val="15"/>
        </w:numPr>
      </w:pPr>
      <w:bookmarkStart w:id="21" w:name="_Ref105664428"/>
      <w:r w:rsidRPr="008B15E6">
        <w:t xml:space="preserve">actual performance against </w:t>
      </w:r>
      <w:r w:rsidR="00BE377E" w:rsidRPr="008B15E6">
        <w:t>targets</w:t>
      </w:r>
      <w:r w:rsidRPr="008B15E6">
        <w:t xml:space="preserve"> for each </w:t>
      </w:r>
      <w:r w:rsidR="007D17E1" w:rsidRPr="008B15E6">
        <w:t xml:space="preserve">performance indicator </w:t>
      </w:r>
      <w:r w:rsidR="00CE54D3" w:rsidRPr="008B15E6">
        <w:t>published in Budget Paper No. 3</w:t>
      </w:r>
      <w:bookmarkEnd w:id="21"/>
    </w:p>
    <w:p w14:paraId="72025BF5" w14:textId="345665D5" w:rsidR="0047602E" w:rsidRPr="008B15E6" w:rsidRDefault="001F2FCE">
      <w:pPr>
        <w:pStyle w:val="ListParagraph"/>
        <w:numPr>
          <w:ilvl w:val="1"/>
          <w:numId w:val="15"/>
        </w:numPr>
      </w:pPr>
      <w:bookmarkStart w:id="22" w:name="_Ref105664802"/>
      <w:proofErr w:type="gramStart"/>
      <w:r w:rsidRPr="008B15E6">
        <w:rPr>
          <w:iCs w:val="0"/>
        </w:rPr>
        <w:t>financial</w:t>
      </w:r>
      <w:proofErr w:type="gramEnd"/>
      <w:r w:rsidRPr="008B15E6">
        <w:rPr>
          <w:iCs w:val="0"/>
        </w:rPr>
        <w:t xml:space="preserve"> outcomes </w:t>
      </w:r>
      <w:r w:rsidR="000C2A31" w:rsidRPr="008B15E6">
        <w:rPr>
          <w:iCs w:val="0"/>
        </w:rPr>
        <w:t>compared</w:t>
      </w:r>
      <w:r w:rsidR="006B42CC" w:rsidRPr="008B15E6">
        <w:rPr>
          <w:iCs w:val="0"/>
        </w:rPr>
        <w:t xml:space="preserve"> </w:t>
      </w:r>
      <w:r w:rsidRPr="008B15E6">
        <w:rPr>
          <w:iCs w:val="0"/>
        </w:rPr>
        <w:t xml:space="preserve">to </w:t>
      </w:r>
      <w:r w:rsidR="00BC5A51" w:rsidRPr="008B15E6">
        <w:rPr>
          <w:iCs w:val="0"/>
        </w:rPr>
        <w:t>the revised budget published in Budget Paper No. 3</w:t>
      </w:r>
      <w:bookmarkEnd w:id="22"/>
      <w:r w:rsidR="000C2A31" w:rsidRPr="008B15E6">
        <w:rPr>
          <w:iCs w:val="0"/>
        </w:rPr>
        <w:t>,</w:t>
      </w:r>
      <w:r w:rsidR="007F0435" w:rsidRPr="008B15E6">
        <w:rPr>
          <w:iCs w:val="0"/>
        </w:rPr>
        <w:t xml:space="preserve"> and </w:t>
      </w:r>
      <w:r w:rsidR="00E47709" w:rsidRPr="008B15E6">
        <w:t xml:space="preserve">agency </w:t>
      </w:r>
      <w:r w:rsidR="007F0435" w:rsidRPr="008B15E6">
        <w:rPr>
          <w:iCs w:val="0"/>
        </w:rPr>
        <w:t>final approved budget</w:t>
      </w:r>
      <w:r w:rsidR="00110514" w:rsidRPr="008B15E6">
        <w:rPr>
          <w:iCs w:val="0"/>
        </w:rPr>
        <w:t xml:space="preserve"> </w:t>
      </w:r>
      <w:r w:rsidR="000C2A31" w:rsidRPr="008B15E6">
        <w:rPr>
          <w:iCs w:val="0"/>
        </w:rPr>
        <w:t>if</w:t>
      </w:r>
      <w:r w:rsidR="00110514" w:rsidRPr="008B15E6">
        <w:rPr>
          <w:iCs w:val="0"/>
        </w:rPr>
        <w:t xml:space="preserve"> this differs to the revised budget</w:t>
      </w:r>
      <w:r w:rsidR="00D30C05">
        <w:rPr>
          <w:iCs w:val="0"/>
        </w:rPr>
        <w:t>.</w:t>
      </w:r>
      <w:r w:rsidR="00110514" w:rsidRPr="008B15E6">
        <w:rPr>
          <w:iCs w:val="0"/>
        </w:rPr>
        <w:t xml:space="preserve"> </w:t>
      </w:r>
    </w:p>
    <w:p w14:paraId="78D29390" w14:textId="056B2E2B" w:rsidR="00D30C05" w:rsidRDefault="004D6E4D">
      <w:pPr>
        <w:pStyle w:val="ListParagraph"/>
        <w:numPr>
          <w:ilvl w:val="0"/>
          <w:numId w:val="15"/>
        </w:numPr>
        <w:spacing w:line="276" w:lineRule="auto"/>
      </w:pPr>
      <w:bookmarkStart w:id="23" w:name="_Ref103937382"/>
      <w:r w:rsidRPr="008B15E6">
        <w:t>Pursuant to paragraph</w:t>
      </w:r>
      <w:r w:rsidR="002768F8" w:rsidRPr="008B15E6">
        <w:t xml:space="preserve"> </w:t>
      </w:r>
      <w:r w:rsidR="002768F8" w:rsidRPr="001C6B00">
        <w:fldChar w:fldCharType="begin"/>
      </w:r>
      <w:r w:rsidR="002768F8" w:rsidRPr="008B15E6">
        <w:instrText xml:space="preserve"> REF _Ref105664605 \r \h </w:instrText>
      </w:r>
      <w:r w:rsidR="008B15E6" w:rsidRPr="001C6B00">
        <w:instrText xml:space="preserve"> \* MERGEFORMAT </w:instrText>
      </w:r>
      <w:r w:rsidR="002768F8" w:rsidRPr="001C6B00">
        <w:fldChar w:fldCharType="separate"/>
      </w:r>
      <w:r w:rsidR="00F61257">
        <w:t>46</w:t>
      </w:r>
      <w:r w:rsidR="002768F8" w:rsidRPr="001C6B00">
        <w:fldChar w:fldCharType="end"/>
      </w:r>
      <w:r w:rsidRPr="008B15E6">
        <w:t>, an accountable officer must include explanatory notes in the agency’</w:t>
      </w:r>
      <w:r w:rsidR="00823D3D" w:rsidRPr="008B15E6">
        <w:t>s</w:t>
      </w:r>
      <w:r w:rsidRPr="008B15E6">
        <w:t xml:space="preserve"> annual report w</w:t>
      </w:r>
      <w:r w:rsidR="00716BDE" w:rsidRPr="008B15E6">
        <w:t xml:space="preserve">here material variation exists between actual performance and </w:t>
      </w:r>
      <w:r w:rsidR="00823D3D" w:rsidRPr="008B15E6">
        <w:t>targets</w:t>
      </w:r>
      <w:r w:rsidRPr="008B15E6">
        <w:t>.</w:t>
      </w:r>
      <w:bookmarkEnd w:id="23"/>
    </w:p>
    <w:p w14:paraId="64D8C475" w14:textId="1B523F98" w:rsidR="00D30C05" w:rsidRDefault="00D30C05" w:rsidP="001C6B00">
      <w:pPr>
        <w:pStyle w:val="Heading2"/>
      </w:pPr>
      <w:r>
        <w:t xml:space="preserve">Budget Paper No.3 </w:t>
      </w:r>
    </w:p>
    <w:p w14:paraId="16A77A44" w14:textId="5CD4E50A" w:rsidR="00A854F7" w:rsidRDefault="00DB6E3D">
      <w:pPr>
        <w:pStyle w:val="ListParagraph"/>
        <w:numPr>
          <w:ilvl w:val="0"/>
          <w:numId w:val="15"/>
        </w:numPr>
        <w:spacing w:line="276" w:lineRule="auto"/>
      </w:pPr>
      <w:r>
        <w:t xml:space="preserve">Agencies must include </w:t>
      </w:r>
      <w:r w:rsidR="00233FEF">
        <w:t>explanatory notes in Budget Paper No.3</w:t>
      </w:r>
      <w:r w:rsidR="005875F0">
        <w:t xml:space="preserve"> for key performance indicators</w:t>
      </w:r>
      <w:r>
        <w:t>, where</w:t>
      </w:r>
      <w:r w:rsidR="005875F0">
        <w:t xml:space="preserve"> </w:t>
      </w:r>
      <w:r>
        <w:t xml:space="preserve">a </w:t>
      </w:r>
      <w:r w:rsidR="005875F0">
        <w:t>mat</w:t>
      </w:r>
      <w:r>
        <w:t>erial variation</w:t>
      </w:r>
      <w:r w:rsidR="005875F0">
        <w:t xml:space="preserve"> exist</w:t>
      </w:r>
      <w:r>
        <w:t>s</w:t>
      </w:r>
      <w:r w:rsidR="00A854F7">
        <w:t xml:space="preserve"> between:</w:t>
      </w:r>
    </w:p>
    <w:p w14:paraId="5B1F3828" w14:textId="7C5A41DC" w:rsidR="00A854F7" w:rsidRDefault="00DB6E3D" w:rsidP="001C6B00">
      <w:pPr>
        <w:pStyle w:val="ListParagraph"/>
        <w:numPr>
          <w:ilvl w:val="1"/>
          <w:numId w:val="15"/>
        </w:numPr>
      </w:pPr>
      <w:r>
        <w:t xml:space="preserve">the </w:t>
      </w:r>
      <w:r w:rsidR="005875F0">
        <w:t xml:space="preserve">original </w:t>
      </w:r>
      <w:r w:rsidR="006F1BA2">
        <w:t>and revised</w:t>
      </w:r>
      <w:r>
        <w:t xml:space="preserve"> target</w:t>
      </w:r>
      <w:r w:rsidR="005875F0">
        <w:t xml:space="preserve"> for the year</w:t>
      </w:r>
      <w:r>
        <w:t xml:space="preserve"> </w:t>
      </w:r>
    </w:p>
    <w:p w14:paraId="3FDD26E6" w14:textId="760ADB6E" w:rsidR="005875F0" w:rsidRDefault="00A854F7" w:rsidP="001C6B00">
      <w:pPr>
        <w:pStyle w:val="ListParagraph"/>
        <w:numPr>
          <w:ilvl w:val="1"/>
          <w:numId w:val="15"/>
        </w:numPr>
      </w:pPr>
      <w:proofErr w:type="gramStart"/>
      <w:r>
        <w:t>financial</w:t>
      </w:r>
      <w:proofErr w:type="gramEnd"/>
      <w:r w:rsidR="00DB6E3D">
        <w:t xml:space="preserve"> years.</w:t>
      </w:r>
    </w:p>
    <w:p w14:paraId="01D2B977" w14:textId="77777777" w:rsidR="00C75119" w:rsidRPr="008B15E6" w:rsidRDefault="00FE0872">
      <w:pPr>
        <w:pStyle w:val="Heading2"/>
      </w:pPr>
      <w:r w:rsidRPr="008B15E6">
        <w:t xml:space="preserve">Financial </w:t>
      </w:r>
      <w:r w:rsidR="004E18EA" w:rsidRPr="008B15E6">
        <w:t xml:space="preserve">and performance </w:t>
      </w:r>
      <w:r w:rsidRPr="008B15E6">
        <w:t>reporting</w:t>
      </w:r>
    </w:p>
    <w:p w14:paraId="0C21CE6B" w14:textId="25CCC21C" w:rsidR="007053D1" w:rsidRPr="008B15E6" w:rsidRDefault="007053D1">
      <w:pPr>
        <w:pStyle w:val="ListParagraph"/>
        <w:numPr>
          <w:ilvl w:val="0"/>
          <w:numId w:val="15"/>
        </w:numPr>
        <w:spacing w:line="276" w:lineRule="auto"/>
      </w:pPr>
      <w:r w:rsidRPr="008B15E6">
        <w:t xml:space="preserve">An accountable officer must comply with directions or requests for information issued </w:t>
      </w:r>
      <w:r w:rsidR="000C2A31" w:rsidRPr="008B15E6">
        <w:t xml:space="preserve">by </w:t>
      </w:r>
      <w:r w:rsidRPr="008B15E6">
        <w:t>Treasury Circulars.</w:t>
      </w:r>
    </w:p>
    <w:p w14:paraId="07F89D98" w14:textId="77777777" w:rsidR="00D66568" w:rsidRPr="008B15E6" w:rsidRDefault="008F17BC">
      <w:pPr>
        <w:pStyle w:val="ListParagraph"/>
        <w:numPr>
          <w:ilvl w:val="0"/>
          <w:numId w:val="15"/>
        </w:numPr>
        <w:spacing w:line="276" w:lineRule="auto"/>
      </w:pPr>
      <w:r w:rsidRPr="008B15E6">
        <w:t xml:space="preserve">An accountable officer must </w:t>
      </w:r>
      <w:r w:rsidR="00D66568" w:rsidRPr="008B15E6">
        <w:t>comply with the following budget management and performance monitoring requirements:</w:t>
      </w:r>
    </w:p>
    <w:p w14:paraId="67C27599" w14:textId="44E1FD82" w:rsidR="00D66568" w:rsidRPr="008B15E6" w:rsidRDefault="00D66568">
      <w:pPr>
        <w:pStyle w:val="ListParagraph"/>
        <w:numPr>
          <w:ilvl w:val="1"/>
          <w:numId w:val="15"/>
        </w:numPr>
        <w:spacing w:line="276" w:lineRule="auto"/>
      </w:pPr>
      <w:r w:rsidRPr="008B15E6">
        <w:t xml:space="preserve">monthly reporting to the Department of Treasury and Finance of actual </w:t>
      </w:r>
      <w:r w:rsidR="00541E55" w:rsidRPr="008B15E6">
        <w:t xml:space="preserve">financial </w:t>
      </w:r>
      <w:r w:rsidRPr="008B15E6">
        <w:t>performance compared to budget projections</w:t>
      </w:r>
      <w:r w:rsidR="00C42D36" w:rsidRPr="008B15E6">
        <w:t xml:space="preserve"> in a format and timeframe specified by the Department of Treasury and Finance</w:t>
      </w:r>
    </w:p>
    <w:p w14:paraId="2A2651AB" w14:textId="15444639" w:rsidR="000D6DDD" w:rsidRPr="008B15E6" w:rsidRDefault="00D66568">
      <w:pPr>
        <w:pStyle w:val="ListParagraph"/>
        <w:numPr>
          <w:ilvl w:val="1"/>
          <w:numId w:val="15"/>
        </w:numPr>
        <w:spacing w:line="276" w:lineRule="auto"/>
      </w:pPr>
      <w:r w:rsidRPr="008B15E6">
        <w:t>notify the Department of Treasury and Finance</w:t>
      </w:r>
      <w:r w:rsidR="0069332D" w:rsidRPr="008B15E6">
        <w:t xml:space="preserve"> and the relevant minister(s)</w:t>
      </w:r>
      <w:r w:rsidRPr="008B15E6">
        <w:t xml:space="preserve">, as soon as practicable, of any issue or event that may materially affect the agency’s ability to operate within approved budget and/or </w:t>
      </w:r>
      <w:r w:rsidR="00682947" w:rsidRPr="008B15E6">
        <w:t>employee</w:t>
      </w:r>
      <w:r w:rsidR="00450F9C" w:rsidRPr="008B15E6">
        <w:t xml:space="preserve"> or operating </w:t>
      </w:r>
      <w:r w:rsidRPr="008B15E6">
        <w:t>expense and staffing caps</w:t>
      </w:r>
      <w:r w:rsidR="004E18EA" w:rsidRPr="008B15E6">
        <w:t>, where relevant</w:t>
      </w:r>
      <w:r w:rsidR="00D30C05">
        <w:t>.</w:t>
      </w:r>
    </w:p>
    <w:p w14:paraId="1B17CCF6" w14:textId="77777777" w:rsidR="00A11710" w:rsidRPr="008B15E6" w:rsidRDefault="00A11710">
      <w:pPr>
        <w:pStyle w:val="ListParagraph"/>
        <w:numPr>
          <w:ilvl w:val="0"/>
          <w:numId w:val="15"/>
        </w:numPr>
        <w:spacing w:line="276" w:lineRule="auto"/>
      </w:pPr>
      <w:r w:rsidRPr="008B15E6">
        <w:t>An accountable officer must provide Department of Treasury and Finance with:</w:t>
      </w:r>
    </w:p>
    <w:p w14:paraId="7B1EC9E9" w14:textId="77777777" w:rsidR="000D6DDD" w:rsidRPr="008B15E6" w:rsidRDefault="000D6DDD">
      <w:pPr>
        <w:pStyle w:val="ListParagraph"/>
        <w:numPr>
          <w:ilvl w:val="1"/>
          <w:numId w:val="15"/>
        </w:numPr>
        <w:spacing w:line="276" w:lineRule="auto"/>
      </w:pPr>
      <w:r w:rsidRPr="008B15E6">
        <w:t>program evaluation reports within three months of completi</w:t>
      </w:r>
      <w:r w:rsidR="00A11710" w:rsidRPr="008B15E6">
        <w:t>on</w:t>
      </w:r>
    </w:p>
    <w:p w14:paraId="6734F9F6" w14:textId="77777777" w:rsidR="00D66568" w:rsidRPr="008B15E6" w:rsidRDefault="000D6DDD">
      <w:pPr>
        <w:pStyle w:val="ListParagraph"/>
        <w:numPr>
          <w:ilvl w:val="1"/>
          <w:numId w:val="15"/>
        </w:numPr>
        <w:spacing w:line="276" w:lineRule="auto"/>
      </w:pPr>
      <w:r w:rsidRPr="008B15E6">
        <w:lastRenderedPageBreak/>
        <w:t>a report</w:t>
      </w:r>
      <w:r w:rsidR="009C17FD" w:rsidRPr="008B15E6">
        <w:t xml:space="preserve"> </w:t>
      </w:r>
      <w:r w:rsidRPr="008B15E6">
        <w:t>on the actions taken in response to recommendations from each evaluation within twelve months of the completion of the evaluation report</w:t>
      </w:r>
    </w:p>
    <w:p w14:paraId="76663831" w14:textId="77777777" w:rsidR="000D6DDD" w:rsidRPr="008B15E6" w:rsidRDefault="000D6DDD">
      <w:pPr>
        <w:pStyle w:val="ListParagraph"/>
        <w:numPr>
          <w:ilvl w:val="1"/>
          <w:numId w:val="15"/>
        </w:numPr>
      </w:pPr>
      <w:r w:rsidRPr="008B15E6">
        <w:t xml:space="preserve">reports related to reviews under the Northern Territory Agency Organisational Review Framework within three months of completion </w:t>
      </w:r>
    </w:p>
    <w:p w14:paraId="4A86AA3C" w14:textId="77777777" w:rsidR="000D6DDD" w:rsidRPr="008B15E6" w:rsidRDefault="000D6DDD">
      <w:pPr>
        <w:pStyle w:val="ListParagraph"/>
        <w:numPr>
          <w:ilvl w:val="1"/>
          <w:numId w:val="15"/>
        </w:numPr>
        <w:spacing w:line="276" w:lineRule="auto"/>
      </w:pPr>
      <w:proofErr w:type="gramStart"/>
      <w:r w:rsidRPr="008B15E6">
        <w:t>a</w:t>
      </w:r>
      <w:proofErr w:type="gramEnd"/>
      <w:r w:rsidRPr="008B15E6">
        <w:t xml:space="preserve"> report on the actions taken in response to recommendations from each review under the Northern Territory Agency Organisational Review Framework</w:t>
      </w:r>
      <w:r w:rsidR="00A11710" w:rsidRPr="008B15E6">
        <w:t xml:space="preserve"> </w:t>
      </w:r>
      <w:r w:rsidRPr="008B15E6">
        <w:t>within twelve months of the completion of the review report.</w:t>
      </w:r>
    </w:p>
    <w:p w14:paraId="2B3D9225" w14:textId="33B878B8" w:rsidR="00AE1982" w:rsidRPr="008B15E6" w:rsidRDefault="00163CCB">
      <w:pPr>
        <w:rPr>
          <w:rFonts w:ascii="Lato Semibold" w:eastAsia="Times New Roman" w:hAnsi="Lato Semibold"/>
          <w:color w:val="454347"/>
          <w:sz w:val="32"/>
          <w:szCs w:val="28"/>
        </w:rPr>
      </w:pPr>
      <w:r w:rsidRPr="008B15E6">
        <w:rPr>
          <w:rFonts w:ascii="Lato Semibold" w:eastAsia="Times New Roman" w:hAnsi="Lato Semibold"/>
          <w:color w:val="454347"/>
          <w:sz w:val="32"/>
          <w:szCs w:val="28"/>
        </w:rPr>
        <w:t>Budget paper reporting</w:t>
      </w:r>
    </w:p>
    <w:p w14:paraId="741C60D1" w14:textId="5C4B3E7F" w:rsidR="00AE1982" w:rsidRPr="008B15E6" w:rsidRDefault="00AE1982">
      <w:pPr>
        <w:pStyle w:val="ListParagraph"/>
        <w:numPr>
          <w:ilvl w:val="0"/>
          <w:numId w:val="15"/>
        </w:numPr>
      </w:pPr>
      <w:r w:rsidRPr="008B15E6">
        <w:t xml:space="preserve">An accountable officer must seek ministerial </w:t>
      </w:r>
      <w:r w:rsidR="000223DC" w:rsidRPr="008B15E6">
        <w:t>endorsement</w:t>
      </w:r>
      <w:r w:rsidRPr="008B15E6">
        <w:t xml:space="preserve"> to </w:t>
      </w:r>
      <w:r w:rsidRPr="008B15E6">
        <w:rPr>
          <w:lang w:eastAsia="en-AU"/>
        </w:rPr>
        <w:t xml:space="preserve">change, replace or discontinue </w:t>
      </w:r>
      <w:r w:rsidRPr="008B15E6">
        <w:t>key performance indicators published in Budget Paper No. 3.</w:t>
      </w:r>
    </w:p>
    <w:p w14:paraId="4DA9692D" w14:textId="0A32D168" w:rsidR="00FC4AF2" w:rsidRPr="008B15E6" w:rsidRDefault="00270A9A">
      <w:pPr>
        <w:pStyle w:val="ListParagraph"/>
        <w:numPr>
          <w:ilvl w:val="0"/>
          <w:numId w:val="15"/>
        </w:numPr>
      </w:pPr>
      <w:r w:rsidRPr="008B15E6">
        <w:t>Upon request, a</w:t>
      </w:r>
      <w:r w:rsidR="00FC4AF2" w:rsidRPr="008B15E6">
        <w:t xml:space="preserve">n accountable officer must provide Department of Treasury and Finance with a copy of </w:t>
      </w:r>
      <w:r w:rsidRPr="008B15E6">
        <w:t xml:space="preserve">the </w:t>
      </w:r>
      <w:r w:rsidR="00FC4AF2" w:rsidRPr="008B15E6">
        <w:t>data diction</w:t>
      </w:r>
      <w:r w:rsidRPr="008B15E6">
        <w:t xml:space="preserve">ary for each performance indicator used in Budget Paper No.3 reporting, within the specified timeframe.  </w:t>
      </w:r>
    </w:p>
    <w:p w14:paraId="3F4B44C9" w14:textId="77777777" w:rsidR="002665D3" w:rsidRPr="008B15E6" w:rsidRDefault="002665D3">
      <w:pPr>
        <w:pStyle w:val="Heading1"/>
      </w:pPr>
      <w:r w:rsidRPr="008B15E6">
        <w:t xml:space="preserve">Record Keeping </w:t>
      </w:r>
    </w:p>
    <w:p w14:paraId="459AB028" w14:textId="77777777" w:rsidR="00CC0D65" w:rsidRPr="008B15E6" w:rsidRDefault="00CC0D65">
      <w:pPr>
        <w:pStyle w:val="ListParagraph"/>
        <w:numPr>
          <w:ilvl w:val="0"/>
          <w:numId w:val="15"/>
        </w:numPr>
      </w:pPr>
      <w:bookmarkStart w:id="24" w:name="_Ref110350849"/>
      <w:r w:rsidRPr="008B15E6">
        <w:t>An accountable officer is responsible for keeping records on the following including:</w:t>
      </w:r>
      <w:bookmarkEnd w:id="24"/>
    </w:p>
    <w:p w14:paraId="5A64BFE7" w14:textId="240FA558" w:rsidR="005332D8" w:rsidRPr="008B15E6" w:rsidRDefault="005332D8">
      <w:pPr>
        <w:pStyle w:val="ListParagraph"/>
        <w:numPr>
          <w:ilvl w:val="1"/>
          <w:numId w:val="15"/>
        </w:numPr>
      </w:pPr>
      <w:r w:rsidRPr="008B15E6">
        <w:t xml:space="preserve">maintaining a data dictionary for each key performance indicator </w:t>
      </w:r>
      <w:r w:rsidR="00FC4AF2" w:rsidRPr="008B15E6">
        <w:t>use</w:t>
      </w:r>
      <w:r w:rsidR="002768F8" w:rsidRPr="008B15E6">
        <w:t>d in Budget Paper No.3</w:t>
      </w:r>
      <w:r w:rsidR="00FC4AF2" w:rsidRPr="008B15E6">
        <w:t>, using the template at Appendix A</w:t>
      </w:r>
    </w:p>
    <w:p w14:paraId="6622E4CC" w14:textId="0746F3C5" w:rsidR="00CC0D65" w:rsidRPr="008B15E6" w:rsidRDefault="005332D8">
      <w:pPr>
        <w:pStyle w:val="ListParagraph"/>
        <w:numPr>
          <w:ilvl w:val="1"/>
          <w:numId w:val="15"/>
        </w:numPr>
      </w:pPr>
      <w:r w:rsidRPr="008B15E6">
        <w:t xml:space="preserve">maintaining appropriate documentation to support information published in </w:t>
      </w:r>
      <w:r w:rsidR="00BD783A" w:rsidRPr="008B15E6">
        <w:t xml:space="preserve">the </w:t>
      </w:r>
      <w:r w:rsidRPr="008B15E6">
        <w:t>agency</w:t>
      </w:r>
      <w:r w:rsidR="00BD783A" w:rsidRPr="008B15E6">
        <w:t>’s</w:t>
      </w:r>
      <w:r w:rsidRPr="008B15E6">
        <w:t xml:space="preserve"> annual report on</w:t>
      </w:r>
      <w:r w:rsidR="00BD783A" w:rsidRPr="008B15E6">
        <w:t xml:space="preserve"> </w:t>
      </w:r>
      <w:r w:rsidRPr="008B15E6">
        <w:t>actual performance against</w:t>
      </w:r>
      <w:r w:rsidR="00145D27" w:rsidRPr="008B15E6">
        <w:t xml:space="preserve"> </w:t>
      </w:r>
      <w:r w:rsidR="00EF5D67" w:rsidRPr="008B15E6">
        <w:t>targets for</w:t>
      </w:r>
      <w:r w:rsidRPr="008B15E6">
        <w:t xml:space="preserve"> each key performance indicator</w:t>
      </w:r>
    </w:p>
    <w:p w14:paraId="169AD05E" w14:textId="3E11E2D2" w:rsidR="002768F8" w:rsidRPr="008B15E6" w:rsidRDefault="002768F8">
      <w:pPr>
        <w:pStyle w:val="ListParagraph"/>
        <w:numPr>
          <w:ilvl w:val="1"/>
          <w:numId w:val="15"/>
        </w:numPr>
      </w:pPr>
      <w:proofErr w:type="gramStart"/>
      <w:r w:rsidRPr="008B15E6">
        <w:t>maintaining</w:t>
      </w:r>
      <w:proofErr w:type="gramEnd"/>
      <w:r w:rsidRPr="008B15E6">
        <w:t xml:space="preserve"> appropriate documentation to support information published in the Budget Paper No.3.</w:t>
      </w:r>
    </w:p>
    <w:p w14:paraId="63B044D1" w14:textId="79B086FA" w:rsidR="00284003" w:rsidRPr="008B15E6" w:rsidRDefault="00284003">
      <w:pPr>
        <w:pStyle w:val="ListParagraph"/>
        <w:numPr>
          <w:ilvl w:val="0"/>
          <w:numId w:val="15"/>
        </w:numPr>
      </w:pPr>
      <w:bookmarkStart w:id="25" w:name="_Ref115874563"/>
      <w:r w:rsidRPr="008B15E6">
        <w:t>An accountable officer must maintain a register of Territory Government funded programs</w:t>
      </w:r>
      <w:r w:rsidR="00D30C05">
        <w:t xml:space="preserve">         </w:t>
      </w:r>
      <w:r w:rsidRPr="008B15E6">
        <w:t xml:space="preserve"> (a program master list).</w:t>
      </w:r>
      <w:bookmarkEnd w:id="25"/>
      <w:r w:rsidRPr="008B15E6">
        <w:t xml:space="preserve"> </w:t>
      </w:r>
    </w:p>
    <w:p w14:paraId="7C4CF68A" w14:textId="3627C79D" w:rsidR="009C4C71" w:rsidRPr="008B15E6" w:rsidRDefault="009C4C71">
      <w:pPr>
        <w:pStyle w:val="ListParagraph"/>
        <w:numPr>
          <w:ilvl w:val="0"/>
          <w:numId w:val="15"/>
        </w:numPr>
      </w:pPr>
      <w:r w:rsidRPr="008B15E6">
        <w:t xml:space="preserve">Pursuant </w:t>
      </w:r>
      <w:r w:rsidR="00BE0647" w:rsidRPr="008B15E6">
        <w:t xml:space="preserve">to paragraph </w:t>
      </w:r>
      <w:r w:rsidR="001B18D8">
        <w:fldChar w:fldCharType="begin"/>
      </w:r>
      <w:r w:rsidR="001B18D8">
        <w:instrText xml:space="preserve"> REF _Ref110350849 \r \h </w:instrText>
      </w:r>
      <w:r w:rsidR="001B18D8">
        <w:fldChar w:fldCharType="separate"/>
      </w:r>
      <w:r w:rsidR="001B18D8">
        <w:t>54</w:t>
      </w:r>
      <w:r w:rsidR="001B18D8">
        <w:fldChar w:fldCharType="end"/>
      </w:r>
      <w:r w:rsidR="00BE0647" w:rsidRPr="008B15E6">
        <w:t xml:space="preserve"> and </w:t>
      </w:r>
      <w:r w:rsidR="001B18D8">
        <w:fldChar w:fldCharType="begin"/>
      </w:r>
      <w:r w:rsidR="001B18D8">
        <w:instrText xml:space="preserve"> REF _Ref115874563 \r \h </w:instrText>
      </w:r>
      <w:r w:rsidR="001B18D8">
        <w:fldChar w:fldCharType="separate"/>
      </w:r>
      <w:r w:rsidR="001B18D8">
        <w:t>55</w:t>
      </w:r>
      <w:r w:rsidR="001B18D8">
        <w:fldChar w:fldCharType="end"/>
      </w:r>
      <w:r w:rsidRPr="008B15E6">
        <w:t xml:space="preserve">, an accountable officer must retain records </w:t>
      </w:r>
      <w:r w:rsidR="00CC0D65" w:rsidRPr="008B15E6">
        <w:t>for the specified minimum period, in accordance with the agency’s records disposal schedule</w:t>
      </w:r>
      <w:r w:rsidR="00823D3D" w:rsidRPr="008B15E6">
        <w:t>.</w:t>
      </w:r>
    </w:p>
    <w:p w14:paraId="2F9B0C90" w14:textId="77777777" w:rsidR="00580CCF" w:rsidRPr="008B15E6" w:rsidRDefault="00580CCF">
      <w:pPr>
        <w:pStyle w:val="Heading1"/>
      </w:pPr>
      <w:r w:rsidRPr="008B15E6">
        <w:t>Appendices</w:t>
      </w:r>
    </w:p>
    <w:tbl>
      <w:tblPr>
        <w:tblStyle w:val="NTGtable"/>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2904"/>
        <w:gridCol w:w="5744"/>
      </w:tblGrid>
      <w:tr w:rsidR="00580CCF" w:rsidRPr="008B15E6" w14:paraId="7F2B6DAA" w14:textId="77777777" w:rsidTr="00B22C6C">
        <w:trPr>
          <w:cnfStyle w:val="100000000000" w:firstRow="1" w:lastRow="0" w:firstColumn="0" w:lastColumn="0" w:oddVBand="0" w:evenVBand="0" w:oddHBand="0" w:evenHBand="0" w:firstRowFirstColumn="0" w:firstRowLastColumn="0" w:lastRowFirstColumn="0" w:lastRowLastColumn="0"/>
          <w:trHeight w:val="419"/>
          <w:tblHeader/>
        </w:trPr>
        <w:tc>
          <w:tcPr>
            <w:tcW w:w="2904" w:type="dxa"/>
          </w:tcPr>
          <w:p w14:paraId="6A3DB0AC" w14:textId="77777777" w:rsidR="00580CCF" w:rsidRPr="008B15E6" w:rsidRDefault="00580CCF">
            <w:r w:rsidRPr="008B15E6">
              <w:t>Appendices</w:t>
            </w:r>
          </w:p>
        </w:tc>
        <w:tc>
          <w:tcPr>
            <w:tcW w:w="5744" w:type="dxa"/>
          </w:tcPr>
          <w:p w14:paraId="5BAFB7CF" w14:textId="77777777" w:rsidR="00580CCF" w:rsidRPr="008B15E6" w:rsidRDefault="00580CCF">
            <w:r w:rsidRPr="008B15E6">
              <w:t>Title</w:t>
            </w:r>
          </w:p>
        </w:tc>
      </w:tr>
      <w:tr w:rsidR="00580CCF" w:rsidRPr="008B15E6" w14:paraId="3EB5E2EC" w14:textId="77777777" w:rsidTr="00B22C6C">
        <w:trPr>
          <w:trHeight w:val="419"/>
        </w:trPr>
        <w:tc>
          <w:tcPr>
            <w:tcW w:w="2904" w:type="dxa"/>
          </w:tcPr>
          <w:p w14:paraId="401B216C" w14:textId="77777777" w:rsidR="00580CCF" w:rsidRPr="008B15E6" w:rsidRDefault="00580CCF">
            <w:pPr>
              <w:spacing w:before="60" w:after="60"/>
            </w:pPr>
            <w:r w:rsidRPr="008B15E6">
              <w:t>Appendix A</w:t>
            </w:r>
          </w:p>
        </w:tc>
        <w:tc>
          <w:tcPr>
            <w:tcW w:w="5744" w:type="dxa"/>
          </w:tcPr>
          <w:p w14:paraId="6BDE0014" w14:textId="77777777" w:rsidR="00580CCF" w:rsidRPr="008B15E6" w:rsidRDefault="00580CCF">
            <w:pPr>
              <w:spacing w:before="60" w:after="60"/>
            </w:pPr>
            <w:r w:rsidRPr="008B15E6">
              <w:t>Data Dictionary Template</w:t>
            </w:r>
          </w:p>
        </w:tc>
      </w:tr>
    </w:tbl>
    <w:p w14:paraId="4417E17E" w14:textId="77777777" w:rsidR="00D133F4" w:rsidRPr="008B15E6" w:rsidRDefault="00D133F4">
      <w:pPr>
        <w:pStyle w:val="Heading1"/>
      </w:pPr>
      <w:r w:rsidRPr="008B15E6">
        <w:t>Change history</w:t>
      </w:r>
    </w:p>
    <w:tbl>
      <w:tblPr>
        <w:tblStyle w:val="NTGtable"/>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1418"/>
        <w:gridCol w:w="2805"/>
        <w:gridCol w:w="2976"/>
        <w:gridCol w:w="3202"/>
      </w:tblGrid>
      <w:tr w:rsidR="00667C4A" w:rsidRPr="008B15E6" w14:paraId="5C894F01" w14:textId="77777777" w:rsidTr="00343C61">
        <w:trPr>
          <w:cnfStyle w:val="100000000000" w:firstRow="1" w:lastRow="0" w:firstColumn="0" w:lastColumn="0" w:oddVBand="0" w:evenVBand="0" w:oddHBand="0" w:evenHBand="0" w:firstRowFirstColumn="0" w:firstRowLastColumn="0" w:lastRowFirstColumn="0" w:lastRowLastColumn="0"/>
          <w:tblHeader/>
        </w:trPr>
        <w:tc>
          <w:tcPr>
            <w:tcW w:w="1418" w:type="dxa"/>
          </w:tcPr>
          <w:p w14:paraId="63326F78" w14:textId="77777777" w:rsidR="00667C4A" w:rsidRPr="008B15E6" w:rsidRDefault="00667C4A">
            <w:r w:rsidRPr="008B15E6">
              <w:t>Version</w:t>
            </w:r>
          </w:p>
        </w:tc>
        <w:tc>
          <w:tcPr>
            <w:tcW w:w="2805" w:type="dxa"/>
          </w:tcPr>
          <w:p w14:paraId="20EB407D" w14:textId="77777777" w:rsidR="00667C4A" w:rsidRPr="008B15E6" w:rsidRDefault="00667C4A">
            <w:r w:rsidRPr="008B15E6">
              <w:t>Date</w:t>
            </w:r>
          </w:p>
        </w:tc>
        <w:tc>
          <w:tcPr>
            <w:tcW w:w="2976" w:type="dxa"/>
          </w:tcPr>
          <w:p w14:paraId="7C15B27B" w14:textId="77777777" w:rsidR="00667C4A" w:rsidRPr="008B15E6" w:rsidRDefault="00667C4A">
            <w:r w:rsidRPr="008B15E6">
              <w:t>Author</w:t>
            </w:r>
          </w:p>
        </w:tc>
        <w:tc>
          <w:tcPr>
            <w:tcW w:w="3202" w:type="dxa"/>
          </w:tcPr>
          <w:p w14:paraId="676D05ED" w14:textId="77777777" w:rsidR="00667C4A" w:rsidRPr="008B15E6" w:rsidRDefault="00667C4A">
            <w:r w:rsidRPr="008B15E6">
              <w:t>Change details</w:t>
            </w:r>
          </w:p>
        </w:tc>
      </w:tr>
      <w:tr w:rsidR="00667C4A" w:rsidRPr="008B15E6" w14:paraId="28EC8527" w14:textId="77777777" w:rsidTr="00667C4A">
        <w:tc>
          <w:tcPr>
            <w:tcW w:w="1418" w:type="dxa"/>
          </w:tcPr>
          <w:p w14:paraId="1AA8C783" w14:textId="77777777" w:rsidR="00667C4A" w:rsidRPr="008B15E6" w:rsidRDefault="00667C4A">
            <w:pPr>
              <w:spacing w:before="60" w:after="60"/>
            </w:pPr>
            <w:r w:rsidRPr="008B15E6">
              <w:t>1.0</w:t>
            </w:r>
          </w:p>
        </w:tc>
        <w:tc>
          <w:tcPr>
            <w:tcW w:w="2805" w:type="dxa"/>
          </w:tcPr>
          <w:p w14:paraId="57FAA084" w14:textId="490FFEA6" w:rsidR="00667C4A" w:rsidRPr="008B15E6" w:rsidRDefault="00746EEC">
            <w:pPr>
              <w:spacing w:before="60" w:after="60"/>
            </w:pPr>
            <w:r>
              <w:t>November</w:t>
            </w:r>
            <w:r w:rsidR="006C521A" w:rsidRPr="008B15E6">
              <w:t xml:space="preserve"> 2022</w:t>
            </w:r>
          </w:p>
        </w:tc>
        <w:tc>
          <w:tcPr>
            <w:tcW w:w="2976" w:type="dxa"/>
          </w:tcPr>
          <w:p w14:paraId="44ECBD12" w14:textId="31756A56" w:rsidR="00667C4A" w:rsidRPr="008B15E6" w:rsidRDefault="006C521A">
            <w:pPr>
              <w:spacing w:before="60" w:after="60"/>
            </w:pPr>
            <w:r w:rsidRPr="008B15E6">
              <w:t>DTF</w:t>
            </w:r>
          </w:p>
        </w:tc>
        <w:tc>
          <w:tcPr>
            <w:tcW w:w="3202" w:type="dxa"/>
          </w:tcPr>
          <w:p w14:paraId="491E4291" w14:textId="3B414E6B" w:rsidR="00667C4A" w:rsidRPr="008B15E6" w:rsidRDefault="006C521A">
            <w:pPr>
              <w:spacing w:before="60" w:after="60"/>
            </w:pPr>
            <w:r w:rsidRPr="008B15E6">
              <w:t>Initial version</w:t>
            </w:r>
          </w:p>
        </w:tc>
      </w:tr>
    </w:tbl>
    <w:p w14:paraId="7CABFAD4" w14:textId="11086EF2" w:rsidR="00667C4A" w:rsidRPr="008B15E6" w:rsidRDefault="004E18EA">
      <w:pPr>
        <w:rPr>
          <w:b/>
        </w:rPr>
      </w:pPr>
      <w:r w:rsidRPr="008B15E6">
        <w:rPr>
          <w:b/>
        </w:rPr>
        <w:br w:type="page"/>
      </w:r>
      <w:r w:rsidR="00BA23CA" w:rsidRPr="008B15E6">
        <w:rPr>
          <w:b/>
        </w:rPr>
        <w:lastRenderedPageBreak/>
        <w:t>APPENDIX A</w:t>
      </w:r>
    </w:p>
    <w:p w14:paraId="6CC29B56" w14:textId="77777777" w:rsidR="004B16AB" w:rsidRPr="008B15E6" w:rsidRDefault="004B16AB">
      <w:pPr>
        <w:pStyle w:val="Heading1"/>
        <w:rPr>
          <w:lang w:eastAsia="en-AU"/>
        </w:rPr>
      </w:pPr>
      <w:r w:rsidRPr="008B15E6">
        <w:rPr>
          <w:lang w:eastAsia="en-AU"/>
        </w:rPr>
        <w:t>Data Dictionary Template</w:t>
      </w:r>
    </w:p>
    <w:tbl>
      <w:tblPr>
        <w:tblStyle w:val="NTGtable1"/>
        <w:tblW w:w="10308" w:type="dxa"/>
        <w:tblLayout w:type="fixed"/>
        <w:tblLook w:val="04A0" w:firstRow="1" w:lastRow="0" w:firstColumn="1" w:lastColumn="0" w:noHBand="0" w:noVBand="1"/>
      </w:tblPr>
      <w:tblGrid>
        <w:gridCol w:w="2679"/>
        <w:gridCol w:w="1059"/>
        <w:gridCol w:w="510"/>
        <w:gridCol w:w="440"/>
        <w:gridCol w:w="269"/>
        <w:gridCol w:w="1275"/>
        <w:gridCol w:w="426"/>
        <w:gridCol w:w="39"/>
        <w:gridCol w:w="811"/>
        <w:gridCol w:w="820"/>
        <w:gridCol w:w="155"/>
        <w:gridCol w:w="1825"/>
      </w:tblGrid>
      <w:tr w:rsidR="004B16AB" w:rsidRPr="008B15E6" w14:paraId="513ADE80" w14:textId="77777777" w:rsidTr="00AF7A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9" w:type="dxa"/>
          </w:tcPr>
          <w:p w14:paraId="00CE2A0F" w14:textId="77777777" w:rsidR="004B16AB" w:rsidRPr="008B15E6" w:rsidRDefault="004B16AB">
            <w:pPr>
              <w:rPr>
                <w:lang w:eastAsia="en-AU"/>
              </w:rPr>
            </w:pPr>
            <w:r w:rsidRPr="008B15E6">
              <w:rPr>
                <w:lang w:eastAsia="en-AU"/>
              </w:rPr>
              <w:t>Overview</w:t>
            </w:r>
          </w:p>
        </w:tc>
        <w:tc>
          <w:tcPr>
            <w:tcW w:w="7629" w:type="dxa"/>
            <w:gridSpan w:val="11"/>
          </w:tcPr>
          <w:p w14:paraId="00301FA6" w14:textId="77777777" w:rsidR="004B16AB" w:rsidRPr="008B15E6" w:rsidRDefault="004B16AB">
            <w:pPr>
              <w:cnfStyle w:val="100000000000" w:firstRow="1" w:lastRow="0" w:firstColumn="0" w:lastColumn="0" w:oddVBand="0" w:evenVBand="0" w:oddHBand="0" w:evenHBand="0" w:firstRowFirstColumn="0" w:firstRowLastColumn="0" w:lastRowFirstColumn="0" w:lastRowLastColumn="0"/>
              <w:rPr>
                <w:lang w:eastAsia="en-AU"/>
              </w:rPr>
            </w:pPr>
          </w:p>
        </w:tc>
      </w:tr>
      <w:tr w:rsidR="004B16AB" w:rsidRPr="008B15E6" w14:paraId="3AE0A355" w14:textId="77777777" w:rsidTr="00AF7ACB">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679" w:type="dxa"/>
          </w:tcPr>
          <w:p w14:paraId="5A76A681" w14:textId="77777777" w:rsidR="004B16AB" w:rsidRPr="008B15E6" w:rsidRDefault="004B16AB">
            <w:pPr>
              <w:rPr>
                <w:lang w:eastAsia="en-AU"/>
              </w:rPr>
            </w:pPr>
            <w:r w:rsidRPr="008B15E6">
              <w:rPr>
                <w:lang w:eastAsia="en-AU"/>
              </w:rPr>
              <w:t xml:space="preserve">Key Performance Indicator </w:t>
            </w:r>
          </w:p>
        </w:tc>
        <w:tc>
          <w:tcPr>
            <w:tcW w:w="7629" w:type="dxa"/>
            <w:gridSpan w:val="11"/>
          </w:tcPr>
          <w:p w14:paraId="14DE9AAD" w14:textId="77777777" w:rsidR="004B16AB" w:rsidRPr="008B15E6" w:rsidRDefault="004B16AB">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8B15E6">
              <w:rPr>
                <w:i/>
                <w:color w:val="808080" w:themeColor="background1" w:themeShade="80"/>
                <w:sz w:val="20"/>
                <w:szCs w:val="20"/>
                <w:lang w:eastAsia="en-AU"/>
              </w:rPr>
              <w:t>Ensure it meets SMART criteria</w:t>
            </w:r>
          </w:p>
        </w:tc>
      </w:tr>
      <w:tr w:rsidR="004B16AB" w:rsidRPr="008B15E6" w14:paraId="59F50D3F" w14:textId="77777777" w:rsidTr="00AF7A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56E6CE77" w14:textId="77777777" w:rsidR="004B16AB" w:rsidRPr="008B15E6" w:rsidRDefault="004B16AB">
            <w:pPr>
              <w:rPr>
                <w:lang w:eastAsia="en-AU"/>
              </w:rPr>
            </w:pPr>
            <w:r w:rsidRPr="008B15E6">
              <w:rPr>
                <w:lang w:eastAsia="en-AU"/>
              </w:rPr>
              <w:t>KPI type</w:t>
            </w:r>
          </w:p>
        </w:tc>
        <w:tc>
          <w:tcPr>
            <w:tcW w:w="7629" w:type="dxa"/>
            <w:gridSpan w:val="11"/>
          </w:tcPr>
          <w:p w14:paraId="6F8B9C38" w14:textId="77777777" w:rsidR="004B16AB" w:rsidRPr="008B15E6" w:rsidRDefault="000342A9">
            <w:pPr>
              <w:cnfStyle w:val="000000010000" w:firstRow="0" w:lastRow="0" w:firstColumn="0" w:lastColumn="0" w:oddVBand="0" w:evenVBand="0" w:oddHBand="0" w:evenHBand="1" w:firstRowFirstColumn="0" w:firstRowLastColumn="0" w:lastRowFirstColumn="0" w:lastRowLastColumn="0"/>
              <w:rPr>
                <w:lang w:eastAsia="en-AU"/>
              </w:rPr>
            </w:pPr>
            <w:sdt>
              <w:sdtPr>
                <w:rPr>
                  <w:lang w:eastAsia="en-AU"/>
                </w:rPr>
                <w:id w:val="-1115901883"/>
                <w14:checkbox>
                  <w14:checked w14:val="0"/>
                  <w14:checkedState w14:val="2612" w14:font="MS Gothic"/>
                  <w14:uncheckedState w14:val="2610" w14:font="MS Gothic"/>
                </w14:checkbox>
              </w:sdtPr>
              <w:sdtEndPr/>
              <w:sdtContent>
                <w:r w:rsidR="004B16AB" w:rsidRPr="008B15E6">
                  <w:rPr>
                    <w:rFonts w:ascii="MS Gothic" w:eastAsia="MS Gothic" w:hAnsi="MS Gothic"/>
                    <w:lang w:eastAsia="en-AU"/>
                  </w:rPr>
                  <w:t>☐</w:t>
                </w:r>
              </w:sdtContent>
            </w:sdt>
            <w:r w:rsidR="004B16AB" w:rsidRPr="008B15E6">
              <w:rPr>
                <w:lang w:eastAsia="en-AU"/>
              </w:rPr>
              <w:t xml:space="preserve"> O</w:t>
            </w:r>
            <w:r w:rsidR="009A76DC" w:rsidRPr="008B15E6">
              <w:rPr>
                <w:lang w:eastAsia="en-AU"/>
              </w:rPr>
              <w:t xml:space="preserve">bjective </w:t>
            </w:r>
            <w:r w:rsidR="004B16AB" w:rsidRPr="008B15E6">
              <w:rPr>
                <w:lang w:eastAsia="en-AU"/>
              </w:rPr>
              <w:t xml:space="preserve">     </w:t>
            </w:r>
            <w:sdt>
              <w:sdtPr>
                <w:rPr>
                  <w:lang w:eastAsia="en-AU"/>
                </w:rPr>
                <w:id w:val="1758632128"/>
                <w14:checkbox>
                  <w14:checked w14:val="0"/>
                  <w14:checkedState w14:val="2612" w14:font="MS Gothic"/>
                  <w14:uncheckedState w14:val="2610" w14:font="MS Gothic"/>
                </w14:checkbox>
              </w:sdtPr>
              <w:sdtEndPr/>
              <w:sdtContent>
                <w:r w:rsidR="004B16AB" w:rsidRPr="008B15E6">
                  <w:rPr>
                    <w:rFonts w:ascii="MS Gothic" w:eastAsia="MS Gothic" w:hAnsi="MS Gothic"/>
                    <w:lang w:eastAsia="en-AU"/>
                  </w:rPr>
                  <w:t>☐</w:t>
                </w:r>
              </w:sdtContent>
            </w:sdt>
            <w:r w:rsidR="004B16AB" w:rsidRPr="008B15E6">
              <w:rPr>
                <w:lang w:eastAsia="en-AU"/>
              </w:rPr>
              <w:t xml:space="preserve"> Output    </w:t>
            </w:r>
          </w:p>
        </w:tc>
      </w:tr>
      <w:tr w:rsidR="004B16AB" w:rsidRPr="008B15E6" w14:paraId="1D708F4E" w14:textId="77777777" w:rsidTr="00AF7AC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2679" w:type="dxa"/>
          </w:tcPr>
          <w:p w14:paraId="290A224C" w14:textId="77777777" w:rsidR="004B16AB" w:rsidRPr="008B15E6" w:rsidRDefault="004B16AB">
            <w:pPr>
              <w:rPr>
                <w:lang w:eastAsia="en-AU"/>
              </w:rPr>
            </w:pPr>
            <w:r w:rsidRPr="008B15E6">
              <w:rPr>
                <w:lang w:eastAsia="en-AU"/>
              </w:rPr>
              <w:t xml:space="preserve">Definition </w:t>
            </w:r>
          </w:p>
        </w:tc>
        <w:tc>
          <w:tcPr>
            <w:tcW w:w="7629" w:type="dxa"/>
            <w:gridSpan w:val="11"/>
          </w:tcPr>
          <w:p w14:paraId="04D2937B" w14:textId="77777777" w:rsidR="004B16AB" w:rsidRPr="008B15E6" w:rsidRDefault="004B16AB">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8B15E6">
              <w:rPr>
                <w:i/>
                <w:color w:val="808080" w:themeColor="background1" w:themeShade="80"/>
                <w:sz w:val="20"/>
                <w:szCs w:val="20"/>
                <w:lang w:eastAsia="en-AU"/>
              </w:rPr>
              <w:t>Include definitions for all key terms used in the KPI</w:t>
            </w:r>
          </w:p>
        </w:tc>
      </w:tr>
      <w:tr w:rsidR="004B16AB" w:rsidRPr="008B15E6" w14:paraId="5BC4A207" w14:textId="77777777" w:rsidTr="00AF7ACB">
        <w:trPr>
          <w:cnfStyle w:val="000000010000" w:firstRow="0" w:lastRow="0" w:firstColumn="0" w:lastColumn="0" w:oddVBand="0" w:evenVBand="0" w:oddHBand="0" w:evenHBand="1"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679" w:type="dxa"/>
          </w:tcPr>
          <w:p w14:paraId="023670F7" w14:textId="77777777" w:rsidR="004B16AB" w:rsidRPr="008B15E6" w:rsidRDefault="004B16AB">
            <w:pPr>
              <w:rPr>
                <w:lang w:eastAsia="en-AU"/>
              </w:rPr>
            </w:pPr>
            <w:r w:rsidRPr="008B15E6">
              <w:rPr>
                <w:lang w:eastAsia="en-AU"/>
              </w:rPr>
              <w:t>Related priorities, outcome/s and output groups</w:t>
            </w:r>
          </w:p>
        </w:tc>
        <w:tc>
          <w:tcPr>
            <w:tcW w:w="7629" w:type="dxa"/>
            <w:gridSpan w:val="11"/>
          </w:tcPr>
          <w:p w14:paraId="7D986E19" w14:textId="77777777" w:rsidR="004B16AB" w:rsidRPr="008B15E6" w:rsidRDefault="004B16AB">
            <w:pPr>
              <w:cnfStyle w:val="000000010000" w:firstRow="0" w:lastRow="0" w:firstColumn="0" w:lastColumn="0" w:oddVBand="0" w:evenVBand="0" w:oddHBand="0" w:evenHBand="1" w:firstRowFirstColumn="0" w:firstRowLastColumn="0" w:lastRowFirstColumn="0" w:lastRowLastColumn="0"/>
              <w:rPr>
                <w:i/>
                <w:color w:val="808080" w:themeColor="background1" w:themeShade="80"/>
                <w:sz w:val="20"/>
                <w:szCs w:val="20"/>
                <w:lang w:eastAsia="en-AU"/>
              </w:rPr>
            </w:pPr>
            <w:r w:rsidRPr="008B15E6">
              <w:rPr>
                <w:i/>
                <w:color w:val="808080" w:themeColor="background1" w:themeShade="80"/>
                <w:sz w:val="20"/>
                <w:szCs w:val="20"/>
                <w:lang w:eastAsia="en-AU"/>
              </w:rPr>
              <w:t>Include government priorities</w:t>
            </w:r>
            <w:r w:rsidR="000223DC" w:rsidRPr="008B15E6">
              <w:rPr>
                <w:i/>
                <w:color w:val="808080" w:themeColor="background1" w:themeShade="80"/>
                <w:sz w:val="20"/>
                <w:szCs w:val="20"/>
                <w:lang w:eastAsia="en-AU"/>
              </w:rPr>
              <w:t xml:space="preserve"> or statutory responsibilities</w:t>
            </w:r>
            <w:r w:rsidRPr="008B15E6">
              <w:rPr>
                <w:i/>
                <w:color w:val="808080" w:themeColor="background1" w:themeShade="80"/>
                <w:sz w:val="20"/>
                <w:szCs w:val="20"/>
                <w:lang w:eastAsia="en-AU"/>
              </w:rPr>
              <w:t>, outcomes from the Social Outcome Framework, Closing the Gap and other relevant resources</w:t>
            </w:r>
          </w:p>
        </w:tc>
      </w:tr>
      <w:tr w:rsidR="004B16AB" w:rsidRPr="008B15E6" w14:paraId="02EBB03E" w14:textId="77777777" w:rsidTr="00AF7ACB">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679" w:type="dxa"/>
          </w:tcPr>
          <w:p w14:paraId="2188DB82" w14:textId="7B066C43" w:rsidR="004B16AB" w:rsidRPr="008B15E6" w:rsidRDefault="004B16AB">
            <w:pPr>
              <w:rPr>
                <w:lang w:eastAsia="en-AU"/>
              </w:rPr>
            </w:pPr>
            <w:r w:rsidRPr="008B15E6">
              <w:rPr>
                <w:lang w:eastAsia="en-AU"/>
              </w:rPr>
              <w:t>Related</w:t>
            </w:r>
            <w:r w:rsidR="00E07B8B" w:rsidRPr="008B15E6">
              <w:rPr>
                <w:lang w:eastAsia="en-AU"/>
              </w:rPr>
              <w:t xml:space="preserve"> whole of government</w:t>
            </w:r>
            <w:r w:rsidRPr="008B15E6">
              <w:rPr>
                <w:lang w:eastAsia="en-AU"/>
              </w:rPr>
              <w:t xml:space="preserve"> KPIs</w:t>
            </w:r>
          </w:p>
        </w:tc>
        <w:tc>
          <w:tcPr>
            <w:tcW w:w="7629" w:type="dxa"/>
            <w:gridSpan w:val="11"/>
          </w:tcPr>
          <w:p w14:paraId="1A59D276" w14:textId="074E61F2" w:rsidR="004B16AB" w:rsidRPr="008B15E6" w:rsidRDefault="004B16AB">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8B15E6">
              <w:rPr>
                <w:i/>
                <w:color w:val="808080" w:themeColor="background1" w:themeShade="80"/>
                <w:sz w:val="20"/>
                <w:szCs w:val="20"/>
                <w:lang w:eastAsia="en-AU"/>
              </w:rPr>
              <w:t>Include indicators, measures or targets from the Social Outcomes Framework, Closing the Gap and other relevant resources</w:t>
            </w:r>
            <w:r w:rsidR="00E07B8B" w:rsidRPr="008B15E6">
              <w:rPr>
                <w:i/>
                <w:color w:val="808080" w:themeColor="background1" w:themeShade="80"/>
                <w:sz w:val="20"/>
                <w:szCs w:val="20"/>
                <w:lang w:eastAsia="en-AU"/>
              </w:rPr>
              <w:t xml:space="preserve">, where applicable </w:t>
            </w:r>
          </w:p>
        </w:tc>
      </w:tr>
      <w:tr w:rsidR="004B16AB" w:rsidRPr="008B15E6" w14:paraId="53115849" w14:textId="77777777" w:rsidTr="00AF7A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14:paraId="26D4F6EB" w14:textId="77777777" w:rsidR="004B16AB" w:rsidRPr="008B15E6" w:rsidRDefault="004B16AB">
            <w:pPr>
              <w:rPr>
                <w:lang w:eastAsia="en-AU"/>
              </w:rPr>
            </w:pPr>
            <w:r w:rsidRPr="008B15E6">
              <w:rPr>
                <w:lang w:eastAsia="en-AU"/>
              </w:rPr>
              <w:t>Data management</w:t>
            </w:r>
          </w:p>
        </w:tc>
      </w:tr>
      <w:tr w:rsidR="004B16AB" w:rsidRPr="008B15E6" w14:paraId="1321B60C" w14:textId="77777777" w:rsidTr="00AF7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5B74BADD" w14:textId="77777777" w:rsidR="004B16AB" w:rsidRPr="008B15E6" w:rsidRDefault="004B16AB">
            <w:pPr>
              <w:rPr>
                <w:lang w:eastAsia="en-AU"/>
              </w:rPr>
            </w:pPr>
            <w:r w:rsidRPr="008B15E6">
              <w:rPr>
                <w:lang w:eastAsia="en-AU"/>
              </w:rPr>
              <w:t>KPI target</w:t>
            </w:r>
          </w:p>
        </w:tc>
        <w:tc>
          <w:tcPr>
            <w:tcW w:w="7629" w:type="dxa"/>
            <w:gridSpan w:val="11"/>
          </w:tcPr>
          <w:p w14:paraId="2831A207" w14:textId="77777777" w:rsidR="004B16AB" w:rsidRPr="008B15E6" w:rsidRDefault="004B16AB">
            <w:pPr>
              <w:cnfStyle w:val="000000100000" w:firstRow="0" w:lastRow="0" w:firstColumn="0" w:lastColumn="0" w:oddVBand="0" w:evenVBand="0" w:oddHBand="1" w:evenHBand="0" w:firstRowFirstColumn="0" w:firstRowLastColumn="0" w:lastRowFirstColumn="0" w:lastRowLastColumn="0"/>
              <w:rPr>
                <w:color w:val="808080" w:themeColor="background1" w:themeShade="80"/>
                <w:sz w:val="20"/>
                <w:lang w:eastAsia="en-AU"/>
              </w:rPr>
            </w:pPr>
            <w:r w:rsidRPr="008B15E6">
              <w:rPr>
                <w:i/>
                <w:color w:val="808080" w:themeColor="background1" w:themeShade="80"/>
                <w:sz w:val="20"/>
                <w:lang w:eastAsia="en-AU"/>
              </w:rPr>
              <w:t>[</w:t>
            </w:r>
            <w:proofErr w:type="gramStart"/>
            <w:r w:rsidRPr="008B15E6">
              <w:rPr>
                <w:i/>
                <w:color w:val="808080" w:themeColor="background1" w:themeShade="80"/>
                <w:sz w:val="20"/>
                <w:lang w:eastAsia="en-AU"/>
              </w:rPr>
              <w:t>target</w:t>
            </w:r>
            <w:proofErr w:type="gramEnd"/>
            <w:r w:rsidRPr="008B15E6">
              <w:rPr>
                <w:i/>
                <w:color w:val="808080" w:themeColor="background1" w:themeShade="80"/>
                <w:sz w:val="20"/>
                <w:lang w:eastAsia="en-AU"/>
              </w:rPr>
              <w:t>] by [year]</w:t>
            </w:r>
            <w:r w:rsidR="0042064C" w:rsidRPr="008B15E6">
              <w:rPr>
                <w:i/>
                <w:color w:val="808080" w:themeColor="background1" w:themeShade="80"/>
                <w:sz w:val="20"/>
                <w:lang w:eastAsia="en-AU"/>
              </w:rPr>
              <w:t>.</w:t>
            </w:r>
            <w:r w:rsidR="0077377D" w:rsidRPr="008B15E6">
              <w:rPr>
                <w:i/>
                <w:color w:val="808080" w:themeColor="background1" w:themeShade="80"/>
                <w:sz w:val="20"/>
                <w:lang w:eastAsia="en-AU"/>
              </w:rPr>
              <w:t xml:space="preserve"> I</w:t>
            </w:r>
            <w:r w:rsidR="00C67BD4" w:rsidRPr="008B15E6">
              <w:rPr>
                <w:i/>
                <w:color w:val="808080" w:themeColor="background1" w:themeShade="80"/>
                <w:sz w:val="20"/>
                <w:lang w:eastAsia="en-AU"/>
              </w:rPr>
              <w:t xml:space="preserve">nclude </w:t>
            </w:r>
            <w:r w:rsidR="0042064C" w:rsidRPr="008B15E6">
              <w:rPr>
                <w:i/>
                <w:color w:val="808080" w:themeColor="background1" w:themeShade="80"/>
                <w:sz w:val="20"/>
                <w:lang w:eastAsia="en-AU"/>
              </w:rPr>
              <w:t>interim targets</w:t>
            </w:r>
            <w:r w:rsidR="0077377D" w:rsidRPr="008B15E6">
              <w:rPr>
                <w:i/>
                <w:color w:val="808080" w:themeColor="background1" w:themeShade="80"/>
                <w:sz w:val="20"/>
                <w:lang w:eastAsia="en-AU"/>
              </w:rPr>
              <w:t xml:space="preserve"> </w:t>
            </w:r>
            <w:r w:rsidR="00C67BD4" w:rsidRPr="008B15E6">
              <w:rPr>
                <w:i/>
                <w:color w:val="808080" w:themeColor="background1" w:themeShade="80"/>
                <w:sz w:val="20"/>
                <w:lang w:eastAsia="en-AU"/>
              </w:rPr>
              <w:t xml:space="preserve">agency sets </w:t>
            </w:r>
            <w:r w:rsidR="0077377D" w:rsidRPr="008B15E6">
              <w:rPr>
                <w:i/>
                <w:color w:val="808080" w:themeColor="background1" w:themeShade="80"/>
                <w:sz w:val="20"/>
                <w:lang w:eastAsia="en-AU"/>
              </w:rPr>
              <w:t>for KPI set</w:t>
            </w:r>
            <w:r w:rsidR="00B73FC0" w:rsidRPr="008B15E6">
              <w:rPr>
                <w:i/>
                <w:color w:val="808080" w:themeColor="background1" w:themeShade="80"/>
                <w:sz w:val="20"/>
                <w:lang w:eastAsia="en-AU"/>
              </w:rPr>
              <w:t xml:space="preserve"> by year</w:t>
            </w:r>
            <w:r w:rsidR="00C67BD4" w:rsidRPr="008B15E6">
              <w:rPr>
                <w:i/>
                <w:color w:val="808080" w:themeColor="background1" w:themeShade="80"/>
                <w:sz w:val="20"/>
                <w:lang w:eastAsia="en-AU"/>
              </w:rPr>
              <w:t xml:space="preserve">. These interim targets will </w:t>
            </w:r>
            <w:r w:rsidR="0077377D" w:rsidRPr="008B15E6">
              <w:rPr>
                <w:i/>
                <w:color w:val="808080" w:themeColor="background1" w:themeShade="80"/>
                <w:sz w:val="20"/>
                <w:lang w:eastAsia="en-AU"/>
              </w:rPr>
              <w:t>assist</w:t>
            </w:r>
            <w:r w:rsidR="00C67BD4" w:rsidRPr="008B15E6">
              <w:rPr>
                <w:i/>
                <w:color w:val="808080" w:themeColor="background1" w:themeShade="80"/>
                <w:sz w:val="20"/>
                <w:lang w:eastAsia="en-AU"/>
              </w:rPr>
              <w:t xml:space="preserve"> an agency </w:t>
            </w:r>
            <w:r w:rsidR="0077377D" w:rsidRPr="008B15E6">
              <w:rPr>
                <w:i/>
                <w:color w:val="808080" w:themeColor="background1" w:themeShade="80"/>
                <w:sz w:val="20"/>
                <w:lang w:eastAsia="en-AU"/>
              </w:rPr>
              <w:t>monitor progress towards the achievement of the overall target</w:t>
            </w:r>
          </w:p>
        </w:tc>
      </w:tr>
      <w:tr w:rsidR="00B73FC0" w:rsidRPr="008B15E6" w14:paraId="646531E2" w14:textId="77777777" w:rsidTr="003150D4">
        <w:trPr>
          <w:cnfStyle w:val="000000010000" w:firstRow="0" w:lastRow="0" w:firstColumn="0" w:lastColumn="0" w:oddVBand="0" w:evenVBand="0" w:oddHBand="0" w:evenHBand="1"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679" w:type="dxa"/>
          </w:tcPr>
          <w:p w14:paraId="21AE124B" w14:textId="77777777" w:rsidR="00B73FC0" w:rsidRPr="008B15E6" w:rsidRDefault="00B73FC0">
            <w:pPr>
              <w:rPr>
                <w:lang w:eastAsia="en-AU"/>
              </w:rPr>
            </w:pPr>
            <w:r w:rsidRPr="008B15E6">
              <w:rPr>
                <w:lang w:eastAsia="en-AU"/>
              </w:rPr>
              <w:t>Target rationale</w:t>
            </w:r>
          </w:p>
        </w:tc>
        <w:tc>
          <w:tcPr>
            <w:tcW w:w="7629" w:type="dxa"/>
            <w:gridSpan w:val="11"/>
          </w:tcPr>
          <w:p w14:paraId="2E008118"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i/>
                <w:color w:val="808080" w:themeColor="background1" w:themeShade="80"/>
                <w:sz w:val="20"/>
                <w:lang w:eastAsia="en-AU"/>
              </w:rPr>
            </w:pPr>
            <w:r w:rsidRPr="008B15E6">
              <w:rPr>
                <w:i/>
                <w:color w:val="808080" w:themeColor="background1" w:themeShade="80"/>
                <w:sz w:val="20"/>
                <w:lang w:eastAsia="en-AU"/>
              </w:rPr>
              <w:t>Include rationale for how the interim targets have been set to meet the overall target, where applicable.</w:t>
            </w:r>
            <w:r w:rsidRPr="008B15E6">
              <w:t xml:space="preserve"> </w:t>
            </w:r>
            <w:r w:rsidRPr="008B15E6">
              <w:rPr>
                <w:i/>
                <w:color w:val="808080" w:themeColor="background1" w:themeShade="80"/>
                <w:sz w:val="20"/>
                <w:lang w:eastAsia="en-AU"/>
              </w:rPr>
              <w:t>If achieving an existing target is not feasible, the agency must explain why the target needs to be adjusted.</w:t>
            </w:r>
          </w:p>
        </w:tc>
      </w:tr>
      <w:tr w:rsidR="00B73FC0" w:rsidRPr="008B15E6" w14:paraId="1F20711A" w14:textId="77777777" w:rsidTr="00AF7AC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679" w:type="dxa"/>
          </w:tcPr>
          <w:p w14:paraId="1937A5D6" w14:textId="77777777" w:rsidR="00B73FC0" w:rsidRPr="008B15E6" w:rsidRDefault="00B73FC0">
            <w:pPr>
              <w:rPr>
                <w:lang w:eastAsia="en-AU"/>
              </w:rPr>
            </w:pPr>
            <w:r w:rsidRPr="008B15E6">
              <w:rPr>
                <w:lang w:eastAsia="en-AU"/>
              </w:rPr>
              <w:t>Material variance</w:t>
            </w:r>
          </w:p>
        </w:tc>
        <w:tc>
          <w:tcPr>
            <w:tcW w:w="7629" w:type="dxa"/>
            <w:gridSpan w:val="11"/>
          </w:tcPr>
          <w:p w14:paraId="06E1CA74"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8B15E6">
              <w:rPr>
                <w:i/>
                <w:color w:val="808080" w:themeColor="background1" w:themeShade="80"/>
                <w:sz w:val="20"/>
                <w:szCs w:val="20"/>
                <w:lang w:eastAsia="en-AU"/>
              </w:rPr>
              <w:t>Explain what a material variance would be for the target (e.g. 5%)</w:t>
            </w:r>
          </w:p>
        </w:tc>
      </w:tr>
      <w:tr w:rsidR="00B73FC0" w:rsidRPr="008B15E6" w14:paraId="2F8DC00C" w14:textId="77777777" w:rsidTr="00AF7ACB">
        <w:trPr>
          <w:cnfStyle w:val="000000010000" w:firstRow="0" w:lastRow="0" w:firstColumn="0" w:lastColumn="0" w:oddVBand="0" w:evenVBand="0" w:oddHBand="0" w:evenHBand="1"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679" w:type="dxa"/>
          </w:tcPr>
          <w:p w14:paraId="3A9FA553" w14:textId="77777777" w:rsidR="00B73FC0" w:rsidRPr="008B15E6" w:rsidRDefault="00B73FC0">
            <w:pPr>
              <w:rPr>
                <w:lang w:eastAsia="en-AU"/>
              </w:rPr>
            </w:pPr>
            <w:r w:rsidRPr="008B15E6">
              <w:rPr>
                <w:lang w:eastAsia="en-AU"/>
              </w:rPr>
              <w:t>Limitations and risks</w:t>
            </w:r>
          </w:p>
        </w:tc>
        <w:tc>
          <w:tcPr>
            <w:tcW w:w="7629" w:type="dxa"/>
            <w:gridSpan w:val="11"/>
          </w:tcPr>
          <w:p w14:paraId="19962172"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8B15E6">
              <w:rPr>
                <w:i/>
                <w:color w:val="808080" w:themeColor="background1" w:themeShade="80"/>
                <w:sz w:val="20"/>
                <w:szCs w:val="20"/>
                <w:lang w:eastAsia="en-AU"/>
              </w:rPr>
              <w:t>Include relevant external factors that may influence the target.</w:t>
            </w:r>
          </w:p>
        </w:tc>
      </w:tr>
      <w:tr w:rsidR="00B73FC0" w:rsidRPr="008B15E6" w14:paraId="5037C950" w14:textId="77777777" w:rsidTr="00AF7AC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679" w:type="dxa"/>
          </w:tcPr>
          <w:p w14:paraId="6C0D5796" w14:textId="77777777" w:rsidR="00B73FC0" w:rsidRPr="008B15E6" w:rsidRDefault="00B73FC0">
            <w:pPr>
              <w:rPr>
                <w:lang w:eastAsia="en-AU"/>
              </w:rPr>
            </w:pPr>
            <w:r w:rsidRPr="008B15E6">
              <w:rPr>
                <w:lang w:eastAsia="en-AU"/>
              </w:rPr>
              <w:t>Calculation methodology</w:t>
            </w:r>
          </w:p>
        </w:tc>
        <w:tc>
          <w:tcPr>
            <w:tcW w:w="7629" w:type="dxa"/>
            <w:gridSpan w:val="11"/>
          </w:tcPr>
          <w:p w14:paraId="56E5FD6B"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8B15E6">
              <w:rPr>
                <w:i/>
                <w:color w:val="808080" w:themeColor="background1" w:themeShade="80"/>
                <w:sz w:val="20"/>
                <w:szCs w:val="20"/>
                <w:lang w:eastAsia="en-AU"/>
              </w:rPr>
              <w:t>Include details of any assumptions and/or data cleansing</w:t>
            </w:r>
          </w:p>
        </w:tc>
      </w:tr>
      <w:tr w:rsidR="00B73FC0" w:rsidRPr="008B15E6" w14:paraId="03E25FAC" w14:textId="77777777" w:rsidTr="00AF7ACB">
        <w:trPr>
          <w:cnfStyle w:val="000000010000" w:firstRow="0" w:lastRow="0" w:firstColumn="0" w:lastColumn="0" w:oddVBand="0" w:evenVBand="0" w:oddHBand="0" w:evenHBand="1"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679" w:type="dxa"/>
          </w:tcPr>
          <w:p w14:paraId="0732DAEE" w14:textId="77777777" w:rsidR="00B73FC0" w:rsidRPr="008B15E6" w:rsidRDefault="00B73FC0">
            <w:pPr>
              <w:rPr>
                <w:lang w:eastAsia="en-AU"/>
              </w:rPr>
            </w:pPr>
            <w:r w:rsidRPr="008B15E6">
              <w:rPr>
                <w:lang w:eastAsia="en-AU"/>
              </w:rPr>
              <w:t>Data source</w:t>
            </w:r>
          </w:p>
        </w:tc>
        <w:tc>
          <w:tcPr>
            <w:tcW w:w="7629" w:type="dxa"/>
            <w:gridSpan w:val="11"/>
          </w:tcPr>
          <w:p w14:paraId="4505A045"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8B15E6">
              <w:rPr>
                <w:i/>
                <w:color w:val="808080" w:themeColor="background1" w:themeShade="80"/>
                <w:sz w:val="20"/>
                <w:szCs w:val="20"/>
                <w:lang w:eastAsia="en-AU"/>
              </w:rPr>
              <w:t>Include where the data is stored or saved. Where relevant, include a copy of assessment tools such as stakeholder surveys.</w:t>
            </w:r>
          </w:p>
        </w:tc>
      </w:tr>
      <w:tr w:rsidR="00B73FC0" w:rsidRPr="008B15E6" w14:paraId="3988D77E" w14:textId="77777777" w:rsidTr="00AF7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14:paraId="1E7CEC7A" w14:textId="77777777" w:rsidR="00B73FC0" w:rsidRPr="008B15E6" w:rsidRDefault="00B73FC0">
            <w:pPr>
              <w:rPr>
                <w:lang w:eastAsia="en-AU"/>
              </w:rPr>
            </w:pPr>
            <w:r w:rsidRPr="008B15E6">
              <w:rPr>
                <w:lang w:eastAsia="en-AU"/>
              </w:rPr>
              <w:t>Reporting</w:t>
            </w:r>
          </w:p>
        </w:tc>
      </w:tr>
      <w:tr w:rsidR="00B73FC0" w:rsidRPr="008B15E6" w14:paraId="5BC5EF9D" w14:textId="77777777" w:rsidTr="00315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51BFC813" w14:textId="77777777" w:rsidR="00B73FC0" w:rsidRPr="008B15E6" w:rsidRDefault="00B73FC0">
            <w:pPr>
              <w:rPr>
                <w:lang w:eastAsia="en-AU"/>
              </w:rPr>
            </w:pPr>
            <w:r w:rsidRPr="008B15E6">
              <w:rPr>
                <w:lang w:eastAsia="en-AU"/>
              </w:rPr>
              <w:t>Frequency</w:t>
            </w:r>
          </w:p>
        </w:tc>
        <w:tc>
          <w:tcPr>
            <w:tcW w:w="1059" w:type="dxa"/>
          </w:tcPr>
          <w:p w14:paraId="456B6FCC" w14:textId="77777777" w:rsidR="00B73FC0" w:rsidRPr="008B15E6" w:rsidRDefault="000342A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123622085"/>
                <w14:checkbox>
                  <w14:checked w14:val="0"/>
                  <w14:checkedState w14:val="2612" w14:font="MS Gothic"/>
                  <w14:uncheckedState w14:val="2610" w14:font="MS Gothic"/>
                </w14:checkbox>
              </w:sdtPr>
              <w:sdtEndPr/>
              <w:sdtContent>
                <w:r w:rsidR="00B73FC0" w:rsidRPr="008B15E6">
                  <w:rPr>
                    <w:rFonts w:ascii="Segoe UI Symbol" w:eastAsia="MS Gothic" w:hAnsi="Segoe UI Symbol" w:cs="Segoe UI Symbol"/>
                    <w:sz w:val="20"/>
                    <w:lang w:eastAsia="en-AU"/>
                  </w:rPr>
                  <w:t>☐</w:t>
                </w:r>
              </w:sdtContent>
            </w:sdt>
            <w:r w:rsidR="00B73FC0" w:rsidRPr="008B15E6">
              <w:rPr>
                <w:rFonts w:asciiTheme="minorHAnsi" w:hAnsiTheme="minorHAnsi"/>
                <w:sz w:val="20"/>
                <w:lang w:eastAsia="en-AU"/>
              </w:rPr>
              <w:t>Weekly</w:t>
            </w:r>
          </w:p>
        </w:tc>
        <w:tc>
          <w:tcPr>
            <w:tcW w:w="1219" w:type="dxa"/>
            <w:gridSpan w:val="3"/>
          </w:tcPr>
          <w:p w14:paraId="45ACB85B" w14:textId="77777777" w:rsidR="00B73FC0" w:rsidRPr="008B15E6" w:rsidRDefault="000342A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1793779107"/>
                <w14:checkbox>
                  <w14:checked w14:val="0"/>
                  <w14:checkedState w14:val="2612" w14:font="MS Gothic"/>
                  <w14:uncheckedState w14:val="2610" w14:font="MS Gothic"/>
                </w14:checkbox>
              </w:sdtPr>
              <w:sdtEndPr/>
              <w:sdtContent>
                <w:r w:rsidR="00B73FC0" w:rsidRPr="008B15E6">
                  <w:rPr>
                    <w:rFonts w:ascii="Segoe UI Symbol" w:eastAsia="MS Gothic" w:hAnsi="Segoe UI Symbol" w:cs="Segoe UI Symbol"/>
                    <w:sz w:val="20"/>
                    <w:lang w:eastAsia="en-AU"/>
                  </w:rPr>
                  <w:t>☐</w:t>
                </w:r>
              </w:sdtContent>
            </w:sdt>
            <w:r w:rsidR="00B73FC0" w:rsidRPr="008B15E6">
              <w:rPr>
                <w:rFonts w:asciiTheme="minorHAnsi" w:hAnsiTheme="minorHAnsi"/>
                <w:sz w:val="20"/>
                <w:lang w:eastAsia="en-AU"/>
              </w:rPr>
              <w:t>Monthly</w:t>
            </w:r>
          </w:p>
        </w:tc>
        <w:tc>
          <w:tcPr>
            <w:tcW w:w="1275" w:type="dxa"/>
          </w:tcPr>
          <w:p w14:paraId="0E294D55" w14:textId="77777777" w:rsidR="00B73FC0" w:rsidRPr="008B15E6" w:rsidRDefault="000342A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662776485"/>
                <w14:checkbox>
                  <w14:checked w14:val="0"/>
                  <w14:checkedState w14:val="2612" w14:font="MS Gothic"/>
                  <w14:uncheckedState w14:val="2610" w14:font="MS Gothic"/>
                </w14:checkbox>
              </w:sdtPr>
              <w:sdtEndPr/>
              <w:sdtContent>
                <w:r w:rsidR="00B73FC0" w:rsidRPr="008B15E6">
                  <w:rPr>
                    <w:rFonts w:ascii="Segoe UI Symbol" w:eastAsia="MS Gothic" w:hAnsi="Segoe UI Symbol" w:cs="Segoe UI Symbol"/>
                    <w:sz w:val="20"/>
                    <w:lang w:eastAsia="en-AU"/>
                  </w:rPr>
                  <w:t>☐</w:t>
                </w:r>
              </w:sdtContent>
            </w:sdt>
            <w:r w:rsidR="00B73FC0" w:rsidRPr="008B15E6">
              <w:rPr>
                <w:rFonts w:asciiTheme="minorHAnsi" w:hAnsiTheme="minorHAnsi"/>
                <w:sz w:val="20"/>
                <w:lang w:eastAsia="en-AU"/>
              </w:rPr>
              <w:t>Quarterly</w:t>
            </w:r>
          </w:p>
        </w:tc>
        <w:tc>
          <w:tcPr>
            <w:tcW w:w="1276" w:type="dxa"/>
            <w:gridSpan w:val="3"/>
          </w:tcPr>
          <w:p w14:paraId="61887A49" w14:textId="77777777" w:rsidR="00B73FC0" w:rsidRPr="008B15E6" w:rsidRDefault="000342A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1513451799"/>
                <w14:checkbox>
                  <w14:checked w14:val="0"/>
                  <w14:checkedState w14:val="2612" w14:font="MS Gothic"/>
                  <w14:uncheckedState w14:val="2610" w14:font="MS Gothic"/>
                </w14:checkbox>
              </w:sdtPr>
              <w:sdtEndPr/>
              <w:sdtContent>
                <w:r w:rsidR="00B73FC0" w:rsidRPr="008B15E6">
                  <w:rPr>
                    <w:rFonts w:ascii="Segoe UI Symbol" w:eastAsia="MS Gothic" w:hAnsi="Segoe UI Symbol" w:cs="Segoe UI Symbol"/>
                    <w:sz w:val="20"/>
                    <w:lang w:eastAsia="en-AU"/>
                  </w:rPr>
                  <w:t>☐</w:t>
                </w:r>
              </w:sdtContent>
            </w:sdt>
            <w:r w:rsidR="00B73FC0" w:rsidRPr="008B15E6">
              <w:rPr>
                <w:rFonts w:asciiTheme="minorHAnsi" w:hAnsiTheme="minorHAnsi"/>
                <w:sz w:val="20"/>
                <w:lang w:eastAsia="en-AU"/>
              </w:rPr>
              <w:t>Annually</w:t>
            </w:r>
          </w:p>
        </w:tc>
        <w:tc>
          <w:tcPr>
            <w:tcW w:w="2800" w:type="dxa"/>
            <w:gridSpan w:val="3"/>
          </w:tcPr>
          <w:p w14:paraId="4BC83C81" w14:textId="77777777" w:rsidR="00B73FC0" w:rsidRPr="008B15E6" w:rsidRDefault="000342A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1611239554"/>
                <w14:checkbox>
                  <w14:checked w14:val="0"/>
                  <w14:checkedState w14:val="2612" w14:font="MS Gothic"/>
                  <w14:uncheckedState w14:val="2610" w14:font="MS Gothic"/>
                </w14:checkbox>
              </w:sdtPr>
              <w:sdtEndPr/>
              <w:sdtContent>
                <w:r w:rsidR="00B73FC0" w:rsidRPr="008B15E6">
                  <w:rPr>
                    <w:rFonts w:ascii="Segoe UI Symbol" w:eastAsia="MS Gothic" w:hAnsi="Segoe UI Symbol" w:cs="Segoe UI Symbol"/>
                    <w:sz w:val="20"/>
                    <w:lang w:eastAsia="en-AU"/>
                  </w:rPr>
                  <w:t>☐</w:t>
                </w:r>
              </w:sdtContent>
            </w:sdt>
            <w:r w:rsidR="00B73FC0" w:rsidRPr="008B15E6">
              <w:rPr>
                <w:rFonts w:asciiTheme="minorHAnsi" w:hAnsiTheme="minorHAnsi"/>
                <w:sz w:val="20"/>
                <w:lang w:eastAsia="en-AU"/>
              </w:rPr>
              <w:t xml:space="preserve">Other (specify) </w:t>
            </w:r>
          </w:p>
        </w:tc>
      </w:tr>
      <w:tr w:rsidR="00B73FC0" w:rsidRPr="008B15E6" w14:paraId="76FA8F90" w14:textId="77777777" w:rsidTr="00AF7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53863034" w14:textId="77777777" w:rsidR="00B73FC0" w:rsidRPr="008B15E6" w:rsidRDefault="00B73FC0">
            <w:pPr>
              <w:rPr>
                <w:lang w:eastAsia="en-AU"/>
              </w:rPr>
            </w:pPr>
            <w:r w:rsidRPr="008B15E6">
              <w:rPr>
                <w:lang w:eastAsia="en-AU"/>
              </w:rPr>
              <w:t>Publicly available</w:t>
            </w:r>
          </w:p>
        </w:tc>
        <w:tc>
          <w:tcPr>
            <w:tcW w:w="2009" w:type="dxa"/>
            <w:gridSpan w:val="3"/>
          </w:tcPr>
          <w:p w14:paraId="5DF41062" w14:textId="77777777" w:rsidR="00B73FC0" w:rsidRPr="008B15E6" w:rsidRDefault="000342A9">
            <w:pPr>
              <w:cnfStyle w:val="000000100000" w:firstRow="0" w:lastRow="0" w:firstColumn="0" w:lastColumn="0" w:oddVBand="0" w:evenVBand="0" w:oddHBand="1" w:evenHBand="0" w:firstRowFirstColumn="0" w:firstRowLastColumn="0" w:lastRowFirstColumn="0" w:lastRowLastColumn="0"/>
              <w:rPr>
                <w:sz w:val="20"/>
                <w:lang w:eastAsia="en-AU"/>
              </w:rPr>
            </w:pPr>
            <w:sdt>
              <w:sdtPr>
                <w:rPr>
                  <w:sz w:val="20"/>
                  <w:lang w:eastAsia="en-AU"/>
                </w:rPr>
                <w:id w:val="-1931803768"/>
                <w14:checkbox>
                  <w14:checked w14:val="0"/>
                  <w14:checkedState w14:val="2612" w14:font="MS Gothic"/>
                  <w14:uncheckedState w14:val="2610" w14:font="MS Gothic"/>
                </w14:checkbox>
              </w:sdtPr>
              <w:sdtEndPr/>
              <w:sdtContent>
                <w:r w:rsidR="00B73FC0" w:rsidRPr="008B15E6">
                  <w:rPr>
                    <w:rFonts w:ascii="MS Gothic" w:eastAsia="MS Gothic" w:hAnsi="MS Gothic"/>
                    <w:sz w:val="20"/>
                    <w:lang w:eastAsia="en-AU"/>
                  </w:rPr>
                  <w:t>☐</w:t>
                </w:r>
              </w:sdtContent>
            </w:sdt>
            <w:r w:rsidR="00B73FC0" w:rsidRPr="008B15E6">
              <w:rPr>
                <w:sz w:val="20"/>
                <w:lang w:eastAsia="en-AU"/>
              </w:rPr>
              <w:t>Budget Paper 3</w:t>
            </w:r>
          </w:p>
        </w:tc>
        <w:tc>
          <w:tcPr>
            <w:tcW w:w="2009" w:type="dxa"/>
            <w:gridSpan w:val="4"/>
          </w:tcPr>
          <w:p w14:paraId="7725631A" w14:textId="77777777" w:rsidR="00B73FC0" w:rsidRPr="008B15E6" w:rsidRDefault="000342A9">
            <w:pPr>
              <w:cnfStyle w:val="000000100000" w:firstRow="0" w:lastRow="0" w:firstColumn="0" w:lastColumn="0" w:oddVBand="0" w:evenVBand="0" w:oddHBand="1" w:evenHBand="0" w:firstRowFirstColumn="0" w:firstRowLastColumn="0" w:lastRowFirstColumn="0" w:lastRowLastColumn="0"/>
              <w:rPr>
                <w:sz w:val="20"/>
                <w:lang w:eastAsia="en-AU"/>
              </w:rPr>
            </w:pPr>
            <w:sdt>
              <w:sdtPr>
                <w:rPr>
                  <w:sz w:val="20"/>
                  <w:lang w:eastAsia="en-AU"/>
                </w:rPr>
                <w:id w:val="833500542"/>
                <w14:checkbox>
                  <w14:checked w14:val="0"/>
                  <w14:checkedState w14:val="2612" w14:font="MS Gothic"/>
                  <w14:uncheckedState w14:val="2610" w14:font="MS Gothic"/>
                </w14:checkbox>
              </w:sdtPr>
              <w:sdtEndPr/>
              <w:sdtContent>
                <w:r w:rsidR="00B73FC0" w:rsidRPr="008B15E6">
                  <w:rPr>
                    <w:rFonts w:ascii="MS Gothic" w:eastAsia="MS Gothic" w:hAnsi="MS Gothic"/>
                    <w:sz w:val="20"/>
                    <w:lang w:eastAsia="en-AU"/>
                  </w:rPr>
                  <w:t>☐</w:t>
                </w:r>
              </w:sdtContent>
            </w:sdt>
            <w:r w:rsidR="00B73FC0" w:rsidRPr="008B15E6">
              <w:rPr>
                <w:sz w:val="20"/>
                <w:lang w:eastAsia="en-AU"/>
              </w:rPr>
              <w:t>Annual Report</w:t>
            </w:r>
          </w:p>
        </w:tc>
        <w:tc>
          <w:tcPr>
            <w:tcW w:w="3611" w:type="dxa"/>
            <w:gridSpan w:val="4"/>
          </w:tcPr>
          <w:p w14:paraId="7057E509" w14:textId="77777777" w:rsidR="00B73FC0" w:rsidRPr="008B15E6" w:rsidRDefault="000342A9">
            <w:pPr>
              <w:cnfStyle w:val="000000100000" w:firstRow="0" w:lastRow="0" w:firstColumn="0" w:lastColumn="0" w:oddVBand="0" w:evenVBand="0" w:oddHBand="1" w:evenHBand="0" w:firstRowFirstColumn="0" w:firstRowLastColumn="0" w:lastRowFirstColumn="0" w:lastRowLastColumn="0"/>
              <w:rPr>
                <w:sz w:val="20"/>
                <w:lang w:eastAsia="en-AU"/>
              </w:rPr>
            </w:pPr>
            <w:sdt>
              <w:sdtPr>
                <w:rPr>
                  <w:sz w:val="20"/>
                  <w:lang w:eastAsia="en-AU"/>
                </w:rPr>
                <w:id w:val="2010098134"/>
                <w14:checkbox>
                  <w14:checked w14:val="0"/>
                  <w14:checkedState w14:val="2612" w14:font="MS Gothic"/>
                  <w14:uncheckedState w14:val="2610" w14:font="MS Gothic"/>
                </w14:checkbox>
              </w:sdtPr>
              <w:sdtEndPr/>
              <w:sdtContent>
                <w:r w:rsidR="00B73FC0" w:rsidRPr="008B15E6">
                  <w:rPr>
                    <w:rFonts w:ascii="MS Gothic" w:eastAsia="MS Gothic" w:hAnsi="MS Gothic"/>
                    <w:sz w:val="20"/>
                    <w:lang w:eastAsia="en-AU"/>
                  </w:rPr>
                  <w:t>☐</w:t>
                </w:r>
              </w:sdtContent>
            </w:sdt>
            <w:r w:rsidR="00B73FC0" w:rsidRPr="008B15E6">
              <w:rPr>
                <w:sz w:val="20"/>
                <w:lang w:eastAsia="en-AU"/>
              </w:rPr>
              <w:t>Other (specify)</w:t>
            </w:r>
          </w:p>
        </w:tc>
      </w:tr>
      <w:tr w:rsidR="00B73FC0" w:rsidRPr="008B15E6" w14:paraId="30C49B64" w14:textId="77777777" w:rsidTr="00AF7A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14:paraId="05628CEA" w14:textId="77777777" w:rsidR="00B73FC0" w:rsidRPr="008B15E6" w:rsidRDefault="00B73FC0">
            <w:pPr>
              <w:rPr>
                <w:lang w:eastAsia="en-AU"/>
              </w:rPr>
            </w:pPr>
            <w:r w:rsidRPr="008B15E6">
              <w:rPr>
                <w:lang w:eastAsia="en-AU"/>
              </w:rPr>
              <w:t>Accountability</w:t>
            </w:r>
          </w:p>
        </w:tc>
      </w:tr>
      <w:tr w:rsidR="00B73FC0" w:rsidRPr="008B15E6" w14:paraId="6BAE53FE" w14:textId="77777777" w:rsidTr="0031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val="restart"/>
          </w:tcPr>
          <w:p w14:paraId="018A0F84" w14:textId="77777777" w:rsidR="00B73FC0" w:rsidRPr="008B15E6" w:rsidRDefault="00B73FC0">
            <w:pPr>
              <w:rPr>
                <w:lang w:eastAsia="en-AU"/>
              </w:rPr>
            </w:pPr>
            <w:r w:rsidRPr="008B15E6">
              <w:rPr>
                <w:lang w:eastAsia="en-AU"/>
              </w:rPr>
              <w:t>Responsible officer</w:t>
            </w:r>
          </w:p>
          <w:p w14:paraId="2881F9AB" w14:textId="77777777" w:rsidR="00B73FC0" w:rsidRPr="008B15E6" w:rsidRDefault="00B73FC0">
            <w:pPr>
              <w:rPr>
                <w:lang w:eastAsia="en-AU"/>
              </w:rPr>
            </w:pPr>
            <w:r w:rsidRPr="008B15E6">
              <w:rPr>
                <w:sz w:val="18"/>
                <w:lang w:eastAsia="en-AU"/>
              </w:rPr>
              <w:t>(contact officer for queries relating to data and definitions)</w:t>
            </w:r>
          </w:p>
        </w:tc>
        <w:tc>
          <w:tcPr>
            <w:tcW w:w="1569" w:type="dxa"/>
            <w:gridSpan w:val="2"/>
          </w:tcPr>
          <w:p w14:paraId="1D53F03D"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r w:rsidRPr="008B15E6">
              <w:rPr>
                <w:sz w:val="20"/>
                <w:lang w:eastAsia="en-AU"/>
              </w:rPr>
              <w:t>Name:</w:t>
            </w:r>
          </w:p>
        </w:tc>
        <w:tc>
          <w:tcPr>
            <w:tcW w:w="2449" w:type="dxa"/>
            <w:gridSpan w:val="5"/>
          </w:tcPr>
          <w:p w14:paraId="38340E58"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p>
        </w:tc>
        <w:tc>
          <w:tcPr>
            <w:tcW w:w="1631" w:type="dxa"/>
            <w:gridSpan w:val="2"/>
          </w:tcPr>
          <w:p w14:paraId="40170E50"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r w:rsidRPr="008B15E6">
              <w:rPr>
                <w:sz w:val="20"/>
                <w:lang w:eastAsia="en-AU"/>
              </w:rPr>
              <w:t>Name:</w:t>
            </w:r>
          </w:p>
        </w:tc>
        <w:tc>
          <w:tcPr>
            <w:tcW w:w="1980" w:type="dxa"/>
            <w:gridSpan w:val="2"/>
          </w:tcPr>
          <w:p w14:paraId="4F8CE808"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p>
        </w:tc>
      </w:tr>
      <w:tr w:rsidR="00B73FC0" w:rsidRPr="008B15E6" w14:paraId="411FFD5B" w14:textId="77777777" w:rsidTr="00315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14:paraId="19D9365B" w14:textId="77777777" w:rsidR="00B73FC0" w:rsidRPr="008B15E6" w:rsidRDefault="00B73FC0">
            <w:pPr>
              <w:rPr>
                <w:lang w:eastAsia="en-AU"/>
              </w:rPr>
            </w:pPr>
          </w:p>
        </w:tc>
        <w:tc>
          <w:tcPr>
            <w:tcW w:w="1569" w:type="dxa"/>
            <w:gridSpan w:val="2"/>
          </w:tcPr>
          <w:p w14:paraId="3D06F6EF"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r w:rsidRPr="008B15E6">
              <w:rPr>
                <w:sz w:val="20"/>
                <w:lang w:eastAsia="en-AU"/>
              </w:rPr>
              <w:t>Position:</w:t>
            </w:r>
          </w:p>
        </w:tc>
        <w:tc>
          <w:tcPr>
            <w:tcW w:w="2449" w:type="dxa"/>
            <w:gridSpan w:val="5"/>
          </w:tcPr>
          <w:p w14:paraId="4F3BF94D"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p>
        </w:tc>
        <w:tc>
          <w:tcPr>
            <w:tcW w:w="1631" w:type="dxa"/>
            <w:gridSpan w:val="2"/>
          </w:tcPr>
          <w:p w14:paraId="4AD7EDF1"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r w:rsidRPr="008B15E6">
              <w:rPr>
                <w:sz w:val="20"/>
                <w:lang w:eastAsia="en-AU"/>
              </w:rPr>
              <w:t>Position:</w:t>
            </w:r>
          </w:p>
        </w:tc>
        <w:tc>
          <w:tcPr>
            <w:tcW w:w="1980" w:type="dxa"/>
            <w:gridSpan w:val="2"/>
          </w:tcPr>
          <w:p w14:paraId="58D010C3"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p>
        </w:tc>
      </w:tr>
      <w:tr w:rsidR="00B73FC0" w:rsidRPr="008B15E6" w14:paraId="43CFBEA8" w14:textId="77777777" w:rsidTr="0031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14:paraId="034750D9" w14:textId="77777777" w:rsidR="00B73FC0" w:rsidRPr="008B15E6" w:rsidRDefault="00B73FC0">
            <w:pPr>
              <w:rPr>
                <w:lang w:eastAsia="en-AU"/>
              </w:rPr>
            </w:pPr>
          </w:p>
        </w:tc>
        <w:tc>
          <w:tcPr>
            <w:tcW w:w="1569" w:type="dxa"/>
            <w:gridSpan w:val="2"/>
          </w:tcPr>
          <w:p w14:paraId="61F53E91"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r w:rsidRPr="008B15E6">
              <w:rPr>
                <w:sz w:val="20"/>
                <w:lang w:eastAsia="en-AU"/>
              </w:rPr>
              <w:t>Business unit:</w:t>
            </w:r>
          </w:p>
        </w:tc>
        <w:tc>
          <w:tcPr>
            <w:tcW w:w="2449" w:type="dxa"/>
            <w:gridSpan w:val="5"/>
          </w:tcPr>
          <w:p w14:paraId="186E2130"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p>
        </w:tc>
        <w:tc>
          <w:tcPr>
            <w:tcW w:w="1631" w:type="dxa"/>
            <w:gridSpan w:val="2"/>
          </w:tcPr>
          <w:p w14:paraId="53FBF71E"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r w:rsidRPr="008B15E6">
              <w:rPr>
                <w:sz w:val="20"/>
                <w:lang w:eastAsia="en-AU"/>
              </w:rPr>
              <w:t>Business unit:</w:t>
            </w:r>
          </w:p>
        </w:tc>
        <w:tc>
          <w:tcPr>
            <w:tcW w:w="1980" w:type="dxa"/>
            <w:gridSpan w:val="2"/>
          </w:tcPr>
          <w:p w14:paraId="04441B16"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p>
        </w:tc>
      </w:tr>
      <w:tr w:rsidR="00B73FC0" w:rsidRPr="008B15E6" w14:paraId="0363BB45" w14:textId="77777777" w:rsidTr="00315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14:paraId="13D21E8E" w14:textId="77777777" w:rsidR="00B73FC0" w:rsidRPr="008B15E6" w:rsidRDefault="00B73FC0">
            <w:pPr>
              <w:rPr>
                <w:lang w:eastAsia="en-AU"/>
              </w:rPr>
            </w:pPr>
          </w:p>
        </w:tc>
        <w:tc>
          <w:tcPr>
            <w:tcW w:w="1569" w:type="dxa"/>
            <w:gridSpan w:val="2"/>
          </w:tcPr>
          <w:p w14:paraId="7EEAFA29"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r w:rsidRPr="008B15E6">
              <w:rPr>
                <w:sz w:val="20"/>
                <w:lang w:eastAsia="en-AU"/>
              </w:rPr>
              <w:t>Email:</w:t>
            </w:r>
          </w:p>
        </w:tc>
        <w:tc>
          <w:tcPr>
            <w:tcW w:w="2449" w:type="dxa"/>
            <w:gridSpan w:val="5"/>
          </w:tcPr>
          <w:p w14:paraId="178BE92A"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p>
        </w:tc>
        <w:tc>
          <w:tcPr>
            <w:tcW w:w="1631" w:type="dxa"/>
            <w:gridSpan w:val="2"/>
          </w:tcPr>
          <w:p w14:paraId="6D7CA3E2"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r w:rsidRPr="008B15E6">
              <w:rPr>
                <w:sz w:val="20"/>
                <w:lang w:eastAsia="en-AU"/>
              </w:rPr>
              <w:t>Email:</w:t>
            </w:r>
          </w:p>
        </w:tc>
        <w:tc>
          <w:tcPr>
            <w:tcW w:w="1980" w:type="dxa"/>
            <w:gridSpan w:val="2"/>
          </w:tcPr>
          <w:p w14:paraId="61A7F4B5"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sz w:val="20"/>
                <w:lang w:eastAsia="en-AU"/>
              </w:rPr>
            </w:pPr>
          </w:p>
        </w:tc>
      </w:tr>
      <w:tr w:rsidR="00B73FC0" w:rsidRPr="008B15E6" w14:paraId="54AA2967" w14:textId="77777777" w:rsidTr="0031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14:paraId="2413EEAE" w14:textId="77777777" w:rsidR="00B73FC0" w:rsidRPr="008B15E6" w:rsidRDefault="00B73FC0">
            <w:pPr>
              <w:rPr>
                <w:lang w:eastAsia="en-AU"/>
              </w:rPr>
            </w:pPr>
          </w:p>
        </w:tc>
        <w:tc>
          <w:tcPr>
            <w:tcW w:w="1569" w:type="dxa"/>
            <w:gridSpan w:val="2"/>
          </w:tcPr>
          <w:p w14:paraId="2BB84DEC"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r w:rsidRPr="008B15E6">
              <w:rPr>
                <w:sz w:val="20"/>
                <w:lang w:eastAsia="en-AU"/>
              </w:rPr>
              <w:t>Phone:</w:t>
            </w:r>
          </w:p>
        </w:tc>
        <w:tc>
          <w:tcPr>
            <w:tcW w:w="2449" w:type="dxa"/>
            <w:gridSpan w:val="5"/>
          </w:tcPr>
          <w:p w14:paraId="58921FDD"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p>
        </w:tc>
        <w:tc>
          <w:tcPr>
            <w:tcW w:w="1631" w:type="dxa"/>
            <w:gridSpan w:val="2"/>
          </w:tcPr>
          <w:p w14:paraId="78DD45E9"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r w:rsidRPr="008B15E6">
              <w:rPr>
                <w:sz w:val="20"/>
                <w:lang w:eastAsia="en-AU"/>
              </w:rPr>
              <w:t>Phone:</w:t>
            </w:r>
          </w:p>
        </w:tc>
        <w:tc>
          <w:tcPr>
            <w:tcW w:w="1980" w:type="dxa"/>
            <w:gridSpan w:val="2"/>
          </w:tcPr>
          <w:p w14:paraId="5BCFF9AC"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sz w:val="20"/>
                <w:lang w:eastAsia="en-AU"/>
              </w:rPr>
            </w:pPr>
          </w:p>
        </w:tc>
      </w:tr>
      <w:tr w:rsidR="00B73FC0" w:rsidRPr="008B15E6" w14:paraId="5AC16CBD" w14:textId="77777777" w:rsidTr="004119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14:paraId="1F03402B" w14:textId="77777777" w:rsidR="00B73FC0" w:rsidRPr="008B15E6" w:rsidRDefault="00B73FC0">
            <w:pPr>
              <w:rPr>
                <w:lang w:eastAsia="en-AU"/>
              </w:rPr>
            </w:pPr>
            <w:r w:rsidRPr="008B15E6">
              <w:rPr>
                <w:lang w:eastAsia="en-AU"/>
              </w:rPr>
              <w:t>Approval</w:t>
            </w:r>
          </w:p>
        </w:tc>
      </w:tr>
      <w:tr w:rsidR="00B73FC0" w:rsidRPr="008B15E6" w14:paraId="271BDE72" w14:textId="77777777" w:rsidTr="004119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val="restart"/>
          </w:tcPr>
          <w:p w14:paraId="49757490" w14:textId="66A753F7" w:rsidR="005F49F8" w:rsidRPr="008B15E6" w:rsidRDefault="00B73FC0">
            <w:pPr>
              <w:rPr>
                <w:lang w:eastAsia="en-AU"/>
              </w:rPr>
            </w:pPr>
            <w:r w:rsidRPr="008B15E6">
              <w:rPr>
                <w:lang w:eastAsia="en-AU"/>
              </w:rPr>
              <w:t>Approved by</w:t>
            </w:r>
            <w:r w:rsidR="00421B35" w:rsidRPr="008B15E6">
              <w:rPr>
                <w:lang w:eastAsia="en-AU"/>
              </w:rPr>
              <w:t>:</w:t>
            </w:r>
            <w:r w:rsidR="0065182C" w:rsidRPr="008B15E6">
              <w:rPr>
                <w:lang w:eastAsia="en-AU"/>
              </w:rPr>
              <w:t xml:space="preserve"> </w:t>
            </w:r>
            <w:r w:rsidR="0065182C" w:rsidRPr="008B15E6">
              <w:rPr>
                <w:sz w:val="18"/>
                <w:lang w:eastAsia="en-AU"/>
              </w:rPr>
              <w:t xml:space="preserve">(Chief executive or </w:t>
            </w:r>
            <w:r w:rsidR="006F5B11" w:rsidRPr="008B15E6">
              <w:rPr>
                <w:sz w:val="18"/>
                <w:lang w:eastAsia="en-AU"/>
              </w:rPr>
              <w:t>D</w:t>
            </w:r>
            <w:r w:rsidR="0065182C" w:rsidRPr="008B15E6">
              <w:rPr>
                <w:sz w:val="18"/>
                <w:lang w:eastAsia="en-AU"/>
              </w:rPr>
              <w:t>elegate)</w:t>
            </w:r>
            <w:r w:rsidRPr="008B15E6">
              <w:rPr>
                <w:sz w:val="18"/>
                <w:lang w:eastAsia="en-AU"/>
              </w:rPr>
              <w:t>:</w:t>
            </w:r>
          </w:p>
          <w:p w14:paraId="3A05935A" w14:textId="77777777" w:rsidR="0041191C" w:rsidRPr="008B15E6" w:rsidRDefault="0041191C">
            <w:pPr>
              <w:rPr>
                <w:lang w:eastAsia="en-AU"/>
              </w:rPr>
            </w:pPr>
          </w:p>
          <w:p w14:paraId="02F2B1C6" w14:textId="77777777" w:rsidR="00B73FC0" w:rsidRPr="008B15E6" w:rsidRDefault="00B73FC0">
            <w:pPr>
              <w:rPr>
                <w:lang w:eastAsia="en-AU"/>
              </w:rPr>
            </w:pPr>
          </w:p>
        </w:tc>
        <w:tc>
          <w:tcPr>
            <w:tcW w:w="1569" w:type="dxa"/>
            <w:gridSpan w:val="2"/>
          </w:tcPr>
          <w:p w14:paraId="339AB6BF"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lang w:eastAsia="en-AU"/>
              </w:rPr>
            </w:pPr>
            <w:r w:rsidRPr="008B15E6">
              <w:rPr>
                <w:lang w:eastAsia="en-AU"/>
              </w:rPr>
              <w:t>Name:</w:t>
            </w:r>
          </w:p>
        </w:tc>
        <w:tc>
          <w:tcPr>
            <w:tcW w:w="6060" w:type="dxa"/>
            <w:gridSpan w:val="9"/>
          </w:tcPr>
          <w:p w14:paraId="5161919C"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lang w:eastAsia="en-AU"/>
              </w:rPr>
            </w:pPr>
          </w:p>
        </w:tc>
      </w:tr>
      <w:tr w:rsidR="00B73FC0" w:rsidRPr="008B15E6" w14:paraId="201C3A00" w14:textId="77777777" w:rsidTr="004119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14:paraId="73318DE8" w14:textId="77777777" w:rsidR="00B73FC0" w:rsidRPr="008B15E6" w:rsidRDefault="00B73FC0">
            <w:pPr>
              <w:rPr>
                <w:lang w:eastAsia="en-AU"/>
              </w:rPr>
            </w:pPr>
          </w:p>
        </w:tc>
        <w:tc>
          <w:tcPr>
            <w:tcW w:w="1569" w:type="dxa"/>
            <w:gridSpan w:val="2"/>
          </w:tcPr>
          <w:p w14:paraId="4F1DFCF5"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lang w:eastAsia="en-AU"/>
              </w:rPr>
            </w:pPr>
            <w:r w:rsidRPr="008B15E6">
              <w:rPr>
                <w:lang w:eastAsia="en-AU"/>
              </w:rPr>
              <w:t>Position:</w:t>
            </w:r>
          </w:p>
        </w:tc>
        <w:tc>
          <w:tcPr>
            <w:tcW w:w="6060" w:type="dxa"/>
            <w:gridSpan w:val="9"/>
          </w:tcPr>
          <w:p w14:paraId="4C7E30A0" w14:textId="77777777" w:rsidR="00B73FC0" w:rsidRPr="008B15E6" w:rsidRDefault="00B73FC0">
            <w:pPr>
              <w:cnfStyle w:val="000000010000" w:firstRow="0" w:lastRow="0" w:firstColumn="0" w:lastColumn="0" w:oddVBand="0" w:evenVBand="0" w:oddHBand="0" w:evenHBand="1" w:firstRowFirstColumn="0" w:firstRowLastColumn="0" w:lastRowFirstColumn="0" w:lastRowLastColumn="0"/>
              <w:rPr>
                <w:lang w:eastAsia="en-AU"/>
              </w:rPr>
            </w:pPr>
          </w:p>
        </w:tc>
      </w:tr>
      <w:tr w:rsidR="00B73FC0" w14:paraId="775F4690" w14:textId="77777777" w:rsidTr="0031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14:paraId="75E9DD9A" w14:textId="77777777" w:rsidR="00B73FC0" w:rsidRPr="008B15E6" w:rsidRDefault="00B73FC0">
            <w:pPr>
              <w:rPr>
                <w:lang w:eastAsia="en-AU"/>
              </w:rPr>
            </w:pPr>
          </w:p>
        </w:tc>
        <w:tc>
          <w:tcPr>
            <w:tcW w:w="1569" w:type="dxa"/>
            <w:gridSpan w:val="2"/>
          </w:tcPr>
          <w:p w14:paraId="27E7415A"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lang w:eastAsia="en-AU"/>
              </w:rPr>
            </w:pPr>
            <w:r w:rsidRPr="008B15E6">
              <w:rPr>
                <w:lang w:eastAsia="en-AU"/>
              </w:rPr>
              <w:t>Signature:</w:t>
            </w:r>
          </w:p>
        </w:tc>
        <w:tc>
          <w:tcPr>
            <w:tcW w:w="2410" w:type="dxa"/>
            <w:gridSpan w:val="4"/>
          </w:tcPr>
          <w:p w14:paraId="6DC2DC74" w14:textId="77777777" w:rsidR="00B73FC0" w:rsidRPr="008B15E6" w:rsidRDefault="00B73FC0">
            <w:pPr>
              <w:cnfStyle w:val="000000100000" w:firstRow="0" w:lastRow="0" w:firstColumn="0" w:lastColumn="0" w:oddVBand="0" w:evenVBand="0" w:oddHBand="1" w:evenHBand="0" w:firstRowFirstColumn="0" w:firstRowLastColumn="0" w:lastRowFirstColumn="0" w:lastRowLastColumn="0"/>
              <w:rPr>
                <w:lang w:eastAsia="en-AU"/>
              </w:rPr>
            </w:pPr>
          </w:p>
        </w:tc>
        <w:tc>
          <w:tcPr>
            <w:tcW w:w="1825" w:type="dxa"/>
            <w:gridSpan w:val="4"/>
          </w:tcPr>
          <w:p w14:paraId="67904846" w14:textId="77777777" w:rsidR="00B73FC0" w:rsidRDefault="00B73FC0">
            <w:pPr>
              <w:cnfStyle w:val="000000100000" w:firstRow="0" w:lastRow="0" w:firstColumn="0" w:lastColumn="0" w:oddVBand="0" w:evenVBand="0" w:oddHBand="1" w:evenHBand="0" w:firstRowFirstColumn="0" w:firstRowLastColumn="0" w:lastRowFirstColumn="0" w:lastRowLastColumn="0"/>
              <w:rPr>
                <w:lang w:eastAsia="en-AU"/>
              </w:rPr>
            </w:pPr>
            <w:r w:rsidRPr="008B15E6">
              <w:rPr>
                <w:lang w:eastAsia="en-AU"/>
              </w:rPr>
              <w:t>Date approved:</w:t>
            </w:r>
          </w:p>
        </w:tc>
        <w:tc>
          <w:tcPr>
            <w:tcW w:w="1825" w:type="dxa"/>
          </w:tcPr>
          <w:p w14:paraId="25318245" w14:textId="77777777" w:rsidR="0001103F" w:rsidRDefault="0001103F">
            <w:pPr>
              <w:cnfStyle w:val="000000100000" w:firstRow="0" w:lastRow="0" w:firstColumn="0" w:lastColumn="0" w:oddVBand="0" w:evenVBand="0" w:oddHBand="1" w:evenHBand="0" w:firstRowFirstColumn="0" w:firstRowLastColumn="0" w:lastRowFirstColumn="0" w:lastRowLastColumn="0"/>
              <w:rPr>
                <w:lang w:eastAsia="en-AU"/>
              </w:rPr>
            </w:pPr>
          </w:p>
        </w:tc>
      </w:tr>
    </w:tbl>
    <w:p w14:paraId="1D22F6AE" w14:textId="77777777" w:rsidR="00585BD3" w:rsidRDefault="00585BD3">
      <w:pPr>
        <w:pStyle w:val="ListNumber"/>
        <w:numPr>
          <w:ilvl w:val="0"/>
          <w:numId w:val="0"/>
        </w:numPr>
        <w:tabs>
          <w:tab w:val="left" w:pos="1644"/>
        </w:tabs>
        <w:ind w:right="973"/>
      </w:pPr>
    </w:p>
    <w:sectPr w:rsidR="00585BD3" w:rsidSect="00B22C6C">
      <w:headerReference w:type="default" r:id="rId12"/>
      <w:footerReference w:type="default" r:id="rId13"/>
      <w:headerReference w:type="first" r:id="rId14"/>
      <w:footerReference w:type="first" r:id="rId15"/>
      <w:pgSz w:w="11906" w:h="16838" w:code="9"/>
      <w:pgMar w:top="1440" w:right="1077" w:bottom="1440" w:left="1134" w:header="794"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3BEC8" w14:textId="77777777" w:rsidR="000342A9" w:rsidRDefault="000342A9" w:rsidP="007332FF">
      <w:r>
        <w:separator/>
      </w:r>
    </w:p>
  </w:endnote>
  <w:endnote w:type="continuationSeparator" w:id="0">
    <w:p w14:paraId="75D0921F" w14:textId="77777777" w:rsidR="000342A9" w:rsidRDefault="000342A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MT Std Cond">
    <w:panose1 w:val="020B0506030403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874B" w14:textId="77777777" w:rsidR="00D30C05" w:rsidRDefault="00D30C05" w:rsidP="00676966">
    <w:pPr>
      <w:pBdr>
        <w:bottom w:val="single" w:sz="4" w:space="1" w:color="auto"/>
      </w:pBdr>
      <w:spacing w:after="0"/>
    </w:pPr>
  </w:p>
  <w:p w14:paraId="64B423CD" w14:textId="77777777" w:rsidR="00D30C05" w:rsidRDefault="00D30C05" w:rsidP="00676966">
    <w:pPr>
      <w:spacing w:after="0"/>
      <w:rPr>
        <w:rStyle w:val="PageNumber"/>
        <w:b/>
      </w:rPr>
    </w:pPr>
    <w:r>
      <w:rPr>
        <w:rStyle w:val="PageNumber"/>
      </w:rPr>
      <w:t xml:space="preserve">Department of </w:t>
    </w:r>
    <w:sdt>
      <w:sdtPr>
        <w:rPr>
          <w:rStyle w:val="PageNumber"/>
          <w:b/>
        </w:rPr>
        <w:alias w:val="Company"/>
        <w:tag w:val=""/>
        <w:id w:val="-862748098"/>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DCE6C4D" w14:textId="12A16734" w:rsidR="00D30C05" w:rsidRPr="00CE6614" w:rsidRDefault="000342A9" w:rsidP="00676966">
    <w:pPr>
      <w:spacing w:after="0"/>
      <w:rPr>
        <w:rStyle w:val="PageNumber"/>
      </w:rPr>
    </w:pPr>
    <w:sdt>
      <w:sdtPr>
        <w:rPr>
          <w:rStyle w:val="PageNumber"/>
        </w:rPr>
        <w:alias w:val="Date"/>
        <w:tag w:val=""/>
        <w:id w:val="-488016745"/>
        <w:dataBinding w:prefixMappings="xmlns:ns0='http://schemas.microsoft.com/office/2006/coverPageProps' " w:xpath="/ns0:CoverPageProperties[1]/ns0:PublishDate[1]" w:storeItemID="{55AF091B-3C7A-41E3-B477-F2FDAA23CFDA}"/>
        <w15:color w:val="000000"/>
        <w:date w:fullDate="2022-11-03T00:00:00Z">
          <w:dateFormat w:val="d MMMM yyyy"/>
          <w:lid w:val="en-AU"/>
          <w:storeMappedDataAs w:val="dateTime"/>
          <w:calendar w:val="gregorian"/>
        </w:date>
      </w:sdtPr>
      <w:sdtEndPr>
        <w:rPr>
          <w:rStyle w:val="PageNumber"/>
        </w:rPr>
      </w:sdtEndPr>
      <w:sdtContent>
        <w:r w:rsidR="00D30C05">
          <w:rPr>
            <w:rStyle w:val="PageNumber"/>
          </w:rPr>
          <w:t>3 November 2022</w:t>
        </w:r>
      </w:sdtContent>
    </w:sdt>
    <w:r w:rsidR="00D30C05" w:rsidRPr="00CE6614">
      <w:rPr>
        <w:rStyle w:val="PageNumber"/>
      </w:rPr>
      <w:t xml:space="preserve"> | Version </w:t>
    </w:r>
    <w:r w:rsidR="00D30C05">
      <w:rPr>
        <w:rStyle w:val="PageNumber"/>
      </w:rPr>
      <w:t>1.0</w:t>
    </w:r>
  </w:p>
  <w:p w14:paraId="231DB757" w14:textId="03A9BC81" w:rsidR="00D30C05" w:rsidRDefault="00D30C05" w:rsidP="007B0E5A">
    <w:pPr>
      <w:pStyle w:val="Hidden"/>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A5B56">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A5B56">
      <w:rPr>
        <w:rStyle w:val="PageNumber"/>
        <w:noProof/>
      </w:rPr>
      <w:t>9</w:t>
    </w:r>
    <w:r w:rsidRPr="00AC448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58B9" w14:textId="77777777" w:rsidR="00D30C05" w:rsidRDefault="00D30C05" w:rsidP="00D70172">
    <w:pPr>
      <w:pBdr>
        <w:bottom w:val="single" w:sz="4" w:space="1" w:color="auto"/>
      </w:pBdr>
      <w:spacing w:after="0"/>
    </w:pPr>
  </w:p>
  <w:p w14:paraId="1CECA439" w14:textId="77777777" w:rsidR="00D30C05" w:rsidRDefault="00D30C05" w:rsidP="00D70172">
    <w:pPr>
      <w:spacing w:after="0"/>
      <w:rPr>
        <w:rStyle w:val="PageNumber"/>
      </w:rPr>
    </w:pPr>
  </w:p>
  <w:p w14:paraId="3D64F194" w14:textId="77777777" w:rsidR="00D30C05" w:rsidRDefault="00D30C05" w:rsidP="00D70172">
    <w:pPr>
      <w:spacing w:after="0"/>
      <w:rPr>
        <w:rStyle w:val="PageNumber"/>
        <w:b/>
      </w:rPr>
    </w:pPr>
    <w:r>
      <w:rPr>
        <w:rStyle w:val="PageNumber"/>
      </w:rPr>
      <w:t xml:space="preserve">Department of </w:t>
    </w:r>
    <w:sdt>
      <w:sdtPr>
        <w:rPr>
          <w:rStyle w:val="PageNumber"/>
          <w:b/>
        </w:rPr>
        <w:alias w:val="Company"/>
        <w:tag w:val=""/>
        <w:id w:val="55182296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494908E" w14:textId="0BC304CD" w:rsidR="00D30C05" w:rsidRPr="00CE6614" w:rsidRDefault="000342A9" w:rsidP="00D70172">
    <w:pPr>
      <w:spacing w:after="0"/>
      <w:rPr>
        <w:rStyle w:val="PageNumber"/>
      </w:rPr>
    </w:pPr>
    <w:sdt>
      <w:sdtPr>
        <w:rPr>
          <w:rStyle w:val="PageNumber"/>
        </w:rPr>
        <w:alias w:val="Date"/>
        <w:tag w:val=""/>
        <w:id w:val="877122425"/>
        <w:dataBinding w:prefixMappings="xmlns:ns0='http://schemas.microsoft.com/office/2006/coverPageProps' " w:xpath="/ns0:CoverPageProperties[1]/ns0:PublishDate[1]" w:storeItemID="{55AF091B-3C7A-41E3-B477-F2FDAA23CFDA}"/>
        <w15:color w:val="000000"/>
        <w:date w:fullDate="2022-11-03T00:00:00Z">
          <w:dateFormat w:val="d MMMM yyyy"/>
          <w:lid w:val="en-AU"/>
          <w:storeMappedDataAs w:val="dateTime"/>
          <w:calendar w:val="gregorian"/>
        </w:date>
      </w:sdtPr>
      <w:sdtEndPr>
        <w:rPr>
          <w:rStyle w:val="PageNumber"/>
        </w:rPr>
      </w:sdtEndPr>
      <w:sdtContent>
        <w:r w:rsidR="00D30C05">
          <w:rPr>
            <w:rStyle w:val="PageNumber"/>
          </w:rPr>
          <w:t>3 November 2022</w:t>
        </w:r>
      </w:sdtContent>
    </w:sdt>
    <w:r w:rsidR="00D30C05" w:rsidRPr="00CE6614">
      <w:rPr>
        <w:rStyle w:val="PageNumber"/>
      </w:rPr>
      <w:t xml:space="preserve"> | Version </w:t>
    </w:r>
    <w:r w:rsidR="00D30C05">
      <w:rPr>
        <w:rStyle w:val="PageNumber"/>
      </w:rPr>
      <w:t>1.0</w:t>
    </w:r>
  </w:p>
  <w:p w14:paraId="327A96F7" w14:textId="66B23377" w:rsidR="00D30C05" w:rsidRPr="00661BE1" w:rsidRDefault="00D30C05" w:rsidP="00D70172">
    <w:pPr>
      <w:pStyle w:val="Hidden"/>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A5B5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A5B56">
      <w:rPr>
        <w:rStyle w:val="PageNumber"/>
        <w:noProof/>
      </w:rPr>
      <w:t>9</w:t>
    </w:r>
    <w:r w:rsidRPr="00AC448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3E234" w14:textId="77777777" w:rsidR="000342A9" w:rsidRDefault="000342A9" w:rsidP="007332FF">
      <w:r>
        <w:separator/>
      </w:r>
    </w:p>
  </w:footnote>
  <w:footnote w:type="continuationSeparator" w:id="0">
    <w:p w14:paraId="2D6D7F67" w14:textId="77777777" w:rsidR="000342A9" w:rsidRDefault="000342A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67730" w14:textId="4382E3FB" w:rsidR="00D30C05" w:rsidRDefault="00D30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56"/>
        <w:szCs w:val="56"/>
      </w:rPr>
      <w:alias w:val="Title"/>
      <w:tag w:val="Title"/>
      <w:id w:val="-509755993"/>
      <w:dataBinding w:prefixMappings="xmlns:ns0='http://purl.org/dc/elements/1.1/' xmlns:ns1='http://schemas.openxmlformats.org/package/2006/metadata/core-properties' " w:xpath="/ns1:coreProperties[1]/ns0:title[1]" w:storeItemID="{6C3C8BC8-F283-45AE-878A-BAB7291924A1}"/>
      <w:text w:multiLine="1"/>
    </w:sdtPr>
    <w:sdtEndPr/>
    <w:sdtContent>
      <w:p w14:paraId="6168190D" w14:textId="1D012EEA" w:rsidR="00D30C05" w:rsidRPr="001C6B00" w:rsidRDefault="00D30C05" w:rsidP="001C6B00">
        <w:pPr>
          <w:pStyle w:val="Title"/>
          <w:rPr>
            <w:sz w:val="56"/>
            <w:szCs w:val="56"/>
          </w:rPr>
        </w:pPr>
        <w:r w:rsidRPr="003B14C5">
          <w:rPr>
            <w:sz w:val="56"/>
            <w:szCs w:val="56"/>
          </w:rPr>
          <w:t>Treasurer’s Direction – Organisational performance and accountability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styleLink w:val="NTGTable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C155EF"/>
    <w:multiLevelType w:val="hybridMultilevel"/>
    <w:tmpl w:val="CF7C539A"/>
    <w:lvl w:ilvl="0" w:tplc="62E43D18">
      <w:start w:val="1"/>
      <w:numFmt w:val="decimal"/>
      <w:lvlText w:val="%1."/>
      <w:lvlJc w:val="left"/>
      <w:pPr>
        <w:ind w:left="360" w:hanging="360"/>
      </w:pPr>
      <w:rPr>
        <w:rFonts w:ascii="Arial" w:eastAsia="Calibri" w:hAnsi="Arial" w:cs="Times New Roman"/>
        <w:b w:val="0"/>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6E3205F2">
      <w:numFmt w:val="bullet"/>
      <w:lvlText w:val="-"/>
      <w:lvlJc w:val="left"/>
      <w:pPr>
        <w:ind w:left="3240" w:hanging="360"/>
      </w:pPr>
      <w:rPr>
        <w:rFonts w:ascii="Lato" w:eastAsia="Calibri" w:hAnsi="Lato" w:cs="Times New Roman"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0B86FA6"/>
    <w:multiLevelType w:val="hybridMultilevel"/>
    <w:tmpl w:val="A3B60A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4128D7"/>
    <w:multiLevelType w:val="hybridMultilevel"/>
    <w:tmpl w:val="70F6EA0C"/>
    <w:lvl w:ilvl="0" w:tplc="0C090019">
      <w:start w:val="1"/>
      <w:numFmt w:val="lowerLetter"/>
      <w:lvlText w:val="%1."/>
      <w:lvlJc w:val="lef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3AC0BD5"/>
    <w:multiLevelType w:val="multilevel"/>
    <w:tmpl w:val="39746A98"/>
    <w:styleLink w:val="NTGTableNum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61D0C8A"/>
    <w:multiLevelType w:val="multilevel"/>
    <w:tmpl w:val="39746A98"/>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925"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4D4221B"/>
    <w:multiLevelType w:val="multilevel"/>
    <w:tmpl w:val="2954D5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5EE5AD0"/>
    <w:multiLevelType w:val="multilevel"/>
    <w:tmpl w:val="0C78A7AC"/>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41E23C5"/>
    <w:multiLevelType w:val="hybridMultilevel"/>
    <w:tmpl w:val="7D7C6EE0"/>
    <w:lvl w:ilvl="0" w:tplc="62E43D18">
      <w:start w:val="1"/>
      <w:numFmt w:val="decimal"/>
      <w:lvlText w:val="%1."/>
      <w:lvlJc w:val="left"/>
      <w:pPr>
        <w:ind w:left="360" w:hanging="360"/>
      </w:pPr>
      <w:rPr>
        <w:rFonts w:ascii="Arial" w:eastAsia="Calibri" w:hAnsi="Arial" w:cs="Times New Roman"/>
        <w:b w:val="0"/>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6E3205F2">
      <w:numFmt w:val="bullet"/>
      <w:lvlText w:val="-"/>
      <w:lvlJc w:val="left"/>
      <w:pPr>
        <w:ind w:left="3240" w:hanging="360"/>
      </w:pPr>
      <w:rPr>
        <w:rFonts w:ascii="Lato" w:eastAsia="Calibri" w:hAnsi="Lato" w:cs="Times New Roman"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83B7E48"/>
    <w:multiLevelType w:val="hybridMultilevel"/>
    <w:tmpl w:val="E8D60D20"/>
    <w:lvl w:ilvl="0" w:tplc="0C09001B">
      <w:start w:val="1"/>
      <w:numFmt w:val="lowerRoman"/>
      <w:lvlText w:val="%1."/>
      <w:lvlJc w:val="right"/>
      <w:pPr>
        <w:ind w:left="3763" w:hanging="360"/>
      </w:pPr>
    </w:lvl>
    <w:lvl w:ilvl="1" w:tplc="0C09001B">
      <w:start w:val="1"/>
      <w:numFmt w:val="lowerRoman"/>
      <w:lvlText w:val="%2."/>
      <w:lvlJc w:val="right"/>
      <w:pPr>
        <w:ind w:left="4483" w:hanging="360"/>
      </w:pPr>
    </w:lvl>
    <w:lvl w:ilvl="2" w:tplc="0C09001B">
      <w:start w:val="1"/>
      <w:numFmt w:val="lowerRoman"/>
      <w:lvlText w:val="%3."/>
      <w:lvlJc w:val="right"/>
      <w:pPr>
        <w:ind w:left="5203" w:hanging="180"/>
      </w:pPr>
    </w:lvl>
    <w:lvl w:ilvl="3" w:tplc="0C09000F" w:tentative="1">
      <w:start w:val="1"/>
      <w:numFmt w:val="decimal"/>
      <w:lvlText w:val="%4."/>
      <w:lvlJc w:val="left"/>
      <w:pPr>
        <w:ind w:left="5923" w:hanging="360"/>
      </w:pPr>
    </w:lvl>
    <w:lvl w:ilvl="4" w:tplc="0C090019" w:tentative="1">
      <w:start w:val="1"/>
      <w:numFmt w:val="lowerLetter"/>
      <w:lvlText w:val="%5."/>
      <w:lvlJc w:val="left"/>
      <w:pPr>
        <w:ind w:left="6643" w:hanging="360"/>
      </w:pPr>
    </w:lvl>
    <w:lvl w:ilvl="5" w:tplc="0C09001B" w:tentative="1">
      <w:start w:val="1"/>
      <w:numFmt w:val="lowerRoman"/>
      <w:lvlText w:val="%6."/>
      <w:lvlJc w:val="right"/>
      <w:pPr>
        <w:ind w:left="7363" w:hanging="180"/>
      </w:pPr>
    </w:lvl>
    <w:lvl w:ilvl="6" w:tplc="0C09000F" w:tentative="1">
      <w:start w:val="1"/>
      <w:numFmt w:val="decimal"/>
      <w:lvlText w:val="%7."/>
      <w:lvlJc w:val="left"/>
      <w:pPr>
        <w:ind w:left="8083" w:hanging="360"/>
      </w:pPr>
    </w:lvl>
    <w:lvl w:ilvl="7" w:tplc="0C090019" w:tentative="1">
      <w:start w:val="1"/>
      <w:numFmt w:val="lowerLetter"/>
      <w:lvlText w:val="%8."/>
      <w:lvlJc w:val="left"/>
      <w:pPr>
        <w:ind w:left="8803" w:hanging="360"/>
      </w:pPr>
    </w:lvl>
    <w:lvl w:ilvl="8" w:tplc="0C09001B" w:tentative="1">
      <w:start w:val="1"/>
      <w:numFmt w:val="lowerRoman"/>
      <w:lvlText w:val="%9."/>
      <w:lvlJc w:val="right"/>
      <w:pPr>
        <w:ind w:left="9523" w:hanging="180"/>
      </w:p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6FAD2105"/>
    <w:multiLevelType w:val="hybridMultilevel"/>
    <w:tmpl w:val="B406D582"/>
    <w:lvl w:ilvl="0" w:tplc="6136F034">
      <w:numFmt w:val="bullet"/>
      <w:lvlText w:val="-"/>
      <w:lvlJc w:val="left"/>
      <w:pPr>
        <w:ind w:left="720" w:hanging="360"/>
      </w:pPr>
      <w:rPr>
        <w:rFonts w:ascii="Lato" w:eastAsia="Times New Roman" w:hAnsi="Lato"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83E448D"/>
    <w:multiLevelType w:val="hybridMultilevel"/>
    <w:tmpl w:val="16A06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504ED4"/>
    <w:multiLevelType w:val="hybridMultilevel"/>
    <w:tmpl w:val="8E5A74C4"/>
    <w:lvl w:ilvl="0" w:tplc="32BA58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7FBC1511"/>
    <w:multiLevelType w:val="multilevel"/>
    <w:tmpl w:val="F3EE93D8"/>
    <w:lvl w:ilvl="0">
      <w:start w:val="1"/>
      <w:numFmt w:val="decimal"/>
      <w:pStyle w:val="ListNumber"/>
      <w:lvlText w:val="%1."/>
      <w:lvlJc w:val="left"/>
      <w:pPr>
        <w:ind w:left="1022"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abstractNumId w:val="24"/>
  </w:num>
  <w:num w:numId="2">
    <w:abstractNumId w:val="14"/>
  </w:num>
  <w:num w:numId="3">
    <w:abstractNumId w:val="47"/>
  </w:num>
  <w:num w:numId="4">
    <w:abstractNumId w:val="28"/>
  </w:num>
  <w:num w:numId="5">
    <w:abstractNumId w:val="18"/>
  </w:num>
  <w:num w:numId="6">
    <w:abstractNumId w:val="9"/>
  </w:num>
  <w:num w:numId="7">
    <w:abstractNumId w:val="31"/>
  </w:num>
  <w:num w:numId="8">
    <w:abstractNumId w:val="17"/>
  </w:num>
  <w:num w:numId="9">
    <w:abstractNumId w:val="30"/>
  </w:num>
  <w:num w:numId="10">
    <w:abstractNumId w:val="0"/>
  </w:num>
  <w:num w:numId="11">
    <w:abstractNumId w:val="34"/>
  </w:num>
  <w:num w:numId="12">
    <w:abstractNumId w:val="49"/>
  </w:num>
  <w:num w:numId="13">
    <w:abstractNumId w:val="26"/>
  </w:num>
  <w:num w:numId="14">
    <w:abstractNumId w:val="23"/>
  </w:num>
  <w:num w:numId="15">
    <w:abstractNumId w:val="39"/>
  </w:num>
  <w:num w:numId="16">
    <w:abstractNumId w:val="19"/>
  </w:num>
  <w:num w:numId="17">
    <w:abstractNumId w:val="40"/>
  </w:num>
  <w:num w:numId="18">
    <w:abstractNumId w:val="6"/>
  </w:num>
  <w:num w:numId="19">
    <w:abstractNumId w:val="42"/>
  </w:num>
  <w:num w:numId="20">
    <w:abstractNumId w:val="46"/>
  </w:num>
  <w:num w:numId="21">
    <w:abstractNumId w:val="3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9C"/>
    <w:rsid w:val="0000081F"/>
    <w:rsid w:val="00000890"/>
    <w:rsid w:val="00000AC9"/>
    <w:rsid w:val="00001848"/>
    <w:rsid w:val="00001DDF"/>
    <w:rsid w:val="00002060"/>
    <w:rsid w:val="000020EC"/>
    <w:rsid w:val="00002AC2"/>
    <w:rsid w:val="0000322D"/>
    <w:rsid w:val="00005D1C"/>
    <w:rsid w:val="00005FE6"/>
    <w:rsid w:val="00006398"/>
    <w:rsid w:val="00007670"/>
    <w:rsid w:val="00007855"/>
    <w:rsid w:val="000103E6"/>
    <w:rsid w:val="00010665"/>
    <w:rsid w:val="00010F1F"/>
    <w:rsid w:val="0001103F"/>
    <w:rsid w:val="000119A3"/>
    <w:rsid w:val="00014E64"/>
    <w:rsid w:val="00017521"/>
    <w:rsid w:val="00017A9A"/>
    <w:rsid w:val="0002149B"/>
    <w:rsid w:val="000223DC"/>
    <w:rsid w:val="0002393A"/>
    <w:rsid w:val="00023C84"/>
    <w:rsid w:val="00024DA0"/>
    <w:rsid w:val="00025D35"/>
    <w:rsid w:val="00026F69"/>
    <w:rsid w:val="00027DB8"/>
    <w:rsid w:val="000304A6"/>
    <w:rsid w:val="000307A3"/>
    <w:rsid w:val="00031A96"/>
    <w:rsid w:val="00031D3E"/>
    <w:rsid w:val="000340D3"/>
    <w:rsid w:val="000342A9"/>
    <w:rsid w:val="00037507"/>
    <w:rsid w:val="00037A18"/>
    <w:rsid w:val="00040BF3"/>
    <w:rsid w:val="0004144E"/>
    <w:rsid w:val="00041E7E"/>
    <w:rsid w:val="00041F1D"/>
    <w:rsid w:val="0004211C"/>
    <w:rsid w:val="00042C73"/>
    <w:rsid w:val="00043430"/>
    <w:rsid w:val="00045B21"/>
    <w:rsid w:val="000463BB"/>
    <w:rsid w:val="00046C59"/>
    <w:rsid w:val="00046EF3"/>
    <w:rsid w:val="00051362"/>
    <w:rsid w:val="00051F45"/>
    <w:rsid w:val="00052953"/>
    <w:rsid w:val="00053068"/>
    <w:rsid w:val="0005341A"/>
    <w:rsid w:val="000536CE"/>
    <w:rsid w:val="00054BC6"/>
    <w:rsid w:val="00056DEF"/>
    <w:rsid w:val="00056E38"/>
    <w:rsid w:val="00056EDC"/>
    <w:rsid w:val="0005700A"/>
    <w:rsid w:val="000577C7"/>
    <w:rsid w:val="00063331"/>
    <w:rsid w:val="00064271"/>
    <w:rsid w:val="00064DDA"/>
    <w:rsid w:val="00064F44"/>
    <w:rsid w:val="00065798"/>
    <w:rsid w:val="0006635A"/>
    <w:rsid w:val="000678E5"/>
    <w:rsid w:val="00070FB8"/>
    <w:rsid w:val="000720BE"/>
    <w:rsid w:val="0007259C"/>
    <w:rsid w:val="000743CE"/>
    <w:rsid w:val="00075ED9"/>
    <w:rsid w:val="000764D2"/>
    <w:rsid w:val="000801B3"/>
    <w:rsid w:val="00080202"/>
    <w:rsid w:val="00080DCD"/>
    <w:rsid w:val="00080E22"/>
    <w:rsid w:val="000810E3"/>
    <w:rsid w:val="00082573"/>
    <w:rsid w:val="0008340B"/>
    <w:rsid w:val="000840A3"/>
    <w:rsid w:val="00085062"/>
    <w:rsid w:val="0008535E"/>
    <w:rsid w:val="000854AC"/>
    <w:rsid w:val="00086A5F"/>
    <w:rsid w:val="000874BF"/>
    <w:rsid w:val="000911B6"/>
    <w:rsid w:val="000911EF"/>
    <w:rsid w:val="00092D9C"/>
    <w:rsid w:val="000962C5"/>
    <w:rsid w:val="00096800"/>
    <w:rsid w:val="00096C78"/>
    <w:rsid w:val="00097865"/>
    <w:rsid w:val="000979FB"/>
    <w:rsid w:val="000A1970"/>
    <w:rsid w:val="000A2960"/>
    <w:rsid w:val="000A4317"/>
    <w:rsid w:val="000A559C"/>
    <w:rsid w:val="000A7936"/>
    <w:rsid w:val="000B0AC7"/>
    <w:rsid w:val="000B0E6D"/>
    <w:rsid w:val="000B2CA1"/>
    <w:rsid w:val="000B2F0E"/>
    <w:rsid w:val="000B3C52"/>
    <w:rsid w:val="000B48F8"/>
    <w:rsid w:val="000B65EE"/>
    <w:rsid w:val="000B6DF8"/>
    <w:rsid w:val="000B7479"/>
    <w:rsid w:val="000B7540"/>
    <w:rsid w:val="000C00F7"/>
    <w:rsid w:val="000C0BFB"/>
    <w:rsid w:val="000C1350"/>
    <w:rsid w:val="000C1C58"/>
    <w:rsid w:val="000C1FEC"/>
    <w:rsid w:val="000C2500"/>
    <w:rsid w:val="000C2A31"/>
    <w:rsid w:val="000C4616"/>
    <w:rsid w:val="000D0403"/>
    <w:rsid w:val="000D056B"/>
    <w:rsid w:val="000D1716"/>
    <w:rsid w:val="000D1B54"/>
    <w:rsid w:val="000D1F29"/>
    <w:rsid w:val="000D258E"/>
    <w:rsid w:val="000D4AD1"/>
    <w:rsid w:val="000D4C44"/>
    <w:rsid w:val="000D5141"/>
    <w:rsid w:val="000D633D"/>
    <w:rsid w:val="000D6DDD"/>
    <w:rsid w:val="000E0220"/>
    <w:rsid w:val="000E232A"/>
    <w:rsid w:val="000E310F"/>
    <w:rsid w:val="000E3417"/>
    <w:rsid w:val="000E342B"/>
    <w:rsid w:val="000E3AEF"/>
    <w:rsid w:val="000E3ED2"/>
    <w:rsid w:val="000E4766"/>
    <w:rsid w:val="000E5DD2"/>
    <w:rsid w:val="000F2958"/>
    <w:rsid w:val="000F3850"/>
    <w:rsid w:val="000F604F"/>
    <w:rsid w:val="000F6B7C"/>
    <w:rsid w:val="000F6F1C"/>
    <w:rsid w:val="00101182"/>
    <w:rsid w:val="00101797"/>
    <w:rsid w:val="001019CC"/>
    <w:rsid w:val="00101FCA"/>
    <w:rsid w:val="00103BE9"/>
    <w:rsid w:val="001044A9"/>
    <w:rsid w:val="00104874"/>
    <w:rsid w:val="00104E7F"/>
    <w:rsid w:val="001061C9"/>
    <w:rsid w:val="00110514"/>
    <w:rsid w:val="00110C33"/>
    <w:rsid w:val="00111067"/>
    <w:rsid w:val="001112C1"/>
    <w:rsid w:val="00112797"/>
    <w:rsid w:val="00112F5C"/>
    <w:rsid w:val="001137EC"/>
    <w:rsid w:val="00113A2F"/>
    <w:rsid w:val="00114E83"/>
    <w:rsid w:val="001152F5"/>
    <w:rsid w:val="00117743"/>
    <w:rsid w:val="00117F5B"/>
    <w:rsid w:val="001210CB"/>
    <w:rsid w:val="001229E8"/>
    <w:rsid w:val="00125C1A"/>
    <w:rsid w:val="00126030"/>
    <w:rsid w:val="001309E3"/>
    <w:rsid w:val="00132658"/>
    <w:rsid w:val="00132691"/>
    <w:rsid w:val="00134B58"/>
    <w:rsid w:val="0013520B"/>
    <w:rsid w:val="00136528"/>
    <w:rsid w:val="00136602"/>
    <w:rsid w:val="00137462"/>
    <w:rsid w:val="00137668"/>
    <w:rsid w:val="0014174C"/>
    <w:rsid w:val="001436E9"/>
    <w:rsid w:val="001458C1"/>
    <w:rsid w:val="00145D27"/>
    <w:rsid w:val="00150AFA"/>
    <w:rsid w:val="00150DC0"/>
    <w:rsid w:val="0015394D"/>
    <w:rsid w:val="001541F6"/>
    <w:rsid w:val="0015438C"/>
    <w:rsid w:val="00156CD4"/>
    <w:rsid w:val="001613FF"/>
    <w:rsid w:val="0016153B"/>
    <w:rsid w:val="00161ECE"/>
    <w:rsid w:val="00162207"/>
    <w:rsid w:val="0016270C"/>
    <w:rsid w:val="00162F6C"/>
    <w:rsid w:val="00163CCB"/>
    <w:rsid w:val="00164A3E"/>
    <w:rsid w:val="00166FF6"/>
    <w:rsid w:val="001706CE"/>
    <w:rsid w:val="00171B00"/>
    <w:rsid w:val="00171BAE"/>
    <w:rsid w:val="00173A4F"/>
    <w:rsid w:val="001747BC"/>
    <w:rsid w:val="00175ECC"/>
    <w:rsid w:val="00176123"/>
    <w:rsid w:val="001765B3"/>
    <w:rsid w:val="00181620"/>
    <w:rsid w:val="00182BC4"/>
    <w:rsid w:val="00183BBD"/>
    <w:rsid w:val="00185021"/>
    <w:rsid w:val="00186FDA"/>
    <w:rsid w:val="00187130"/>
    <w:rsid w:val="001877CF"/>
    <w:rsid w:val="0019088C"/>
    <w:rsid w:val="00191BD9"/>
    <w:rsid w:val="00194B02"/>
    <w:rsid w:val="001957AD"/>
    <w:rsid w:val="00195DFF"/>
    <w:rsid w:val="00196147"/>
    <w:rsid w:val="00196F8E"/>
    <w:rsid w:val="00197894"/>
    <w:rsid w:val="00197DA3"/>
    <w:rsid w:val="00197FC2"/>
    <w:rsid w:val="001A2B7F"/>
    <w:rsid w:val="001A3AFD"/>
    <w:rsid w:val="001A496C"/>
    <w:rsid w:val="001A576A"/>
    <w:rsid w:val="001A72CD"/>
    <w:rsid w:val="001A77FF"/>
    <w:rsid w:val="001B18D8"/>
    <w:rsid w:val="001B28DA"/>
    <w:rsid w:val="001B2B6C"/>
    <w:rsid w:val="001B3134"/>
    <w:rsid w:val="001B3BE1"/>
    <w:rsid w:val="001B5CDF"/>
    <w:rsid w:val="001B603A"/>
    <w:rsid w:val="001C2C44"/>
    <w:rsid w:val="001C5913"/>
    <w:rsid w:val="001C6B00"/>
    <w:rsid w:val="001D01C4"/>
    <w:rsid w:val="001D4CE9"/>
    <w:rsid w:val="001D4F99"/>
    <w:rsid w:val="001D52B0"/>
    <w:rsid w:val="001D58B8"/>
    <w:rsid w:val="001D5A18"/>
    <w:rsid w:val="001D66ED"/>
    <w:rsid w:val="001D7CA4"/>
    <w:rsid w:val="001E0295"/>
    <w:rsid w:val="001E057F"/>
    <w:rsid w:val="001E1465"/>
    <w:rsid w:val="001E14EB"/>
    <w:rsid w:val="001E5630"/>
    <w:rsid w:val="001E7E23"/>
    <w:rsid w:val="001F0C5A"/>
    <w:rsid w:val="001F17FB"/>
    <w:rsid w:val="001F2FCE"/>
    <w:rsid w:val="001F46C1"/>
    <w:rsid w:val="001F4A10"/>
    <w:rsid w:val="001F59E6"/>
    <w:rsid w:val="001F789C"/>
    <w:rsid w:val="002010A8"/>
    <w:rsid w:val="00203530"/>
    <w:rsid w:val="00203F1C"/>
    <w:rsid w:val="00204181"/>
    <w:rsid w:val="00206936"/>
    <w:rsid w:val="00206C6F"/>
    <w:rsid w:val="00206FBD"/>
    <w:rsid w:val="00207746"/>
    <w:rsid w:val="00211669"/>
    <w:rsid w:val="00213249"/>
    <w:rsid w:val="002141F9"/>
    <w:rsid w:val="002143D7"/>
    <w:rsid w:val="00216927"/>
    <w:rsid w:val="00216ACE"/>
    <w:rsid w:val="00217630"/>
    <w:rsid w:val="002204F0"/>
    <w:rsid w:val="00223D40"/>
    <w:rsid w:val="00224C10"/>
    <w:rsid w:val="0022675A"/>
    <w:rsid w:val="00230031"/>
    <w:rsid w:val="00230A41"/>
    <w:rsid w:val="002333E4"/>
    <w:rsid w:val="002337C8"/>
    <w:rsid w:val="00233FEF"/>
    <w:rsid w:val="00234080"/>
    <w:rsid w:val="002345AD"/>
    <w:rsid w:val="00234843"/>
    <w:rsid w:val="00235C01"/>
    <w:rsid w:val="0023706F"/>
    <w:rsid w:val="002402F6"/>
    <w:rsid w:val="00241CBD"/>
    <w:rsid w:val="00242409"/>
    <w:rsid w:val="0024259E"/>
    <w:rsid w:val="00244D40"/>
    <w:rsid w:val="00245C22"/>
    <w:rsid w:val="00247343"/>
    <w:rsid w:val="00247508"/>
    <w:rsid w:val="002476F8"/>
    <w:rsid w:val="00262FFD"/>
    <w:rsid w:val="00265C56"/>
    <w:rsid w:val="002665D3"/>
    <w:rsid w:val="002702E8"/>
    <w:rsid w:val="00270A9A"/>
    <w:rsid w:val="00271530"/>
    <w:rsid w:val="002716CD"/>
    <w:rsid w:val="00273783"/>
    <w:rsid w:val="00274204"/>
    <w:rsid w:val="00274D4B"/>
    <w:rsid w:val="00276250"/>
    <w:rsid w:val="002768F8"/>
    <w:rsid w:val="002806F5"/>
    <w:rsid w:val="0028137E"/>
    <w:rsid w:val="00281577"/>
    <w:rsid w:val="00282235"/>
    <w:rsid w:val="002831C3"/>
    <w:rsid w:val="00284003"/>
    <w:rsid w:val="00284055"/>
    <w:rsid w:val="00284693"/>
    <w:rsid w:val="002847C5"/>
    <w:rsid w:val="002856EB"/>
    <w:rsid w:val="00286891"/>
    <w:rsid w:val="0028699E"/>
    <w:rsid w:val="0028726F"/>
    <w:rsid w:val="00287D73"/>
    <w:rsid w:val="00287F36"/>
    <w:rsid w:val="00290C80"/>
    <w:rsid w:val="002926BC"/>
    <w:rsid w:val="0029298F"/>
    <w:rsid w:val="00293A72"/>
    <w:rsid w:val="0029552F"/>
    <w:rsid w:val="002A0160"/>
    <w:rsid w:val="002A1774"/>
    <w:rsid w:val="002A30C3"/>
    <w:rsid w:val="002A31CE"/>
    <w:rsid w:val="002A5985"/>
    <w:rsid w:val="002A6D59"/>
    <w:rsid w:val="002A6F6A"/>
    <w:rsid w:val="002A7712"/>
    <w:rsid w:val="002B07DC"/>
    <w:rsid w:val="002B097A"/>
    <w:rsid w:val="002B0E9B"/>
    <w:rsid w:val="002B2FE6"/>
    <w:rsid w:val="002B38F7"/>
    <w:rsid w:val="002B4F50"/>
    <w:rsid w:val="002B5591"/>
    <w:rsid w:val="002B6299"/>
    <w:rsid w:val="002B693A"/>
    <w:rsid w:val="002B6AA4"/>
    <w:rsid w:val="002C1FE9"/>
    <w:rsid w:val="002C263C"/>
    <w:rsid w:val="002C2862"/>
    <w:rsid w:val="002C4EDA"/>
    <w:rsid w:val="002C5985"/>
    <w:rsid w:val="002D0C5D"/>
    <w:rsid w:val="002D2481"/>
    <w:rsid w:val="002D3A57"/>
    <w:rsid w:val="002D6118"/>
    <w:rsid w:val="002D6524"/>
    <w:rsid w:val="002D679A"/>
    <w:rsid w:val="002D751D"/>
    <w:rsid w:val="002D7D05"/>
    <w:rsid w:val="002D7E40"/>
    <w:rsid w:val="002E20C8"/>
    <w:rsid w:val="002E4290"/>
    <w:rsid w:val="002E66A6"/>
    <w:rsid w:val="002E7683"/>
    <w:rsid w:val="002F0DB1"/>
    <w:rsid w:val="002F142F"/>
    <w:rsid w:val="002F2885"/>
    <w:rsid w:val="002F3BF1"/>
    <w:rsid w:val="002F45A1"/>
    <w:rsid w:val="002F6763"/>
    <w:rsid w:val="002F7008"/>
    <w:rsid w:val="0030203D"/>
    <w:rsid w:val="003037F9"/>
    <w:rsid w:val="00304414"/>
    <w:rsid w:val="00305556"/>
    <w:rsid w:val="0030583E"/>
    <w:rsid w:val="00305909"/>
    <w:rsid w:val="0030731D"/>
    <w:rsid w:val="00307691"/>
    <w:rsid w:val="003076CE"/>
    <w:rsid w:val="00307FE1"/>
    <w:rsid w:val="00310B1B"/>
    <w:rsid w:val="00311D09"/>
    <w:rsid w:val="00311DB9"/>
    <w:rsid w:val="00313682"/>
    <w:rsid w:val="003150D4"/>
    <w:rsid w:val="003164BA"/>
    <w:rsid w:val="00316FAD"/>
    <w:rsid w:val="00317278"/>
    <w:rsid w:val="003176B6"/>
    <w:rsid w:val="00317761"/>
    <w:rsid w:val="003178BC"/>
    <w:rsid w:val="00323FA2"/>
    <w:rsid w:val="00324DA5"/>
    <w:rsid w:val="0032551A"/>
    <w:rsid w:val="003258E6"/>
    <w:rsid w:val="00326761"/>
    <w:rsid w:val="00330BE0"/>
    <w:rsid w:val="00331663"/>
    <w:rsid w:val="00331D6B"/>
    <w:rsid w:val="00331F2F"/>
    <w:rsid w:val="00332C7F"/>
    <w:rsid w:val="003331D3"/>
    <w:rsid w:val="0033371B"/>
    <w:rsid w:val="00333CE9"/>
    <w:rsid w:val="0033416D"/>
    <w:rsid w:val="0034021A"/>
    <w:rsid w:val="00342283"/>
    <w:rsid w:val="003426EC"/>
    <w:rsid w:val="00343A87"/>
    <w:rsid w:val="00343C61"/>
    <w:rsid w:val="00344098"/>
    <w:rsid w:val="00344A36"/>
    <w:rsid w:val="003456F4"/>
    <w:rsid w:val="00347504"/>
    <w:rsid w:val="0034756F"/>
    <w:rsid w:val="00347787"/>
    <w:rsid w:val="00347FB6"/>
    <w:rsid w:val="003504FD"/>
    <w:rsid w:val="0035080A"/>
    <w:rsid w:val="00350881"/>
    <w:rsid w:val="00352862"/>
    <w:rsid w:val="00357D55"/>
    <w:rsid w:val="00360A06"/>
    <w:rsid w:val="00361193"/>
    <w:rsid w:val="00363513"/>
    <w:rsid w:val="003645BE"/>
    <w:rsid w:val="00364C17"/>
    <w:rsid w:val="003657E5"/>
    <w:rsid w:val="0036589C"/>
    <w:rsid w:val="003661A1"/>
    <w:rsid w:val="00367F3E"/>
    <w:rsid w:val="00371312"/>
    <w:rsid w:val="0037192D"/>
    <w:rsid w:val="00371DC7"/>
    <w:rsid w:val="003768AD"/>
    <w:rsid w:val="00377B21"/>
    <w:rsid w:val="00380377"/>
    <w:rsid w:val="00380B2B"/>
    <w:rsid w:val="0038242F"/>
    <w:rsid w:val="00382A7F"/>
    <w:rsid w:val="00385D67"/>
    <w:rsid w:val="00387D41"/>
    <w:rsid w:val="0039030E"/>
    <w:rsid w:val="00390862"/>
    <w:rsid w:val="00390C9D"/>
    <w:rsid w:val="00390CE3"/>
    <w:rsid w:val="0039108C"/>
    <w:rsid w:val="00391133"/>
    <w:rsid w:val="00392C18"/>
    <w:rsid w:val="00392EFC"/>
    <w:rsid w:val="00394584"/>
    <w:rsid w:val="00394876"/>
    <w:rsid w:val="00394AAF"/>
    <w:rsid w:val="00394CE5"/>
    <w:rsid w:val="00395877"/>
    <w:rsid w:val="00395E2F"/>
    <w:rsid w:val="0039607C"/>
    <w:rsid w:val="00396349"/>
    <w:rsid w:val="00396A13"/>
    <w:rsid w:val="003A156C"/>
    <w:rsid w:val="003A2528"/>
    <w:rsid w:val="003A3547"/>
    <w:rsid w:val="003A6341"/>
    <w:rsid w:val="003B4367"/>
    <w:rsid w:val="003B5E6D"/>
    <w:rsid w:val="003B67FD"/>
    <w:rsid w:val="003B6A61"/>
    <w:rsid w:val="003C00EA"/>
    <w:rsid w:val="003C0518"/>
    <w:rsid w:val="003C1308"/>
    <w:rsid w:val="003C2198"/>
    <w:rsid w:val="003C2420"/>
    <w:rsid w:val="003C24FA"/>
    <w:rsid w:val="003C2E72"/>
    <w:rsid w:val="003C3A2D"/>
    <w:rsid w:val="003C4941"/>
    <w:rsid w:val="003C5F0E"/>
    <w:rsid w:val="003D0F63"/>
    <w:rsid w:val="003D1D26"/>
    <w:rsid w:val="003D42C0"/>
    <w:rsid w:val="003D4A8F"/>
    <w:rsid w:val="003D5B29"/>
    <w:rsid w:val="003D5F2F"/>
    <w:rsid w:val="003D68D0"/>
    <w:rsid w:val="003D717F"/>
    <w:rsid w:val="003D7818"/>
    <w:rsid w:val="003E18CA"/>
    <w:rsid w:val="003E2445"/>
    <w:rsid w:val="003E282A"/>
    <w:rsid w:val="003E2EC4"/>
    <w:rsid w:val="003E3BB2"/>
    <w:rsid w:val="003E50C2"/>
    <w:rsid w:val="003F0640"/>
    <w:rsid w:val="003F51CC"/>
    <w:rsid w:val="003F5B58"/>
    <w:rsid w:val="003F6A3A"/>
    <w:rsid w:val="004014CC"/>
    <w:rsid w:val="0040222A"/>
    <w:rsid w:val="004047BC"/>
    <w:rsid w:val="00404F45"/>
    <w:rsid w:val="00406E33"/>
    <w:rsid w:val="00407614"/>
    <w:rsid w:val="004100F7"/>
    <w:rsid w:val="0041191C"/>
    <w:rsid w:val="00411937"/>
    <w:rsid w:val="00411A0F"/>
    <w:rsid w:val="00411D1D"/>
    <w:rsid w:val="00411E14"/>
    <w:rsid w:val="00412811"/>
    <w:rsid w:val="00413B3C"/>
    <w:rsid w:val="004149A3"/>
    <w:rsid w:val="00414CB3"/>
    <w:rsid w:val="004153F4"/>
    <w:rsid w:val="0041563D"/>
    <w:rsid w:val="0041647A"/>
    <w:rsid w:val="00416C1B"/>
    <w:rsid w:val="0042064C"/>
    <w:rsid w:val="00421B35"/>
    <w:rsid w:val="00425F31"/>
    <w:rsid w:val="004269CE"/>
    <w:rsid w:val="00426E25"/>
    <w:rsid w:val="00427D9C"/>
    <w:rsid w:val="00427E7E"/>
    <w:rsid w:val="00427F0B"/>
    <w:rsid w:val="00431B60"/>
    <w:rsid w:val="0043465D"/>
    <w:rsid w:val="00434E75"/>
    <w:rsid w:val="00435082"/>
    <w:rsid w:val="004356D6"/>
    <w:rsid w:val="0044165D"/>
    <w:rsid w:val="004417C8"/>
    <w:rsid w:val="00443B6E"/>
    <w:rsid w:val="004452EF"/>
    <w:rsid w:val="00445667"/>
    <w:rsid w:val="00445AC0"/>
    <w:rsid w:val="004463AD"/>
    <w:rsid w:val="004504F3"/>
    <w:rsid w:val="00450636"/>
    <w:rsid w:val="00450F9C"/>
    <w:rsid w:val="00451570"/>
    <w:rsid w:val="00453211"/>
    <w:rsid w:val="0045393E"/>
    <w:rsid w:val="0045420A"/>
    <w:rsid w:val="004554D4"/>
    <w:rsid w:val="00455E72"/>
    <w:rsid w:val="0045678E"/>
    <w:rsid w:val="00456CDC"/>
    <w:rsid w:val="004607A4"/>
    <w:rsid w:val="00461744"/>
    <w:rsid w:val="00462E8C"/>
    <w:rsid w:val="00463E37"/>
    <w:rsid w:val="004649FB"/>
    <w:rsid w:val="00464B42"/>
    <w:rsid w:val="00466185"/>
    <w:rsid w:val="00466303"/>
    <w:rsid w:val="004668A7"/>
    <w:rsid w:val="0046692B"/>
    <w:rsid w:val="00466D96"/>
    <w:rsid w:val="00467747"/>
    <w:rsid w:val="00470017"/>
    <w:rsid w:val="0047105A"/>
    <w:rsid w:val="00471BF6"/>
    <w:rsid w:val="004722D2"/>
    <w:rsid w:val="00472D6F"/>
    <w:rsid w:val="00472E9A"/>
    <w:rsid w:val="004732A3"/>
    <w:rsid w:val="00473C98"/>
    <w:rsid w:val="004740B4"/>
    <w:rsid w:val="00474965"/>
    <w:rsid w:val="0047529D"/>
    <w:rsid w:val="0047602E"/>
    <w:rsid w:val="004777E1"/>
    <w:rsid w:val="004810B0"/>
    <w:rsid w:val="00481792"/>
    <w:rsid w:val="00481B57"/>
    <w:rsid w:val="00482DF8"/>
    <w:rsid w:val="00482F75"/>
    <w:rsid w:val="004864DE"/>
    <w:rsid w:val="00494BE5"/>
    <w:rsid w:val="00494DD5"/>
    <w:rsid w:val="0049674B"/>
    <w:rsid w:val="004974D9"/>
    <w:rsid w:val="004A0EBA"/>
    <w:rsid w:val="004A2538"/>
    <w:rsid w:val="004A331E"/>
    <w:rsid w:val="004A3508"/>
    <w:rsid w:val="004A434D"/>
    <w:rsid w:val="004A5B56"/>
    <w:rsid w:val="004A5C53"/>
    <w:rsid w:val="004A7794"/>
    <w:rsid w:val="004B0C15"/>
    <w:rsid w:val="004B12C5"/>
    <w:rsid w:val="004B16AB"/>
    <w:rsid w:val="004B1D9F"/>
    <w:rsid w:val="004B2F73"/>
    <w:rsid w:val="004B35EA"/>
    <w:rsid w:val="004B418D"/>
    <w:rsid w:val="004B47DC"/>
    <w:rsid w:val="004B583B"/>
    <w:rsid w:val="004B69E4"/>
    <w:rsid w:val="004B7BBB"/>
    <w:rsid w:val="004C28B6"/>
    <w:rsid w:val="004C40F9"/>
    <w:rsid w:val="004C69E1"/>
    <w:rsid w:val="004C6C39"/>
    <w:rsid w:val="004C6E47"/>
    <w:rsid w:val="004C75B6"/>
    <w:rsid w:val="004D03C4"/>
    <w:rsid w:val="004D075F"/>
    <w:rsid w:val="004D07E6"/>
    <w:rsid w:val="004D1B76"/>
    <w:rsid w:val="004D344E"/>
    <w:rsid w:val="004D37BD"/>
    <w:rsid w:val="004D37E8"/>
    <w:rsid w:val="004D464A"/>
    <w:rsid w:val="004D503B"/>
    <w:rsid w:val="004D6E4D"/>
    <w:rsid w:val="004E019E"/>
    <w:rsid w:val="004E06EC"/>
    <w:rsid w:val="004E070D"/>
    <w:rsid w:val="004E0A3F"/>
    <w:rsid w:val="004E1258"/>
    <w:rsid w:val="004E18EA"/>
    <w:rsid w:val="004E1D9B"/>
    <w:rsid w:val="004E2CB7"/>
    <w:rsid w:val="004E2D69"/>
    <w:rsid w:val="004E6203"/>
    <w:rsid w:val="004E7170"/>
    <w:rsid w:val="004E7CA7"/>
    <w:rsid w:val="004F016A"/>
    <w:rsid w:val="004F04CB"/>
    <w:rsid w:val="004F082B"/>
    <w:rsid w:val="004F5CD1"/>
    <w:rsid w:val="00500F94"/>
    <w:rsid w:val="005022F6"/>
    <w:rsid w:val="00502F5C"/>
    <w:rsid w:val="00502FB3"/>
    <w:rsid w:val="00503DE9"/>
    <w:rsid w:val="005040F3"/>
    <w:rsid w:val="00504B4B"/>
    <w:rsid w:val="0050530C"/>
    <w:rsid w:val="00505DEA"/>
    <w:rsid w:val="00507782"/>
    <w:rsid w:val="0051046A"/>
    <w:rsid w:val="00512A04"/>
    <w:rsid w:val="00513B3E"/>
    <w:rsid w:val="0051498A"/>
    <w:rsid w:val="00516446"/>
    <w:rsid w:val="00520499"/>
    <w:rsid w:val="005219B4"/>
    <w:rsid w:val="00523954"/>
    <w:rsid w:val="005249F5"/>
    <w:rsid w:val="00525BD5"/>
    <w:rsid w:val="00525EEB"/>
    <w:rsid w:val="005260F7"/>
    <w:rsid w:val="00527A1C"/>
    <w:rsid w:val="005332D8"/>
    <w:rsid w:val="00535916"/>
    <w:rsid w:val="00535D72"/>
    <w:rsid w:val="00536207"/>
    <w:rsid w:val="00541E55"/>
    <w:rsid w:val="00542CB4"/>
    <w:rsid w:val="005434FE"/>
    <w:rsid w:val="00543BBE"/>
    <w:rsid w:val="00543BD1"/>
    <w:rsid w:val="00551606"/>
    <w:rsid w:val="005519D3"/>
    <w:rsid w:val="00555921"/>
    <w:rsid w:val="00556113"/>
    <w:rsid w:val="005565BD"/>
    <w:rsid w:val="00561EBD"/>
    <w:rsid w:val="00561EDF"/>
    <w:rsid w:val="00563CB3"/>
    <w:rsid w:val="00564721"/>
    <w:rsid w:val="00564C12"/>
    <w:rsid w:val="005654B8"/>
    <w:rsid w:val="00565930"/>
    <w:rsid w:val="00566BBD"/>
    <w:rsid w:val="00567E40"/>
    <w:rsid w:val="00570D94"/>
    <w:rsid w:val="00571F03"/>
    <w:rsid w:val="00572E64"/>
    <w:rsid w:val="00572F64"/>
    <w:rsid w:val="00574793"/>
    <w:rsid w:val="00574B69"/>
    <w:rsid w:val="005762CC"/>
    <w:rsid w:val="0057675C"/>
    <w:rsid w:val="00576C5C"/>
    <w:rsid w:val="005770A4"/>
    <w:rsid w:val="00577CD2"/>
    <w:rsid w:val="005806C4"/>
    <w:rsid w:val="00580CCF"/>
    <w:rsid w:val="0058276B"/>
    <w:rsid w:val="00582D3D"/>
    <w:rsid w:val="00585B83"/>
    <w:rsid w:val="00585BD3"/>
    <w:rsid w:val="00585C56"/>
    <w:rsid w:val="00585EB3"/>
    <w:rsid w:val="005875F0"/>
    <w:rsid w:val="00590040"/>
    <w:rsid w:val="00590BB4"/>
    <w:rsid w:val="0059531D"/>
    <w:rsid w:val="00595386"/>
    <w:rsid w:val="0059646A"/>
    <w:rsid w:val="00597234"/>
    <w:rsid w:val="005A0386"/>
    <w:rsid w:val="005A119C"/>
    <w:rsid w:val="005A30AE"/>
    <w:rsid w:val="005A3A6A"/>
    <w:rsid w:val="005A3FDE"/>
    <w:rsid w:val="005A4AC0"/>
    <w:rsid w:val="005A539B"/>
    <w:rsid w:val="005A5FDF"/>
    <w:rsid w:val="005A7A61"/>
    <w:rsid w:val="005A7A9B"/>
    <w:rsid w:val="005A7DC2"/>
    <w:rsid w:val="005B0FB7"/>
    <w:rsid w:val="005B122A"/>
    <w:rsid w:val="005B1E1C"/>
    <w:rsid w:val="005B1FCB"/>
    <w:rsid w:val="005B1FF3"/>
    <w:rsid w:val="005B3687"/>
    <w:rsid w:val="005B5AC2"/>
    <w:rsid w:val="005B695D"/>
    <w:rsid w:val="005C1145"/>
    <w:rsid w:val="005C2833"/>
    <w:rsid w:val="005C4231"/>
    <w:rsid w:val="005C45CC"/>
    <w:rsid w:val="005C6A6C"/>
    <w:rsid w:val="005C6EA3"/>
    <w:rsid w:val="005C7249"/>
    <w:rsid w:val="005D0205"/>
    <w:rsid w:val="005D40AB"/>
    <w:rsid w:val="005D6D04"/>
    <w:rsid w:val="005E144D"/>
    <w:rsid w:val="005E1500"/>
    <w:rsid w:val="005E26FA"/>
    <w:rsid w:val="005E3A43"/>
    <w:rsid w:val="005E461C"/>
    <w:rsid w:val="005E72A6"/>
    <w:rsid w:val="005F0B17"/>
    <w:rsid w:val="005F1692"/>
    <w:rsid w:val="005F2EDB"/>
    <w:rsid w:val="005F362E"/>
    <w:rsid w:val="005F4227"/>
    <w:rsid w:val="005F4309"/>
    <w:rsid w:val="005F49F8"/>
    <w:rsid w:val="005F52A2"/>
    <w:rsid w:val="005F5D71"/>
    <w:rsid w:val="005F5E1E"/>
    <w:rsid w:val="005F6602"/>
    <w:rsid w:val="005F73C4"/>
    <w:rsid w:val="005F77C7"/>
    <w:rsid w:val="006011B1"/>
    <w:rsid w:val="00601E0F"/>
    <w:rsid w:val="006032E2"/>
    <w:rsid w:val="00603C06"/>
    <w:rsid w:val="006059CC"/>
    <w:rsid w:val="00605D25"/>
    <w:rsid w:val="00606063"/>
    <w:rsid w:val="00607D13"/>
    <w:rsid w:val="00610266"/>
    <w:rsid w:val="00615937"/>
    <w:rsid w:val="00616387"/>
    <w:rsid w:val="0062008A"/>
    <w:rsid w:val="00620675"/>
    <w:rsid w:val="00622910"/>
    <w:rsid w:val="00624507"/>
    <w:rsid w:val="006254B6"/>
    <w:rsid w:val="00625B31"/>
    <w:rsid w:val="00627A84"/>
    <w:rsid w:val="00627BBB"/>
    <w:rsid w:val="00627FC8"/>
    <w:rsid w:val="0063090C"/>
    <w:rsid w:val="00630D0A"/>
    <w:rsid w:val="00633A7C"/>
    <w:rsid w:val="00633A84"/>
    <w:rsid w:val="00640FC6"/>
    <w:rsid w:val="00642527"/>
    <w:rsid w:val="006433C3"/>
    <w:rsid w:val="0064462E"/>
    <w:rsid w:val="00650A75"/>
    <w:rsid w:val="00650F5B"/>
    <w:rsid w:val="0065182C"/>
    <w:rsid w:val="00653A3A"/>
    <w:rsid w:val="006556FA"/>
    <w:rsid w:val="0065741A"/>
    <w:rsid w:val="00662664"/>
    <w:rsid w:val="00662C41"/>
    <w:rsid w:val="006639A4"/>
    <w:rsid w:val="00663D80"/>
    <w:rsid w:val="00665629"/>
    <w:rsid w:val="00666124"/>
    <w:rsid w:val="006670D7"/>
    <w:rsid w:val="00667C4A"/>
    <w:rsid w:val="0067004A"/>
    <w:rsid w:val="00671358"/>
    <w:rsid w:val="006719EA"/>
    <w:rsid w:val="00671F13"/>
    <w:rsid w:val="00672071"/>
    <w:rsid w:val="00673412"/>
    <w:rsid w:val="0067400A"/>
    <w:rsid w:val="00674EBA"/>
    <w:rsid w:val="00675527"/>
    <w:rsid w:val="00676966"/>
    <w:rsid w:val="00682947"/>
    <w:rsid w:val="006847AD"/>
    <w:rsid w:val="00685CDF"/>
    <w:rsid w:val="0069114B"/>
    <w:rsid w:val="0069195E"/>
    <w:rsid w:val="0069268A"/>
    <w:rsid w:val="0069332D"/>
    <w:rsid w:val="006944C1"/>
    <w:rsid w:val="00694B3B"/>
    <w:rsid w:val="0069690A"/>
    <w:rsid w:val="006A17DD"/>
    <w:rsid w:val="006A1DC6"/>
    <w:rsid w:val="006A756A"/>
    <w:rsid w:val="006B0A1D"/>
    <w:rsid w:val="006B3003"/>
    <w:rsid w:val="006B4056"/>
    <w:rsid w:val="006B42CC"/>
    <w:rsid w:val="006B547F"/>
    <w:rsid w:val="006C0EC2"/>
    <w:rsid w:val="006C1D11"/>
    <w:rsid w:val="006C1F4E"/>
    <w:rsid w:val="006C4793"/>
    <w:rsid w:val="006C521A"/>
    <w:rsid w:val="006C64E1"/>
    <w:rsid w:val="006C70A8"/>
    <w:rsid w:val="006C7843"/>
    <w:rsid w:val="006D057E"/>
    <w:rsid w:val="006D0658"/>
    <w:rsid w:val="006D0C68"/>
    <w:rsid w:val="006D10A8"/>
    <w:rsid w:val="006D1B8C"/>
    <w:rsid w:val="006D39CE"/>
    <w:rsid w:val="006D53E5"/>
    <w:rsid w:val="006D543C"/>
    <w:rsid w:val="006D66F7"/>
    <w:rsid w:val="006D77B6"/>
    <w:rsid w:val="006E2B0B"/>
    <w:rsid w:val="006E3ED6"/>
    <w:rsid w:val="006E5957"/>
    <w:rsid w:val="006F14DD"/>
    <w:rsid w:val="006F1BA2"/>
    <w:rsid w:val="006F1DDD"/>
    <w:rsid w:val="006F441A"/>
    <w:rsid w:val="006F5A31"/>
    <w:rsid w:val="006F5B11"/>
    <w:rsid w:val="006F6E81"/>
    <w:rsid w:val="007024F3"/>
    <w:rsid w:val="00704862"/>
    <w:rsid w:val="007053D1"/>
    <w:rsid w:val="007059EF"/>
    <w:rsid w:val="00705C9D"/>
    <w:rsid w:val="00705F13"/>
    <w:rsid w:val="0070624C"/>
    <w:rsid w:val="00706B3F"/>
    <w:rsid w:val="00707DD9"/>
    <w:rsid w:val="00714F1D"/>
    <w:rsid w:val="00715225"/>
    <w:rsid w:val="00716BDE"/>
    <w:rsid w:val="0071700C"/>
    <w:rsid w:val="00720662"/>
    <w:rsid w:val="00720C37"/>
    <w:rsid w:val="00720CC6"/>
    <w:rsid w:val="00722DDB"/>
    <w:rsid w:val="007242C6"/>
    <w:rsid w:val="00724728"/>
    <w:rsid w:val="00724F98"/>
    <w:rsid w:val="00725AD3"/>
    <w:rsid w:val="00726BFB"/>
    <w:rsid w:val="00730B9B"/>
    <w:rsid w:val="0073182E"/>
    <w:rsid w:val="007332FF"/>
    <w:rsid w:val="007348FC"/>
    <w:rsid w:val="007360E0"/>
    <w:rsid w:val="007363F0"/>
    <w:rsid w:val="0073666A"/>
    <w:rsid w:val="007408F5"/>
    <w:rsid w:val="007411AD"/>
    <w:rsid w:val="00741EAE"/>
    <w:rsid w:val="00743CAA"/>
    <w:rsid w:val="00746EEC"/>
    <w:rsid w:val="00747505"/>
    <w:rsid w:val="00751460"/>
    <w:rsid w:val="00751B2A"/>
    <w:rsid w:val="0075443F"/>
    <w:rsid w:val="007547D6"/>
    <w:rsid w:val="007549E0"/>
    <w:rsid w:val="00754F28"/>
    <w:rsid w:val="00755095"/>
    <w:rsid w:val="00755248"/>
    <w:rsid w:val="0076190B"/>
    <w:rsid w:val="0076355D"/>
    <w:rsid w:val="00763A2D"/>
    <w:rsid w:val="007676A4"/>
    <w:rsid w:val="007711EC"/>
    <w:rsid w:val="00771E6F"/>
    <w:rsid w:val="00771FAF"/>
    <w:rsid w:val="00772F52"/>
    <w:rsid w:val="0077377D"/>
    <w:rsid w:val="00773AD7"/>
    <w:rsid w:val="00775E1E"/>
    <w:rsid w:val="00776B10"/>
    <w:rsid w:val="00777795"/>
    <w:rsid w:val="007802F1"/>
    <w:rsid w:val="00783232"/>
    <w:rsid w:val="00783A57"/>
    <w:rsid w:val="00784C92"/>
    <w:rsid w:val="007859CD"/>
    <w:rsid w:val="00785C24"/>
    <w:rsid w:val="00785E82"/>
    <w:rsid w:val="007900C3"/>
    <w:rsid w:val="007907E4"/>
    <w:rsid w:val="00792AE4"/>
    <w:rsid w:val="00793978"/>
    <w:rsid w:val="00793A9C"/>
    <w:rsid w:val="00796013"/>
    <w:rsid w:val="007962F3"/>
    <w:rsid w:val="00796461"/>
    <w:rsid w:val="00797166"/>
    <w:rsid w:val="00797A6A"/>
    <w:rsid w:val="007A0C35"/>
    <w:rsid w:val="007A0DC4"/>
    <w:rsid w:val="007A4A50"/>
    <w:rsid w:val="007A4F92"/>
    <w:rsid w:val="007A6A4F"/>
    <w:rsid w:val="007A71FA"/>
    <w:rsid w:val="007B03F5"/>
    <w:rsid w:val="007B0E5A"/>
    <w:rsid w:val="007B18C3"/>
    <w:rsid w:val="007B4938"/>
    <w:rsid w:val="007B5C09"/>
    <w:rsid w:val="007B5DA2"/>
    <w:rsid w:val="007C0966"/>
    <w:rsid w:val="007C0A56"/>
    <w:rsid w:val="007C0CA2"/>
    <w:rsid w:val="007C19E7"/>
    <w:rsid w:val="007C5A22"/>
    <w:rsid w:val="007C5CFD"/>
    <w:rsid w:val="007C6903"/>
    <w:rsid w:val="007C6D9F"/>
    <w:rsid w:val="007D17E1"/>
    <w:rsid w:val="007D1AC6"/>
    <w:rsid w:val="007D2F9D"/>
    <w:rsid w:val="007D3E9A"/>
    <w:rsid w:val="007D4893"/>
    <w:rsid w:val="007D687F"/>
    <w:rsid w:val="007D70F7"/>
    <w:rsid w:val="007E1A1A"/>
    <w:rsid w:val="007E1A71"/>
    <w:rsid w:val="007E38F6"/>
    <w:rsid w:val="007E5F12"/>
    <w:rsid w:val="007E70CF"/>
    <w:rsid w:val="007E74A4"/>
    <w:rsid w:val="007E7BA6"/>
    <w:rsid w:val="007F0435"/>
    <w:rsid w:val="007F0730"/>
    <w:rsid w:val="007F0828"/>
    <w:rsid w:val="007F14B1"/>
    <w:rsid w:val="007F1B6F"/>
    <w:rsid w:val="007F1DFC"/>
    <w:rsid w:val="007F263F"/>
    <w:rsid w:val="007F2DA9"/>
    <w:rsid w:val="007F2FFF"/>
    <w:rsid w:val="007F5254"/>
    <w:rsid w:val="007F591C"/>
    <w:rsid w:val="007F767E"/>
    <w:rsid w:val="008015A8"/>
    <w:rsid w:val="008033E6"/>
    <w:rsid w:val="008048A1"/>
    <w:rsid w:val="00804D19"/>
    <w:rsid w:val="0080663D"/>
    <w:rsid w:val="00806CCF"/>
    <w:rsid w:val="0080766E"/>
    <w:rsid w:val="00811169"/>
    <w:rsid w:val="00812F60"/>
    <w:rsid w:val="00815297"/>
    <w:rsid w:val="00815591"/>
    <w:rsid w:val="00815B92"/>
    <w:rsid w:val="008170DB"/>
    <w:rsid w:val="00817BA1"/>
    <w:rsid w:val="00820C1D"/>
    <w:rsid w:val="00820DEB"/>
    <w:rsid w:val="008216BF"/>
    <w:rsid w:val="00823022"/>
    <w:rsid w:val="00823AF8"/>
    <w:rsid w:val="00823D3D"/>
    <w:rsid w:val="00824459"/>
    <w:rsid w:val="0082634E"/>
    <w:rsid w:val="00830E73"/>
    <w:rsid w:val="008313C4"/>
    <w:rsid w:val="00831FF8"/>
    <w:rsid w:val="00832435"/>
    <w:rsid w:val="008336D6"/>
    <w:rsid w:val="00835434"/>
    <w:rsid w:val="008358C0"/>
    <w:rsid w:val="00835FEE"/>
    <w:rsid w:val="00840B58"/>
    <w:rsid w:val="00840F96"/>
    <w:rsid w:val="00842838"/>
    <w:rsid w:val="008428D8"/>
    <w:rsid w:val="008435D8"/>
    <w:rsid w:val="00843F53"/>
    <w:rsid w:val="00854EC1"/>
    <w:rsid w:val="00856F80"/>
    <w:rsid w:val="0085797F"/>
    <w:rsid w:val="008615E2"/>
    <w:rsid w:val="00861DC3"/>
    <w:rsid w:val="00865A9E"/>
    <w:rsid w:val="008662C8"/>
    <w:rsid w:val="00867019"/>
    <w:rsid w:val="008670B3"/>
    <w:rsid w:val="00867DD9"/>
    <w:rsid w:val="008702B1"/>
    <w:rsid w:val="008727E4"/>
    <w:rsid w:val="00872EF1"/>
    <w:rsid w:val="008735A9"/>
    <w:rsid w:val="00874820"/>
    <w:rsid w:val="00875B80"/>
    <w:rsid w:val="008765D1"/>
    <w:rsid w:val="00877BC5"/>
    <w:rsid w:val="00877D20"/>
    <w:rsid w:val="008806A5"/>
    <w:rsid w:val="00881C48"/>
    <w:rsid w:val="00884470"/>
    <w:rsid w:val="00885A57"/>
    <w:rsid w:val="00885B80"/>
    <w:rsid w:val="00885C30"/>
    <w:rsid w:val="00885E9B"/>
    <w:rsid w:val="00886226"/>
    <w:rsid w:val="00886649"/>
    <w:rsid w:val="00890A74"/>
    <w:rsid w:val="0089368E"/>
    <w:rsid w:val="008938BC"/>
    <w:rsid w:val="00893C96"/>
    <w:rsid w:val="00894640"/>
    <w:rsid w:val="0089500A"/>
    <w:rsid w:val="00895608"/>
    <w:rsid w:val="00896957"/>
    <w:rsid w:val="00897108"/>
    <w:rsid w:val="00897C94"/>
    <w:rsid w:val="008A2533"/>
    <w:rsid w:val="008A3F23"/>
    <w:rsid w:val="008A474B"/>
    <w:rsid w:val="008A483D"/>
    <w:rsid w:val="008A4B30"/>
    <w:rsid w:val="008A5484"/>
    <w:rsid w:val="008A6F50"/>
    <w:rsid w:val="008A73AC"/>
    <w:rsid w:val="008A7C12"/>
    <w:rsid w:val="008B03CE"/>
    <w:rsid w:val="008B05CA"/>
    <w:rsid w:val="008B0668"/>
    <w:rsid w:val="008B15BB"/>
    <w:rsid w:val="008B15E6"/>
    <w:rsid w:val="008B1AC0"/>
    <w:rsid w:val="008B3139"/>
    <w:rsid w:val="008B426B"/>
    <w:rsid w:val="008B529E"/>
    <w:rsid w:val="008B6ED1"/>
    <w:rsid w:val="008B7E62"/>
    <w:rsid w:val="008C041D"/>
    <w:rsid w:val="008C068C"/>
    <w:rsid w:val="008C17FB"/>
    <w:rsid w:val="008C1BA1"/>
    <w:rsid w:val="008C251D"/>
    <w:rsid w:val="008C2DCA"/>
    <w:rsid w:val="008C50B0"/>
    <w:rsid w:val="008C6338"/>
    <w:rsid w:val="008C70BB"/>
    <w:rsid w:val="008C73B1"/>
    <w:rsid w:val="008D1B00"/>
    <w:rsid w:val="008D2612"/>
    <w:rsid w:val="008D4FBA"/>
    <w:rsid w:val="008D579B"/>
    <w:rsid w:val="008D57B8"/>
    <w:rsid w:val="008D690F"/>
    <w:rsid w:val="008D79C3"/>
    <w:rsid w:val="008E03FC"/>
    <w:rsid w:val="008E26D9"/>
    <w:rsid w:val="008E30DB"/>
    <w:rsid w:val="008E480B"/>
    <w:rsid w:val="008E48D6"/>
    <w:rsid w:val="008E510B"/>
    <w:rsid w:val="008E64C6"/>
    <w:rsid w:val="008E6A6C"/>
    <w:rsid w:val="008F0ECE"/>
    <w:rsid w:val="008F17BC"/>
    <w:rsid w:val="008F570C"/>
    <w:rsid w:val="008F5D4C"/>
    <w:rsid w:val="008F6531"/>
    <w:rsid w:val="008F7F63"/>
    <w:rsid w:val="00900EC6"/>
    <w:rsid w:val="009011EB"/>
    <w:rsid w:val="00902B13"/>
    <w:rsid w:val="00902CC7"/>
    <w:rsid w:val="00903591"/>
    <w:rsid w:val="00904889"/>
    <w:rsid w:val="0090529D"/>
    <w:rsid w:val="00905803"/>
    <w:rsid w:val="00907836"/>
    <w:rsid w:val="00907B35"/>
    <w:rsid w:val="00911941"/>
    <w:rsid w:val="00911DF7"/>
    <w:rsid w:val="009131E1"/>
    <w:rsid w:val="0091614C"/>
    <w:rsid w:val="00916AE2"/>
    <w:rsid w:val="0091723B"/>
    <w:rsid w:val="0091735A"/>
    <w:rsid w:val="00917B45"/>
    <w:rsid w:val="0092024D"/>
    <w:rsid w:val="00920A09"/>
    <w:rsid w:val="00921F55"/>
    <w:rsid w:val="00921F86"/>
    <w:rsid w:val="00923808"/>
    <w:rsid w:val="0092498C"/>
    <w:rsid w:val="00925146"/>
    <w:rsid w:val="00925EF5"/>
    <w:rsid w:val="00925F0F"/>
    <w:rsid w:val="009270F6"/>
    <w:rsid w:val="00927664"/>
    <w:rsid w:val="00927819"/>
    <w:rsid w:val="00930C3B"/>
    <w:rsid w:val="009311F9"/>
    <w:rsid w:val="00932F6B"/>
    <w:rsid w:val="0093407C"/>
    <w:rsid w:val="0093619D"/>
    <w:rsid w:val="00936521"/>
    <w:rsid w:val="00940D48"/>
    <w:rsid w:val="009416E6"/>
    <w:rsid w:val="009444F0"/>
    <w:rsid w:val="009468BC"/>
    <w:rsid w:val="00947A36"/>
    <w:rsid w:val="00947FAE"/>
    <w:rsid w:val="009508D0"/>
    <w:rsid w:val="0095198B"/>
    <w:rsid w:val="00952C72"/>
    <w:rsid w:val="00954835"/>
    <w:rsid w:val="00954DCB"/>
    <w:rsid w:val="009564E8"/>
    <w:rsid w:val="00956F11"/>
    <w:rsid w:val="00957396"/>
    <w:rsid w:val="009616DF"/>
    <w:rsid w:val="0096542F"/>
    <w:rsid w:val="00967FA7"/>
    <w:rsid w:val="009709E9"/>
    <w:rsid w:val="00971645"/>
    <w:rsid w:val="00975F36"/>
    <w:rsid w:val="009765CD"/>
    <w:rsid w:val="00977919"/>
    <w:rsid w:val="00983000"/>
    <w:rsid w:val="00983AA1"/>
    <w:rsid w:val="009854B0"/>
    <w:rsid w:val="009870FA"/>
    <w:rsid w:val="009872B1"/>
    <w:rsid w:val="00987D60"/>
    <w:rsid w:val="009914FC"/>
    <w:rsid w:val="00991563"/>
    <w:rsid w:val="009921C3"/>
    <w:rsid w:val="00993089"/>
    <w:rsid w:val="0099551D"/>
    <w:rsid w:val="0099698B"/>
    <w:rsid w:val="009A2D20"/>
    <w:rsid w:val="009A3467"/>
    <w:rsid w:val="009A391E"/>
    <w:rsid w:val="009A4C58"/>
    <w:rsid w:val="009A4D79"/>
    <w:rsid w:val="009A4DCD"/>
    <w:rsid w:val="009A5897"/>
    <w:rsid w:val="009A5F24"/>
    <w:rsid w:val="009A6066"/>
    <w:rsid w:val="009A7021"/>
    <w:rsid w:val="009A76DC"/>
    <w:rsid w:val="009A7C09"/>
    <w:rsid w:val="009B0B3E"/>
    <w:rsid w:val="009B13CA"/>
    <w:rsid w:val="009B1913"/>
    <w:rsid w:val="009B21C1"/>
    <w:rsid w:val="009B36AE"/>
    <w:rsid w:val="009B3732"/>
    <w:rsid w:val="009B4D39"/>
    <w:rsid w:val="009B6657"/>
    <w:rsid w:val="009B6966"/>
    <w:rsid w:val="009B6E58"/>
    <w:rsid w:val="009B7D39"/>
    <w:rsid w:val="009C07BF"/>
    <w:rsid w:val="009C17FD"/>
    <w:rsid w:val="009C1C16"/>
    <w:rsid w:val="009C4788"/>
    <w:rsid w:val="009C4C71"/>
    <w:rsid w:val="009C65FA"/>
    <w:rsid w:val="009C6D76"/>
    <w:rsid w:val="009D0EB5"/>
    <w:rsid w:val="009D14F9"/>
    <w:rsid w:val="009D163E"/>
    <w:rsid w:val="009D2B74"/>
    <w:rsid w:val="009D3821"/>
    <w:rsid w:val="009D4560"/>
    <w:rsid w:val="009D4AD6"/>
    <w:rsid w:val="009D57B0"/>
    <w:rsid w:val="009D5827"/>
    <w:rsid w:val="009D5D18"/>
    <w:rsid w:val="009D5FED"/>
    <w:rsid w:val="009D60DB"/>
    <w:rsid w:val="009D63FF"/>
    <w:rsid w:val="009D7BF3"/>
    <w:rsid w:val="009E0345"/>
    <w:rsid w:val="009E04BC"/>
    <w:rsid w:val="009E04E7"/>
    <w:rsid w:val="009E0EC4"/>
    <w:rsid w:val="009E175D"/>
    <w:rsid w:val="009E1AD9"/>
    <w:rsid w:val="009E23A9"/>
    <w:rsid w:val="009E24FD"/>
    <w:rsid w:val="009E3CC2"/>
    <w:rsid w:val="009E648A"/>
    <w:rsid w:val="009F05FA"/>
    <w:rsid w:val="009F06BD"/>
    <w:rsid w:val="009F073E"/>
    <w:rsid w:val="009F127E"/>
    <w:rsid w:val="009F1973"/>
    <w:rsid w:val="009F1F21"/>
    <w:rsid w:val="009F2A4D"/>
    <w:rsid w:val="009F4589"/>
    <w:rsid w:val="009F5284"/>
    <w:rsid w:val="009F7422"/>
    <w:rsid w:val="00A00828"/>
    <w:rsid w:val="00A00C4F"/>
    <w:rsid w:val="00A03290"/>
    <w:rsid w:val="00A0387E"/>
    <w:rsid w:val="00A03A99"/>
    <w:rsid w:val="00A04362"/>
    <w:rsid w:val="00A045B8"/>
    <w:rsid w:val="00A04716"/>
    <w:rsid w:val="00A04E93"/>
    <w:rsid w:val="00A05BFD"/>
    <w:rsid w:val="00A07490"/>
    <w:rsid w:val="00A10655"/>
    <w:rsid w:val="00A11710"/>
    <w:rsid w:val="00A11B40"/>
    <w:rsid w:val="00A12B64"/>
    <w:rsid w:val="00A133F0"/>
    <w:rsid w:val="00A13BE3"/>
    <w:rsid w:val="00A15405"/>
    <w:rsid w:val="00A15B17"/>
    <w:rsid w:val="00A15CA1"/>
    <w:rsid w:val="00A22182"/>
    <w:rsid w:val="00A22C38"/>
    <w:rsid w:val="00A23861"/>
    <w:rsid w:val="00A25193"/>
    <w:rsid w:val="00A26E80"/>
    <w:rsid w:val="00A31367"/>
    <w:rsid w:val="00A31AE8"/>
    <w:rsid w:val="00A32974"/>
    <w:rsid w:val="00A36472"/>
    <w:rsid w:val="00A3739D"/>
    <w:rsid w:val="00A37DDA"/>
    <w:rsid w:val="00A40AC7"/>
    <w:rsid w:val="00A43C1E"/>
    <w:rsid w:val="00A45005"/>
    <w:rsid w:val="00A475FA"/>
    <w:rsid w:val="00A47D05"/>
    <w:rsid w:val="00A51844"/>
    <w:rsid w:val="00A53801"/>
    <w:rsid w:val="00A548BB"/>
    <w:rsid w:val="00A567EE"/>
    <w:rsid w:val="00A575BF"/>
    <w:rsid w:val="00A57C39"/>
    <w:rsid w:val="00A57CEA"/>
    <w:rsid w:val="00A60761"/>
    <w:rsid w:val="00A62A78"/>
    <w:rsid w:val="00A658EC"/>
    <w:rsid w:val="00A66608"/>
    <w:rsid w:val="00A7041A"/>
    <w:rsid w:val="00A70DD8"/>
    <w:rsid w:val="00A745F8"/>
    <w:rsid w:val="00A7503F"/>
    <w:rsid w:val="00A75FBE"/>
    <w:rsid w:val="00A76790"/>
    <w:rsid w:val="00A77D03"/>
    <w:rsid w:val="00A8137C"/>
    <w:rsid w:val="00A83A7A"/>
    <w:rsid w:val="00A854F7"/>
    <w:rsid w:val="00A85D0C"/>
    <w:rsid w:val="00A925EC"/>
    <w:rsid w:val="00A928BD"/>
    <w:rsid w:val="00A929AA"/>
    <w:rsid w:val="00A92AEA"/>
    <w:rsid w:val="00A92B6B"/>
    <w:rsid w:val="00A94DA5"/>
    <w:rsid w:val="00A96A06"/>
    <w:rsid w:val="00A973DB"/>
    <w:rsid w:val="00AA07D5"/>
    <w:rsid w:val="00AA541E"/>
    <w:rsid w:val="00AA79C2"/>
    <w:rsid w:val="00AB17FD"/>
    <w:rsid w:val="00AB32B7"/>
    <w:rsid w:val="00AB44F0"/>
    <w:rsid w:val="00AB540F"/>
    <w:rsid w:val="00AB5E80"/>
    <w:rsid w:val="00AB6F50"/>
    <w:rsid w:val="00AB7460"/>
    <w:rsid w:val="00AC0CEF"/>
    <w:rsid w:val="00AC1091"/>
    <w:rsid w:val="00AC1922"/>
    <w:rsid w:val="00AC1F5F"/>
    <w:rsid w:val="00AC5CFD"/>
    <w:rsid w:val="00AC6A67"/>
    <w:rsid w:val="00AC6E4D"/>
    <w:rsid w:val="00AD0DA4"/>
    <w:rsid w:val="00AD3730"/>
    <w:rsid w:val="00AD3796"/>
    <w:rsid w:val="00AD4169"/>
    <w:rsid w:val="00AD4978"/>
    <w:rsid w:val="00AD5007"/>
    <w:rsid w:val="00AD6828"/>
    <w:rsid w:val="00AD7835"/>
    <w:rsid w:val="00AD7913"/>
    <w:rsid w:val="00AE1038"/>
    <w:rsid w:val="00AE11B4"/>
    <w:rsid w:val="00AE1487"/>
    <w:rsid w:val="00AE1982"/>
    <w:rsid w:val="00AE25C6"/>
    <w:rsid w:val="00AE306C"/>
    <w:rsid w:val="00AE3F05"/>
    <w:rsid w:val="00AE47D5"/>
    <w:rsid w:val="00AF0300"/>
    <w:rsid w:val="00AF0394"/>
    <w:rsid w:val="00AF28C1"/>
    <w:rsid w:val="00AF42B5"/>
    <w:rsid w:val="00AF469C"/>
    <w:rsid w:val="00AF485C"/>
    <w:rsid w:val="00AF4C08"/>
    <w:rsid w:val="00AF55EE"/>
    <w:rsid w:val="00AF5F19"/>
    <w:rsid w:val="00AF6945"/>
    <w:rsid w:val="00AF758E"/>
    <w:rsid w:val="00AF7ACB"/>
    <w:rsid w:val="00B01577"/>
    <w:rsid w:val="00B022B6"/>
    <w:rsid w:val="00B0276B"/>
    <w:rsid w:val="00B02EF1"/>
    <w:rsid w:val="00B03FC9"/>
    <w:rsid w:val="00B0559A"/>
    <w:rsid w:val="00B07283"/>
    <w:rsid w:val="00B07C97"/>
    <w:rsid w:val="00B11401"/>
    <w:rsid w:val="00B11C67"/>
    <w:rsid w:val="00B1250F"/>
    <w:rsid w:val="00B12788"/>
    <w:rsid w:val="00B1327C"/>
    <w:rsid w:val="00B13894"/>
    <w:rsid w:val="00B14257"/>
    <w:rsid w:val="00B15754"/>
    <w:rsid w:val="00B159FF"/>
    <w:rsid w:val="00B16002"/>
    <w:rsid w:val="00B16289"/>
    <w:rsid w:val="00B2046E"/>
    <w:rsid w:val="00B209D3"/>
    <w:rsid w:val="00B20CB0"/>
    <w:rsid w:val="00B20E8B"/>
    <w:rsid w:val="00B21271"/>
    <w:rsid w:val="00B2229C"/>
    <w:rsid w:val="00B22429"/>
    <w:rsid w:val="00B22465"/>
    <w:rsid w:val="00B2278E"/>
    <w:rsid w:val="00B22C6C"/>
    <w:rsid w:val="00B24EC8"/>
    <w:rsid w:val="00B257E1"/>
    <w:rsid w:val="00B2599A"/>
    <w:rsid w:val="00B25F47"/>
    <w:rsid w:val="00B27AC4"/>
    <w:rsid w:val="00B307FD"/>
    <w:rsid w:val="00B30AFC"/>
    <w:rsid w:val="00B32165"/>
    <w:rsid w:val="00B3241E"/>
    <w:rsid w:val="00B343CC"/>
    <w:rsid w:val="00B34BDF"/>
    <w:rsid w:val="00B356A8"/>
    <w:rsid w:val="00B36B2F"/>
    <w:rsid w:val="00B36FA5"/>
    <w:rsid w:val="00B37A37"/>
    <w:rsid w:val="00B41F2E"/>
    <w:rsid w:val="00B43500"/>
    <w:rsid w:val="00B44EED"/>
    <w:rsid w:val="00B45796"/>
    <w:rsid w:val="00B45E6D"/>
    <w:rsid w:val="00B50082"/>
    <w:rsid w:val="00B50378"/>
    <w:rsid w:val="00B5084A"/>
    <w:rsid w:val="00B50C3D"/>
    <w:rsid w:val="00B51DF9"/>
    <w:rsid w:val="00B52676"/>
    <w:rsid w:val="00B53AD4"/>
    <w:rsid w:val="00B54FE0"/>
    <w:rsid w:val="00B56B1D"/>
    <w:rsid w:val="00B606A1"/>
    <w:rsid w:val="00B60DD1"/>
    <w:rsid w:val="00B614F7"/>
    <w:rsid w:val="00B61B26"/>
    <w:rsid w:val="00B63FBC"/>
    <w:rsid w:val="00B65126"/>
    <w:rsid w:val="00B65E6B"/>
    <w:rsid w:val="00B66F1F"/>
    <w:rsid w:val="00B675B2"/>
    <w:rsid w:val="00B70F5B"/>
    <w:rsid w:val="00B70FD3"/>
    <w:rsid w:val="00B72482"/>
    <w:rsid w:val="00B73FC0"/>
    <w:rsid w:val="00B769B5"/>
    <w:rsid w:val="00B771B3"/>
    <w:rsid w:val="00B803FB"/>
    <w:rsid w:val="00B81261"/>
    <w:rsid w:val="00B81603"/>
    <w:rsid w:val="00B8223E"/>
    <w:rsid w:val="00B832AE"/>
    <w:rsid w:val="00B846F6"/>
    <w:rsid w:val="00B84A0C"/>
    <w:rsid w:val="00B85ED9"/>
    <w:rsid w:val="00B86678"/>
    <w:rsid w:val="00B868AF"/>
    <w:rsid w:val="00B87BC4"/>
    <w:rsid w:val="00B92F9B"/>
    <w:rsid w:val="00B941B3"/>
    <w:rsid w:val="00B94541"/>
    <w:rsid w:val="00B957A1"/>
    <w:rsid w:val="00B95920"/>
    <w:rsid w:val="00B95D77"/>
    <w:rsid w:val="00B96513"/>
    <w:rsid w:val="00B96D7D"/>
    <w:rsid w:val="00BA043B"/>
    <w:rsid w:val="00BA0F02"/>
    <w:rsid w:val="00BA1971"/>
    <w:rsid w:val="00BA1D47"/>
    <w:rsid w:val="00BA23CA"/>
    <w:rsid w:val="00BA655B"/>
    <w:rsid w:val="00BA66F0"/>
    <w:rsid w:val="00BA795D"/>
    <w:rsid w:val="00BB0C37"/>
    <w:rsid w:val="00BB103F"/>
    <w:rsid w:val="00BB2239"/>
    <w:rsid w:val="00BB2AE7"/>
    <w:rsid w:val="00BB2F1C"/>
    <w:rsid w:val="00BB32DD"/>
    <w:rsid w:val="00BB42C1"/>
    <w:rsid w:val="00BB4A4B"/>
    <w:rsid w:val="00BB6464"/>
    <w:rsid w:val="00BC1BB8"/>
    <w:rsid w:val="00BC1D37"/>
    <w:rsid w:val="00BC3E48"/>
    <w:rsid w:val="00BC5A51"/>
    <w:rsid w:val="00BD0002"/>
    <w:rsid w:val="00BD1C58"/>
    <w:rsid w:val="00BD39B6"/>
    <w:rsid w:val="00BD61A0"/>
    <w:rsid w:val="00BD70D5"/>
    <w:rsid w:val="00BD783A"/>
    <w:rsid w:val="00BD7B91"/>
    <w:rsid w:val="00BD7FE1"/>
    <w:rsid w:val="00BE0647"/>
    <w:rsid w:val="00BE112C"/>
    <w:rsid w:val="00BE117E"/>
    <w:rsid w:val="00BE2336"/>
    <w:rsid w:val="00BE2B1A"/>
    <w:rsid w:val="00BE377E"/>
    <w:rsid w:val="00BE37CA"/>
    <w:rsid w:val="00BE4782"/>
    <w:rsid w:val="00BE6144"/>
    <w:rsid w:val="00BE635A"/>
    <w:rsid w:val="00BE639C"/>
    <w:rsid w:val="00BE65B9"/>
    <w:rsid w:val="00BE6D47"/>
    <w:rsid w:val="00BE6D65"/>
    <w:rsid w:val="00BF0215"/>
    <w:rsid w:val="00BF17E9"/>
    <w:rsid w:val="00BF2ABB"/>
    <w:rsid w:val="00BF3C09"/>
    <w:rsid w:val="00BF5099"/>
    <w:rsid w:val="00BF6642"/>
    <w:rsid w:val="00BF772D"/>
    <w:rsid w:val="00BF793F"/>
    <w:rsid w:val="00C0115C"/>
    <w:rsid w:val="00C02A15"/>
    <w:rsid w:val="00C03CD1"/>
    <w:rsid w:val="00C03D9C"/>
    <w:rsid w:val="00C044A0"/>
    <w:rsid w:val="00C049B3"/>
    <w:rsid w:val="00C04D3B"/>
    <w:rsid w:val="00C10238"/>
    <w:rsid w:val="00C10B5E"/>
    <w:rsid w:val="00C10F10"/>
    <w:rsid w:val="00C138F5"/>
    <w:rsid w:val="00C15073"/>
    <w:rsid w:val="00C15D4D"/>
    <w:rsid w:val="00C16336"/>
    <w:rsid w:val="00C171DD"/>
    <w:rsid w:val="00C175DC"/>
    <w:rsid w:val="00C17D3F"/>
    <w:rsid w:val="00C24A68"/>
    <w:rsid w:val="00C24BE9"/>
    <w:rsid w:val="00C24F0D"/>
    <w:rsid w:val="00C25785"/>
    <w:rsid w:val="00C25DF2"/>
    <w:rsid w:val="00C27B4A"/>
    <w:rsid w:val="00C30171"/>
    <w:rsid w:val="00C3055C"/>
    <w:rsid w:val="00C309D8"/>
    <w:rsid w:val="00C357A6"/>
    <w:rsid w:val="00C37CCB"/>
    <w:rsid w:val="00C42D36"/>
    <w:rsid w:val="00C43519"/>
    <w:rsid w:val="00C45263"/>
    <w:rsid w:val="00C45368"/>
    <w:rsid w:val="00C505F1"/>
    <w:rsid w:val="00C51327"/>
    <w:rsid w:val="00C51537"/>
    <w:rsid w:val="00C52BC3"/>
    <w:rsid w:val="00C549F1"/>
    <w:rsid w:val="00C55D1F"/>
    <w:rsid w:val="00C55DBA"/>
    <w:rsid w:val="00C61AFA"/>
    <w:rsid w:val="00C61D64"/>
    <w:rsid w:val="00C62099"/>
    <w:rsid w:val="00C62A34"/>
    <w:rsid w:val="00C63934"/>
    <w:rsid w:val="00C64EA3"/>
    <w:rsid w:val="00C65523"/>
    <w:rsid w:val="00C65623"/>
    <w:rsid w:val="00C65653"/>
    <w:rsid w:val="00C65786"/>
    <w:rsid w:val="00C676FA"/>
    <w:rsid w:val="00C67BD4"/>
    <w:rsid w:val="00C70C22"/>
    <w:rsid w:val="00C70F3A"/>
    <w:rsid w:val="00C72867"/>
    <w:rsid w:val="00C75119"/>
    <w:rsid w:val="00C75E81"/>
    <w:rsid w:val="00C76C87"/>
    <w:rsid w:val="00C7787F"/>
    <w:rsid w:val="00C804A5"/>
    <w:rsid w:val="00C82F0D"/>
    <w:rsid w:val="00C83BB6"/>
    <w:rsid w:val="00C85138"/>
    <w:rsid w:val="00C855F3"/>
    <w:rsid w:val="00C86609"/>
    <w:rsid w:val="00C86B2E"/>
    <w:rsid w:val="00C9009E"/>
    <w:rsid w:val="00C92128"/>
    <w:rsid w:val="00C92B4C"/>
    <w:rsid w:val="00C954F6"/>
    <w:rsid w:val="00C963AE"/>
    <w:rsid w:val="00C97F5C"/>
    <w:rsid w:val="00CA03CA"/>
    <w:rsid w:val="00CA0A5A"/>
    <w:rsid w:val="00CA25E5"/>
    <w:rsid w:val="00CA2EE0"/>
    <w:rsid w:val="00CA36A0"/>
    <w:rsid w:val="00CA6618"/>
    <w:rsid w:val="00CA6BC5"/>
    <w:rsid w:val="00CB215F"/>
    <w:rsid w:val="00CB2407"/>
    <w:rsid w:val="00CB399B"/>
    <w:rsid w:val="00CB4925"/>
    <w:rsid w:val="00CB608A"/>
    <w:rsid w:val="00CB7DF6"/>
    <w:rsid w:val="00CC099A"/>
    <w:rsid w:val="00CC0D62"/>
    <w:rsid w:val="00CC0D65"/>
    <w:rsid w:val="00CC1EAC"/>
    <w:rsid w:val="00CC571B"/>
    <w:rsid w:val="00CC61CD"/>
    <w:rsid w:val="00CC620F"/>
    <w:rsid w:val="00CC6640"/>
    <w:rsid w:val="00CC6C02"/>
    <w:rsid w:val="00CC737B"/>
    <w:rsid w:val="00CD13B8"/>
    <w:rsid w:val="00CD44ED"/>
    <w:rsid w:val="00CD4B37"/>
    <w:rsid w:val="00CD5011"/>
    <w:rsid w:val="00CD5CC6"/>
    <w:rsid w:val="00CD6A1E"/>
    <w:rsid w:val="00CD6E15"/>
    <w:rsid w:val="00CE17AA"/>
    <w:rsid w:val="00CE2AD6"/>
    <w:rsid w:val="00CE3AC5"/>
    <w:rsid w:val="00CE54D3"/>
    <w:rsid w:val="00CE640F"/>
    <w:rsid w:val="00CE76BC"/>
    <w:rsid w:val="00CF0444"/>
    <w:rsid w:val="00CF3A31"/>
    <w:rsid w:val="00CF3B34"/>
    <w:rsid w:val="00CF540E"/>
    <w:rsid w:val="00CF6E62"/>
    <w:rsid w:val="00CF77FB"/>
    <w:rsid w:val="00D02F07"/>
    <w:rsid w:val="00D0318F"/>
    <w:rsid w:val="00D051D3"/>
    <w:rsid w:val="00D069C1"/>
    <w:rsid w:val="00D06F25"/>
    <w:rsid w:val="00D07469"/>
    <w:rsid w:val="00D077B7"/>
    <w:rsid w:val="00D10D98"/>
    <w:rsid w:val="00D133F4"/>
    <w:rsid w:val="00D1346D"/>
    <w:rsid w:val="00D13B87"/>
    <w:rsid w:val="00D15BCD"/>
    <w:rsid w:val="00D15D88"/>
    <w:rsid w:val="00D20910"/>
    <w:rsid w:val="00D215CD"/>
    <w:rsid w:val="00D240A0"/>
    <w:rsid w:val="00D24D8F"/>
    <w:rsid w:val="00D24DEC"/>
    <w:rsid w:val="00D271E6"/>
    <w:rsid w:val="00D27D49"/>
    <w:rsid w:val="00D27EBE"/>
    <w:rsid w:val="00D30C05"/>
    <w:rsid w:val="00D3355B"/>
    <w:rsid w:val="00D353A0"/>
    <w:rsid w:val="00D35F69"/>
    <w:rsid w:val="00D36A49"/>
    <w:rsid w:val="00D403CC"/>
    <w:rsid w:val="00D40FC6"/>
    <w:rsid w:val="00D42DF0"/>
    <w:rsid w:val="00D46645"/>
    <w:rsid w:val="00D47995"/>
    <w:rsid w:val="00D47DC7"/>
    <w:rsid w:val="00D502EE"/>
    <w:rsid w:val="00D504D2"/>
    <w:rsid w:val="00D50C62"/>
    <w:rsid w:val="00D50CED"/>
    <w:rsid w:val="00D517C6"/>
    <w:rsid w:val="00D57179"/>
    <w:rsid w:val="00D57C3C"/>
    <w:rsid w:val="00D617DB"/>
    <w:rsid w:val="00D61BA6"/>
    <w:rsid w:val="00D62AB7"/>
    <w:rsid w:val="00D63672"/>
    <w:rsid w:val="00D6477D"/>
    <w:rsid w:val="00D66568"/>
    <w:rsid w:val="00D6714E"/>
    <w:rsid w:val="00D70172"/>
    <w:rsid w:val="00D70326"/>
    <w:rsid w:val="00D70439"/>
    <w:rsid w:val="00D71406"/>
    <w:rsid w:val="00D71D84"/>
    <w:rsid w:val="00D72464"/>
    <w:rsid w:val="00D72A57"/>
    <w:rsid w:val="00D73C9F"/>
    <w:rsid w:val="00D7401B"/>
    <w:rsid w:val="00D749C0"/>
    <w:rsid w:val="00D768EB"/>
    <w:rsid w:val="00D76AA1"/>
    <w:rsid w:val="00D8082A"/>
    <w:rsid w:val="00D80F3C"/>
    <w:rsid w:val="00D81E17"/>
    <w:rsid w:val="00D82D1E"/>
    <w:rsid w:val="00D832D9"/>
    <w:rsid w:val="00D85754"/>
    <w:rsid w:val="00D877DC"/>
    <w:rsid w:val="00D87ACB"/>
    <w:rsid w:val="00D90F00"/>
    <w:rsid w:val="00D93881"/>
    <w:rsid w:val="00D94618"/>
    <w:rsid w:val="00D9612B"/>
    <w:rsid w:val="00D967EC"/>
    <w:rsid w:val="00D96804"/>
    <w:rsid w:val="00D975C0"/>
    <w:rsid w:val="00DA061F"/>
    <w:rsid w:val="00DA0621"/>
    <w:rsid w:val="00DA0989"/>
    <w:rsid w:val="00DA1847"/>
    <w:rsid w:val="00DA222D"/>
    <w:rsid w:val="00DA5285"/>
    <w:rsid w:val="00DA73D9"/>
    <w:rsid w:val="00DA7898"/>
    <w:rsid w:val="00DB191D"/>
    <w:rsid w:val="00DB1F96"/>
    <w:rsid w:val="00DB2242"/>
    <w:rsid w:val="00DB4F91"/>
    <w:rsid w:val="00DB60EE"/>
    <w:rsid w:val="00DB6D0A"/>
    <w:rsid w:val="00DB6E3D"/>
    <w:rsid w:val="00DB7111"/>
    <w:rsid w:val="00DB7F29"/>
    <w:rsid w:val="00DC06BE"/>
    <w:rsid w:val="00DC10D3"/>
    <w:rsid w:val="00DC1F0F"/>
    <w:rsid w:val="00DC253E"/>
    <w:rsid w:val="00DC3117"/>
    <w:rsid w:val="00DC4D76"/>
    <w:rsid w:val="00DC4E2A"/>
    <w:rsid w:val="00DC5DD9"/>
    <w:rsid w:val="00DC6D2D"/>
    <w:rsid w:val="00DC7924"/>
    <w:rsid w:val="00DD3035"/>
    <w:rsid w:val="00DD3691"/>
    <w:rsid w:val="00DD3B80"/>
    <w:rsid w:val="00DD400C"/>
    <w:rsid w:val="00DD4E59"/>
    <w:rsid w:val="00DE0017"/>
    <w:rsid w:val="00DE33B5"/>
    <w:rsid w:val="00DE3535"/>
    <w:rsid w:val="00DE5E18"/>
    <w:rsid w:val="00DE700D"/>
    <w:rsid w:val="00DF0487"/>
    <w:rsid w:val="00DF1911"/>
    <w:rsid w:val="00DF5EA4"/>
    <w:rsid w:val="00DF68AD"/>
    <w:rsid w:val="00DF7070"/>
    <w:rsid w:val="00DF713B"/>
    <w:rsid w:val="00DF7569"/>
    <w:rsid w:val="00E00F53"/>
    <w:rsid w:val="00E02681"/>
    <w:rsid w:val="00E02711"/>
    <w:rsid w:val="00E02792"/>
    <w:rsid w:val="00E034D8"/>
    <w:rsid w:val="00E04CC0"/>
    <w:rsid w:val="00E05584"/>
    <w:rsid w:val="00E07B8B"/>
    <w:rsid w:val="00E15816"/>
    <w:rsid w:val="00E160D5"/>
    <w:rsid w:val="00E1755F"/>
    <w:rsid w:val="00E17D64"/>
    <w:rsid w:val="00E20364"/>
    <w:rsid w:val="00E20ACB"/>
    <w:rsid w:val="00E216D1"/>
    <w:rsid w:val="00E21D1F"/>
    <w:rsid w:val="00E239FF"/>
    <w:rsid w:val="00E27D7B"/>
    <w:rsid w:val="00E30556"/>
    <w:rsid w:val="00E30964"/>
    <w:rsid w:val="00E30981"/>
    <w:rsid w:val="00E3175F"/>
    <w:rsid w:val="00E3290E"/>
    <w:rsid w:val="00E32B2A"/>
    <w:rsid w:val="00E33136"/>
    <w:rsid w:val="00E33195"/>
    <w:rsid w:val="00E349C6"/>
    <w:rsid w:val="00E34C96"/>
    <w:rsid w:val="00E34D7C"/>
    <w:rsid w:val="00E34F79"/>
    <w:rsid w:val="00E35802"/>
    <w:rsid w:val="00E3723D"/>
    <w:rsid w:val="00E40722"/>
    <w:rsid w:val="00E43AB1"/>
    <w:rsid w:val="00E43D0D"/>
    <w:rsid w:val="00E44C89"/>
    <w:rsid w:val="00E4515A"/>
    <w:rsid w:val="00E457A6"/>
    <w:rsid w:val="00E47709"/>
    <w:rsid w:val="00E477CA"/>
    <w:rsid w:val="00E51931"/>
    <w:rsid w:val="00E54F9E"/>
    <w:rsid w:val="00E55472"/>
    <w:rsid w:val="00E57906"/>
    <w:rsid w:val="00E60808"/>
    <w:rsid w:val="00E61A23"/>
    <w:rsid w:val="00E61BA2"/>
    <w:rsid w:val="00E63864"/>
    <w:rsid w:val="00E6403F"/>
    <w:rsid w:val="00E652F6"/>
    <w:rsid w:val="00E66401"/>
    <w:rsid w:val="00E748DB"/>
    <w:rsid w:val="00E750E3"/>
    <w:rsid w:val="00E75185"/>
    <w:rsid w:val="00E75451"/>
    <w:rsid w:val="00E75673"/>
    <w:rsid w:val="00E75EA9"/>
    <w:rsid w:val="00E76AD6"/>
    <w:rsid w:val="00E770C4"/>
    <w:rsid w:val="00E80400"/>
    <w:rsid w:val="00E8068D"/>
    <w:rsid w:val="00E820E4"/>
    <w:rsid w:val="00E84C5A"/>
    <w:rsid w:val="00E85A32"/>
    <w:rsid w:val="00E861DB"/>
    <w:rsid w:val="00E8669D"/>
    <w:rsid w:val="00E908F1"/>
    <w:rsid w:val="00E90960"/>
    <w:rsid w:val="00E93406"/>
    <w:rsid w:val="00E94C0F"/>
    <w:rsid w:val="00E956C5"/>
    <w:rsid w:val="00E9597C"/>
    <w:rsid w:val="00E95C39"/>
    <w:rsid w:val="00E96324"/>
    <w:rsid w:val="00E97F71"/>
    <w:rsid w:val="00EA11C6"/>
    <w:rsid w:val="00EA2C39"/>
    <w:rsid w:val="00EA572B"/>
    <w:rsid w:val="00EA6EC8"/>
    <w:rsid w:val="00EA7386"/>
    <w:rsid w:val="00EA772A"/>
    <w:rsid w:val="00EA7EE1"/>
    <w:rsid w:val="00EB0A3C"/>
    <w:rsid w:val="00EB0A96"/>
    <w:rsid w:val="00EB1FFC"/>
    <w:rsid w:val="00EB61D1"/>
    <w:rsid w:val="00EB77F9"/>
    <w:rsid w:val="00EB78B2"/>
    <w:rsid w:val="00EC07E8"/>
    <w:rsid w:val="00EC0991"/>
    <w:rsid w:val="00EC0F5F"/>
    <w:rsid w:val="00EC181D"/>
    <w:rsid w:val="00EC2597"/>
    <w:rsid w:val="00EC29B5"/>
    <w:rsid w:val="00EC370E"/>
    <w:rsid w:val="00EC4F25"/>
    <w:rsid w:val="00EC5769"/>
    <w:rsid w:val="00EC68CD"/>
    <w:rsid w:val="00EC7D00"/>
    <w:rsid w:val="00ED0304"/>
    <w:rsid w:val="00ED20C0"/>
    <w:rsid w:val="00ED2525"/>
    <w:rsid w:val="00ED2778"/>
    <w:rsid w:val="00ED3430"/>
    <w:rsid w:val="00ED4605"/>
    <w:rsid w:val="00ED4FF7"/>
    <w:rsid w:val="00ED54A0"/>
    <w:rsid w:val="00ED5B7B"/>
    <w:rsid w:val="00ED703C"/>
    <w:rsid w:val="00EE00EF"/>
    <w:rsid w:val="00EE1126"/>
    <w:rsid w:val="00EE38FA"/>
    <w:rsid w:val="00EE3E2C"/>
    <w:rsid w:val="00EE5032"/>
    <w:rsid w:val="00EE5D23"/>
    <w:rsid w:val="00EE750D"/>
    <w:rsid w:val="00EE75B5"/>
    <w:rsid w:val="00EE79D6"/>
    <w:rsid w:val="00EF09B4"/>
    <w:rsid w:val="00EF2AC7"/>
    <w:rsid w:val="00EF3CA4"/>
    <w:rsid w:val="00EF3EDE"/>
    <w:rsid w:val="00EF49A8"/>
    <w:rsid w:val="00EF4D29"/>
    <w:rsid w:val="00EF5D67"/>
    <w:rsid w:val="00EF7859"/>
    <w:rsid w:val="00F014DA"/>
    <w:rsid w:val="00F01CAE"/>
    <w:rsid w:val="00F02591"/>
    <w:rsid w:val="00F039CE"/>
    <w:rsid w:val="00F1076C"/>
    <w:rsid w:val="00F14A3E"/>
    <w:rsid w:val="00F15961"/>
    <w:rsid w:val="00F17BB7"/>
    <w:rsid w:val="00F23CE0"/>
    <w:rsid w:val="00F27F12"/>
    <w:rsid w:val="00F302CD"/>
    <w:rsid w:val="00F3047C"/>
    <w:rsid w:val="00F30AE1"/>
    <w:rsid w:val="00F31F3D"/>
    <w:rsid w:val="00F34BA8"/>
    <w:rsid w:val="00F35256"/>
    <w:rsid w:val="00F36382"/>
    <w:rsid w:val="00F40DA0"/>
    <w:rsid w:val="00F41073"/>
    <w:rsid w:val="00F46967"/>
    <w:rsid w:val="00F5696E"/>
    <w:rsid w:val="00F5796F"/>
    <w:rsid w:val="00F60EFF"/>
    <w:rsid w:val="00F61257"/>
    <w:rsid w:val="00F63660"/>
    <w:rsid w:val="00F65E59"/>
    <w:rsid w:val="00F6763E"/>
    <w:rsid w:val="00F67A50"/>
    <w:rsid w:val="00F67D11"/>
    <w:rsid w:val="00F67D2D"/>
    <w:rsid w:val="00F67FD4"/>
    <w:rsid w:val="00F7135D"/>
    <w:rsid w:val="00F718A1"/>
    <w:rsid w:val="00F71BF4"/>
    <w:rsid w:val="00F728A3"/>
    <w:rsid w:val="00F72ADB"/>
    <w:rsid w:val="00F72AFF"/>
    <w:rsid w:val="00F735DF"/>
    <w:rsid w:val="00F77462"/>
    <w:rsid w:val="00F81FB2"/>
    <w:rsid w:val="00F82858"/>
    <w:rsid w:val="00F8360A"/>
    <w:rsid w:val="00F841AB"/>
    <w:rsid w:val="00F84E43"/>
    <w:rsid w:val="00F84F40"/>
    <w:rsid w:val="00F85364"/>
    <w:rsid w:val="00F8565C"/>
    <w:rsid w:val="00F858F2"/>
    <w:rsid w:val="00F86005"/>
    <w:rsid w:val="00F860CC"/>
    <w:rsid w:val="00F9014D"/>
    <w:rsid w:val="00F90A7E"/>
    <w:rsid w:val="00F9365E"/>
    <w:rsid w:val="00F937A6"/>
    <w:rsid w:val="00F93C44"/>
    <w:rsid w:val="00F94398"/>
    <w:rsid w:val="00F94506"/>
    <w:rsid w:val="00F95FE6"/>
    <w:rsid w:val="00FA1FC8"/>
    <w:rsid w:val="00FA5656"/>
    <w:rsid w:val="00FA6071"/>
    <w:rsid w:val="00FA6819"/>
    <w:rsid w:val="00FB0371"/>
    <w:rsid w:val="00FB2B56"/>
    <w:rsid w:val="00FB411D"/>
    <w:rsid w:val="00FB4DB0"/>
    <w:rsid w:val="00FB55D5"/>
    <w:rsid w:val="00FB5F1A"/>
    <w:rsid w:val="00FC0334"/>
    <w:rsid w:val="00FC12BF"/>
    <w:rsid w:val="00FC230B"/>
    <w:rsid w:val="00FC2C60"/>
    <w:rsid w:val="00FC2CC8"/>
    <w:rsid w:val="00FC4AF2"/>
    <w:rsid w:val="00FC5DDC"/>
    <w:rsid w:val="00FC5E4F"/>
    <w:rsid w:val="00FC778C"/>
    <w:rsid w:val="00FC77F1"/>
    <w:rsid w:val="00FD06FA"/>
    <w:rsid w:val="00FD13E2"/>
    <w:rsid w:val="00FD21FD"/>
    <w:rsid w:val="00FD3169"/>
    <w:rsid w:val="00FD39AD"/>
    <w:rsid w:val="00FD3BD4"/>
    <w:rsid w:val="00FD3E6F"/>
    <w:rsid w:val="00FD50B3"/>
    <w:rsid w:val="00FD51B9"/>
    <w:rsid w:val="00FD5849"/>
    <w:rsid w:val="00FD633F"/>
    <w:rsid w:val="00FD7005"/>
    <w:rsid w:val="00FD7359"/>
    <w:rsid w:val="00FE03E4"/>
    <w:rsid w:val="00FE0872"/>
    <w:rsid w:val="00FE179C"/>
    <w:rsid w:val="00FE205F"/>
    <w:rsid w:val="00FE2388"/>
    <w:rsid w:val="00FE2A39"/>
    <w:rsid w:val="00FE2E78"/>
    <w:rsid w:val="00FE3DAF"/>
    <w:rsid w:val="00FE5B8A"/>
    <w:rsid w:val="00FE6369"/>
    <w:rsid w:val="00FE6519"/>
    <w:rsid w:val="00FE6607"/>
    <w:rsid w:val="00FF00F8"/>
    <w:rsid w:val="00FF0636"/>
    <w:rsid w:val="00FF0F12"/>
    <w:rsid w:val="00FF2174"/>
    <w:rsid w:val="00FF2A2A"/>
    <w:rsid w:val="00FF39CF"/>
    <w:rsid w:val="00FF3BBA"/>
    <w:rsid w:val="00FF3FBB"/>
    <w:rsid w:val="00FF595B"/>
    <w:rsid w:val="00FF7159"/>
    <w:rsid w:val="00FF766F"/>
    <w:rsid w:val="00FF792F"/>
    <w:rsid w:val="00FF7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3FA1"/>
  <w15:docId w15:val="{82E1860D-8AF8-4C51-8C7B-07BE8ABB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1"/>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1"/>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E750D"/>
    <w:rPr>
      <w:rFonts w:ascii="Lato" w:hAnsi="Lato"/>
      <w:b/>
      <w:color w:val="1F1F5F" w:themeColor="text1"/>
    </w:rPr>
  </w:style>
  <w:style w:type="character" w:customStyle="1" w:styleId="Heading6Char">
    <w:name w:val="Heading 6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8765D1"/>
    <w:pPr>
      <w:numPr>
        <w:numId w:val="12"/>
      </w:num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MT Std Cond" w:hAnsi="Arial MT Std Cond"/>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numbering" w:customStyle="1" w:styleId="NTGStandardNumList">
    <w:name w:val="NTG Standard Num List"/>
    <w:uiPriority w:val="99"/>
    <w:rsid w:val="00B2229C"/>
    <w:pPr>
      <w:numPr>
        <w:numId w:val="9"/>
      </w:numPr>
    </w:pPr>
  </w:style>
  <w:style w:type="paragraph" w:customStyle="1" w:styleId="NTGTableBulletList1">
    <w:name w:val="NTG Table Bullet List 1"/>
    <w:semiHidden/>
    <w:qFormat/>
    <w:rsid w:val="00B2229C"/>
    <w:pPr>
      <w:numPr>
        <w:numId w:val="11"/>
      </w:numPr>
      <w:spacing w:after="20"/>
    </w:pPr>
  </w:style>
  <w:style w:type="paragraph" w:customStyle="1" w:styleId="NTGTableBulletList2">
    <w:name w:val="NTG Table Bullet List 2"/>
    <w:basedOn w:val="NTGTableBulletList1"/>
    <w:semiHidden/>
    <w:qFormat/>
    <w:rsid w:val="00B2229C"/>
    <w:pPr>
      <w:numPr>
        <w:ilvl w:val="1"/>
      </w:numPr>
      <w:ind w:left="1440" w:hanging="360"/>
    </w:pPr>
  </w:style>
  <w:style w:type="paragraph" w:customStyle="1" w:styleId="NTGTableBulletList3">
    <w:name w:val="NTG Table Bullet List 3"/>
    <w:basedOn w:val="NTGTableBulletList2"/>
    <w:semiHidden/>
    <w:qFormat/>
    <w:rsid w:val="00B2229C"/>
    <w:pPr>
      <w:numPr>
        <w:ilvl w:val="2"/>
      </w:numPr>
      <w:ind w:left="2160" w:hanging="360"/>
    </w:pPr>
  </w:style>
  <w:style w:type="paragraph" w:customStyle="1" w:styleId="NTGTableBulletList4">
    <w:name w:val="NTG Table Bullet List 4"/>
    <w:basedOn w:val="NTGTableBulletList3"/>
    <w:semiHidden/>
    <w:qFormat/>
    <w:rsid w:val="00B2229C"/>
    <w:pPr>
      <w:numPr>
        <w:ilvl w:val="3"/>
      </w:numPr>
      <w:ind w:left="2880" w:hanging="360"/>
    </w:pPr>
  </w:style>
  <w:style w:type="paragraph" w:customStyle="1" w:styleId="NTGTableBulletList5">
    <w:name w:val="NTG Table Bullet List 5"/>
    <w:basedOn w:val="NTGTableBulletList4"/>
    <w:semiHidden/>
    <w:qFormat/>
    <w:rsid w:val="00B2229C"/>
    <w:pPr>
      <w:numPr>
        <w:ilvl w:val="4"/>
      </w:numPr>
      <w:ind w:left="3600" w:hanging="360"/>
    </w:pPr>
  </w:style>
  <w:style w:type="paragraph" w:customStyle="1" w:styleId="NTGTableBulletList6">
    <w:name w:val="NTG Table Bullet List 6"/>
    <w:basedOn w:val="NTGTableBulletList5"/>
    <w:semiHidden/>
    <w:qFormat/>
    <w:rsid w:val="00B2229C"/>
    <w:pPr>
      <w:numPr>
        <w:ilvl w:val="5"/>
      </w:numPr>
      <w:ind w:left="4320" w:hanging="360"/>
    </w:pPr>
  </w:style>
  <w:style w:type="paragraph" w:customStyle="1" w:styleId="NTGTableBulletList7">
    <w:name w:val="NTG Table Bullet List 7"/>
    <w:basedOn w:val="NTGTableBulletList6"/>
    <w:semiHidden/>
    <w:qFormat/>
    <w:rsid w:val="00B2229C"/>
    <w:pPr>
      <w:numPr>
        <w:ilvl w:val="6"/>
      </w:numPr>
      <w:ind w:left="5040" w:hanging="360"/>
    </w:pPr>
  </w:style>
  <w:style w:type="paragraph" w:customStyle="1" w:styleId="NTGTableBulletList8">
    <w:name w:val="NTG Table Bullet List 8"/>
    <w:basedOn w:val="NTGTableBulletList7"/>
    <w:semiHidden/>
    <w:qFormat/>
    <w:rsid w:val="00B2229C"/>
    <w:pPr>
      <w:numPr>
        <w:ilvl w:val="7"/>
      </w:numPr>
    </w:pPr>
  </w:style>
  <w:style w:type="paragraph" w:customStyle="1" w:styleId="NTGTableBulletList9">
    <w:name w:val="NTG Table Bullet List 9"/>
    <w:basedOn w:val="NTGTableBulletList8"/>
    <w:semiHidden/>
    <w:qFormat/>
    <w:rsid w:val="00B2229C"/>
    <w:pPr>
      <w:numPr>
        <w:ilvl w:val="8"/>
      </w:numPr>
    </w:pPr>
  </w:style>
  <w:style w:type="numbering" w:customStyle="1" w:styleId="NTGTableList">
    <w:name w:val="NTG Table List"/>
    <w:uiPriority w:val="99"/>
    <w:rsid w:val="00B2229C"/>
    <w:pPr>
      <w:numPr>
        <w:numId w:val="10"/>
      </w:numPr>
    </w:pPr>
  </w:style>
  <w:style w:type="paragraph" w:customStyle="1" w:styleId="NTGTableNumList1">
    <w:name w:val="NTG Table Num List 1"/>
    <w:semiHidden/>
    <w:qFormat/>
    <w:rsid w:val="00820DEB"/>
    <w:pPr>
      <w:numPr>
        <w:numId w:val="13"/>
      </w:numPr>
      <w:spacing w:after="20"/>
    </w:pPr>
  </w:style>
  <w:style w:type="paragraph" w:customStyle="1" w:styleId="NTGTableNumList2">
    <w:name w:val="NTG Table Num List 2"/>
    <w:basedOn w:val="NTGTableNumList1"/>
    <w:semiHidden/>
    <w:qFormat/>
    <w:rsid w:val="00820DEB"/>
    <w:pPr>
      <w:numPr>
        <w:ilvl w:val="1"/>
      </w:numPr>
    </w:pPr>
  </w:style>
  <w:style w:type="paragraph" w:customStyle="1" w:styleId="NTGTableNumList3">
    <w:name w:val="NTG Table Num List 3"/>
    <w:basedOn w:val="NTGTableNumList2"/>
    <w:semiHidden/>
    <w:qFormat/>
    <w:rsid w:val="00820DEB"/>
    <w:pPr>
      <w:numPr>
        <w:ilvl w:val="2"/>
      </w:numPr>
    </w:pPr>
  </w:style>
  <w:style w:type="paragraph" w:customStyle="1" w:styleId="NTGTableNumList4">
    <w:name w:val="NTG Table Num List 4"/>
    <w:basedOn w:val="NTGTableNumList3"/>
    <w:semiHidden/>
    <w:qFormat/>
    <w:rsid w:val="00820DEB"/>
    <w:pPr>
      <w:numPr>
        <w:ilvl w:val="3"/>
      </w:numPr>
    </w:pPr>
  </w:style>
  <w:style w:type="paragraph" w:customStyle="1" w:styleId="NTGTableNumList5">
    <w:name w:val="NTG Table Num List 5"/>
    <w:basedOn w:val="NTGTableNumList4"/>
    <w:semiHidden/>
    <w:qFormat/>
    <w:rsid w:val="00820DEB"/>
    <w:pPr>
      <w:numPr>
        <w:ilvl w:val="4"/>
      </w:numPr>
    </w:pPr>
  </w:style>
  <w:style w:type="paragraph" w:customStyle="1" w:styleId="NTGTableNumList6">
    <w:name w:val="NTG Table Num List 6"/>
    <w:basedOn w:val="NTGTableNumList5"/>
    <w:semiHidden/>
    <w:qFormat/>
    <w:rsid w:val="00820DEB"/>
    <w:pPr>
      <w:numPr>
        <w:ilvl w:val="5"/>
      </w:numPr>
    </w:pPr>
  </w:style>
  <w:style w:type="paragraph" w:customStyle="1" w:styleId="NTGTableNumList7">
    <w:name w:val="NTG Table Num List 7"/>
    <w:basedOn w:val="NTGTableNumList6"/>
    <w:semiHidden/>
    <w:qFormat/>
    <w:rsid w:val="00820DEB"/>
    <w:pPr>
      <w:numPr>
        <w:ilvl w:val="6"/>
      </w:numPr>
    </w:pPr>
  </w:style>
  <w:style w:type="paragraph" w:customStyle="1" w:styleId="NTGTableNumList8">
    <w:name w:val="NTG Table Num List 8"/>
    <w:basedOn w:val="NTGTableNumList7"/>
    <w:semiHidden/>
    <w:qFormat/>
    <w:rsid w:val="00820DEB"/>
    <w:pPr>
      <w:numPr>
        <w:ilvl w:val="7"/>
      </w:numPr>
    </w:pPr>
  </w:style>
  <w:style w:type="paragraph" w:customStyle="1" w:styleId="NTGTableNumList9">
    <w:name w:val="NTG Table Num List 9"/>
    <w:basedOn w:val="NTGTableNumList8"/>
    <w:semiHidden/>
    <w:qFormat/>
    <w:rsid w:val="00820DEB"/>
    <w:pPr>
      <w:numPr>
        <w:ilvl w:val="8"/>
      </w:numPr>
    </w:pPr>
  </w:style>
  <w:style w:type="character" w:styleId="CommentReference">
    <w:name w:val="annotation reference"/>
    <w:basedOn w:val="DefaultParagraphFont"/>
    <w:uiPriority w:val="99"/>
    <w:semiHidden/>
    <w:unhideWhenUsed/>
    <w:rsid w:val="00820DEB"/>
    <w:rPr>
      <w:sz w:val="16"/>
      <w:szCs w:val="16"/>
    </w:rPr>
  </w:style>
  <w:style w:type="paragraph" w:styleId="CommentText">
    <w:name w:val="annotation text"/>
    <w:basedOn w:val="Normal"/>
    <w:link w:val="CommentTextChar"/>
    <w:uiPriority w:val="99"/>
    <w:unhideWhenUsed/>
    <w:rsid w:val="00820DEB"/>
    <w:rPr>
      <w:rFonts w:ascii="Arial" w:hAnsi="Arial"/>
      <w:sz w:val="20"/>
      <w:szCs w:val="20"/>
    </w:rPr>
  </w:style>
  <w:style w:type="character" w:customStyle="1" w:styleId="CommentTextChar">
    <w:name w:val="Comment Text Char"/>
    <w:basedOn w:val="DefaultParagraphFont"/>
    <w:link w:val="CommentText"/>
    <w:uiPriority w:val="99"/>
    <w:rsid w:val="00820DEB"/>
    <w:rPr>
      <w:sz w:val="20"/>
      <w:szCs w:val="20"/>
    </w:rPr>
  </w:style>
  <w:style w:type="table" w:customStyle="1" w:styleId="NTGTable0">
    <w:name w:val="NTG Table"/>
    <w:basedOn w:val="TableGrid"/>
    <w:uiPriority w:val="99"/>
    <w:rsid w:val="00667C4A"/>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D133F4"/>
    <w:pPr>
      <w:spacing w:after="0"/>
    </w:pPr>
    <w:rPr>
      <w:rFonts w:ascii="Lato" w:hAnsi="Lato"/>
    </w:rPr>
  </w:style>
  <w:style w:type="numbering" w:customStyle="1" w:styleId="NTGTableNumList">
    <w:name w:val="NTG Table Num List"/>
    <w:uiPriority w:val="99"/>
    <w:rsid w:val="00E3290E"/>
    <w:pPr>
      <w:numPr>
        <w:numId w:val="14"/>
      </w:numPr>
    </w:pPr>
  </w:style>
  <w:style w:type="paragraph" w:customStyle="1" w:styleId="DTFBodyText">
    <w:name w:val="DTF Body Text"/>
    <w:basedOn w:val="Normal"/>
    <w:link w:val="DTFBodyTextChar"/>
    <w:qFormat/>
    <w:rsid w:val="00E3290E"/>
    <w:pPr>
      <w:tabs>
        <w:tab w:val="left" w:pos="709"/>
        <w:tab w:val="left" w:pos="1276"/>
        <w:tab w:val="left" w:pos="4536"/>
      </w:tabs>
    </w:pPr>
    <w:rPr>
      <w:rFonts w:ascii="Arial" w:eastAsia="Times New Roman" w:hAnsi="Arial" w:cs="Arial"/>
      <w:szCs w:val="20"/>
      <w:lang w:eastAsia="en-AU"/>
    </w:rPr>
  </w:style>
  <w:style w:type="character" w:customStyle="1" w:styleId="DTFBodyTextChar">
    <w:name w:val="DTF Body Text Char"/>
    <w:basedOn w:val="DefaultParagraphFont"/>
    <w:link w:val="DTFBodyText"/>
    <w:rsid w:val="00E3290E"/>
    <w:rPr>
      <w:rFonts w:eastAsia="Times New Roman" w:cs="Arial"/>
      <w:szCs w:val="20"/>
      <w:lang w:eastAsia="en-AU"/>
    </w:rPr>
  </w:style>
  <w:style w:type="paragraph" w:styleId="CommentSubject">
    <w:name w:val="annotation subject"/>
    <w:basedOn w:val="CommentText"/>
    <w:next w:val="CommentText"/>
    <w:link w:val="CommentSubjectChar"/>
    <w:uiPriority w:val="99"/>
    <w:semiHidden/>
    <w:unhideWhenUsed/>
    <w:rsid w:val="0064462E"/>
    <w:rPr>
      <w:rFonts w:ascii="Lato" w:hAnsi="Lato"/>
      <w:b/>
      <w:bCs/>
    </w:rPr>
  </w:style>
  <w:style w:type="character" w:customStyle="1" w:styleId="CommentSubjectChar">
    <w:name w:val="Comment Subject Char"/>
    <w:basedOn w:val="CommentTextChar"/>
    <w:link w:val="CommentSubject"/>
    <w:uiPriority w:val="99"/>
    <w:semiHidden/>
    <w:rsid w:val="0064462E"/>
    <w:rPr>
      <w:rFonts w:ascii="Lato" w:hAnsi="Lato"/>
      <w:b/>
      <w:bCs/>
      <w:sz w:val="20"/>
      <w:szCs w:val="20"/>
    </w:rPr>
  </w:style>
  <w:style w:type="paragraph" w:styleId="FootnoteText">
    <w:name w:val="footnote text"/>
    <w:basedOn w:val="Normal"/>
    <w:link w:val="FootnoteTextChar"/>
    <w:uiPriority w:val="99"/>
    <w:semiHidden/>
    <w:unhideWhenUsed/>
    <w:rsid w:val="005565BD"/>
    <w:pPr>
      <w:spacing w:after="0"/>
    </w:pPr>
    <w:rPr>
      <w:sz w:val="20"/>
      <w:szCs w:val="20"/>
    </w:rPr>
  </w:style>
  <w:style w:type="character" w:customStyle="1" w:styleId="FootnoteTextChar">
    <w:name w:val="Footnote Text Char"/>
    <w:basedOn w:val="DefaultParagraphFont"/>
    <w:link w:val="FootnoteText"/>
    <w:uiPriority w:val="99"/>
    <w:semiHidden/>
    <w:rsid w:val="005565BD"/>
    <w:rPr>
      <w:rFonts w:ascii="Lato" w:hAnsi="Lato"/>
      <w:sz w:val="20"/>
      <w:szCs w:val="20"/>
    </w:rPr>
  </w:style>
  <w:style w:type="character" w:styleId="FootnoteReference">
    <w:name w:val="footnote reference"/>
    <w:basedOn w:val="DefaultParagraphFont"/>
    <w:uiPriority w:val="99"/>
    <w:semiHidden/>
    <w:unhideWhenUsed/>
    <w:rsid w:val="005565BD"/>
    <w:rPr>
      <w:vertAlign w:val="superscript"/>
    </w:rPr>
  </w:style>
  <w:style w:type="table" w:customStyle="1" w:styleId="NTGtable1">
    <w:name w:val="NTG table 1"/>
    <w:basedOn w:val="TableNormal"/>
    <w:uiPriority w:val="99"/>
    <w:rsid w:val="004B16AB"/>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Arial MT Std Cond" w:hAnsi="Arial MT Std Cond"/>
        <w:sz w:val="22"/>
      </w:rPr>
    </w:tblStylePr>
    <w:tblStylePr w:type="band2Vert">
      <w:rPr>
        <w:rFonts w:ascii="Arial MT Std Cond" w:hAnsi="Arial MT Std Cond"/>
        <w:sz w:val="22"/>
      </w:rPr>
    </w:tblStylePr>
    <w:tblStylePr w:type="band1Horz">
      <w:rPr>
        <w:rFonts w:ascii="Arial MT Std Cond" w:hAnsi="Arial MT Std Cond"/>
        <w:sz w:val="22"/>
      </w:rPr>
    </w:tblStylePr>
    <w:tblStylePr w:type="band2Horz">
      <w:rPr>
        <w:rFonts w:ascii="Arial MT Std Cond" w:hAnsi="Arial MT Std Cond"/>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character" w:styleId="FollowedHyperlink">
    <w:name w:val="FollowedHyperlink"/>
    <w:basedOn w:val="DefaultParagraphFont"/>
    <w:uiPriority w:val="99"/>
    <w:semiHidden/>
    <w:unhideWhenUsed/>
    <w:rsid w:val="00326761"/>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13999038">
      <w:bodyDiv w:val="1"/>
      <w:marLeft w:val="0"/>
      <w:marRight w:val="0"/>
      <w:marTop w:val="0"/>
      <w:marBottom w:val="0"/>
      <w:divBdr>
        <w:top w:val="none" w:sz="0" w:space="0" w:color="auto"/>
        <w:left w:val="none" w:sz="0" w:space="0" w:color="auto"/>
        <w:bottom w:val="none" w:sz="0" w:space="0" w:color="auto"/>
        <w:right w:val="none" w:sz="0" w:space="0" w:color="auto"/>
      </w:divBdr>
      <w:divsChild>
        <w:div w:id="959460396">
          <w:marLeft w:val="0"/>
          <w:marRight w:val="0"/>
          <w:marTop w:val="15"/>
          <w:marBottom w:val="0"/>
          <w:divBdr>
            <w:top w:val="single" w:sz="48" w:space="0" w:color="auto"/>
            <w:left w:val="single" w:sz="48" w:space="0" w:color="auto"/>
            <w:bottom w:val="single" w:sz="48" w:space="0" w:color="auto"/>
            <w:right w:val="single" w:sz="48" w:space="0" w:color="auto"/>
          </w:divBdr>
          <w:divsChild>
            <w:div w:id="1915121620">
              <w:marLeft w:val="0"/>
              <w:marRight w:val="0"/>
              <w:marTop w:val="0"/>
              <w:marBottom w:val="0"/>
              <w:divBdr>
                <w:top w:val="none" w:sz="0" w:space="0" w:color="auto"/>
                <w:left w:val="none" w:sz="0" w:space="0" w:color="auto"/>
                <w:bottom w:val="none" w:sz="0" w:space="0" w:color="auto"/>
                <w:right w:val="none" w:sz="0" w:space="0" w:color="auto"/>
              </w:divBdr>
              <w:divsChild>
                <w:div w:id="61371221">
                  <w:marLeft w:val="0"/>
                  <w:marRight w:val="0"/>
                  <w:marTop w:val="0"/>
                  <w:marBottom w:val="0"/>
                  <w:divBdr>
                    <w:top w:val="none" w:sz="0" w:space="0" w:color="auto"/>
                    <w:left w:val="none" w:sz="0" w:space="0" w:color="auto"/>
                    <w:bottom w:val="none" w:sz="0" w:space="0" w:color="auto"/>
                    <w:right w:val="none" w:sz="0" w:space="0" w:color="auto"/>
                  </w:divBdr>
                </w:div>
                <w:div w:id="294913110">
                  <w:marLeft w:val="0"/>
                  <w:marRight w:val="0"/>
                  <w:marTop w:val="0"/>
                  <w:marBottom w:val="0"/>
                  <w:divBdr>
                    <w:top w:val="none" w:sz="0" w:space="0" w:color="auto"/>
                    <w:left w:val="none" w:sz="0" w:space="0" w:color="auto"/>
                    <w:bottom w:val="none" w:sz="0" w:space="0" w:color="auto"/>
                    <w:right w:val="none" w:sz="0" w:space="0" w:color="auto"/>
                  </w:divBdr>
                </w:div>
                <w:div w:id="311754842">
                  <w:marLeft w:val="0"/>
                  <w:marRight w:val="0"/>
                  <w:marTop w:val="0"/>
                  <w:marBottom w:val="0"/>
                  <w:divBdr>
                    <w:top w:val="none" w:sz="0" w:space="0" w:color="auto"/>
                    <w:left w:val="none" w:sz="0" w:space="0" w:color="auto"/>
                    <w:bottom w:val="none" w:sz="0" w:space="0" w:color="auto"/>
                    <w:right w:val="none" w:sz="0" w:space="0" w:color="auto"/>
                  </w:divBdr>
                </w:div>
                <w:div w:id="476798946">
                  <w:marLeft w:val="0"/>
                  <w:marRight w:val="0"/>
                  <w:marTop w:val="0"/>
                  <w:marBottom w:val="0"/>
                  <w:divBdr>
                    <w:top w:val="none" w:sz="0" w:space="0" w:color="auto"/>
                    <w:left w:val="none" w:sz="0" w:space="0" w:color="auto"/>
                    <w:bottom w:val="none" w:sz="0" w:space="0" w:color="auto"/>
                    <w:right w:val="none" w:sz="0" w:space="0" w:color="auto"/>
                  </w:divBdr>
                </w:div>
                <w:div w:id="855270109">
                  <w:marLeft w:val="0"/>
                  <w:marRight w:val="0"/>
                  <w:marTop w:val="0"/>
                  <w:marBottom w:val="0"/>
                  <w:divBdr>
                    <w:top w:val="none" w:sz="0" w:space="0" w:color="auto"/>
                    <w:left w:val="none" w:sz="0" w:space="0" w:color="auto"/>
                    <w:bottom w:val="none" w:sz="0" w:space="0" w:color="auto"/>
                    <w:right w:val="none" w:sz="0" w:space="0" w:color="auto"/>
                  </w:divBdr>
                </w:div>
                <w:div w:id="1298224808">
                  <w:marLeft w:val="0"/>
                  <w:marRight w:val="0"/>
                  <w:marTop w:val="0"/>
                  <w:marBottom w:val="0"/>
                  <w:divBdr>
                    <w:top w:val="none" w:sz="0" w:space="0" w:color="auto"/>
                    <w:left w:val="none" w:sz="0" w:space="0" w:color="auto"/>
                    <w:bottom w:val="none" w:sz="0" w:space="0" w:color="auto"/>
                    <w:right w:val="none" w:sz="0" w:space="0" w:color="auto"/>
                  </w:divBdr>
                </w:div>
                <w:div w:id="1422220020">
                  <w:marLeft w:val="0"/>
                  <w:marRight w:val="0"/>
                  <w:marTop w:val="0"/>
                  <w:marBottom w:val="0"/>
                  <w:divBdr>
                    <w:top w:val="none" w:sz="0" w:space="0" w:color="auto"/>
                    <w:left w:val="none" w:sz="0" w:space="0" w:color="auto"/>
                    <w:bottom w:val="none" w:sz="0" w:space="0" w:color="auto"/>
                    <w:right w:val="none" w:sz="0" w:space="0" w:color="auto"/>
                  </w:divBdr>
                </w:div>
                <w:div w:id="1485508069">
                  <w:marLeft w:val="0"/>
                  <w:marRight w:val="0"/>
                  <w:marTop w:val="0"/>
                  <w:marBottom w:val="0"/>
                  <w:divBdr>
                    <w:top w:val="none" w:sz="0" w:space="0" w:color="auto"/>
                    <w:left w:val="none" w:sz="0" w:space="0" w:color="auto"/>
                    <w:bottom w:val="none" w:sz="0" w:space="0" w:color="auto"/>
                    <w:right w:val="none" w:sz="0" w:space="0" w:color="auto"/>
                  </w:divBdr>
                </w:div>
                <w:div w:id="20632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1700">
          <w:marLeft w:val="0"/>
          <w:marRight w:val="0"/>
          <w:marTop w:val="15"/>
          <w:marBottom w:val="0"/>
          <w:divBdr>
            <w:top w:val="single" w:sz="48" w:space="0" w:color="auto"/>
            <w:left w:val="single" w:sz="48" w:space="0" w:color="auto"/>
            <w:bottom w:val="single" w:sz="48" w:space="0" w:color="auto"/>
            <w:right w:val="single" w:sz="48" w:space="0" w:color="auto"/>
          </w:divBdr>
          <w:divsChild>
            <w:div w:id="1543640164">
              <w:marLeft w:val="0"/>
              <w:marRight w:val="0"/>
              <w:marTop w:val="0"/>
              <w:marBottom w:val="0"/>
              <w:divBdr>
                <w:top w:val="none" w:sz="0" w:space="0" w:color="auto"/>
                <w:left w:val="none" w:sz="0" w:space="0" w:color="auto"/>
                <w:bottom w:val="none" w:sz="0" w:space="0" w:color="auto"/>
                <w:right w:val="none" w:sz="0" w:space="0" w:color="auto"/>
              </w:divBdr>
              <w:divsChild>
                <w:div w:id="51389588">
                  <w:marLeft w:val="0"/>
                  <w:marRight w:val="0"/>
                  <w:marTop w:val="0"/>
                  <w:marBottom w:val="0"/>
                  <w:divBdr>
                    <w:top w:val="none" w:sz="0" w:space="0" w:color="auto"/>
                    <w:left w:val="none" w:sz="0" w:space="0" w:color="auto"/>
                    <w:bottom w:val="none" w:sz="0" w:space="0" w:color="auto"/>
                    <w:right w:val="none" w:sz="0" w:space="0" w:color="auto"/>
                  </w:divBdr>
                </w:div>
                <w:div w:id="304360533">
                  <w:marLeft w:val="0"/>
                  <w:marRight w:val="0"/>
                  <w:marTop w:val="0"/>
                  <w:marBottom w:val="0"/>
                  <w:divBdr>
                    <w:top w:val="none" w:sz="0" w:space="0" w:color="auto"/>
                    <w:left w:val="none" w:sz="0" w:space="0" w:color="auto"/>
                    <w:bottom w:val="none" w:sz="0" w:space="0" w:color="auto"/>
                    <w:right w:val="none" w:sz="0" w:space="0" w:color="auto"/>
                  </w:divBdr>
                </w:div>
                <w:div w:id="402531851">
                  <w:marLeft w:val="0"/>
                  <w:marRight w:val="0"/>
                  <w:marTop w:val="0"/>
                  <w:marBottom w:val="0"/>
                  <w:divBdr>
                    <w:top w:val="none" w:sz="0" w:space="0" w:color="auto"/>
                    <w:left w:val="none" w:sz="0" w:space="0" w:color="auto"/>
                    <w:bottom w:val="none" w:sz="0" w:space="0" w:color="auto"/>
                    <w:right w:val="none" w:sz="0" w:space="0" w:color="auto"/>
                  </w:divBdr>
                </w:div>
                <w:div w:id="815100733">
                  <w:marLeft w:val="0"/>
                  <w:marRight w:val="0"/>
                  <w:marTop w:val="0"/>
                  <w:marBottom w:val="0"/>
                  <w:divBdr>
                    <w:top w:val="none" w:sz="0" w:space="0" w:color="auto"/>
                    <w:left w:val="none" w:sz="0" w:space="0" w:color="auto"/>
                    <w:bottom w:val="none" w:sz="0" w:space="0" w:color="auto"/>
                    <w:right w:val="none" w:sz="0" w:space="0" w:color="auto"/>
                  </w:divBdr>
                </w:div>
                <w:div w:id="1063219639">
                  <w:marLeft w:val="0"/>
                  <w:marRight w:val="0"/>
                  <w:marTop w:val="0"/>
                  <w:marBottom w:val="0"/>
                  <w:divBdr>
                    <w:top w:val="none" w:sz="0" w:space="0" w:color="auto"/>
                    <w:left w:val="none" w:sz="0" w:space="0" w:color="auto"/>
                    <w:bottom w:val="none" w:sz="0" w:space="0" w:color="auto"/>
                    <w:right w:val="none" w:sz="0" w:space="0" w:color="auto"/>
                  </w:divBdr>
                </w:div>
                <w:div w:id="1070230020">
                  <w:marLeft w:val="0"/>
                  <w:marRight w:val="0"/>
                  <w:marTop w:val="0"/>
                  <w:marBottom w:val="0"/>
                  <w:divBdr>
                    <w:top w:val="none" w:sz="0" w:space="0" w:color="auto"/>
                    <w:left w:val="none" w:sz="0" w:space="0" w:color="auto"/>
                    <w:bottom w:val="none" w:sz="0" w:space="0" w:color="auto"/>
                    <w:right w:val="none" w:sz="0" w:space="0" w:color="auto"/>
                  </w:divBdr>
                </w:div>
                <w:div w:id="1084717494">
                  <w:marLeft w:val="0"/>
                  <w:marRight w:val="0"/>
                  <w:marTop w:val="0"/>
                  <w:marBottom w:val="0"/>
                  <w:divBdr>
                    <w:top w:val="none" w:sz="0" w:space="0" w:color="auto"/>
                    <w:left w:val="none" w:sz="0" w:space="0" w:color="auto"/>
                    <w:bottom w:val="none" w:sz="0" w:space="0" w:color="auto"/>
                    <w:right w:val="none" w:sz="0" w:space="0" w:color="auto"/>
                  </w:divBdr>
                </w:div>
                <w:div w:id="1148938383">
                  <w:marLeft w:val="0"/>
                  <w:marRight w:val="0"/>
                  <w:marTop w:val="0"/>
                  <w:marBottom w:val="0"/>
                  <w:divBdr>
                    <w:top w:val="none" w:sz="0" w:space="0" w:color="auto"/>
                    <w:left w:val="none" w:sz="0" w:space="0" w:color="auto"/>
                    <w:bottom w:val="none" w:sz="0" w:space="0" w:color="auto"/>
                    <w:right w:val="none" w:sz="0" w:space="0" w:color="auto"/>
                  </w:divBdr>
                </w:div>
                <w:div w:id="1333608948">
                  <w:marLeft w:val="0"/>
                  <w:marRight w:val="0"/>
                  <w:marTop w:val="0"/>
                  <w:marBottom w:val="0"/>
                  <w:divBdr>
                    <w:top w:val="none" w:sz="0" w:space="0" w:color="auto"/>
                    <w:left w:val="none" w:sz="0" w:space="0" w:color="auto"/>
                    <w:bottom w:val="none" w:sz="0" w:space="0" w:color="auto"/>
                    <w:right w:val="none" w:sz="0" w:space="0" w:color="auto"/>
                  </w:divBdr>
                </w:div>
                <w:div w:id="1618948681">
                  <w:marLeft w:val="0"/>
                  <w:marRight w:val="0"/>
                  <w:marTop w:val="0"/>
                  <w:marBottom w:val="0"/>
                  <w:divBdr>
                    <w:top w:val="none" w:sz="0" w:space="0" w:color="auto"/>
                    <w:left w:val="none" w:sz="0" w:space="0" w:color="auto"/>
                    <w:bottom w:val="none" w:sz="0" w:space="0" w:color="auto"/>
                    <w:right w:val="none" w:sz="0" w:space="0" w:color="auto"/>
                  </w:divBdr>
                </w:div>
                <w:div w:id="1661080804">
                  <w:marLeft w:val="0"/>
                  <w:marRight w:val="0"/>
                  <w:marTop w:val="0"/>
                  <w:marBottom w:val="0"/>
                  <w:divBdr>
                    <w:top w:val="none" w:sz="0" w:space="0" w:color="auto"/>
                    <w:left w:val="none" w:sz="0" w:space="0" w:color="auto"/>
                    <w:bottom w:val="none" w:sz="0" w:space="0" w:color="auto"/>
                    <w:right w:val="none" w:sz="0" w:space="0" w:color="auto"/>
                  </w:divBdr>
                </w:div>
                <w:div w:id="1800998247">
                  <w:marLeft w:val="0"/>
                  <w:marRight w:val="0"/>
                  <w:marTop w:val="0"/>
                  <w:marBottom w:val="0"/>
                  <w:divBdr>
                    <w:top w:val="none" w:sz="0" w:space="0" w:color="auto"/>
                    <w:left w:val="none" w:sz="0" w:space="0" w:color="auto"/>
                    <w:bottom w:val="none" w:sz="0" w:space="0" w:color="auto"/>
                    <w:right w:val="none" w:sz="0" w:space="0" w:color="auto"/>
                  </w:divBdr>
                </w:div>
                <w:div w:id="18623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6717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easury.nt.gov.au/__data/assets/pdf_file/0003/1018344/Attachment-G-Northern-Territory-Government-Agency-Organisational-Review-Framework.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reasury.nt.gov.au/dtf/financial-management-group/program-evaluation-unit/toolkit/templates-and-glossary" TargetMode="External"/><Relationship Id="rId4" Type="http://schemas.openxmlformats.org/officeDocument/2006/relationships/styles" Target="styles.xml"/><Relationship Id="rId9" Type="http://schemas.openxmlformats.org/officeDocument/2006/relationships/hyperlink" Target="https://treasury.nt.gov.au/dtf/financial-management-group/program-evaluation-unit" TargetMode="External"/><Relationship Id="rId14" Type="http://schemas.openxmlformats.org/officeDocument/2006/relationships/header" Target="header2.xm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CFDD2-7D66-4CDA-9D4E-2C0BA6B7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Treasurer’s Direction – Organisational performance and accountability</vt:lpstr>
    </vt:vector>
  </TitlesOfParts>
  <Company>TREASURY AND FINANCE</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 – Organisational performance and accountability</dc:title>
  <dc:subject/>
  <dc:creator>Northern Territory Government</dc:creator>
  <cp:keywords/>
  <dc:description/>
  <cp:lastModifiedBy>Jack Adlam</cp:lastModifiedBy>
  <cp:revision>4</cp:revision>
  <cp:lastPrinted>2022-10-28T06:09:00Z</cp:lastPrinted>
  <dcterms:created xsi:type="dcterms:W3CDTF">2022-11-03T06:07:00Z</dcterms:created>
  <dcterms:modified xsi:type="dcterms:W3CDTF">2023-01-23T05:11:00Z</dcterms:modified>
</cp:coreProperties>
</file>