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33891" w14:textId="470B7C0E" w:rsidR="004E03BA" w:rsidRPr="004063FF" w:rsidRDefault="00132A5D" w:rsidP="00353299">
      <w:pPr>
        <w:pStyle w:val="Heading3"/>
        <w:numPr>
          <w:ilvl w:val="0"/>
          <w:numId w:val="47"/>
        </w:numPr>
        <w:rPr>
          <w:rFonts w:asciiTheme="minorHAnsi" w:hAnsiTheme="minorHAnsi"/>
        </w:rPr>
      </w:pPr>
      <w:r w:rsidRPr="004063FF">
        <w:rPr>
          <w:rStyle w:val="Heading2Char"/>
          <w:rFonts w:asciiTheme="minorHAnsi" w:eastAsia="Calibri" w:hAnsiTheme="minorHAnsi"/>
          <w:color w:val="1F1F5F" w:themeColor="text1"/>
          <w:sz w:val="28"/>
          <w:szCs w:val="26"/>
        </w:rPr>
        <w:t>What is the differen</w:t>
      </w:r>
      <w:r w:rsidR="00E16DC4" w:rsidRPr="004063FF">
        <w:rPr>
          <w:rStyle w:val="Heading2Char"/>
          <w:rFonts w:asciiTheme="minorHAnsi" w:eastAsia="Calibri" w:hAnsiTheme="minorHAnsi"/>
          <w:color w:val="1F1F5F" w:themeColor="text1"/>
          <w:sz w:val="28"/>
          <w:szCs w:val="26"/>
        </w:rPr>
        <w:t>ce</w:t>
      </w:r>
      <w:r w:rsidRPr="004063FF">
        <w:rPr>
          <w:rStyle w:val="Heading2Char"/>
          <w:rFonts w:asciiTheme="minorHAnsi" w:eastAsia="Calibri" w:hAnsiTheme="minorHAnsi"/>
          <w:color w:val="1F1F5F" w:themeColor="text1"/>
          <w:sz w:val="28"/>
          <w:szCs w:val="26"/>
        </w:rPr>
        <w:t xml:space="preserve"> between a transfer between years and a carryover</w:t>
      </w:r>
      <w:r w:rsidR="00625EE4" w:rsidRPr="004063FF">
        <w:rPr>
          <w:rStyle w:val="Heading2Char"/>
          <w:rFonts w:asciiTheme="minorHAnsi" w:eastAsia="Calibri" w:hAnsiTheme="minorHAnsi"/>
          <w:color w:val="1F1F5F" w:themeColor="text1"/>
          <w:sz w:val="28"/>
          <w:szCs w:val="26"/>
        </w:rPr>
        <w:t>?</w:t>
      </w:r>
    </w:p>
    <w:p w14:paraId="175285E7" w14:textId="77777777" w:rsidR="0091715A" w:rsidRPr="004063FF" w:rsidRDefault="0091715A" w:rsidP="00625EE4">
      <w:pPr>
        <w:pStyle w:val="ListNumber"/>
        <w:numPr>
          <w:ilvl w:val="0"/>
          <w:numId w:val="0"/>
        </w:numPr>
        <w:ind w:left="280"/>
        <w:rPr>
          <w:rFonts w:asciiTheme="minorHAnsi" w:hAnsiTheme="minorHAnsi"/>
          <w:b/>
        </w:rPr>
      </w:pPr>
      <w:r w:rsidRPr="004063FF">
        <w:rPr>
          <w:rFonts w:asciiTheme="minorHAnsi" w:hAnsiTheme="minorHAnsi"/>
          <w:b/>
        </w:rPr>
        <w:t>Transfer between years</w:t>
      </w:r>
    </w:p>
    <w:p w14:paraId="34F8DDE2" w14:textId="1EA30FB6" w:rsidR="00132A5D" w:rsidRPr="004063FF" w:rsidRDefault="00132A5D" w:rsidP="00625EE4">
      <w:pPr>
        <w:pStyle w:val="ListNumber"/>
        <w:numPr>
          <w:ilvl w:val="0"/>
          <w:numId w:val="0"/>
        </w:numPr>
        <w:ind w:left="280"/>
        <w:rPr>
          <w:rFonts w:asciiTheme="minorHAnsi" w:hAnsiTheme="minorHAnsi"/>
        </w:rPr>
      </w:pPr>
      <w:r w:rsidRPr="004063FF">
        <w:rPr>
          <w:rFonts w:asciiTheme="minorHAnsi" w:hAnsiTheme="minorHAnsi"/>
        </w:rPr>
        <w:t xml:space="preserve">A transfer between years is the transfer of revenue or expenditure to or from future years when an agency is aware of changes in the timing of revenue </w:t>
      </w:r>
      <w:r w:rsidR="004623AD" w:rsidRPr="004063FF">
        <w:rPr>
          <w:rFonts w:asciiTheme="minorHAnsi" w:hAnsiTheme="minorHAnsi"/>
        </w:rPr>
        <w:t>or e</w:t>
      </w:r>
      <w:r w:rsidRPr="004063FF">
        <w:rPr>
          <w:rFonts w:asciiTheme="minorHAnsi" w:hAnsiTheme="minorHAnsi"/>
        </w:rPr>
        <w:t xml:space="preserve">xpenditure. </w:t>
      </w:r>
      <w:r w:rsidR="003079BD" w:rsidRPr="004063FF">
        <w:rPr>
          <w:rFonts w:asciiTheme="minorHAnsi" w:hAnsiTheme="minorHAnsi"/>
        </w:rPr>
        <w:t>Typically,</w:t>
      </w:r>
      <w:r w:rsidR="00526C57" w:rsidRPr="004063FF">
        <w:rPr>
          <w:rFonts w:asciiTheme="minorHAnsi" w:hAnsiTheme="minorHAnsi"/>
        </w:rPr>
        <w:t xml:space="preserve"> both revenue and expenditure </w:t>
      </w:r>
      <w:proofErr w:type="gramStart"/>
      <w:r w:rsidR="00526C57" w:rsidRPr="004063FF">
        <w:rPr>
          <w:rFonts w:asciiTheme="minorHAnsi" w:hAnsiTheme="minorHAnsi"/>
        </w:rPr>
        <w:t>is transferred</w:t>
      </w:r>
      <w:proofErr w:type="gramEnd"/>
      <w:r w:rsidR="00526C57" w:rsidRPr="004063FF">
        <w:rPr>
          <w:rFonts w:asciiTheme="minorHAnsi" w:hAnsiTheme="minorHAnsi"/>
        </w:rPr>
        <w:t xml:space="preserve"> to forward years for N</w:t>
      </w:r>
      <w:r w:rsidR="00B23774" w:rsidRPr="004063FF">
        <w:rPr>
          <w:rFonts w:asciiTheme="minorHAnsi" w:hAnsiTheme="minorHAnsi"/>
        </w:rPr>
        <w:t>orthern Territory</w:t>
      </w:r>
      <w:r w:rsidR="00611892" w:rsidRPr="004063FF">
        <w:rPr>
          <w:rFonts w:asciiTheme="minorHAnsi" w:hAnsiTheme="minorHAnsi"/>
        </w:rPr>
        <w:t>-</w:t>
      </w:r>
      <w:r w:rsidR="00526C57" w:rsidRPr="004063FF">
        <w:rPr>
          <w:rFonts w:asciiTheme="minorHAnsi" w:hAnsiTheme="minorHAnsi"/>
        </w:rPr>
        <w:t xml:space="preserve">funded programs and funding that satisfies </w:t>
      </w:r>
      <w:r w:rsidR="00F21D12" w:rsidRPr="004063FF">
        <w:rPr>
          <w:rFonts w:asciiTheme="minorHAnsi" w:hAnsiTheme="minorHAnsi"/>
        </w:rPr>
        <w:t xml:space="preserve">the recognition principles under </w:t>
      </w:r>
      <w:r w:rsidR="00526C57" w:rsidRPr="004063FF">
        <w:rPr>
          <w:rFonts w:asciiTheme="minorHAnsi" w:hAnsiTheme="minorHAnsi"/>
        </w:rPr>
        <w:t xml:space="preserve">AASB 15 </w:t>
      </w:r>
      <w:r w:rsidR="00611892" w:rsidRPr="004063FF">
        <w:rPr>
          <w:rFonts w:asciiTheme="minorHAnsi" w:hAnsiTheme="minorHAnsi"/>
        </w:rPr>
        <w:t>Revenue from contracts with c</w:t>
      </w:r>
      <w:r w:rsidR="00F21D12" w:rsidRPr="004063FF">
        <w:rPr>
          <w:rFonts w:asciiTheme="minorHAnsi" w:hAnsiTheme="minorHAnsi"/>
        </w:rPr>
        <w:t>ustomers</w:t>
      </w:r>
      <w:r w:rsidR="00526C57" w:rsidRPr="004063FF">
        <w:rPr>
          <w:rFonts w:asciiTheme="minorHAnsi" w:hAnsiTheme="minorHAnsi"/>
        </w:rPr>
        <w:t>.</w:t>
      </w:r>
    </w:p>
    <w:p w14:paraId="4A64E6B7" w14:textId="3380D06C" w:rsidR="00132A5D" w:rsidRPr="004063FF" w:rsidRDefault="00132A5D" w:rsidP="00625EE4">
      <w:pPr>
        <w:pStyle w:val="ListNumber"/>
        <w:numPr>
          <w:ilvl w:val="0"/>
          <w:numId w:val="0"/>
        </w:numPr>
        <w:ind w:left="280"/>
        <w:rPr>
          <w:rFonts w:asciiTheme="minorHAnsi" w:hAnsiTheme="minorHAnsi"/>
        </w:rPr>
      </w:pPr>
      <w:r w:rsidRPr="004063FF">
        <w:rPr>
          <w:rFonts w:asciiTheme="minorHAnsi" w:hAnsiTheme="minorHAnsi"/>
        </w:rPr>
        <w:t>Where an accountable officer is aware of cha</w:t>
      </w:r>
      <w:r w:rsidR="004623AD" w:rsidRPr="004063FF">
        <w:rPr>
          <w:rFonts w:asciiTheme="minorHAnsi" w:hAnsiTheme="minorHAnsi"/>
        </w:rPr>
        <w:t>nges in the timing of revenue or</w:t>
      </w:r>
      <w:r w:rsidRPr="004063FF">
        <w:rPr>
          <w:rFonts w:asciiTheme="minorHAnsi" w:hAnsiTheme="minorHAnsi"/>
        </w:rPr>
        <w:t xml:space="preserve"> expenditure, the accountable officer is encouraged to notify the Department of Treasury and Finance </w:t>
      </w:r>
      <w:r w:rsidR="004623AD" w:rsidRPr="004063FF">
        <w:rPr>
          <w:rFonts w:asciiTheme="minorHAnsi" w:hAnsiTheme="minorHAnsi"/>
        </w:rPr>
        <w:t xml:space="preserve">as soon as practicable </w:t>
      </w:r>
      <w:r w:rsidRPr="004063FF">
        <w:rPr>
          <w:rFonts w:asciiTheme="minorHAnsi" w:hAnsiTheme="minorHAnsi"/>
        </w:rPr>
        <w:t xml:space="preserve">and </w:t>
      </w:r>
      <w:r w:rsidR="004623AD" w:rsidRPr="004063FF">
        <w:rPr>
          <w:rFonts w:asciiTheme="minorHAnsi" w:hAnsiTheme="minorHAnsi"/>
        </w:rPr>
        <w:t xml:space="preserve">seek a </w:t>
      </w:r>
      <w:r w:rsidRPr="004063FF">
        <w:rPr>
          <w:rFonts w:asciiTheme="minorHAnsi" w:hAnsiTheme="minorHAnsi"/>
        </w:rPr>
        <w:t xml:space="preserve">transfer of funding </w:t>
      </w:r>
      <w:r w:rsidR="00DC61B3" w:rsidRPr="004063FF">
        <w:rPr>
          <w:rFonts w:asciiTheme="minorHAnsi" w:hAnsiTheme="minorHAnsi"/>
        </w:rPr>
        <w:t>during</w:t>
      </w:r>
      <w:r w:rsidR="004623AD" w:rsidRPr="004063FF">
        <w:rPr>
          <w:rFonts w:asciiTheme="minorHAnsi" w:hAnsiTheme="minorHAnsi"/>
        </w:rPr>
        <w:t xml:space="preserve"> the </w:t>
      </w:r>
      <w:r w:rsidR="00611892" w:rsidRPr="004063FF">
        <w:rPr>
          <w:rFonts w:asciiTheme="minorHAnsi" w:hAnsiTheme="minorHAnsi"/>
        </w:rPr>
        <w:t xml:space="preserve">whole of </w:t>
      </w:r>
      <w:proofErr w:type="gramStart"/>
      <w:r w:rsidR="00B23774" w:rsidRPr="004063FF">
        <w:rPr>
          <w:rFonts w:asciiTheme="minorHAnsi" w:hAnsiTheme="minorHAnsi"/>
        </w:rPr>
        <w:t xml:space="preserve">government </w:t>
      </w:r>
      <w:r w:rsidR="004623AD" w:rsidRPr="004063FF">
        <w:rPr>
          <w:rFonts w:asciiTheme="minorHAnsi" w:hAnsiTheme="minorHAnsi"/>
        </w:rPr>
        <w:t>budget</w:t>
      </w:r>
      <w:r w:rsidR="0091715A" w:rsidRPr="004063FF">
        <w:rPr>
          <w:rFonts w:asciiTheme="minorHAnsi" w:hAnsiTheme="minorHAnsi"/>
        </w:rPr>
        <w:t xml:space="preserve"> development</w:t>
      </w:r>
      <w:r w:rsidR="004623AD" w:rsidRPr="004063FF">
        <w:rPr>
          <w:rFonts w:asciiTheme="minorHAnsi" w:hAnsiTheme="minorHAnsi"/>
        </w:rPr>
        <w:t xml:space="preserve"> process</w:t>
      </w:r>
      <w:proofErr w:type="gramEnd"/>
      <w:r w:rsidRPr="004063FF">
        <w:rPr>
          <w:rFonts w:asciiTheme="minorHAnsi" w:hAnsiTheme="minorHAnsi"/>
        </w:rPr>
        <w:t>.</w:t>
      </w:r>
    </w:p>
    <w:p w14:paraId="14119E29" w14:textId="29E88D57" w:rsidR="00DC5756" w:rsidRPr="004063FF" w:rsidRDefault="00DC5756" w:rsidP="00625EE4">
      <w:pPr>
        <w:pStyle w:val="ListNumber"/>
        <w:numPr>
          <w:ilvl w:val="0"/>
          <w:numId w:val="0"/>
        </w:numPr>
        <w:ind w:left="280"/>
        <w:rPr>
          <w:rFonts w:asciiTheme="minorHAnsi" w:hAnsiTheme="minorHAnsi"/>
        </w:rPr>
      </w:pPr>
      <w:r w:rsidRPr="004063FF">
        <w:rPr>
          <w:rFonts w:asciiTheme="minorHAnsi" w:hAnsiTheme="minorHAnsi"/>
        </w:rPr>
        <w:t xml:space="preserve">A transfer between years does not affect the </w:t>
      </w:r>
      <w:r w:rsidR="00F101B0" w:rsidRPr="004063FF">
        <w:rPr>
          <w:rFonts w:asciiTheme="minorHAnsi" w:hAnsiTheme="minorHAnsi"/>
        </w:rPr>
        <w:t xml:space="preserve">agency’s net surplus/deficit and </w:t>
      </w:r>
      <w:r w:rsidRPr="004063FF">
        <w:rPr>
          <w:rFonts w:asciiTheme="minorHAnsi" w:hAnsiTheme="minorHAnsi"/>
        </w:rPr>
        <w:t xml:space="preserve">whole of government fiscal balance as transfers of expenditure </w:t>
      </w:r>
      <w:proofErr w:type="gramStart"/>
      <w:r w:rsidRPr="004063FF">
        <w:rPr>
          <w:rFonts w:asciiTheme="minorHAnsi" w:hAnsiTheme="minorHAnsi"/>
        </w:rPr>
        <w:t>are matched</w:t>
      </w:r>
      <w:proofErr w:type="gramEnd"/>
      <w:r w:rsidRPr="004063FF">
        <w:rPr>
          <w:rFonts w:asciiTheme="minorHAnsi" w:hAnsiTheme="minorHAnsi"/>
        </w:rPr>
        <w:t xml:space="preserve"> with corresponding transfers of revenue.</w:t>
      </w:r>
    </w:p>
    <w:p w14:paraId="3B291C21" w14:textId="3139B1F7" w:rsidR="0091715A" w:rsidRPr="004063FF" w:rsidRDefault="0091715A" w:rsidP="00625EE4">
      <w:pPr>
        <w:pStyle w:val="ListNumber"/>
        <w:numPr>
          <w:ilvl w:val="0"/>
          <w:numId w:val="0"/>
        </w:numPr>
        <w:ind w:left="280"/>
        <w:rPr>
          <w:rFonts w:asciiTheme="minorHAnsi" w:hAnsiTheme="minorHAnsi"/>
          <w:b/>
        </w:rPr>
      </w:pPr>
      <w:r w:rsidRPr="004063FF">
        <w:rPr>
          <w:rFonts w:asciiTheme="minorHAnsi" w:hAnsiTheme="minorHAnsi"/>
          <w:b/>
        </w:rPr>
        <w:t>Carryover</w:t>
      </w:r>
    </w:p>
    <w:p w14:paraId="4BF4A33E" w14:textId="77777777" w:rsidR="00F101B0" w:rsidRPr="004063FF" w:rsidRDefault="00DC5756" w:rsidP="00625EE4">
      <w:pPr>
        <w:pStyle w:val="ListNumber"/>
        <w:numPr>
          <w:ilvl w:val="0"/>
          <w:numId w:val="0"/>
        </w:numPr>
        <w:ind w:left="280"/>
        <w:rPr>
          <w:rFonts w:asciiTheme="minorHAnsi" w:hAnsiTheme="minorHAnsi"/>
        </w:rPr>
      </w:pPr>
      <w:r w:rsidRPr="004063FF">
        <w:rPr>
          <w:rFonts w:asciiTheme="minorHAnsi" w:hAnsiTheme="minorHAnsi"/>
        </w:rPr>
        <w:t>A</w:t>
      </w:r>
      <w:r w:rsidR="00132A5D" w:rsidRPr="004063FF">
        <w:rPr>
          <w:rFonts w:asciiTheme="minorHAnsi" w:hAnsiTheme="minorHAnsi"/>
        </w:rPr>
        <w:t xml:space="preserve"> carryover is the transfer of expenditure to future years </w:t>
      </w:r>
      <w:r w:rsidR="004623AD" w:rsidRPr="004063FF">
        <w:rPr>
          <w:rFonts w:asciiTheme="minorHAnsi" w:hAnsiTheme="minorHAnsi"/>
        </w:rPr>
        <w:t xml:space="preserve">where changes in the timing </w:t>
      </w:r>
      <w:r w:rsidRPr="004063FF">
        <w:rPr>
          <w:rFonts w:asciiTheme="minorHAnsi" w:hAnsiTheme="minorHAnsi"/>
        </w:rPr>
        <w:t xml:space="preserve">of </w:t>
      </w:r>
      <w:r w:rsidR="004623AD" w:rsidRPr="004063FF">
        <w:rPr>
          <w:rFonts w:asciiTheme="minorHAnsi" w:hAnsiTheme="minorHAnsi"/>
        </w:rPr>
        <w:t xml:space="preserve">expenditure </w:t>
      </w:r>
      <w:proofErr w:type="gramStart"/>
      <w:r w:rsidR="004623AD" w:rsidRPr="004063FF">
        <w:rPr>
          <w:rFonts w:asciiTheme="minorHAnsi" w:hAnsiTheme="minorHAnsi"/>
        </w:rPr>
        <w:t xml:space="preserve">is </w:t>
      </w:r>
      <w:r w:rsidR="00132A5D" w:rsidRPr="004063FF">
        <w:rPr>
          <w:rFonts w:asciiTheme="minorHAnsi" w:hAnsiTheme="minorHAnsi"/>
        </w:rPr>
        <w:t>known</w:t>
      </w:r>
      <w:proofErr w:type="gramEnd"/>
      <w:r w:rsidR="00132A5D" w:rsidRPr="004063FF">
        <w:rPr>
          <w:rFonts w:asciiTheme="minorHAnsi" w:hAnsiTheme="minorHAnsi"/>
        </w:rPr>
        <w:t xml:space="preserve"> </w:t>
      </w:r>
      <w:r w:rsidRPr="004063FF">
        <w:rPr>
          <w:rFonts w:asciiTheme="minorHAnsi" w:hAnsiTheme="minorHAnsi"/>
        </w:rPr>
        <w:t xml:space="preserve">at </w:t>
      </w:r>
      <w:r w:rsidR="00132A5D" w:rsidRPr="004063FF">
        <w:rPr>
          <w:rFonts w:asciiTheme="minorHAnsi" w:hAnsiTheme="minorHAnsi"/>
        </w:rPr>
        <w:t>the end of the financial year.</w:t>
      </w:r>
      <w:r w:rsidRPr="004063FF">
        <w:rPr>
          <w:rFonts w:asciiTheme="minorHAnsi" w:hAnsiTheme="minorHAnsi"/>
        </w:rPr>
        <w:t xml:space="preserve"> Unlike a transfer between years, carryovers do not affect revenues but </w:t>
      </w:r>
      <w:proofErr w:type="gramStart"/>
      <w:r w:rsidRPr="004063FF">
        <w:rPr>
          <w:rFonts w:asciiTheme="minorHAnsi" w:hAnsiTheme="minorHAnsi"/>
        </w:rPr>
        <w:t>are funded</w:t>
      </w:r>
      <w:proofErr w:type="gramEnd"/>
      <w:r w:rsidRPr="004063FF">
        <w:rPr>
          <w:rFonts w:asciiTheme="minorHAnsi" w:hAnsiTheme="minorHAnsi"/>
        </w:rPr>
        <w:t xml:space="preserve"> from the use of agency cash balances. </w:t>
      </w:r>
    </w:p>
    <w:p w14:paraId="1BF3DC7D" w14:textId="709E7ECC" w:rsidR="00132A5D" w:rsidRPr="004063FF" w:rsidRDefault="00DC5756" w:rsidP="00625EE4">
      <w:pPr>
        <w:pStyle w:val="ListNumber"/>
        <w:numPr>
          <w:ilvl w:val="0"/>
          <w:numId w:val="0"/>
        </w:numPr>
        <w:ind w:left="280"/>
        <w:rPr>
          <w:rFonts w:asciiTheme="minorHAnsi" w:hAnsiTheme="minorHAnsi"/>
        </w:rPr>
      </w:pPr>
      <w:r w:rsidRPr="004063FF">
        <w:rPr>
          <w:rFonts w:asciiTheme="minorHAnsi" w:hAnsiTheme="minorHAnsi"/>
        </w:rPr>
        <w:t>A carryover typically improves the</w:t>
      </w:r>
      <w:r w:rsidR="00EF6766" w:rsidRPr="004063FF">
        <w:rPr>
          <w:rFonts w:asciiTheme="minorHAnsi" w:hAnsiTheme="minorHAnsi"/>
        </w:rPr>
        <w:t xml:space="preserve"> agency’s net surplus/deficit and</w:t>
      </w:r>
      <w:r w:rsidRPr="004063FF">
        <w:rPr>
          <w:rFonts w:asciiTheme="minorHAnsi" w:hAnsiTheme="minorHAnsi"/>
        </w:rPr>
        <w:t xml:space="preserve"> whole of government fiscal balance in the year the funds are unspent and will worsen the </w:t>
      </w:r>
      <w:r w:rsidR="00EF6766" w:rsidRPr="004063FF">
        <w:rPr>
          <w:rFonts w:asciiTheme="minorHAnsi" w:hAnsiTheme="minorHAnsi"/>
        </w:rPr>
        <w:t xml:space="preserve">agency’s net surplus/deficit and </w:t>
      </w:r>
      <w:r w:rsidRPr="004063FF">
        <w:rPr>
          <w:rFonts w:asciiTheme="minorHAnsi" w:hAnsiTheme="minorHAnsi"/>
        </w:rPr>
        <w:t>whole of government fiscal balance in the year</w:t>
      </w:r>
      <w:r w:rsidR="005948A7" w:rsidRPr="004063FF">
        <w:rPr>
          <w:rFonts w:asciiTheme="minorHAnsi" w:hAnsiTheme="minorHAnsi"/>
        </w:rPr>
        <w:t xml:space="preserve"> funds are </w:t>
      </w:r>
      <w:r w:rsidRPr="004063FF">
        <w:rPr>
          <w:rFonts w:asciiTheme="minorHAnsi" w:hAnsiTheme="minorHAnsi"/>
        </w:rPr>
        <w:t>utilised. Accordingly, the effect on the fiscal balance should be nil over the actual and budget reporting periods.</w:t>
      </w:r>
    </w:p>
    <w:p w14:paraId="3A4DC41E" w14:textId="79C5A38D" w:rsidR="001E1829" w:rsidRPr="00A97E78" w:rsidRDefault="001E1829" w:rsidP="00353299">
      <w:pPr>
        <w:pStyle w:val="Heading3"/>
        <w:numPr>
          <w:ilvl w:val="0"/>
          <w:numId w:val="47"/>
        </w:numPr>
        <w:rPr>
          <w:rStyle w:val="Heading2Char"/>
          <w:rFonts w:asciiTheme="minorHAnsi" w:eastAsia="Calibri" w:hAnsiTheme="minorHAnsi"/>
          <w:color w:val="1F1F5F" w:themeColor="text1"/>
          <w:sz w:val="28"/>
          <w:szCs w:val="26"/>
        </w:rPr>
      </w:pPr>
      <w:r w:rsidRPr="00353299">
        <w:rPr>
          <w:rStyle w:val="Heading2Char"/>
          <w:rFonts w:asciiTheme="minorHAnsi" w:eastAsia="Calibri" w:hAnsiTheme="minorHAnsi"/>
          <w:color w:val="1F1F5F" w:themeColor="text1"/>
          <w:sz w:val="28"/>
          <w:szCs w:val="26"/>
        </w:rPr>
        <w:t xml:space="preserve">What is the difference between a carryover, reward carryover and unearned </w:t>
      </w:r>
      <w:proofErr w:type="gramStart"/>
      <w:r w:rsidRPr="00353299">
        <w:rPr>
          <w:rStyle w:val="Heading2Char"/>
          <w:rFonts w:asciiTheme="minorHAnsi" w:eastAsia="Calibri" w:hAnsiTheme="minorHAnsi"/>
          <w:color w:val="1F1F5F" w:themeColor="text1"/>
          <w:sz w:val="28"/>
          <w:szCs w:val="26"/>
        </w:rPr>
        <w:t>revenue</w:t>
      </w:r>
      <w:proofErr w:type="gramEnd"/>
      <w:r w:rsidRPr="00353299">
        <w:rPr>
          <w:rStyle w:val="Heading2Char"/>
          <w:rFonts w:asciiTheme="minorHAnsi" w:eastAsia="Calibri" w:hAnsiTheme="minorHAnsi"/>
          <w:color w:val="1F1F5F" w:themeColor="text1"/>
          <w:sz w:val="28"/>
          <w:szCs w:val="26"/>
        </w:rPr>
        <w:t>?</w:t>
      </w:r>
    </w:p>
    <w:p w14:paraId="0A5C4247" w14:textId="1680F059" w:rsidR="001E1829" w:rsidRPr="004063FF" w:rsidRDefault="001E1829">
      <w:pPr>
        <w:pStyle w:val="ListNumber"/>
        <w:numPr>
          <w:ilvl w:val="0"/>
          <w:numId w:val="0"/>
        </w:numPr>
        <w:ind w:left="280"/>
        <w:rPr>
          <w:rFonts w:asciiTheme="minorHAnsi" w:hAnsiTheme="minorHAnsi"/>
        </w:rPr>
      </w:pPr>
      <w:r w:rsidRPr="00353299">
        <w:rPr>
          <w:rFonts w:asciiTheme="minorHAnsi" w:hAnsiTheme="minorHAnsi"/>
        </w:rPr>
        <w:t xml:space="preserve">Carryovers, reward carryovers and unearned revenue balance all use existing cash balances to fund </w:t>
      </w:r>
      <w:r w:rsidR="00967943" w:rsidRPr="00353299">
        <w:rPr>
          <w:rFonts w:asciiTheme="minorHAnsi" w:hAnsiTheme="minorHAnsi"/>
        </w:rPr>
        <w:t>future expenditure</w:t>
      </w:r>
      <w:r w:rsidR="00967943" w:rsidRPr="004063FF">
        <w:rPr>
          <w:rFonts w:asciiTheme="minorHAnsi" w:hAnsiTheme="minorHAnsi"/>
        </w:rPr>
        <w:t>.</w:t>
      </w:r>
    </w:p>
    <w:p w14:paraId="6B913AB4" w14:textId="5DB654BB" w:rsidR="00967943" w:rsidRPr="004063FF" w:rsidRDefault="00967943">
      <w:pPr>
        <w:pStyle w:val="ListNumber"/>
        <w:numPr>
          <w:ilvl w:val="0"/>
          <w:numId w:val="0"/>
        </w:numPr>
        <w:ind w:left="280"/>
        <w:rPr>
          <w:rFonts w:asciiTheme="minorHAnsi" w:hAnsiTheme="minorHAnsi"/>
          <w:b/>
        </w:rPr>
      </w:pPr>
      <w:r w:rsidRPr="00353299">
        <w:rPr>
          <w:rFonts w:asciiTheme="minorHAnsi" w:hAnsiTheme="minorHAnsi"/>
          <w:b/>
        </w:rPr>
        <w:t>Carryovers</w:t>
      </w:r>
    </w:p>
    <w:p w14:paraId="23201B98" w14:textId="518A4E38" w:rsidR="005948A7" w:rsidRPr="004063FF" w:rsidRDefault="00967943">
      <w:pPr>
        <w:pStyle w:val="ListNumber"/>
        <w:numPr>
          <w:ilvl w:val="0"/>
          <w:numId w:val="0"/>
        </w:numPr>
        <w:ind w:left="280"/>
        <w:rPr>
          <w:rFonts w:asciiTheme="minorHAnsi" w:hAnsiTheme="minorHAnsi"/>
        </w:rPr>
      </w:pPr>
      <w:r w:rsidRPr="00353299">
        <w:rPr>
          <w:rFonts w:asciiTheme="minorHAnsi" w:hAnsiTheme="minorHAnsi"/>
        </w:rPr>
        <w:t>Carryovers are a transfer of expenditure to future years where changes in the ti</w:t>
      </w:r>
      <w:r w:rsidR="00A0725C">
        <w:rPr>
          <w:rFonts w:asciiTheme="minorHAnsi" w:hAnsiTheme="minorHAnsi"/>
        </w:rPr>
        <w:t xml:space="preserve">ming of expenditure </w:t>
      </w:r>
      <w:proofErr w:type="gramStart"/>
      <w:r w:rsidR="00A0725C">
        <w:rPr>
          <w:rFonts w:asciiTheme="minorHAnsi" w:hAnsiTheme="minorHAnsi"/>
        </w:rPr>
        <w:t>are known</w:t>
      </w:r>
      <w:proofErr w:type="gramEnd"/>
      <w:r w:rsidR="00A0725C">
        <w:rPr>
          <w:rFonts w:asciiTheme="minorHAnsi" w:hAnsiTheme="minorHAnsi"/>
        </w:rPr>
        <w:t xml:space="preserve"> after</w:t>
      </w:r>
      <w:r w:rsidRPr="00353299">
        <w:rPr>
          <w:rFonts w:asciiTheme="minorHAnsi" w:hAnsiTheme="minorHAnsi"/>
        </w:rPr>
        <w:t xml:space="preserve"> the end of the financial year</w:t>
      </w:r>
      <w:r w:rsidR="004063FF" w:rsidRPr="00353299">
        <w:rPr>
          <w:rFonts w:asciiTheme="minorHAnsi" w:hAnsiTheme="minorHAnsi"/>
        </w:rPr>
        <w:t>,</w:t>
      </w:r>
      <w:r w:rsidR="002F18FC">
        <w:rPr>
          <w:rFonts w:asciiTheme="minorHAnsi" w:hAnsiTheme="minorHAnsi"/>
        </w:rPr>
        <w:t xml:space="preserve"> to be used for the same </w:t>
      </w:r>
      <w:r w:rsidRPr="004063FF">
        <w:rPr>
          <w:rFonts w:asciiTheme="minorHAnsi" w:hAnsiTheme="minorHAnsi"/>
        </w:rPr>
        <w:t>or original purpose</w:t>
      </w:r>
      <w:r w:rsidRPr="00353299">
        <w:rPr>
          <w:rFonts w:asciiTheme="minorHAnsi" w:hAnsiTheme="minorHAnsi"/>
        </w:rPr>
        <w:t>. The</w:t>
      </w:r>
      <w:r w:rsidR="005948A7" w:rsidRPr="004063FF">
        <w:rPr>
          <w:rFonts w:asciiTheme="minorHAnsi" w:hAnsiTheme="minorHAnsi"/>
        </w:rPr>
        <w:t xml:space="preserve"> budget expenditure capacity provided for a carryover </w:t>
      </w:r>
      <w:proofErr w:type="gramStart"/>
      <w:r w:rsidR="005948A7" w:rsidRPr="004063FF">
        <w:rPr>
          <w:rFonts w:asciiTheme="minorHAnsi" w:hAnsiTheme="minorHAnsi"/>
        </w:rPr>
        <w:t>is funded</w:t>
      </w:r>
      <w:proofErr w:type="gramEnd"/>
      <w:r w:rsidR="005948A7" w:rsidRPr="004063FF">
        <w:rPr>
          <w:rFonts w:asciiTheme="minorHAnsi" w:hAnsiTheme="minorHAnsi"/>
        </w:rPr>
        <w:t xml:space="preserve"> through available cash balances. </w:t>
      </w:r>
      <w:r w:rsidR="002F18FC">
        <w:rPr>
          <w:rFonts w:asciiTheme="minorHAnsi" w:hAnsiTheme="minorHAnsi"/>
        </w:rPr>
        <w:t>This is because the</w:t>
      </w:r>
      <w:r w:rsidR="005948A7" w:rsidRPr="004063FF">
        <w:rPr>
          <w:rFonts w:asciiTheme="minorHAnsi" w:hAnsiTheme="minorHAnsi"/>
        </w:rPr>
        <w:t xml:space="preserve"> agency has received funding (cash) in advance</w:t>
      </w:r>
      <w:r w:rsidR="00A0725C">
        <w:rPr>
          <w:rFonts w:asciiTheme="minorHAnsi" w:hAnsiTheme="minorHAnsi"/>
        </w:rPr>
        <w:t xml:space="preserve"> and has recognised revenue in the year</w:t>
      </w:r>
      <w:r w:rsidR="005948A7" w:rsidRPr="004063FF">
        <w:rPr>
          <w:rFonts w:asciiTheme="minorHAnsi" w:hAnsiTheme="minorHAnsi"/>
        </w:rPr>
        <w:t xml:space="preserve"> but has not delivered on its obligation</w:t>
      </w:r>
      <w:r w:rsidR="004063FF" w:rsidRPr="00353299">
        <w:rPr>
          <w:rFonts w:asciiTheme="minorHAnsi" w:hAnsiTheme="minorHAnsi"/>
        </w:rPr>
        <w:t>s relating to the funds received</w:t>
      </w:r>
      <w:r w:rsidR="005948A7" w:rsidRPr="004063FF">
        <w:rPr>
          <w:rFonts w:asciiTheme="minorHAnsi" w:hAnsiTheme="minorHAnsi"/>
        </w:rPr>
        <w:t>.</w:t>
      </w:r>
    </w:p>
    <w:p w14:paraId="74CE4C05" w14:textId="6AE1C43A" w:rsidR="00E23D99" w:rsidRPr="004063FF" w:rsidRDefault="002F18FC">
      <w:pPr>
        <w:pStyle w:val="ListNumber"/>
        <w:numPr>
          <w:ilvl w:val="0"/>
          <w:numId w:val="0"/>
        </w:numPr>
        <w:ind w:left="280"/>
        <w:rPr>
          <w:rFonts w:asciiTheme="minorHAnsi" w:hAnsiTheme="minorHAnsi"/>
        </w:rPr>
      </w:pPr>
      <w:r>
        <w:rPr>
          <w:rFonts w:asciiTheme="minorHAnsi" w:hAnsiTheme="minorHAnsi"/>
        </w:rPr>
        <w:t xml:space="preserve">Prior to submitting a carryover request, an </w:t>
      </w:r>
      <w:r w:rsidR="00E23D99" w:rsidRPr="004063FF">
        <w:rPr>
          <w:rFonts w:asciiTheme="minorHAnsi" w:hAnsiTheme="minorHAnsi"/>
        </w:rPr>
        <w:t>agency</w:t>
      </w:r>
      <w:r>
        <w:rPr>
          <w:rFonts w:asciiTheme="minorHAnsi" w:hAnsiTheme="minorHAnsi"/>
        </w:rPr>
        <w:t xml:space="preserve"> must establish it</w:t>
      </w:r>
      <w:r w:rsidR="00E23D99" w:rsidRPr="004063FF">
        <w:rPr>
          <w:rFonts w:asciiTheme="minorHAnsi" w:hAnsiTheme="minorHAnsi"/>
        </w:rPr>
        <w:t xml:space="preserve"> has sufficient cash balances </w:t>
      </w:r>
      <w:r w:rsidR="00F55800" w:rsidRPr="004063FF">
        <w:rPr>
          <w:rFonts w:asciiTheme="minorHAnsi" w:hAnsiTheme="minorHAnsi"/>
        </w:rPr>
        <w:t xml:space="preserve">relative to the </w:t>
      </w:r>
      <w:r>
        <w:rPr>
          <w:rFonts w:asciiTheme="minorHAnsi" w:hAnsiTheme="minorHAnsi"/>
        </w:rPr>
        <w:t>carryover request</w:t>
      </w:r>
      <w:r w:rsidR="00E23D99" w:rsidRPr="004063FF">
        <w:rPr>
          <w:rFonts w:asciiTheme="minorHAnsi" w:hAnsiTheme="minorHAnsi"/>
        </w:rPr>
        <w:t xml:space="preserve">. </w:t>
      </w:r>
      <w:r>
        <w:rPr>
          <w:rFonts w:asciiTheme="minorHAnsi" w:hAnsiTheme="minorHAnsi"/>
        </w:rPr>
        <w:t xml:space="preserve"> Unearned </w:t>
      </w:r>
      <w:r w:rsidR="00E23D99" w:rsidRPr="004063FF">
        <w:rPr>
          <w:rFonts w:asciiTheme="minorHAnsi" w:hAnsiTheme="minorHAnsi"/>
        </w:rPr>
        <w:t xml:space="preserve">revenue balances </w:t>
      </w:r>
      <w:proofErr w:type="gramStart"/>
      <w:r w:rsidR="00C456D9">
        <w:rPr>
          <w:rFonts w:asciiTheme="minorHAnsi" w:hAnsiTheme="minorHAnsi"/>
        </w:rPr>
        <w:t xml:space="preserve">are </w:t>
      </w:r>
      <w:r w:rsidR="005378A7">
        <w:rPr>
          <w:rFonts w:asciiTheme="minorHAnsi" w:hAnsiTheme="minorHAnsi"/>
        </w:rPr>
        <w:t>excluded</w:t>
      </w:r>
      <w:proofErr w:type="gramEnd"/>
      <w:r w:rsidR="005378A7">
        <w:rPr>
          <w:rFonts w:asciiTheme="minorHAnsi" w:hAnsiTheme="minorHAnsi"/>
        </w:rPr>
        <w:t xml:space="preserve"> from </w:t>
      </w:r>
      <w:r w:rsidR="00E23D99" w:rsidRPr="004063FF">
        <w:rPr>
          <w:rFonts w:asciiTheme="minorHAnsi" w:hAnsiTheme="minorHAnsi"/>
        </w:rPr>
        <w:t>available cash balances before c</w:t>
      </w:r>
      <w:r w:rsidR="00F55800" w:rsidRPr="004063FF">
        <w:rPr>
          <w:rFonts w:asciiTheme="minorHAnsi" w:hAnsiTheme="minorHAnsi"/>
        </w:rPr>
        <w:t>arryover</w:t>
      </w:r>
      <w:r w:rsidR="00D6528D" w:rsidRPr="004063FF">
        <w:rPr>
          <w:rFonts w:asciiTheme="minorHAnsi" w:hAnsiTheme="minorHAnsi"/>
        </w:rPr>
        <w:t xml:space="preserve"> reques</w:t>
      </w:r>
      <w:r w:rsidR="00C456D9">
        <w:rPr>
          <w:rFonts w:asciiTheme="minorHAnsi" w:hAnsiTheme="minorHAnsi"/>
        </w:rPr>
        <w:t>ts</w:t>
      </w:r>
      <w:r w:rsidR="00D6528D" w:rsidRPr="004063FF">
        <w:rPr>
          <w:rFonts w:asciiTheme="minorHAnsi" w:hAnsiTheme="minorHAnsi"/>
        </w:rPr>
        <w:t xml:space="preserve"> are</w:t>
      </w:r>
      <w:r w:rsidR="00F55800" w:rsidRPr="004063FF">
        <w:rPr>
          <w:rFonts w:asciiTheme="minorHAnsi" w:hAnsiTheme="minorHAnsi"/>
        </w:rPr>
        <w:t xml:space="preserve"> assessed against </w:t>
      </w:r>
      <w:r w:rsidR="00D6528D" w:rsidRPr="004063FF">
        <w:rPr>
          <w:rFonts w:asciiTheme="minorHAnsi" w:hAnsiTheme="minorHAnsi"/>
        </w:rPr>
        <w:t xml:space="preserve">remaining </w:t>
      </w:r>
      <w:r w:rsidR="00F55800" w:rsidRPr="004063FF">
        <w:rPr>
          <w:rFonts w:asciiTheme="minorHAnsi" w:hAnsiTheme="minorHAnsi"/>
        </w:rPr>
        <w:t xml:space="preserve">cash balances. </w:t>
      </w:r>
      <w:r w:rsidR="001851FA" w:rsidRPr="004063FF">
        <w:rPr>
          <w:rFonts w:asciiTheme="minorHAnsi" w:hAnsiTheme="minorHAnsi"/>
        </w:rPr>
        <w:t>A carryover typically improves the agency’s net surplus/deficit and whole of government fiscal balance in the year the funds are unspent and will worsen the agency’s net surplus/deficit and whole of government fiscal balance in the year funds are utilised.</w:t>
      </w:r>
      <w:r w:rsidR="00A0725C">
        <w:rPr>
          <w:rFonts w:asciiTheme="minorHAnsi" w:hAnsiTheme="minorHAnsi"/>
        </w:rPr>
        <w:t xml:space="preserve"> Across financial years, carryovers have no net effect on any fiscal aggregate or indicator.</w:t>
      </w:r>
    </w:p>
    <w:p w14:paraId="325F25A3" w14:textId="77777777" w:rsidR="00C456D9" w:rsidRDefault="00C456D9">
      <w:pPr>
        <w:pStyle w:val="ListNumber"/>
        <w:numPr>
          <w:ilvl w:val="0"/>
          <w:numId w:val="0"/>
        </w:numPr>
        <w:ind w:left="280"/>
        <w:rPr>
          <w:rFonts w:asciiTheme="minorHAnsi" w:hAnsiTheme="minorHAnsi"/>
          <w:b/>
        </w:rPr>
      </w:pPr>
    </w:p>
    <w:p w14:paraId="1154AD22" w14:textId="77777777" w:rsidR="00C456D9" w:rsidRDefault="00C456D9">
      <w:pPr>
        <w:pStyle w:val="ListNumber"/>
        <w:numPr>
          <w:ilvl w:val="0"/>
          <w:numId w:val="0"/>
        </w:numPr>
        <w:ind w:left="280"/>
        <w:rPr>
          <w:rFonts w:asciiTheme="minorHAnsi" w:hAnsiTheme="minorHAnsi"/>
          <w:b/>
        </w:rPr>
      </w:pPr>
    </w:p>
    <w:p w14:paraId="5084E678" w14:textId="6A27BB98" w:rsidR="00967943" w:rsidRPr="004063FF" w:rsidRDefault="00043E10">
      <w:pPr>
        <w:pStyle w:val="ListNumber"/>
        <w:numPr>
          <w:ilvl w:val="0"/>
          <w:numId w:val="0"/>
        </w:numPr>
        <w:ind w:left="280"/>
        <w:rPr>
          <w:rFonts w:asciiTheme="minorHAnsi" w:hAnsiTheme="minorHAnsi"/>
          <w:b/>
        </w:rPr>
      </w:pPr>
      <w:r w:rsidRPr="0041491E">
        <w:rPr>
          <w:rFonts w:asciiTheme="minorHAnsi" w:hAnsiTheme="minorHAnsi"/>
          <w:b/>
        </w:rPr>
        <w:t>Reward carryover</w:t>
      </w:r>
      <w:r w:rsidR="00967943" w:rsidRPr="00353299">
        <w:rPr>
          <w:rFonts w:asciiTheme="minorHAnsi" w:hAnsiTheme="minorHAnsi"/>
          <w:b/>
        </w:rPr>
        <w:t xml:space="preserve"> </w:t>
      </w:r>
    </w:p>
    <w:p w14:paraId="60050C07" w14:textId="07C8DC24" w:rsidR="001851FA" w:rsidRPr="004063FF" w:rsidRDefault="00043E10" w:rsidP="004824EF">
      <w:pPr>
        <w:pStyle w:val="ListNumber"/>
        <w:numPr>
          <w:ilvl w:val="0"/>
          <w:numId w:val="0"/>
        </w:numPr>
        <w:ind w:left="280"/>
        <w:rPr>
          <w:rFonts w:asciiTheme="minorHAnsi" w:hAnsiTheme="minorHAnsi"/>
        </w:rPr>
      </w:pPr>
      <w:r w:rsidRPr="0041491E">
        <w:rPr>
          <w:rFonts w:asciiTheme="minorHAnsi" w:hAnsiTheme="minorHAnsi"/>
        </w:rPr>
        <w:t>Reward carryover is</w:t>
      </w:r>
      <w:r w:rsidR="004C5278" w:rsidRPr="00353299">
        <w:rPr>
          <w:rFonts w:asciiTheme="minorHAnsi" w:hAnsiTheme="minorHAnsi"/>
        </w:rPr>
        <w:t xml:space="preserve"> a portion</w:t>
      </w:r>
      <w:r w:rsidR="00AE0859">
        <w:rPr>
          <w:rFonts w:asciiTheme="minorHAnsi" w:hAnsiTheme="minorHAnsi"/>
        </w:rPr>
        <w:t xml:space="preserve"> of</w:t>
      </w:r>
      <w:r w:rsidR="004C5278" w:rsidRPr="00353299">
        <w:rPr>
          <w:rFonts w:asciiTheme="minorHAnsi" w:hAnsiTheme="minorHAnsi"/>
        </w:rPr>
        <w:t xml:space="preserve"> an agency’s residual improvement</w:t>
      </w:r>
      <w:r w:rsidR="00D6528D" w:rsidRPr="004063FF">
        <w:rPr>
          <w:rFonts w:asciiTheme="minorHAnsi" w:hAnsiTheme="minorHAnsi"/>
        </w:rPr>
        <w:t xml:space="preserve"> (that is an agency’s final budget outcome after carryovers</w:t>
      </w:r>
      <w:r w:rsidR="00C456D9">
        <w:rPr>
          <w:rFonts w:asciiTheme="minorHAnsi" w:hAnsiTheme="minorHAnsi"/>
        </w:rPr>
        <w:t>,</w:t>
      </w:r>
      <w:r w:rsidR="00064F31" w:rsidRPr="004063FF">
        <w:rPr>
          <w:rFonts w:asciiTheme="minorHAnsi" w:hAnsiTheme="minorHAnsi"/>
        </w:rPr>
        <w:t xml:space="preserve"> in excess of $500 000 or 1 per cent of the operating expense cap, whichever is greater</w:t>
      </w:r>
      <w:r w:rsidR="00D6528D" w:rsidRPr="004063FF">
        <w:rPr>
          <w:rFonts w:asciiTheme="minorHAnsi" w:hAnsiTheme="minorHAnsi"/>
        </w:rPr>
        <w:t>)</w:t>
      </w:r>
      <w:r w:rsidR="004C5278" w:rsidRPr="00353299">
        <w:rPr>
          <w:rFonts w:asciiTheme="minorHAnsi" w:hAnsiTheme="minorHAnsi"/>
        </w:rPr>
        <w:t xml:space="preserve"> that is carried over for use for a different or similar purpose in future years. </w:t>
      </w:r>
      <w:r w:rsidR="00A0725C">
        <w:rPr>
          <w:rFonts w:asciiTheme="minorHAnsi" w:hAnsiTheme="minorHAnsi"/>
        </w:rPr>
        <w:t xml:space="preserve">There are typically no outstanding obligations to these funds. </w:t>
      </w:r>
      <w:r w:rsidR="001851FA" w:rsidRPr="004063FF">
        <w:rPr>
          <w:rFonts w:asciiTheme="minorHAnsi" w:hAnsiTheme="minorHAnsi"/>
        </w:rPr>
        <w:t>Reward carryover</w:t>
      </w:r>
      <w:r w:rsidR="00064F31" w:rsidRPr="004063FF">
        <w:rPr>
          <w:rFonts w:asciiTheme="minorHAnsi" w:hAnsiTheme="minorHAnsi"/>
        </w:rPr>
        <w:t xml:space="preserve">s </w:t>
      </w:r>
      <w:proofErr w:type="gramStart"/>
      <w:r w:rsidR="00064F31" w:rsidRPr="004063FF">
        <w:rPr>
          <w:rFonts w:asciiTheme="minorHAnsi" w:hAnsiTheme="minorHAnsi"/>
        </w:rPr>
        <w:t>are funded</w:t>
      </w:r>
      <w:proofErr w:type="gramEnd"/>
      <w:r w:rsidR="00064F31" w:rsidRPr="004063FF">
        <w:rPr>
          <w:rFonts w:asciiTheme="minorHAnsi" w:hAnsiTheme="minorHAnsi"/>
        </w:rPr>
        <w:t xml:space="preserve"> from </w:t>
      </w:r>
      <w:r w:rsidR="001851FA" w:rsidRPr="004063FF">
        <w:rPr>
          <w:rFonts w:asciiTheme="minorHAnsi" w:hAnsiTheme="minorHAnsi"/>
        </w:rPr>
        <w:t>use of available cash balances.</w:t>
      </w:r>
    </w:p>
    <w:p w14:paraId="2CCBF408" w14:textId="76333202" w:rsidR="00D6528D" w:rsidRPr="004063FF" w:rsidRDefault="00AE0859" w:rsidP="004824EF">
      <w:pPr>
        <w:pStyle w:val="ListNumber"/>
        <w:numPr>
          <w:ilvl w:val="0"/>
          <w:numId w:val="0"/>
        </w:numPr>
        <w:ind w:left="280"/>
        <w:rPr>
          <w:rFonts w:asciiTheme="minorHAnsi" w:hAnsiTheme="minorHAnsi"/>
        </w:rPr>
      </w:pPr>
      <w:r>
        <w:rPr>
          <w:rFonts w:asciiTheme="minorHAnsi" w:hAnsiTheme="minorHAnsi"/>
        </w:rPr>
        <w:t xml:space="preserve">A reward carryover </w:t>
      </w:r>
      <w:proofErr w:type="gramStart"/>
      <w:r>
        <w:rPr>
          <w:rFonts w:asciiTheme="minorHAnsi" w:hAnsiTheme="minorHAnsi"/>
        </w:rPr>
        <w:t xml:space="preserve">can </w:t>
      </w:r>
      <w:r w:rsidR="00D6528D" w:rsidRPr="004063FF">
        <w:rPr>
          <w:rFonts w:asciiTheme="minorHAnsi" w:hAnsiTheme="minorHAnsi"/>
        </w:rPr>
        <w:t>only</w:t>
      </w:r>
      <w:r>
        <w:rPr>
          <w:rFonts w:asciiTheme="minorHAnsi" w:hAnsiTheme="minorHAnsi"/>
        </w:rPr>
        <w:t xml:space="preserve"> be</w:t>
      </w:r>
      <w:r w:rsidR="00D6528D" w:rsidRPr="004063FF">
        <w:rPr>
          <w:rFonts w:asciiTheme="minorHAnsi" w:hAnsiTheme="minorHAnsi"/>
        </w:rPr>
        <w:t xml:space="preserve"> considered</w:t>
      </w:r>
      <w:proofErr w:type="gramEnd"/>
      <w:r w:rsidR="00D6528D" w:rsidRPr="004063FF">
        <w:rPr>
          <w:rFonts w:asciiTheme="minorHAnsi" w:hAnsiTheme="minorHAnsi"/>
        </w:rPr>
        <w:t xml:space="preserve"> after the agency’s unearned revenue balances and carryovers requested have been met from cash balances.</w:t>
      </w:r>
    </w:p>
    <w:p w14:paraId="0B72B822" w14:textId="3777DF73" w:rsidR="001851FA" w:rsidRPr="004063FF" w:rsidRDefault="001851FA">
      <w:pPr>
        <w:pStyle w:val="ListNumber"/>
        <w:numPr>
          <w:ilvl w:val="0"/>
          <w:numId w:val="0"/>
        </w:numPr>
        <w:ind w:left="280"/>
        <w:rPr>
          <w:rFonts w:asciiTheme="minorHAnsi" w:hAnsiTheme="minorHAnsi"/>
        </w:rPr>
      </w:pPr>
      <w:r w:rsidRPr="004063FF">
        <w:rPr>
          <w:rFonts w:asciiTheme="minorHAnsi" w:hAnsiTheme="minorHAnsi"/>
        </w:rPr>
        <w:t xml:space="preserve">A reward carryover will worsen the agency’s net surplus/deficit and whole of government fiscal balance in the year funds are </w:t>
      </w:r>
      <w:r w:rsidR="00064F31" w:rsidRPr="004063FF">
        <w:rPr>
          <w:rFonts w:asciiTheme="minorHAnsi" w:hAnsiTheme="minorHAnsi"/>
        </w:rPr>
        <w:t xml:space="preserve">utilised because no corresponding revenue </w:t>
      </w:r>
      <w:proofErr w:type="gramStart"/>
      <w:r w:rsidR="00064F31" w:rsidRPr="004063FF">
        <w:rPr>
          <w:rFonts w:asciiTheme="minorHAnsi" w:hAnsiTheme="minorHAnsi"/>
        </w:rPr>
        <w:t>is recognised</w:t>
      </w:r>
      <w:proofErr w:type="gramEnd"/>
      <w:r w:rsidR="00064F31" w:rsidRPr="004063FF">
        <w:rPr>
          <w:rFonts w:asciiTheme="minorHAnsi" w:hAnsiTheme="minorHAnsi"/>
        </w:rPr>
        <w:t xml:space="preserve"> </w:t>
      </w:r>
      <w:r w:rsidR="00C456D9">
        <w:rPr>
          <w:rFonts w:asciiTheme="minorHAnsi" w:hAnsiTheme="minorHAnsi"/>
        </w:rPr>
        <w:t xml:space="preserve">for this expenditure given projects are </w:t>
      </w:r>
      <w:r w:rsidR="00064F31" w:rsidRPr="004063FF">
        <w:rPr>
          <w:rFonts w:asciiTheme="minorHAnsi" w:hAnsiTheme="minorHAnsi"/>
        </w:rPr>
        <w:t xml:space="preserve">delivered from true savings achieved </w:t>
      </w:r>
      <w:r w:rsidR="00C456D9">
        <w:rPr>
          <w:rFonts w:asciiTheme="minorHAnsi" w:hAnsiTheme="minorHAnsi"/>
        </w:rPr>
        <w:t>by an agency in the delivery of its outputs.</w:t>
      </w:r>
    </w:p>
    <w:p w14:paraId="270F10EF" w14:textId="18A10C4F" w:rsidR="00617D79" w:rsidRPr="00353299" w:rsidRDefault="00617D79">
      <w:pPr>
        <w:pStyle w:val="ListNumber"/>
        <w:numPr>
          <w:ilvl w:val="0"/>
          <w:numId w:val="0"/>
        </w:numPr>
        <w:ind w:left="280"/>
        <w:rPr>
          <w:rFonts w:asciiTheme="minorHAnsi" w:hAnsiTheme="minorHAnsi"/>
          <w:b/>
        </w:rPr>
      </w:pPr>
      <w:r w:rsidRPr="00353299">
        <w:rPr>
          <w:rFonts w:asciiTheme="minorHAnsi" w:hAnsiTheme="minorHAnsi"/>
          <w:b/>
        </w:rPr>
        <w:t xml:space="preserve">Unearned revenue </w:t>
      </w:r>
    </w:p>
    <w:p w14:paraId="4D378A6A" w14:textId="6CC7C0D8" w:rsidR="003A093E" w:rsidRDefault="00617D79">
      <w:pPr>
        <w:pStyle w:val="ListNumber"/>
        <w:numPr>
          <w:ilvl w:val="0"/>
          <w:numId w:val="0"/>
        </w:numPr>
        <w:ind w:left="280"/>
        <w:rPr>
          <w:rFonts w:asciiTheme="minorHAnsi" w:hAnsiTheme="minorHAnsi"/>
        </w:rPr>
      </w:pPr>
      <w:r w:rsidRPr="00353299">
        <w:rPr>
          <w:rFonts w:asciiTheme="minorHAnsi" w:hAnsiTheme="minorHAnsi"/>
        </w:rPr>
        <w:t>Unearned revenue balances</w:t>
      </w:r>
      <w:r w:rsidR="00A04C21" w:rsidRPr="004063FF">
        <w:rPr>
          <w:rFonts w:asciiTheme="minorHAnsi" w:hAnsiTheme="minorHAnsi"/>
        </w:rPr>
        <w:t xml:space="preserve"> </w:t>
      </w:r>
      <w:r w:rsidR="003A093E">
        <w:rPr>
          <w:rFonts w:asciiTheme="minorHAnsi" w:hAnsiTheme="minorHAnsi"/>
        </w:rPr>
        <w:t>represent</w:t>
      </w:r>
      <w:r w:rsidR="00A04C21" w:rsidRPr="004063FF">
        <w:rPr>
          <w:rFonts w:asciiTheme="minorHAnsi" w:hAnsiTheme="minorHAnsi"/>
        </w:rPr>
        <w:t xml:space="preserve"> an agency’s</w:t>
      </w:r>
      <w:r w:rsidR="00A0725C">
        <w:rPr>
          <w:rFonts w:asciiTheme="minorHAnsi" w:hAnsiTheme="minorHAnsi"/>
        </w:rPr>
        <w:t xml:space="preserve"> outstanding</w:t>
      </w:r>
      <w:r w:rsidR="00A04C21" w:rsidRPr="004063FF">
        <w:rPr>
          <w:rFonts w:asciiTheme="minorHAnsi" w:hAnsiTheme="minorHAnsi"/>
        </w:rPr>
        <w:t xml:space="preserve"> </w:t>
      </w:r>
      <w:r w:rsidR="00C456D9">
        <w:rPr>
          <w:rFonts w:asciiTheme="minorHAnsi" w:hAnsiTheme="minorHAnsi"/>
        </w:rPr>
        <w:t>obligation to transfer goods or</w:t>
      </w:r>
      <w:r w:rsidR="00A04C21" w:rsidRPr="004063FF">
        <w:rPr>
          <w:rFonts w:asciiTheme="minorHAnsi" w:hAnsiTheme="minorHAnsi"/>
        </w:rPr>
        <w:t xml:space="preserve"> services to a customer for which the a</w:t>
      </w:r>
      <w:r w:rsidR="00A0725C">
        <w:rPr>
          <w:rFonts w:asciiTheme="minorHAnsi" w:hAnsiTheme="minorHAnsi"/>
        </w:rPr>
        <w:t>gency has received cash or an amount of cash</w:t>
      </w:r>
      <w:r w:rsidR="00A04C21" w:rsidRPr="004063FF">
        <w:rPr>
          <w:rFonts w:asciiTheme="minorHAnsi" w:hAnsiTheme="minorHAnsi"/>
        </w:rPr>
        <w:t xml:space="preserve"> from the customer. Unearned revenue </w:t>
      </w:r>
      <w:proofErr w:type="gramStart"/>
      <w:r w:rsidR="00A04C21" w:rsidRPr="004063FF">
        <w:rPr>
          <w:rFonts w:asciiTheme="minorHAnsi" w:hAnsiTheme="minorHAnsi"/>
        </w:rPr>
        <w:t>is recorded</w:t>
      </w:r>
      <w:proofErr w:type="gramEnd"/>
      <w:r w:rsidR="00A04C21" w:rsidRPr="004063FF">
        <w:rPr>
          <w:rFonts w:asciiTheme="minorHAnsi" w:hAnsiTheme="minorHAnsi"/>
        </w:rPr>
        <w:t xml:space="preserve"> in an agency’s balance sheet as a liability. Unearned revenue balances are not carryovers. Agencies </w:t>
      </w:r>
      <w:proofErr w:type="gramStart"/>
      <w:r w:rsidR="00A04C21" w:rsidRPr="004063FF">
        <w:rPr>
          <w:rFonts w:asciiTheme="minorHAnsi" w:hAnsiTheme="minorHAnsi"/>
        </w:rPr>
        <w:t>are asked</w:t>
      </w:r>
      <w:proofErr w:type="gramEnd"/>
      <w:r w:rsidR="00A04C21" w:rsidRPr="004063FF">
        <w:rPr>
          <w:rFonts w:asciiTheme="minorHAnsi" w:hAnsiTheme="minorHAnsi"/>
        </w:rPr>
        <w:t xml:space="preserve"> </w:t>
      </w:r>
      <w:r w:rsidR="003A093E">
        <w:rPr>
          <w:rFonts w:asciiTheme="minorHAnsi" w:hAnsiTheme="minorHAnsi"/>
        </w:rPr>
        <w:t xml:space="preserve">to provide </w:t>
      </w:r>
      <w:r w:rsidR="00A04C21" w:rsidRPr="004063FF">
        <w:rPr>
          <w:rFonts w:asciiTheme="minorHAnsi" w:hAnsiTheme="minorHAnsi"/>
        </w:rPr>
        <w:t>details on unearned revenue balances</w:t>
      </w:r>
      <w:r w:rsidR="003A093E">
        <w:rPr>
          <w:rFonts w:asciiTheme="minorHAnsi" w:hAnsiTheme="minorHAnsi"/>
        </w:rPr>
        <w:t xml:space="preserve"> </w:t>
      </w:r>
      <w:r w:rsidR="003A093E" w:rsidRPr="00A24634">
        <w:rPr>
          <w:rFonts w:asciiTheme="minorHAnsi" w:hAnsiTheme="minorHAnsi"/>
        </w:rPr>
        <w:t>as part of the carryover process</w:t>
      </w:r>
      <w:r w:rsidR="003A093E">
        <w:rPr>
          <w:rFonts w:asciiTheme="minorHAnsi" w:hAnsiTheme="minorHAnsi"/>
        </w:rPr>
        <w:t xml:space="preserve"> because unearned revenue</w:t>
      </w:r>
      <w:r w:rsidR="00A04C21" w:rsidRPr="004063FF">
        <w:rPr>
          <w:rFonts w:asciiTheme="minorHAnsi" w:hAnsiTheme="minorHAnsi"/>
        </w:rPr>
        <w:t xml:space="preserve"> </w:t>
      </w:r>
      <w:r w:rsidR="003A093E">
        <w:rPr>
          <w:rFonts w:asciiTheme="minorHAnsi" w:hAnsiTheme="minorHAnsi"/>
        </w:rPr>
        <w:t xml:space="preserve">balances </w:t>
      </w:r>
      <w:r w:rsidR="00A04C21" w:rsidRPr="004063FF">
        <w:rPr>
          <w:rFonts w:asciiTheme="minorHAnsi" w:hAnsiTheme="minorHAnsi"/>
        </w:rPr>
        <w:t>are</w:t>
      </w:r>
      <w:r w:rsidR="003A093E">
        <w:rPr>
          <w:rFonts w:asciiTheme="minorHAnsi" w:hAnsiTheme="minorHAnsi"/>
        </w:rPr>
        <w:t xml:space="preserve"> excluded from cash balances when assessing if an agency has suffi</w:t>
      </w:r>
      <w:r w:rsidR="00AE0859">
        <w:rPr>
          <w:rFonts w:asciiTheme="minorHAnsi" w:hAnsiTheme="minorHAnsi"/>
        </w:rPr>
        <w:t>cient cash balances relative to their</w:t>
      </w:r>
      <w:r w:rsidR="003A093E">
        <w:rPr>
          <w:rFonts w:asciiTheme="minorHAnsi" w:hAnsiTheme="minorHAnsi"/>
        </w:rPr>
        <w:t xml:space="preserve"> </w:t>
      </w:r>
      <w:r w:rsidR="00AE0859">
        <w:rPr>
          <w:rFonts w:asciiTheme="minorHAnsi" w:hAnsiTheme="minorHAnsi"/>
        </w:rPr>
        <w:t>carryover request</w:t>
      </w:r>
      <w:r w:rsidR="003A093E">
        <w:rPr>
          <w:rFonts w:asciiTheme="minorHAnsi" w:hAnsiTheme="minorHAnsi"/>
        </w:rPr>
        <w:t>.</w:t>
      </w:r>
    </w:p>
    <w:p w14:paraId="76ABB5D0" w14:textId="7F6C4664" w:rsidR="00A04C21" w:rsidRPr="004063FF" w:rsidRDefault="00421EC1">
      <w:pPr>
        <w:pStyle w:val="ListNumber"/>
        <w:numPr>
          <w:ilvl w:val="0"/>
          <w:numId w:val="0"/>
        </w:numPr>
        <w:ind w:left="280"/>
        <w:rPr>
          <w:rFonts w:asciiTheme="minorHAnsi" w:hAnsiTheme="minorHAnsi"/>
        </w:rPr>
      </w:pPr>
      <w:r w:rsidRPr="004063FF">
        <w:rPr>
          <w:rFonts w:asciiTheme="minorHAnsi" w:hAnsiTheme="minorHAnsi"/>
        </w:rPr>
        <w:t>Unwinding unearned revenue balances have</w:t>
      </w:r>
      <w:r w:rsidR="003A093E">
        <w:rPr>
          <w:rFonts w:asciiTheme="minorHAnsi" w:hAnsiTheme="minorHAnsi"/>
        </w:rPr>
        <w:t xml:space="preserve"> a </w:t>
      </w:r>
      <w:r w:rsidRPr="004063FF">
        <w:rPr>
          <w:rFonts w:asciiTheme="minorHAnsi" w:hAnsiTheme="minorHAnsi"/>
        </w:rPr>
        <w:t>nil impact on the agency’s net surplus /deficit and whole of government fiscal balance in the year funds are utilised because the</w:t>
      </w:r>
      <w:r w:rsidR="003A093E">
        <w:rPr>
          <w:rFonts w:asciiTheme="minorHAnsi" w:hAnsiTheme="minorHAnsi"/>
        </w:rPr>
        <w:t>re is a corresponding revenue for</w:t>
      </w:r>
      <w:r w:rsidRPr="004063FF">
        <w:rPr>
          <w:rFonts w:asciiTheme="minorHAnsi" w:hAnsiTheme="minorHAnsi"/>
        </w:rPr>
        <w:t xml:space="preserve"> expenditure recognised.</w:t>
      </w:r>
    </w:p>
    <w:p w14:paraId="22DD5D9C" w14:textId="0B735578" w:rsidR="00617D79" w:rsidRPr="004063FF" w:rsidRDefault="001E1829" w:rsidP="006D328F">
      <w:pPr>
        <w:pStyle w:val="Heading3"/>
        <w:ind w:left="294" w:hanging="294"/>
        <w:rPr>
          <w:rFonts w:asciiTheme="minorHAnsi" w:hAnsiTheme="minorHAnsi"/>
        </w:rPr>
      </w:pPr>
      <w:r w:rsidRPr="004063FF">
        <w:rPr>
          <w:rFonts w:asciiTheme="minorHAnsi" w:hAnsiTheme="minorHAnsi"/>
        </w:rPr>
        <w:t>3</w:t>
      </w:r>
      <w:r w:rsidR="006D328F" w:rsidRPr="00353299">
        <w:rPr>
          <w:rStyle w:val="Heading2Char"/>
          <w:rFonts w:asciiTheme="minorHAnsi" w:eastAsia="Calibri" w:hAnsiTheme="minorHAnsi"/>
          <w:color w:val="1F1F5F" w:themeColor="text1"/>
          <w:sz w:val="28"/>
          <w:szCs w:val="26"/>
        </w:rPr>
        <w:t xml:space="preserve">. </w:t>
      </w:r>
      <w:r w:rsidR="00F709D4" w:rsidRPr="00353299">
        <w:rPr>
          <w:rStyle w:val="Heading2Char"/>
          <w:rFonts w:asciiTheme="minorHAnsi" w:eastAsia="Calibri" w:hAnsiTheme="minorHAnsi"/>
          <w:color w:val="1F1F5F" w:themeColor="text1"/>
          <w:sz w:val="28"/>
          <w:szCs w:val="26"/>
        </w:rPr>
        <w:t>Do unearned revenue balances</w:t>
      </w:r>
      <w:r w:rsidR="00B63786" w:rsidRPr="004063FF">
        <w:rPr>
          <w:rStyle w:val="Heading2Char"/>
          <w:rFonts w:asciiTheme="minorHAnsi" w:eastAsia="Calibri" w:hAnsiTheme="minorHAnsi"/>
          <w:color w:val="1F1F5F" w:themeColor="text1"/>
          <w:sz w:val="28"/>
          <w:szCs w:val="26"/>
        </w:rPr>
        <w:t xml:space="preserve"> </w:t>
      </w:r>
      <w:r w:rsidR="00F709D4" w:rsidRPr="00353299">
        <w:rPr>
          <w:rStyle w:val="Heading2Char"/>
          <w:rFonts w:asciiTheme="minorHAnsi" w:eastAsia="Calibri" w:hAnsiTheme="minorHAnsi"/>
          <w:color w:val="1F1F5F" w:themeColor="text1"/>
          <w:sz w:val="28"/>
          <w:szCs w:val="26"/>
        </w:rPr>
        <w:t>form part of a carryover request?</w:t>
      </w:r>
    </w:p>
    <w:p w14:paraId="72361FA3" w14:textId="77777777" w:rsidR="004824EF" w:rsidRPr="00A0725C" w:rsidRDefault="00F709D4" w:rsidP="00353299">
      <w:pPr>
        <w:pStyle w:val="ListNumber"/>
        <w:numPr>
          <w:ilvl w:val="0"/>
          <w:numId w:val="0"/>
        </w:numPr>
        <w:ind w:left="280"/>
        <w:rPr>
          <w:rFonts w:asciiTheme="minorHAnsi" w:hAnsiTheme="minorHAnsi"/>
        </w:rPr>
      </w:pPr>
      <w:r w:rsidRPr="00353299">
        <w:rPr>
          <w:rFonts w:asciiTheme="minorHAnsi" w:hAnsiTheme="minorHAnsi"/>
        </w:rPr>
        <w:t>No. Unearned revenue balances</w:t>
      </w:r>
      <w:r w:rsidR="00B7212A" w:rsidRPr="00A97E78">
        <w:rPr>
          <w:rFonts w:asciiTheme="minorHAnsi" w:hAnsiTheme="minorHAnsi"/>
        </w:rPr>
        <w:t xml:space="preserve"> do not form part of a carryover request</w:t>
      </w:r>
      <w:r w:rsidRPr="00353299">
        <w:rPr>
          <w:rFonts w:asciiTheme="minorHAnsi" w:hAnsiTheme="minorHAnsi"/>
        </w:rPr>
        <w:t>. A</w:t>
      </w:r>
      <w:r w:rsidR="00DA6B64" w:rsidRPr="00A97E78">
        <w:rPr>
          <w:rFonts w:asciiTheme="minorHAnsi" w:hAnsiTheme="minorHAnsi"/>
        </w:rPr>
        <w:t xml:space="preserve">gencies </w:t>
      </w:r>
      <w:proofErr w:type="gramStart"/>
      <w:r w:rsidR="00DA6B64" w:rsidRPr="00A97E78">
        <w:rPr>
          <w:rFonts w:asciiTheme="minorHAnsi" w:hAnsiTheme="minorHAnsi"/>
        </w:rPr>
        <w:t>may be asked</w:t>
      </w:r>
      <w:proofErr w:type="gramEnd"/>
      <w:r w:rsidR="00DA6B64" w:rsidRPr="00A97E78">
        <w:rPr>
          <w:rFonts w:asciiTheme="minorHAnsi" w:hAnsiTheme="minorHAnsi"/>
        </w:rPr>
        <w:t xml:space="preserve"> to include their budgeted and actual end of financial year unearned revenue balances</w:t>
      </w:r>
      <w:r w:rsidR="00DA6B64" w:rsidRPr="0041491E">
        <w:rPr>
          <w:rFonts w:asciiTheme="minorHAnsi" w:hAnsiTheme="minorHAnsi"/>
        </w:rPr>
        <w:t xml:space="preserve"> in the carryover request template. </w:t>
      </w:r>
      <w:r w:rsidR="004824EF" w:rsidRPr="0041491E">
        <w:rPr>
          <w:rFonts w:asciiTheme="minorHAnsi" w:hAnsiTheme="minorHAnsi"/>
        </w:rPr>
        <w:t>However,</w:t>
      </w:r>
      <w:r w:rsidR="00DA6B64" w:rsidRPr="0041491E">
        <w:rPr>
          <w:rFonts w:asciiTheme="minorHAnsi" w:hAnsiTheme="minorHAnsi"/>
        </w:rPr>
        <w:t xml:space="preserve"> these amounts do not form part</w:t>
      </w:r>
      <w:r w:rsidR="00DA6B64" w:rsidRPr="00EC6F4D">
        <w:rPr>
          <w:rFonts w:asciiTheme="minorHAnsi" w:hAnsiTheme="minorHAnsi"/>
        </w:rPr>
        <w:t xml:space="preserve"> of the carryover</w:t>
      </w:r>
      <w:r w:rsidR="00DA6B64" w:rsidRPr="00A0725C">
        <w:rPr>
          <w:rFonts w:asciiTheme="minorHAnsi" w:hAnsiTheme="minorHAnsi"/>
        </w:rPr>
        <w:t xml:space="preserve"> request.</w:t>
      </w:r>
    </w:p>
    <w:p w14:paraId="39E54F94" w14:textId="0D01B3D4" w:rsidR="004824EF" w:rsidRPr="00804FD0" w:rsidRDefault="00A0725C" w:rsidP="00353299">
      <w:pPr>
        <w:pStyle w:val="ListNumber"/>
        <w:numPr>
          <w:ilvl w:val="0"/>
          <w:numId w:val="0"/>
        </w:numPr>
        <w:ind w:left="280"/>
        <w:rPr>
          <w:rFonts w:asciiTheme="minorHAnsi" w:hAnsiTheme="minorHAnsi"/>
        </w:rPr>
      </w:pPr>
      <w:r>
        <w:rPr>
          <w:rFonts w:asciiTheme="minorHAnsi" w:hAnsiTheme="minorHAnsi"/>
        </w:rPr>
        <w:t>U</w:t>
      </w:r>
      <w:r w:rsidRPr="00804FD0">
        <w:rPr>
          <w:rFonts w:asciiTheme="minorHAnsi" w:hAnsiTheme="minorHAnsi"/>
        </w:rPr>
        <w:t>nearned revenue balances are required</w:t>
      </w:r>
      <w:r w:rsidR="004824EF" w:rsidRPr="00804FD0">
        <w:rPr>
          <w:rFonts w:asciiTheme="minorHAnsi" w:hAnsiTheme="minorHAnsi"/>
        </w:rPr>
        <w:t xml:space="preserve"> to be unwound in accordance</w:t>
      </w:r>
      <w:r w:rsidR="004824EF" w:rsidRPr="00067FAC">
        <w:rPr>
          <w:rFonts w:asciiTheme="minorHAnsi" w:hAnsiTheme="minorHAnsi"/>
        </w:rPr>
        <w:t xml:space="preserve"> with Australian accounting standards,</w:t>
      </w:r>
      <w:r>
        <w:rPr>
          <w:rFonts w:asciiTheme="minorHAnsi" w:hAnsiTheme="minorHAnsi"/>
        </w:rPr>
        <w:t xml:space="preserve"> and</w:t>
      </w:r>
      <w:r w:rsidR="004824EF" w:rsidRPr="00804FD0">
        <w:rPr>
          <w:rFonts w:asciiTheme="minorHAnsi" w:hAnsiTheme="minorHAnsi"/>
        </w:rPr>
        <w:t xml:space="preserve"> any unearned revenue balances </w:t>
      </w:r>
      <w:proofErr w:type="gramStart"/>
      <w:r w:rsidR="004824EF" w:rsidRPr="00804FD0">
        <w:rPr>
          <w:rFonts w:asciiTheme="minorHAnsi" w:hAnsiTheme="minorHAnsi"/>
        </w:rPr>
        <w:t>are considered</w:t>
      </w:r>
      <w:proofErr w:type="gramEnd"/>
      <w:r w:rsidR="004824EF" w:rsidRPr="00804FD0">
        <w:rPr>
          <w:rFonts w:asciiTheme="minorHAnsi" w:hAnsiTheme="minorHAnsi"/>
        </w:rPr>
        <w:t xml:space="preserve"> against available cash balances before a carryover or a reward carryover is considered</w:t>
      </w:r>
      <w:r>
        <w:rPr>
          <w:rFonts w:asciiTheme="minorHAnsi" w:hAnsiTheme="minorHAnsi"/>
        </w:rPr>
        <w:t xml:space="preserve"> to ensure sufficient cash balances are available</w:t>
      </w:r>
      <w:r w:rsidR="004824EF" w:rsidRPr="00804FD0">
        <w:rPr>
          <w:rFonts w:asciiTheme="minorHAnsi" w:hAnsiTheme="minorHAnsi"/>
        </w:rPr>
        <w:t>.</w:t>
      </w:r>
      <w:r w:rsidR="00DA6B64" w:rsidRPr="00804FD0">
        <w:rPr>
          <w:rFonts w:asciiTheme="minorHAnsi" w:hAnsiTheme="minorHAnsi"/>
        </w:rPr>
        <w:t xml:space="preserve"> </w:t>
      </w:r>
    </w:p>
    <w:p w14:paraId="5BF02C24" w14:textId="6BCF6404" w:rsidR="004824EF" w:rsidRPr="004063FF" w:rsidRDefault="004824EF" w:rsidP="004824EF">
      <w:pPr>
        <w:pStyle w:val="Heading3"/>
        <w:ind w:left="294" w:hanging="294"/>
        <w:rPr>
          <w:rFonts w:asciiTheme="minorHAnsi" w:hAnsiTheme="minorHAnsi"/>
        </w:rPr>
      </w:pPr>
      <w:r w:rsidRPr="004063FF">
        <w:rPr>
          <w:rFonts w:asciiTheme="minorHAnsi" w:hAnsiTheme="minorHAnsi"/>
        </w:rPr>
        <w:t>4</w:t>
      </w:r>
      <w:r w:rsidRPr="004063FF">
        <w:rPr>
          <w:rStyle w:val="Heading2Char"/>
          <w:rFonts w:asciiTheme="minorHAnsi" w:eastAsia="Calibri" w:hAnsiTheme="minorHAnsi"/>
          <w:color w:val="1F1F5F" w:themeColor="text1"/>
          <w:sz w:val="28"/>
          <w:szCs w:val="26"/>
        </w:rPr>
        <w:t xml:space="preserve">. Can I request to carryover an approved </w:t>
      </w:r>
      <w:proofErr w:type="gramStart"/>
      <w:r w:rsidRPr="004063FF">
        <w:rPr>
          <w:rStyle w:val="Heading2Char"/>
          <w:rFonts w:asciiTheme="minorHAnsi" w:eastAsia="Calibri" w:hAnsiTheme="minorHAnsi"/>
          <w:color w:val="1F1F5F" w:themeColor="text1"/>
          <w:sz w:val="28"/>
          <w:szCs w:val="26"/>
        </w:rPr>
        <w:t>Treasurer’s</w:t>
      </w:r>
      <w:proofErr w:type="gramEnd"/>
      <w:r w:rsidRPr="004063FF">
        <w:rPr>
          <w:rStyle w:val="Heading2Char"/>
          <w:rFonts w:asciiTheme="minorHAnsi" w:eastAsia="Calibri" w:hAnsiTheme="minorHAnsi"/>
          <w:color w:val="1F1F5F" w:themeColor="text1"/>
          <w:sz w:val="28"/>
          <w:szCs w:val="26"/>
        </w:rPr>
        <w:t xml:space="preserve"> Advance and use it for another purpose?</w:t>
      </w:r>
    </w:p>
    <w:p w14:paraId="56046A3E" w14:textId="49D25FFE" w:rsidR="00BE64ED" w:rsidRPr="004063FF" w:rsidRDefault="006D328F" w:rsidP="006D328F">
      <w:pPr>
        <w:pStyle w:val="ListNumber"/>
        <w:numPr>
          <w:ilvl w:val="0"/>
          <w:numId w:val="0"/>
        </w:numPr>
        <w:ind w:left="280"/>
        <w:rPr>
          <w:rFonts w:asciiTheme="minorHAnsi" w:hAnsiTheme="minorHAnsi"/>
        </w:rPr>
      </w:pPr>
      <w:r w:rsidRPr="004063FF">
        <w:rPr>
          <w:rFonts w:asciiTheme="minorHAnsi" w:hAnsiTheme="minorHAnsi"/>
        </w:rPr>
        <w:t>No</w:t>
      </w:r>
      <w:r w:rsidR="002250BA" w:rsidRPr="004063FF">
        <w:rPr>
          <w:rFonts w:asciiTheme="minorHAnsi" w:hAnsiTheme="minorHAnsi"/>
        </w:rPr>
        <w:t>, unless written approval has been obtained from the Treasurer to use the Treasurer’s Advance for another purpose in accordance with Treasurer’s Direction – Treasurer’s Advance</w:t>
      </w:r>
      <w:r w:rsidRPr="004063FF">
        <w:rPr>
          <w:rFonts w:asciiTheme="minorHAnsi" w:hAnsiTheme="minorHAnsi"/>
        </w:rPr>
        <w:t xml:space="preserve">. </w:t>
      </w:r>
      <w:r w:rsidR="005747C9" w:rsidRPr="004063FF">
        <w:rPr>
          <w:rFonts w:asciiTheme="minorHAnsi" w:hAnsiTheme="minorHAnsi"/>
        </w:rPr>
        <w:t xml:space="preserve">With the exception of reward carryovers, </w:t>
      </w:r>
      <w:r w:rsidR="00992CBB" w:rsidRPr="004063FF">
        <w:rPr>
          <w:rFonts w:asciiTheme="minorHAnsi" w:hAnsiTheme="minorHAnsi"/>
        </w:rPr>
        <w:t>a</w:t>
      </w:r>
      <w:r w:rsidR="00BE64ED" w:rsidRPr="004063FF">
        <w:rPr>
          <w:rFonts w:asciiTheme="minorHAnsi" w:hAnsiTheme="minorHAnsi"/>
        </w:rPr>
        <w:t xml:space="preserve"> request to carryover funds </w:t>
      </w:r>
      <w:proofErr w:type="gramStart"/>
      <w:r w:rsidR="00BE64ED" w:rsidRPr="004063FF">
        <w:rPr>
          <w:rFonts w:asciiTheme="minorHAnsi" w:hAnsiTheme="minorHAnsi"/>
        </w:rPr>
        <w:t>will only be considered</w:t>
      </w:r>
      <w:proofErr w:type="gramEnd"/>
      <w:r w:rsidR="00BE64ED" w:rsidRPr="004063FF">
        <w:rPr>
          <w:rFonts w:asciiTheme="minorHAnsi" w:hAnsiTheme="minorHAnsi"/>
        </w:rPr>
        <w:t xml:space="preserve"> if the funds will be used for the original purpose </w:t>
      </w:r>
      <w:r w:rsidR="008B5C4F" w:rsidRPr="004063FF">
        <w:rPr>
          <w:rFonts w:asciiTheme="minorHAnsi" w:hAnsiTheme="minorHAnsi"/>
        </w:rPr>
        <w:t xml:space="preserve">for </w:t>
      </w:r>
      <w:r w:rsidR="00BE64ED" w:rsidRPr="004063FF">
        <w:rPr>
          <w:rFonts w:asciiTheme="minorHAnsi" w:hAnsiTheme="minorHAnsi"/>
        </w:rPr>
        <w:t xml:space="preserve">which they were approved. </w:t>
      </w:r>
    </w:p>
    <w:p w14:paraId="6062F919" w14:textId="26B96519" w:rsidR="00132A5D" w:rsidRPr="004063FF" w:rsidRDefault="004824EF" w:rsidP="00625EE4">
      <w:pPr>
        <w:pStyle w:val="Heading3"/>
        <w:rPr>
          <w:rFonts w:asciiTheme="minorHAnsi" w:hAnsiTheme="minorHAnsi"/>
        </w:rPr>
      </w:pPr>
      <w:r w:rsidRPr="004063FF">
        <w:rPr>
          <w:rFonts w:asciiTheme="minorHAnsi" w:hAnsiTheme="minorHAnsi"/>
        </w:rPr>
        <w:t>5</w:t>
      </w:r>
      <w:r w:rsidR="00132A5D" w:rsidRPr="004063FF">
        <w:rPr>
          <w:rFonts w:asciiTheme="minorHAnsi" w:hAnsiTheme="minorHAnsi"/>
        </w:rPr>
        <w:t xml:space="preserve">. What is the format </w:t>
      </w:r>
      <w:r w:rsidR="002D4BD1" w:rsidRPr="004063FF">
        <w:rPr>
          <w:rFonts w:asciiTheme="minorHAnsi" w:hAnsiTheme="minorHAnsi"/>
        </w:rPr>
        <w:t xml:space="preserve">set </w:t>
      </w:r>
      <w:r w:rsidR="00132A5D" w:rsidRPr="004063FF">
        <w:rPr>
          <w:rFonts w:asciiTheme="minorHAnsi" w:hAnsiTheme="minorHAnsi"/>
        </w:rPr>
        <w:t xml:space="preserve">for carryover requests? </w:t>
      </w:r>
    </w:p>
    <w:p w14:paraId="4FFB1590" w14:textId="772EEE27" w:rsidR="00132A5D" w:rsidRPr="004063FF" w:rsidRDefault="004623AD" w:rsidP="00625EE4">
      <w:pPr>
        <w:pStyle w:val="ListNumber"/>
        <w:numPr>
          <w:ilvl w:val="0"/>
          <w:numId w:val="0"/>
        </w:numPr>
        <w:ind w:left="280"/>
        <w:rPr>
          <w:rFonts w:asciiTheme="minorHAnsi" w:hAnsiTheme="minorHAnsi"/>
        </w:rPr>
      </w:pPr>
      <w:r w:rsidRPr="004063FF">
        <w:rPr>
          <w:rFonts w:asciiTheme="minorHAnsi" w:hAnsiTheme="minorHAnsi"/>
        </w:rPr>
        <w:t xml:space="preserve">The Department of Treasury and Finance </w:t>
      </w:r>
      <w:r w:rsidR="002D4BD1" w:rsidRPr="004063FF">
        <w:rPr>
          <w:rFonts w:asciiTheme="minorHAnsi" w:hAnsiTheme="minorHAnsi"/>
        </w:rPr>
        <w:t xml:space="preserve">will </w:t>
      </w:r>
      <w:r w:rsidRPr="004063FF">
        <w:rPr>
          <w:rFonts w:asciiTheme="minorHAnsi" w:hAnsiTheme="minorHAnsi"/>
        </w:rPr>
        <w:t>provide a pro</w:t>
      </w:r>
      <w:r w:rsidR="00FD6972" w:rsidRPr="004063FF">
        <w:rPr>
          <w:rFonts w:asciiTheme="minorHAnsi" w:hAnsiTheme="minorHAnsi"/>
        </w:rPr>
        <w:t xml:space="preserve"> </w:t>
      </w:r>
      <w:r w:rsidRPr="004063FF">
        <w:rPr>
          <w:rFonts w:asciiTheme="minorHAnsi" w:hAnsiTheme="minorHAnsi"/>
        </w:rPr>
        <w:t>forma template</w:t>
      </w:r>
      <w:r w:rsidR="00DD01CC" w:rsidRPr="004063FF">
        <w:rPr>
          <w:rFonts w:asciiTheme="minorHAnsi" w:hAnsiTheme="minorHAnsi"/>
        </w:rPr>
        <w:t>,</w:t>
      </w:r>
      <w:r w:rsidR="002D4BD1" w:rsidRPr="004063FF">
        <w:rPr>
          <w:rFonts w:asciiTheme="minorHAnsi" w:hAnsiTheme="minorHAnsi"/>
        </w:rPr>
        <w:t xml:space="preserve"> which is generally</w:t>
      </w:r>
      <w:r w:rsidRPr="004063FF">
        <w:rPr>
          <w:rFonts w:asciiTheme="minorHAnsi" w:hAnsiTheme="minorHAnsi"/>
        </w:rPr>
        <w:t xml:space="preserve"> </w:t>
      </w:r>
      <w:r w:rsidR="002D4BD1" w:rsidRPr="004063FF">
        <w:rPr>
          <w:rFonts w:asciiTheme="minorHAnsi" w:hAnsiTheme="minorHAnsi"/>
        </w:rPr>
        <w:t xml:space="preserve">an </w:t>
      </w:r>
      <w:r w:rsidRPr="004063FF">
        <w:rPr>
          <w:rFonts w:asciiTheme="minorHAnsi" w:hAnsiTheme="minorHAnsi"/>
        </w:rPr>
        <w:t>attach</w:t>
      </w:r>
      <w:r w:rsidR="002D4BD1" w:rsidRPr="004063FF">
        <w:rPr>
          <w:rFonts w:asciiTheme="minorHAnsi" w:hAnsiTheme="minorHAnsi"/>
        </w:rPr>
        <w:t>ment</w:t>
      </w:r>
      <w:r w:rsidRPr="004063FF">
        <w:rPr>
          <w:rFonts w:asciiTheme="minorHAnsi" w:hAnsiTheme="minorHAnsi"/>
        </w:rPr>
        <w:t xml:space="preserve"> to the annual Treasury Circular issued to </w:t>
      </w:r>
      <w:r w:rsidR="00A673C6" w:rsidRPr="004063FF">
        <w:rPr>
          <w:rFonts w:asciiTheme="minorHAnsi" w:hAnsiTheme="minorHAnsi"/>
        </w:rPr>
        <w:t xml:space="preserve">accountable officers </w:t>
      </w:r>
      <w:r w:rsidRPr="004063FF">
        <w:rPr>
          <w:rFonts w:asciiTheme="minorHAnsi" w:hAnsiTheme="minorHAnsi"/>
        </w:rPr>
        <w:t xml:space="preserve">on the carryover process. </w:t>
      </w:r>
      <w:r w:rsidR="00A673C6" w:rsidRPr="004063FF">
        <w:rPr>
          <w:rFonts w:asciiTheme="minorHAnsi" w:hAnsiTheme="minorHAnsi"/>
        </w:rPr>
        <w:t xml:space="preserve">An accountable officer </w:t>
      </w:r>
      <w:r w:rsidRPr="004063FF">
        <w:rPr>
          <w:rFonts w:asciiTheme="minorHAnsi" w:hAnsiTheme="minorHAnsi"/>
        </w:rPr>
        <w:t xml:space="preserve">must use the template </w:t>
      </w:r>
      <w:r w:rsidR="00543EE4" w:rsidRPr="004063FF">
        <w:rPr>
          <w:rFonts w:asciiTheme="minorHAnsi" w:hAnsiTheme="minorHAnsi"/>
        </w:rPr>
        <w:t xml:space="preserve">provided in the circular </w:t>
      </w:r>
      <w:r w:rsidRPr="004063FF">
        <w:rPr>
          <w:rFonts w:asciiTheme="minorHAnsi" w:hAnsiTheme="minorHAnsi"/>
        </w:rPr>
        <w:t xml:space="preserve">when submitting </w:t>
      </w:r>
      <w:r w:rsidR="00B23774" w:rsidRPr="004063FF">
        <w:rPr>
          <w:rFonts w:asciiTheme="minorHAnsi" w:hAnsiTheme="minorHAnsi"/>
        </w:rPr>
        <w:t xml:space="preserve">a carryover </w:t>
      </w:r>
      <w:r w:rsidR="00992CBB" w:rsidRPr="004063FF">
        <w:rPr>
          <w:rFonts w:asciiTheme="minorHAnsi" w:hAnsiTheme="minorHAnsi"/>
        </w:rPr>
        <w:t>request</w:t>
      </w:r>
      <w:r w:rsidRPr="004063FF">
        <w:rPr>
          <w:rFonts w:asciiTheme="minorHAnsi" w:hAnsiTheme="minorHAnsi"/>
        </w:rPr>
        <w:t>.</w:t>
      </w:r>
    </w:p>
    <w:p w14:paraId="1343625B" w14:textId="3168310C" w:rsidR="00CC143F" w:rsidRPr="004063FF" w:rsidRDefault="0010693F" w:rsidP="00CC143F">
      <w:pPr>
        <w:pStyle w:val="Heading3"/>
        <w:ind w:left="284" w:hanging="284"/>
        <w:rPr>
          <w:rFonts w:asciiTheme="minorHAnsi" w:hAnsiTheme="minorHAnsi"/>
        </w:rPr>
      </w:pPr>
      <w:r w:rsidRPr="004063FF">
        <w:rPr>
          <w:rFonts w:asciiTheme="minorHAnsi" w:hAnsiTheme="minorHAnsi"/>
        </w:rPr>
        <w:lastRenderedPageBreak/>
        <w:t>6</w:t>
      </w:r>
      <w:r w:rsidR="00CC143F" w:rsidRPr="004063FF">
        <w:rPr>
          <w:rFonts w:asciiTheme="minorHAnsi" w:hAnsiTheme="minorHAnsi"/>
        </w:rPr>
        <w:t xml:space="preserve">. At a minimum, what information </w:t>
      </w:r>
      <w:proofErr w:type="gramStart"/>
      <w:r w:rsidR="00CC143F" w:rsidRPr="004063FF">
        <w:rPr>
          <w:rFonts w:asciiTheme="minorHAnsi" w:hAnsiTheme="minorHAnsi"/>
        </w:rPr>
        <w:t>is needed</w:t>
      </w:r>
      <w:proofErr w:type="gramEnd"/>
      <w:r w:rsidR="00CC143F" w:rsidRPr="004063FF">
        <w:rPr>
          <w:rFonts w:asciiTheme="minorHAnsi" w:hAnsiTheme="minorHAnsi"/>
        </w:rPr>
        <w:t xml:space="preserve"> to support a carryover request? </w:t>
      </w:r>
    </w:p>
    <w:p w14:paraId="23D8752A" w14:textId="741C0837" w:rsidR="00CC143F" w:rsidRPr="004063FF" w:rsidRDefault="00CC143F" w:rsidP="00CC143F">
      <w:pPr>
        <w:pStyle w:val="ListNumber"/>
        <w:numPr>
          <w:ilvl w:val="0"/>
          <w:numId w:val="0"/>
        </w:numPr>
        <w:ind w:left="280"/>
        <w:rPr>
          <w:rFonts w:asciiTheme="minorHAnsi" w:hAnsiTheme="minorHAnsi"/>
        </w:rPr>
      </w:pPr>
      <w:r w:rsidRPr="004063FF">
        <w:rPr>
          <w:rFonts w:asciiTheme="minorHAnsi" w:hAnsiTheme="minorHAnsi"/>
        </w:rPr>
        <w:t>The carryover request must include supporting information that outlines, by program:</w:t>
      </w:r>
    </w:p>
    <w:p w14:paraId="4213A340" w14:textId="052E5F59" w:rsidR="00CC143F" w:rsidRPr="004063FF" w:rsidRDefault="00CC143F" w:rsidP="00EF7428">
      <w:pPr>
        <w:pStyle w:val="ListNumber"/>
        <w:numPr>
          <w:ilvl w:val="0"/>
          <w:numId w:val="16"/>
        </w:numPr>
        <w:rPr>
          <w:rFonts w:asciiTheme="minorHAnsi" w:hAnsiTheme="minorHAnsi"/>
        </w:rPr>
      </w:pPr>
      <w:r w:rsidRPr="004063FF">
        <w:rPr>
          <w:rFonts w:asciiTheme="minorHAnsi" w:hAnsiTheme="minorHAnsi"/>
        </w:rPr>
        <w:t>the program, including the request type under paragraph </w:t>
      </w:r>
      <w:r w:rsidR="007D44A7" w:rsidRPr="00353299">
        <w:rPr>
          <w:rFonts w:asciiTheme="minorHAnsi" w:hAnsiTheme="minorHAnsi"/>
        </w:rPr>
        <w:t>9</w:t>
      </w:r>
      <w:r w:rsidR="00D31F20" w:rsidRPr="004063FF">
        <w:rPr>
          <w:rFonts w:asciiTheme="minorHAnsi" w:hAnsiTheme="minorHAnsi"/>
        </w:rPr>
        <w:t xml:space="preserve"> of TD - Carryovers</w:t>
      </w:r>
    </w:p>
    <w:p w14:paraId="066AA3AC" w14:textId="77777777" w:rsidR="00CC143F" w:rsidRPr="004063FF" w:rsidRDefault="00CC143F" w:rsidP="00EF7428">
      <w:pPr>
        <w:pStyle w:val="ListNumber"/>
        <w:numPr>
          <w:ilvl w:val="0"/>
          <w:numId w:val="16"/>
        </w:numPr>
        <w:rPr>
          <w:rFonts w:asciiTheme="minorHAnsi" w:hAnsiTheme="minorHAnsi"/>
        </w:rPr>
      </w:pPr>
      <w:r w:rsidRPr="004063FF">
        <w:rPr>
          <w:rFonts w:asciiTheme="minorHAnsi" w:hAnsiTheme="minorHAnsi"/>
        </w:rPr>
        <w:t>the reasons for seeking a carryover</w:t>
      </w:r>
    </w:p>
    <w:p w14:paraId="4415B3A8" w14:textId="77777777" w:rsidR="00CC143F" w:rsidRPr="004063FF" w:rsidRDefault="00CC143F" w:rsidP="00EF7428">
      <w:pPr>
        <w:pStyle w:val="ListNumber"/>
        <w:numPr>
          <w:ilvl w:val="0"/>
          <w:numId w:val="16"/>
        </w:numPr>
        <w:rPr>
          <w:rFonts w:asciiTheme="minorHAnsi" w:hAnsiTheme="minorHAnsi"/>
        </w:rPr>
      </w:pPr>
      <w:r w:rsidRPr="004063FF">
        <w:rPr>
          <w:rFonts w:asciiTheme="minorHAnsi" w:hAnsiTheme="minorHAnsi"/>
        </w:rPr>
        <w:t>the carryover amounts and the financial years in which the carryover amounts will be utilised</w:t>
      </w:r>
    </w:p>
    <w:p w14:paraId="0F9A1A63" w14:textId="77777777" w:rsidR="00CC143F" w:rsidRPr="004063FF" w:rsidRDefault="00CC143F" w:rsidP="00EF7428">
      <w:pPr>
        <w:pStyle w:val="ListNumber"/>
        <w:numPr>
          <w:ilvl w:val="0"/>
          <w:numId w:val="16"/>
        </w:numPr>
        <w:rPr>
          <w:rFonts w:asciiTheme="minorHAnsi" w:hAnsiTheme="minorHAnsi"/>
        </w:rPr>
      </w:pPr>
      <w:r w:rsidRPr="004063FF">
        <w:rPr>
          <w:rFonts w:asciiTheme="minorHAnsi" w:hAnsiTheme="minorHAnsi"/>
        </w:rPr>
        <w:t>the amounts accounted as unearned revenue in the agency’s balance sheet</w:t>
      </w:r>
    </w:p>
    <w:p w14:paraId="17B77E66" w14:textId="25F30017" w:rsidR="00CC143F" w:rsidRPr="004063FF" w:rsidRDefault="00CC143F" w:rsidP="00EF7428">
      <w:pPr>
        <w:pStyle w:val="ListNumber"/>
        <w:numPr>
          <w:ilvl w:val="0"/>
          <w:numId w:val="16"/>
        </w:numPr>
        <w:rPr>
          <w:rFonts w:asciiTheme="minorHAnsi" w:hAnsiTheme="minorHAnsi"/>
        </w:rPr>
      </w:pPr>
      <w:proofErr w:type="gramStart"/>
      <w:r w:rsidRPr="004063FF">
        <w:rPr>
          <w:rFonts w:asciiTheme="minorHAnsi" w:hAnsiTheme="minorHAnsi"/>
        </w:rPr>
        <w:t>any</w:t>
      </w:r>
      <w:proofErr w:type="gramEnd"/>
      <w:r w:rsidRPr="004063FF">
        <w:rPr>
          <w:rFonts w:asciiTheme="minorHAnsi" w:hAnsiTheme="minorHAnsi"/>
        </w:rPr>
        <w:t xml:space="preserve"> other information relevant to the carryover.</w:t>
      </w:r>
    </w:p>
    <w:p w14:paraId="09492E66" w14:textId="5F0C7F78" w:rsidR="002D4BD1" w:rsidRPr="00A97E78" w:rsidRDefault="0010693F" w:rsidP="00BF5E56">
      <w:pPr>
        <w:pStyle w:val="Heading3"/>
        <w:rPr>
          <w:rStyle w:val="Heading1Char"/>
          <w:rFonts w:asciiTheme="minorHAnsi" w:eastAsia="Calibri" w:hAnsiTheme="minorHAnsi"/>
          <w:color w:val="1F1F5F" w:themeColor="text1"/>
          <w:kern w:val="0"/>
          <w:sz w:val="28"/>
          <w:szCs w:val="26"/>
        </w:rPr>
      </w:pPr>
      <w:r w:rsidRPr="004063FF">
        <w:rPr>
          <w:rStyle w:val="Heading1Char"/>
          <w:rFonts w:asciiTheme="minorHAnsi" w:eastAsia="Calibri" w:hAnsiTheme="minorHAnsi"/>
          <w:color w:val="1F1F5F" w:themeColor="text1"/>
          <w:kern w:val="0"/>
          <w:sz w:val="28"/>
          <w:szCs w:val="26"/>
        </w:rPr>
        <w:t>7</w:t>
      </w:r>
      <w:r w:rsidR="002D4BD1" w:rsidRPr="004063FF">
        <w:rPr>
          <w:rStyle w:val="Heading1Char"/>
          <w:rFonts w:asciiTheme="minorHAnsi" w:eastAsia="Calibri" w:hAnsiTheme="minorHAnsi"/>
          <w:color w:val="1F1F5F" w:themeColor="text1"/>
          <w:kern w:val="0"/>
          <w:sz w:val="28"/>
          <w:szCs w:val="26"/>
        </w:rPr>
        <w:t>. What is the due date for carryover requests?</w:t>
      </w:r>
    </w:p>
    <w:p w14:paraId="654C219F" w14:textId="1ED1E04A" w:rsidR="002D4BD1" w:rsidRPr="004063FF" w:rsidRDefault="002D4BD1" w:rsidP="00BF5E56">
      <w:pPr>
        <w:ind w:left="284" w:firstLine="1"/>
        <w:rPr>
          <w:rFonts w:asciiTheme="minorHAnsi" w:hAnsiTheme="minorHAnsi"/>
        </w:rPr>
      </w:pPr>
      <w:r w:rsidRPr="004063FF">
        <w:rPr>
          <w:rFonts w:asciiTheme="minorHAnsi" w:hAnsiTheme="minorHAnsi"/>
        </w:rPr>
        <w:t xml:space="preserve">The Department of Treasury and Finance will notify accountable officers of the due date for carryover requests to be completed and </w:t>
      </w:r>
      <w:proofErr w:type="gramStart"/>
      <w:r w:rsidRPr="004063FF">
        <w:rPr>
          <w:rFonts w:asciiTheme="minorHAnsi" w:hAnsiTheme="minorHAnsi"/>
        </w:rPr>
        <w:t>returned</w:t>
      </w:r>
      <w:proofErr w:type="gramEnd"/>
      <w:r w:rsidRPr="004063FF">
        <w:rPr>
          <w:rFonts w:asciiTheme="minorHAnsi" w:hAnsiTheme="minorHAnsi"/>
        </w:rPr>
        <w:t xml:space="preserve">. This due date </w:t>
      </w:r>
      <w:proofErr w:type="gramStart"/>
      <w:r w:rsidRPr="004063FF">
        <w:rPr>
          <w:rFonts w:asciiTheme="minorHAnsi" w:hAnsiTheme="minorHAnsi"/>
        </w:rPr>
        <w:t>is generally specified</w:t>
      </w:r>
      <w:proofErr w:type="gramEnd"/>
      <w:r w:rsidRPr="004063FF">
        <w:rPr>
          <w:rFonts w:asciiTheme="minorHAnsi" w:hAnsiTheme="minorHAnsi"/>
        </w:rPr>
        <w:t xml:space="preserve"> in the annual Treasury Circular issued to </w:t>
      </w:r>
      <w:r w:rsidR="00B23774" w:rsidRPr="004063FF">
        <w:rPr>
          <w:rFonts w:asciiTheme="minorHAnsi" w:hAnsiTheme="minorHAnsi"/>
        </w:rPr>
        <w:t xml:space="preserve">accountable officers </w:t>
      </w:r>
      <w:r w:rsidRPr="004063FF">
        <w:rPr>
          <w:rFonts w:asciiTheme="minorHAnsi" w:hAnsiTheme="minorHAnsi"/>
        </w:rPr>
        <w:t>on the carryover process.</w:t>
      </w:r>
    </w:p>
    <w:p w14:paraId="274F1711" w14:textId="38D77C8F" w:rsidR="002D4BD1" w:rsidRPr="004063FF" w:rsidRDefault="008B5C4F" w:rsidP="00BF5E56">
      <w:pPr>
        <w:ind w:left="284" w:firstLine="1"/>
        <w:rPr>
          <w:rFonts w:asciiTheme="minorHAnsi" w:hAnsiTheme="minorHAnsi"/>
        </w:rPr>
      </w:pPr>
      <w:r w:rsidRPr="004063FF">
        <w:rPr>
          <w:rFonts w:asciiTheme="minorHAnsi" w:hAnsiTheme="minorHAnsi"/>
        </w:rPr>
        <w:t>Where a</w:t>
      </w:r>
      <w:r w:rsidR="00B23774" w:rsidRPr="004063FF">
        <w:rPr>
          <w:rFonts w:asciiTheme="minorHAnsi" w:hAnsiTheme="minorHAnsi"/>
        </w:rPr>
        <w:t>n accountable officer</w:t>
      </w:r>
      <w:r w:rsidR="002D4BD1" w:rsidRPr="004063FF">
        <w:rPr>
          <w:rFonts w:asciiTheme="minorHAnsi" w:hAnsiTheme="minorHAnsi"/>
        </w:rPr>
        <w:t xml:space="preserve"> </w:t>
      </w:r>
      <w:r w:rsidR="00B23774" w:rsidRPr="004063FF">
        <w:rPr>
          <w:rFonts w:asciiTheme="minorHAnsi" w:hAnsiTheme="minorHAnsi"/>
        </w:rPr>
        <w:t xml:space="preserve">is </w:t>
      </w:r>
      <w:r w:rsidR="002D4BD1" w:rsidRPr="004063FF">
        <w:rPr>
          <w:rFonts w:asciiTheme="minorHAnsi" w:hAnsiTheme="minorHAnsi"/>
        </w:rPr>
        <w:t>unable to meet the due date</w:t>
      </w:r>
      <w:r w:rsidRPr="004063FF">
        <w:rPr>
          <w:rFonts w:asciiTheme="minorHAnsi" w:hAnsiTheme="minorHAnsi"/>
        </w:rPr>
        <w:t xml:space="preserve">, </w:t>
      </w:r>
      <w:r w:rsidR="002D4BD1" w:rsidRPr="004063FF">
        <w:rPr>
          <w:rFonts w:asciiTheme="minorHAnsi" w:hAnsiTheme="minorHAnsi"/>
        </w:rPr>
        <w:t xml:space="preserve">the Department of Treasury and Finance </w:t>
      </w:r>
      <w:proofErr w:type="gramStart"/>
      <w:r w:rsidRPr="004063FF">
        <w:rPr>
          <w:rFonts w:asciiTheme="minorHAnsi" w:hAnsiTheme="minorHAnsi"/>
        </w:rPr>
        <w:t>should be advised</w:t>
      </w:r>
      <w:proofErr w:type="gramEnd"/>
      <w:r w:rsidRPr="004063FF">
        <w:rPr>
          <w:rFonts w:asciiTheme="minorHAnsi" w:hAnsiTheme="minorHAnsi"/>
        </w:rPr>
        <w:t xml:space="preserve"> </w:t>
      </w:r>
      <w:r w:rsidR="002D4BD1" w:rsidRPr="004063FF">
        <w:rPr>
          <w:rFonts w:asciiTheme="minorHAnsi" w:hAnsiTheme="minorHAnsi"/>
        </w:rPr>
        <w:t>as soon as possible.</w:t>
      </w:r>
    </w:p>
    <w:p w14:paraId="0BE56076" w14:textId="7D8309E3" w:rsidR="00145878" w:rsidRPr="004063FF" w:rsidRDefault="0010693F" w:rsidP="00625EE4">
      <w:pPr>
        <w:pStyle w:val="Heading2"/>
        <w:ind w:left="308" w:hanging="308"/>
        <w:rPr>
          <w:rFonts w:asciiTheme="minorHAnsi" w:eastAsia="Calibri" w:hAnsiTheme="minorHAnsi" w:cs="Arial"/>
          <w:color w:val="1F1F5F" w:themeColor="text1"/>
          <w:sz w:val="28"/>
          <w:szCs w:val="26"/>
        </w:rPr>
      </w:pPr>
      <w:proofErr w:type="gramStart"/>
      <w:r w:rsidRPr="004063FF">
        <w:rPr>
          <w:rFonts w:asciiTheme="minorHAnsi" w:eastAsia="Calibri" w:hAnsiTheme="minorHAnsi" w:cs="Arial"/>
          <w:color w:val="1F1F5F" w:themeColor="text1"/>
          <w:sz w:val="28"/>
          <w:szCs w:val="26"/>
        </w:rPr>
        <w:t>8</w:t>
      </w:r>
      <w:r w:rsidR="00145878" w:rsidRPr="004063FF">
        <w:rPr>
          <w:rFonts w:asciiTheme="minorHAnsi" w:eastAsia="Calibri" w:hAnsiTheme="minorHAnsi" w:cs="Arial"/>
          <w:color w:val="1F1F5F" w:themeColor="text1"/>
          <w:sz w:val="28"/>
          <w:szCs w:val="26"/>
        </w:rPr>
        <w:t xml:space="preserve">. </w:t>
      </w:r>
      <w:r w:rsidR="00D35D22" w:rsidRPr="004063FF">
        <w:rPr>
          <w:rFonts w:asciiTheme="minorHAnsi" w:eastAsia="Calibri" w:hAnsiTheme="minorHAnsi" w:cs="Arial"/>
          <w:color w:val="1F1F5F" w:themeColor="text1"/>
          <w:sz w:val="28"/>
          <w:szCs w:val="26"/>
        </w:rPr>
        <w:t>Are cash balances considered</w:t>
      </w:r>
      <w:proofErr w:type="gramEnd"/>
      <w:r w:rsidR="00D35D22" w:rsidRPr="004063FF">
        <w:rPr>
          <w:rFonts w:asciiTheme="minorHAnsi" w:eastAsia="Calibri" w:hAnsiTheme="minorHAnsi" w:cs="Arial"/>
          <w:color w:val="1F1F5F" w:themeColor="text1"/>
          <w:sz w:val="28"/>
          <w:szCs w:val="26"/>
        </w:rPr>
        <w:t xml:space="preserve"> in the carryover assessment process</w:t>
      </w:r>
      <w:r w:rsidR="005900F2" w:rsidRPr="004063FF">
        <w:rPr>
          <w:rFonts w:asciiTheme="minorHAnsi" w:eastAsia="Calibri" w:hAnsiTheme="minorHAnsi" w:cs="Arial"/>
          <w:color w:val="1F1F5F" w:themeColor="text1"/>
          <w:sz w:val="28"/>
          <w:szCs w:val="26"/>
        </w:rPr>
        <w:t xml:space="preserve">? </w:t>
      </w:r>
    </w:p>
    <w:p w14:paraId="181471FE" w14:textId="644271C7" w:rsidR="003B4504" w:rsidRPr="004063FF" w:rsidRDefault="003B4504" w:rsidP="003B4504">
      <w:pPr>
        <w:pStyle w:val="ListNumber"/>
        <w:numPr>
          <w:ilvl w:val="0"/>
          <w:numId w:val="0"/>
        </w:numPr>
        <w:ind w:left="280"/>
        <w:rPr>
          <w:rFonts w:asciiTheme="minorHAnsi" w:hAnsiTheme="minorHAnsi"/>
        </w:rPr>
      </w:pPr>
      <w:r w:rsidRPr="004063FF">
        <w:rPr>
          <w:rFonts w:asciiTheme="minorHAnsi" w:hAnsiTheme="minorHAnsi"/>
        </w:rPr>
        <w:t>An agency must ensure there are sufficient cash balances to cover the</w:t>
      </w:r>
      <w:r w:rsidR="00BA1359" w:rsidRPr="004063FF">
        <w:rPr>
          <w:rFonts w:asciiTheme="minorHAnsi" w:hAnsiTheme="minorHAnsi"/>
        </w:rPr>
        <w:t>ir</w:t>
      </w:r>
      <w:r w:rsidRPr="004063FF">
        <w:rPr>
          <w:rFonts w:asciiTheme="minorHAnsi" w:hAnsiTheme="minorHAnsi"/>
        </w:rPr>
        <w:t xml:space="preserve"> requested carryover. When determining if there are sufficient cash balances, an agency should exclude any quarantined funds. </w:t>
      </w:r>
    </w:p>
    <w:p w14:paraId="6EF16C60" w14:textId="48C775C1" w:rsidR="00BF5E56" w:rsidRPr="004063FF" w:rsidRDefault="00BF5E56" w:rsidP="00BF5E56">
      <w:pPr>
        <w:pStyle w:val="ListNumber"/>
        <w:numPr>
          <w:ilvl w:val="0"/>
          <w:numId w:val="0"/>
        </w:numPr>
        <w:ind w:left="280"/>
        <w:rPr>
          <w:rFonts w:asciiTheme="minorHAnsi" w:hAnsiTheme="minorHAnsi"/>
        </w:rPr>
      </w:pPr>
      <w:r w:rsidRPr="004063FF">
        <w:rPr>
          <w:rFonts w:asciiTheme="minorHAnsi" w:hAnsiTheme="minorHAnsi"/>
        </w:rPr>
        <w:t xml:space="preserve">Where insufficient cash balances exist, consideration </w:t>
      </w:r>
      <w:r w:rsidR="00992CBB" w:rsidRPr="004063FF">
        <w:rPr>
          <w:rFonts w:asciiTheme="minorHAnsi" w:hAnsiTheme="minorHAnsi"/>
        </w:rPr>
        <w:t>may</w:t>
      </w:r>
      <w:r w:rsidRPr="004063FF">
        <w:rPr>
          <w:rFonts w:asciiTheme="minorHAnsi" w:hAnsiTheme="minorHAnsi"/>
        </w:rPr>
        <w:t xml:space="preserve"> be given to any expenses that were identified as eligible for a Treasurer’s Advance in accordance with Treasurer’s </w:t>
      </w:r>
      <w:r w:rsidR="00611892" w:rsidRPr="004063FF">
        <w:rPr>
          <w:rFonts w:asciiTheme="minorHAnsi" w:hAnsiTheme="minorHAnsi"/>
        </w:rPr>
        <w:t xml:space="preserve">Direction – </w:t>
      </w:r>
      <w:proofErr w:type="gramStart"/>
      <w:r w:rsidR="00611892" w:rsidRPr="004063FF">
        <w:rPr>
          <w:rFonts w:asciiTheme="minorHAnsi" w:hAnsiTheme="minorHAnsi"/>
        </w:rPr>
        <w:t>Treasurer’s</w:t>
      </w:r>
      <w:proofErr w:type="gramEnd"/>
      <w:r w:rsidR="00611892" w:rsidRPr="004063FF">
        <w:rPr>
          <w:rFonts w:asciiTheme="minorHAnsi" w:hAnsiTheme="minorHAnsi"/>
        </w:rPr>
        <w:t xml:space="preserve"> Advance</w:t>
      </w:r>
      <w:r w:rsidRPr="004063FF">
        <w:rPr>
          <w:rFonts w:asciiTheme="minorHAnsi" w:hAnsiTheme="minorHAnsi"/>
        </w:rPr>
        <w:t xml:space="preserve"> </w:t>
      </w:r>
      <w:r w:rsidR="00B23774" w:rsidRPr="004063FF">
        <w:rPr>
          <w:rFonts w:asciiTheme="minorHAnsi" w:hAnsiTheme="minorHAnsi"/>
        </w:rPr>
        <w:t>but</w:t>
      </w:r>
      <w:r w:rsidRPr="004063FF">
        <w:rPr>
          <w:rFonts w:asciiTheme="minorHAnsi" w:hAnsiTheme="minorHAnsi"/>
        </w:rPr>
        <w:t xml:space="preserve"> were absorbed from within existing resources.</w:t>
      </w:r>
    </w:p>
    <w:p w14:paraId="3F12E509" w14:textId="5B83308E" w:rsidR="00145878" w:rsidRPr="004063FF" w:rsidRDefault="00D35D22" w:rsidP="00625EE4">
      <w:pPr>
        <w:pStyle w:val="ListNumber"/>
        <w:numPr>
          <w:ilvl w:val="0"/>
          <w:numId w:val="0"/>
        </w:numPr>
        <w:ind w:left="280"/>
        <w:rPr>
          <w:rFonts w:asciiTheme="minorHAnsi" w:hAnsiTheme="minorHAnsi"/>
        </w:rPr>
      </w:pPr>
      <w:r w:rsidRPr="008C1708">
        <w:rPr>
          <w:rFonts w:asciiTheme="minorHAnsi" w:hAnsiTheme="minorHAnsi"/>
        </w:rPr>
        <w:t xml:space="preserve">The Department of Treasury and Finance may </w:t>
      </w:r>
      <w:r w:rsidR="003B4504" w:rsidRPr="008C1708">
        <w:rPr>
          <w:rFonts w:asciiTheme="minorHAnsi" w:hAnsiTheme="minorHAnsi"/>
        </w:rPr>
        <w:t xml:space="preserve">also </w:t>
      </w:r>
      <w:r w:rsidRPr="008C1708">
        <w:rPr>
          <w:rFonts w:asciiTheme="minorHAnsi" w:hAnsiTheme="minorHAnsi"/>
        </w:rPr>
        <w:t>review an agency’s cash improvement compared to final approved budget to determine if it aligns with the demonstrated operating result improvemen</w:t>
      </w:r>
      <w:r w:rsidR="00D320DB" w:rsidRPr="008C1708">
        <w:rPr>
          <w:rFonts w:asciiTheme="minorHAnsi" w:hAnsiTheme="minorHAnsi"/>
        </w:rPr>
        <w:t>t</w:t>
      </w:r>
      <w:r w:rsidRPr="008C1708">
        <w:rPr>
          <w:rFonts w:asciiTheme="minorHAnsi" w:hAnsiTheme="minorHAnsi"/>
        </w:rPr>
        <w:t>.</w:t>
      </w:r>
      <w:r w:rsidR="00A46A46" w:rsidRPr="008C1708">
        <w:rPr>
          <w:rFonts w:asciiTheme="minorHAnsi" w:hAnsiTheme="minorHAnsi"/>
        </w:rPr>
        <w:t xml:space="preserve"> </w:t>
      </w:r>
      <w:r w:rsidR="00C56649" w:rsidRPr="008C1708">
        <w:rPr>
          <w:rFonts w:asciiTheme="minorHAnsi" w:hAnsiTheme="minorHAnsi"/>
        </w:rPr>
        <w:t>An a</w:t>
      </w:r>
      <w:r w:rsidRPr="008C1708">
        <w:rPr>
          <w:rFonts w:asciiTheme="minorHAnsi" w:hAnsiTheme="minorHAnsi"/>
        </w:rPr>
        <w:t>genc</w:t>
      </w:r>
      <w:r w:rsidR="00C56649" w:rsidRPr="008C1708">
        <w:rPr>
          <w:rFonts w:asciiTheme="minorHAnsi" w:hAnsiTheme="minorHAnsi"/>
        </w:rPr>
        <w:t>y</w:t>
      </w:r>
      <w:r w:rsidRPr="008C1708">
        <w:rPr>
          <w:rFonts w:asciiTheme="minorHAnsi" w:hAnsiTheme="minorHAnsi"/>
        </w:rPr>
        <w:t xml:space="preserve"> </w:t>
      </w:r>
      <w:proofErr w:type="gramStart"/>
      <w:r w:rsidRPr="008C1708">
        <w:rPr>
          <w:rFonts w:asciiTheme="minorHAnsi" w:hAnsiTheme="minorHAnsi"/>
        </w:rPr>
        <w:t>may be asked</w:t>
      </w:r>
      <w:proofErr w:type="gramEnd"/>
      <w:r w:rsidRPr="008C1708">
        <w:rPr>
          <w:rFonts w:asciiTheme="minorHAnsi" w:hAnsiTheme="minorHAnsi"/>
        </w:rPr>
        <w:t xml:space="preserve"> to explain reasons for variations between cash improvements compared to final </w:t>
      </w:r>
      <w:r w:rsidR="0031251D" w:rsidRPr="008C1708">
        <w:rPr>
          <w:rFonts w:asciiTheme="minorHAnsi" w:hAnsiTheme="minorHAnsi"/>
        </w:rPr>
        <w:t>budget outcome</w:t>
      </w:r>
      <w:r w:rsidR="004B6B52" w:rsidRPr="008C1708">
        <w:rPr>
          <w:rFonts w:asciiTheme="minorHAnsi" w:hAnsiTheme="minorHAnsi"/>
        </w:rPr>
        <w:t>.</w:t>
      </w:r>
    </w:p>
    <w:p w14:paraId="58FB3938" w14:textId="271F4DDD" w:rsidR="00145878" w:rsidRPr="004063FF" w:rsidRDefault="0010693F" w:rsidP="00625EE4">
      <w:pPr>
        <w:pStyle w:val="Heading3"/>
        <w:rPr>
          <w:rFonts w:asciiTheme="minorHAnsi" w:hAnsiTheme="minorHAnsi"/>
        </w:rPr>
      </w:pPr>
      <w:r w:rsidRPr="004063FF">
        <w:rPr>
          <w:rFonts w:asciiTheme="minorHAnsi" w:hAnsiTheme="minorHAnsi"/>
        </w:rPr>
        <w:t>9</w:t>
      </w:r>
      <w:r w:rsidR="00145878" w:rsidRPr="004063FF">
        <w:rPr>
          <w:rFonts w:asciiTheme="minorHAnsi" w:hAnsiTheme="minorHAnsi"/>
        </w:rPr>
        <w:t xml:space="preserve">. What are quarantined </w:t>
      </w:r>
      <w:r w:rsidR="004D4067" w:rsidRPr="004063FF">
        <w:rPr>
          <w:rFonts w:asciiTheme="minorHAnsi" w:hAnsiTheme="minorHAnsi"/>
        </w:rPr>
        <w:t>cash and deposits</w:t>
      </w:r>
      <w:r w:rsidR="00145878" w:rsidRPr="004063FF">
        <w:rPr>
          <w:rFonts w:asciiTheme="minorHAnsi" w:hAnsiTheme="minorHAnsi"/>
        </w:rPr>
        <w:t>?</w:t>
      </w:r>
    </w:p>
    <w:p w14:paraId="75C7D1B7" w14:textId="5E2DF1B7" w:rsidR="00EC4A1E" w:rsidRPr="004063FF" w:rsidRDefault="00145878" w:rsidP="004D4067">
      <w:pPr>
        <w:pStyle w:val="ListNumber"/>
        <w:numPr>
          <w:ilvl w:val="0"/>
          <w:numId w:val="0"/>
        </w:numPr>
        <w:ind w:left="280"/>
        <w:rPr>
          <w:rFonts w:asciiTheme="minorHAnsi" w:hAnsiTheme="minorHAnsi"/>
        </w:rPr>
      </w:pPr>
      <w:r w:rsidRPr="004063FF">
        <w:rPr>
          <w:rFonts w:asciiTheme="minorHAnsi" w:hAnsiTheme="minorHAnsi"/>
        </w:rPr>
        <w:t>Quarantined funds are cash balances that have restrictions imposed o</w:t>
      </w:r>
      <w:r w:rsidR="004F4B41" w:rsidRPr="004063FF">
        <w:rPr>
          <w:rFonts w:asciiTheme="minorHAnsi" w:hAnsiTheme="minorHAnsi"/>
        </w:rPr>
        <w:t>n their use. Examples of q</w:t>
      </w:r>
      <w:r w:rsidRPr="004063FF">
        <w:rPr>
          <w:rFonts w:asciiTheme="minorHAnsi" w:hAnsiTheme="minorHAnsi"/>
        </w:rPr>
        <w:t>uarantined funds include balances in cash at bank advance</w:t>
      </w:r>
      <w:r w:rsidR="00C31D54" w:rsidRPr="004063FF">
        <w:rPr>
          <w:rFonts w:asciiTheme="minorHAnsi" w:hAnsiTheme="minorHAnsi"/>
        </w:rPr>
        <w:t>s</w:t>
      </w:r>
      <w:r w:rsidRPr="004063FF">
        <w:rPr>
          <w:rFonts w:asciiTheme="minorHAnsi" w:hAnsiTheme="minorHAnsi"/>
        </w:rPr>
        <w:t xml:space="preserve"> and external accounts, accountable officer tr</w:t>
      </w:r>
      <w:r w:rsidR="00DE1BE3" w:rsidRPr="004063FF">
        <w:rPr>
          <w:rFonts w:asciiTheme="minorHAnsi" w:hAnsiTheme="minorHAnsi"/>
        </w:rPr>
        <w:t xml:space="preserve">ust accounts, clearing accounts, </w:t>
      </w:r>
      <w:r w:rsidRPr="004063FF">
        <w:rPr>
          <w:rFonts w:asciiTheme="minorHAnsi" w:hAnsiTheme="minorHAnsi"/>
        </w:rPr>
        <w:t>cash floats</w:t>
      </w:r>
      <w:r w:rsidR="004D4067" w:rsidRPr="004063FF">
        <w:rPr>
          <w:rFonts w:asciiTheme="minorHAnsi" w:hAnsiTheme="minorHAnsi"/>
        </w:rPr>
        <w:t xml:space="preserve"> and f</w:t>
      </w:r>
      <w:r w:rsidR="004077ED" w:rsidRPr="004063FF">
        <w:rPr>
          <w:rFonts w:asciiTheme="minorHAnsi" w:hAnsiTheme="minorHAnsi"/>
        </w:rPr>
        <w:t xml:space="preserve">unds </w:t>
      </w:r>
      <w:r w:rsidR="00611892" w:rsidRPr="004063FF">
        <w:rPr>
          <w:rFonts w:asciiTheme="minorHAnsi" w:hAnsiTheme="minorHAnsi"/>
        </w:rPr>
        <w:t>that</w:t>
      </w:r>
      <w:r w:rsidR="004077ED" w:rsidRPr="004063FF">
        <w:rPr>
          <w:rFonts w:asciiTheme="minorHAnsi" w:hAnsiTheme="minorHAnsi"/>
        </w:rPr>
        <w:t xml:space="preserve"> </w:t>
      </w:r>
      <w:proofErr w:type="gramStart"/>
      <w:r w:rsidR="004077ED" w:rsidRPr="004063FF">
        <w:rPr>
          <w:rFonts w:asciiTheme="minorHAnsi" w:hAnsiTheme="minorHAnsi"/>
        </w:rPr>
        <w:t>are quarantined</w:t>
      </w:r>
      <w:proofErr w:type="gramEnd"/>
      <w:r w:rsidR="004077ED" w:rsidRPr="004063FF">
        <w:rPr>
          <w:rFonts w:asciiTheme="minorHAnsi" w:hAnsiTheme="minorHAnsi"/>
        </w:rPr>
        <w:t xml:space="preserve"> under legislation.</w:t>
      </w:r>
    </w:p>
    <w:p w14:paraId="5A782842" w14:textId="76FAEF9F" w:rsidR="00132A5D" w:rsidRPr="004063FF" w:rsidRDefault="0010693F" w:rsidP="004F4B41">
      <w:pPr>
        <w:pStyle w:val="Heading3"/>
        <w:ind w:left="322" w:hanging="322"/>
        <w:rPr>
          <w:rFonts w:asciiTheme="minorHAnsi" w:hAnsiTheme="minorHAnsi"/>
        </w:rPr>
      </w:pPr>
      <w:r w:rsidRPr="004063FF">
        <w:rPr>
          <w:rFonts w:asciiTheme="minorHAnsi" w:hAnsiTheme="minorHAnsi"/>
        </w:rPr>
        <w:t>10</w:t>
      </w:r>
      <w:r w:rsidR="00132A5D" w:rsidRPr="004063FF">
        <w:rPr>
          <w:rFonts w:asciiTheme="minorHAnsi" w:hAnsiTheme="minorHAnsi"/>
        </w:rPr>
        <w:t xml:space="preserve">. Does </w:t>
      </w:r>
      <w:r w:rsidR="004F4B41" w:rsidRPr="004063FF">
        <w:rPr>
          <w:rFonts w:asciiTheme="minorHAnsi" w:hAnsiTheme="minorHAnsi"/>
        </w:rPr>
        <w:t xml:space="preserve">a portfolio </w:t>
      </w:r>
      <w:r w:rsidR="00132A5D" w:rsidRPr="004063FF">
        <w:rPr>
          <w:rFonts w:asciiTheme="minorHAnsi" w:hAnsiTheme="minorHAnsi"/>
        </w:rPr>
        <w:t xml:space="preserve">minister need to </w:t>
      </w:r>
      <w:r w:rsidR="004F4B41" w:rsidRPr="004063FF">
        <w:rPr>
          <w:rFonts w:asciiTheme="minorHAnsi" w:hAnsiTheme="minorHAnsi"/>
        </w:rPr>
        <w:t xml:space="preserve">seek </w:t>
      </w:r>
      <w:r w:rsidR="00132A5D" w:rsidRPr="004063FF">
        <w:rPr>
          <w:rFonts w:asciiTheme="minorHAnsi" w:hAnsiTheme="minorHAnsi"/>
        </w:rPr>
        <w:t>approval from the Treasurer</w:t>
      </w:r>
      <w:r w:rsidR="004F4B41" w:rsidRPr="004063FF">
        <w:rPr>
          <w:rFonts w:asciiTheme="minorHAnsi" w:hAnsiTheme="minorHAnsi"/>
        </w:rPr>
        <w:t xml:space="preserve"> for a carryover request?</w:t>
      </w:r>
    </w:p>
    <w:p w14:paraId="4EAD467D" w14:textId="42F4DE0F" w:rsidR="00132A5D" w:rsidRPr="004063FF" w:rsidRDefault="004F4B41" w:rsidP="00625EE4">
      <w:pPr>
        <w:pStyle w:val="ListNumber"/>
        <w:numPr>
          <w:ilvl w:val="0"/>
          <w:numId w:val="0"/>
        </w:numPr>
        <w:ind w:left="280"/>
        <w:rPr>
          <w:rFonts w:asciiTheme="minorHAnsi" w:hAnsiTheme="minorHAnsi"/>
        </w:rPr>
      </w:pPr>
      <w:r w:rsidRPr="004063FF">
        <w:rPr>
          <w:rFonts w:asciiTheme="minorHAnsi" w:hAnsiTheme="minorHAnsi"/>
        </w:rPr>
        <w:t xml:space="preserve">No. </w:t>
      </w:r>
      <w:r w:rsidR="00D23DCE" w:rsidRPr="004063FF">
        <w:rPr>
          <w:rFonts w:asciiTheme="minorHAnsi" w:hAnsiTheme="minorHAnsi"/>
        </w:rPr>
        <w:t>T</w:t>
      </w:r>
      <w:r w:rsidRPr="004063FF">
        <w:rPr>
          <w:rFonts w:asciiTheme="minorHAnsi" w:hAnsiTheme="minorHAnsi"/>
        </w:rPr>
        <w:t xml:space="preserve">he Department of Treasury and Finance </w:t>
      </w:r>
      <w:r w:rsidR="00526C57" w:rsidRPr="004063FF">
        <w:rPr>
          <w:rFonts w:asciiTheme="minorHAnsi" w:hAnsiTheme="minorHAnsi"/>
        </w:rPr>
        <w:t xml:space="preserve">will </w:t>
      </w:r>
      <w:r w:rsidR="00277510" w:rsidRPr="004063FF">
        <w:rPr>
          <w:rFonts w:asciiTheme="minorHAnsi" w:hAnsiTheme="minorHAnsi"/>
        </w:rPr>
        <w:t>seek approval from the Treasurer</w:t>
      </w:r>
      <w:r w:rsidRPr="004063FF">
        <w:rPr>
          <w:rFonts w:asciiTheme="minorHAnsi" w:hAnsiTheme="minorHAnsi"/>
        </w:rPr>
        <w:t xml:space="preserve"> for carryover request</w:t>
      </w:r>
      <w:r w:rsidR="00526C57" w:rsidRPr="004063FF">
        <w:rPr>
          <w:rFonts w:asciiTheme="minorHAnsi" w:hAnsiTheme="minorHAnsi"/>
        </w:rPr>
        <w:t>s</w:t>
      </w:r>
      <w:r w:rsidRPr="004063FF">
        <w:rPr>
          <w:rFonts w:asciiTheme="minorHAnsi" w:hAnsiTheme="minorHAnsi"/>
        </w:rPr>
        <w:t xml:space="preserve"> on behalf of all agencies</w:t>
      </w:r>
      <w:r w:rsidR="00D23DCE" w:rsidRPr="004063FF">
        <w:rPr>
          <w:rFonts w:asciiTheme="minorHAnsi" w:hAnsiTheme="minorHAnsi"/>
        </w:rPr>
        <w:t xml:space="preserve"> as part of the annual carryover process.</w:t>
      </w:r>
    </w:p>
    <w:p w14:paraId="1EB73192" w14:textId="3791BE1F" w:rsidR="00145878" w:rsidRPr="004063FF" w:rsidRDefault="004F4B41" w:rsidP="00625EE4">
      <w:pPr>
        <w:pStyle w:val="ListNumber"/>
        <w:numPr>
          <w:ilvl w:val="0"/>
          <w:numId w:val="0"/>
        </w:numPr>
        <w:ind w:left="280"/>
        <w:rPr>
          <w:rFonts w:asciiTheme="minorHAnsi" w:hAnsiTheme="minorHAnsi"/>
        </w:rPr>
      </w:pPr>
      <w:r w:rsidRPr="004063FF">
        <w:rPr>
          <w:rFonts w:asciiTheme="minorHAnsi" w:hAnsiTheme="minorHAnsi"/>
        </w:rPr>
        <w:t xml:space="preserve">An accountable officer </w:t>
      </w:r>
      <w:proofErr w:type="gramStart"/>
      <w:r w:rsidRPr="004063FF">
        <w:rPr>
          <w:rFonts w:asciiTheme="minorHAnsi" w:hAnsiTheme="minorHAnsi"/>
        </w:rPr>
        <w:t>must</w:t>
      </w:r>
      <w:r w:rsidR="00C31D54" w:rsidRPr="004063FF">
        <w:rPr>
          <w:rFonts w:asciiTheme="minorHAnsi" w:hAnsiTheme="minorHAnsi"/>
        </w:rPr>
        <w:t>,</w:t>
      </w:r>
      <w:r w:rsidRPr="004063FF">
        <w:rPr>
          <w:rFonts w:asciiTheme="minorHAnsi" w:hAnsiTheme="minorHAnsi"/>
        </w:rPr>
        <w:t xml:space="preserve"> however, seek</w:t>
      </w:r>
      <w:proofErr w:type="gramEnd"/>
      <w:r w:rsidRPr="004063FF">
        <w:rPr>
          <w:rFonts w:asciiTheme="minorHAnsi" w:hAnsiTheme="minorHAnsi"/>
        </w:rPr>
        <w:t xml:space="preserve"> endorsement from the</w:t>
      </w:r>
      <w:r w:rsidR="00DE1BE3" w:rsidRPr="004063FF">
        <w:rPr>
          <w:rFonts w:asciiTheme="minorHAnsi" w:hAnsiTheme="minorHAnsi"/>
        </w:rPr>
        <w:t>ir</w:t>
      </w:r>
      <w:r w:rsidRPr="004063FF">
        <w:rPr>
          <w:rFonts w:asciiTheme="minorHAnsi" w:hAnsiTheme="minorHAnsi"/>
        </w:rPr>
        <w:t xml:space="preserve"> portfolio minister prior to submitting a carryover request to the Department of Treasury and Finance.</w:t>
      </w:r>
      <w:r w:rsidR="00D23DCE" w:rsidRPr="004063FF">
        <w:rPr>
          <w:rFonts w:asciiTheme="minorHAnsi" w:hAnsiTheme="minorHAnsi"/>
        </w:rPr>
        <w:t xml:space="preserve"> </w:t>
      </w:r>
      <w:r w:rsidRPr="004063FF">
        <w:rPr>
          <w:rFonts w:asciiTheme="minorHAnsi" w:hAnsiTheme="minorHAnsi"/>
        </w:rPr>
        <w:t xml:space="preserve">A copy of the portfolio minister’s endorsement </w:t>
      </w:r>
      <w:proofErr w:type="gramStart"/>
      <w:r w:rsidRPr="004063FF">
        <w:rPr>
          <w:rFonts w:asciiTheme="minorHAnsi" w:hAnsiTheme="minorHAnsi"/>
        </w:rPr>
        <w:t>must be provided</w:t>
      </w:r>
      <w:proofErr w:type="gramEnd"/>
      <w:r w:rsidRPr="004063FF">
        <w:rPr>
          <w:rFonts w:asciiTheme="minorHAnsi" w:hAnsiTheme="minorHAnsi"/>
        </w:rPr>
        <w:t xml:space="preserve"> to the Department of Treasury and Finance when the carryover request is submitted.</w:t>
      </w:r>
    </w:p>
    <w:p w14:paraId="002C39CA" w14:textId="46330A60" w:rsidR="00E16DC4" w:rsidRPr="004063FF" w:rsidRDefault="0010693F" w:rsidP="00625EE4">
      <w:pPr>
        <w:pStyle w:val="Heading3"/>
        <w:rPr>
          <w:rFonts w:asciiTheme="minorHAnsi" w:hAnsiTheme="minorHAnsi"/>
        </w:rPr>
      </w:pPr>
      <w:r w:rsidRPr="004063FF">
        <w:rPr>
          <w:rFonts w:asciiTheme="minorHAnsi" w:hAnsiTheme="minorHAnsi"/>
        </w:rPr>
        <w:t>11</w:t>
      </w:r>
      <w:r w:rsidR="00E16DC4" w:rsidRPr="004063FF">
        <w:rPr>
          <w:rFonts w:asciiTheme="minorHAnsi" w:hAnsiTheme="minorHAnsi"/>
        </w:rPr>
        <w:t xml:space="preserve">. </w:t>
      </w:r>
      <w:r w:rsidR="00B7730C" w:rsidRPr="004063FF">
        <w:rPr>
          <w:rFonts w:asciiTheme="minorHAnsi" w:hAnsiTheme="minorHAnsi"/>
        </w:rPr>
        <w:t xml:space="preserve">What </w:t>
      </w:r>
      <w:r w:rsidR="00E16DC4" w:rsidRPr="004063FF">
        <w:rPr>
          <w:rFonts w:asciiTheme="minorHAnsi" w:hAnsiTheme="minorHAnsi"/>
        </w:rPr>
        <w:t xml:space="preserve">is </w:t>
      </w:r>
      <w:r w:rsidR="009475D3" w:rsidRPr="004063FF">
        <w:rPr>
          <w:rFonts w:asciiTheme="minorHAnsi" w:hAnsiTheme="minorHAnsi"/>
        </w:rPr>
        <w:t xml:space="preserve">final budget outcome </w:t>
      </w:r>
      <w:r w:rsidR="00B7730C" w:rsidRPr="004063FF">
        <w:rPr>
          <w:rFonts w:asciiTheme="minorHAnsi" w:hAnsiTheme="minorHAnsi"/>
        </w:rPr>
        <w:t xml:space="preserve">and how </w:t>
      </w:r>
      <w:proofErr w:type="gramStart"/>
      <w:r w:rsidR="00B7730C" w:rsidRPr="004063FF">
        <w:rPr>
          <w:rFonts w:asciiTheme="minorHAnsi" w:hAnsiTheme="minorHAnsi"/>
        </w:rPr>
        <w:t xml:space="preserve">is it </w:t>
      </w:r>
      <w:r w:rsidR="00E16DC4" w:rsidRPr="004063FF">
        <w:rPr>
          <w:rFonts w:asciiTheme="minorHAnsi" w:hAnsiTheme="minorHAnsi"/>
        </w:rPr>
        <w:t>calculated</w:t>
      </w:r>
      <w:proofErr w:type="gramEnd"/>
      <w:r w:rsidR="00E16DC4" w:rsidRPr="004063FF">
        <w:rPr>
          <w:rFonts w:asciiTheme="minorHAnsi" w:hAnsiTheme="minorHAnsi"/>
        </w:rPr>
        <w:t>?</w:t>
      </w:r>
    </w:p>
    <w:p w14:paraId="1FC488C1" w14:textId="400E13CD" w:rsidR="00FE0F8A" w:rsidRPr="004063FF" w:rsidRDefault="009475D3" w:rsidP="000C5D62">
      <w:pPr>
        <w:pStyle w:val="ListNumber"/>
        <w:numPr>
          <w:ilvl w:val="0"/>
          <w:numId w:val="0"/>
        </w:numPr>
        <w:ind w:left="280"/>
        <w:rPr>
          <w:rFonts w:asciiTheme="minorHAnsi" w:hAnsiTheme="minorHAnsi"/>
        </w:rPr>
      </w:pPr>
      <w:r w:rsidRPr="004063FF">
        <w:rPr>
          <w:rFonts w:asciiTheme="minorHAnsi" w:hAnsiTheme="minorHAnsi"/>
        </w:rPr>
        <w:t>An agency</w:t>
      </w:r>
      <w:r w:rsidR="00AF0D43">
        <w:rPr>
          <w:rFonts w:asciiTheme="minorHAnsi" w:hAnsiTheme="minorHAnsi"/>
        </w:rPr>
        <w:t>’s</w:t>
      </w:r>
      <w:r w:rsidRPr="004063FF">
        <w:rPr>
          <w:rFonts w:asciiTheme="minorHAnsi" w:hAnsiTheme="minorHAnsi"/>
        </w:rPr>
        <w:t xml:space="preserve"> final budget outcome</w:t>
      </w:r>
      <w:r w:rsidR="000C5D62" w:rsidRPr="004063FF">
        <w:rPr>
          <w:rFonts w:asciiTheme="minorHAnsi" w:hAnsiTheme="minorHAnsi"/>
        </w:rPr>
        <w:t xml:space="preserve"> is the end of financial year actual operating result compared to </w:t>
      </w:r>
      <w:r w:rsidR="0010693F" w:rsidRPr="004063FF">
        <w:rPr>
          <w:rFonts w:asciiTheme="minorHAnsi" w:hAnsiTheme="minorHAnsi"/>
        </w:rPr>
        <w:t xml:space="preserve">budgeted operating result, </w:t>
      </w:r>
      <w:r w:rsidR="000C5D62" w:rsidRPr="004063FF">
        <w:rPr>
          <w:rFonts w:asciiTheme="minorHAnsi" w:hAnsiTheme="minorHAnsi"/>
        </w:rPr>
        <w:t>after</w:t>
      </w:r>
      <w:r w:rsidR="00FE0F8A" w:rsidRPr="004063FF">
        <w:rPr>
          <w:rFonts w:asciiTheme="minorHAnsi" w:hAnsiTheme="minorHAnsi"/>
        </w:rPr>
        <w:t>:</w:t>
      </w:r>
      <w:r w:rsidR="000C5D62" w:rsidRPr="004063FF">
        <w:rPr>
          <w:rFonts w:asciiTheme="minorHAnsi" w:hAnsiTheme="minorHAnsi"/>
        </w:rPr>
        <w:t xml:space="preserve"> </w:t>
      </w:r>
    </w:p>
    <w:p w14:paraId="14DF35F9" w14:textId="347E7A68" w:rsidR="000C5D62" w:rsidRPr="004063FF" w:rsidRDefault="000C5D62" w:rsidP="00353299">
      <w:pPr>
        <w:pStyle w:val="ListNumber"/>
        <w:numPr>
          <w:ilvl w:val="0"/>
          <w:numId w:val="34"/>
        </w:numPr>
        <w:rPr>
          <w:rFonts w:asciiTheme="minorHAnsi" w:hAnsiTheme="minorHAnsi"/>
        </w:rPr>
      </w:pPr>
      <w:r w:rsidRPr="004063FF">
        <w:rPr>
          <w:rFonts w:asciiTheme="minorHAnsi" w:hAnsiTheme="minorHAnsi"/>
        </w:rPr>
        <w:t>excluding</w:t>
      </w:r>
      <w:r w:rsidR="00C31D54" w:rsidRPr="004063FF">
        <w:rPr>
          <w:rFonts w:asciiTheme="minorHAnsi" w:hAnsiTheme="minorHAnsi"/>
        </w:rPr>
        <w:t xml:space="preserve"> variations for</w:t>
      </w:r>
      <w:r w:rsidRPr="004063FF">
        <w:rPr>
          <w:rFonts w:asciiTheme="minorHAnsi" w:hAnsiTheme="minorHAnsi"/>
        </w:rPr>
        <w:t>:</w:t>
      </w:r>
    </w:p>
    <w:p w14:paraId="26368EC0" w14:textId="77777777" w:rsidR="00F06276" w:rsidRPr="003A75A2" w:rsidRDefault="00F06276" w:rsidP="00353299">
      <w:pPr>
        <w:pStyle w:val="ListNumber"/>
        <w:numPr>
          <w:ilvl w:val="0"/>
          <w:numId w:val="35"/>
        </w:numPr>
        <w:rPr>
          <w:rFonts w:asciiTheme="minorHAnsi" w:hAnsiTheme="minorHAnsi"/>
        </w:rPr>
      </w:pPr>
      <w:r w:rsidRPr="003A75A2">
        <w:rPr>
          <w:rFonts w:asciiTheme="minorHAnsi" w:hAnsiTheme="minorHAnsi"/>
        </w:rPr>
        <w:t xml:space="preserve">gain or loss on disposal of assets in the operating statement </w:t>
      </w:r>
    </w:p>
    <w:p w14:paraId="0E5DB89E" w14:textId="77777777" w:rsidR="00F06276" w:rsidRPr="003A75A2" w:rsidRDefault="00F06276" w:rsidP="00F06276">
      <w:pPr>
        <w:pStyle w:val="ListNumber3"/>
        <w:numPr>
          <w:ilvl w:val="0"/>
          <w:numId w:val="35"/>
        </w:numPr>
        <w:rPr>
          <w:rFonts w:asciiTheme="minorHAnsi" w:hAnsiTheme="minorHAnsi"/>
        </w:rPr>
      </w:pPr>
      <w:r w:rsidRPr="00E67B16">
        <w:rPr>
          <w:rFonts w:asciiTheme="minorHAnsi" w:hAnsiTheme="minorHAnsi"/>
        </w:rPr>
        <w:t>interest expense, depreciation and amortisation expense</w:t>
      </w:r>
      <w:r w:rsidRPr="003A75A2">
        <w:rPr>
          <w:rFonts w:asciiTheme="minorHAnsi" w:hAnsiTheme="minorHAnsi"/>
        </w:rPr>
        <w:t xml:space="preserve"> </w:t>
      </w:r>
      <w:r w:rsidRPr="00E67B16">
        <w:rPr>
          <w:rFonts w:asciiTheme="minorHAnsi" w:hAnsiTheme="minorHAnsi"/>
        </w:rPr>
        <w:t>and other administrative expenses</w:t>
      </w:r>
      <w:r w:rsidRPr="003A75A2">
        <w:rPr>
          <w:rFonts w:asciiTheme="minorHAnsi" w:hAnsiTheme="minorHAnsi"/>
        </w:rPr>
        <w:t xml:space="preserve"> in the operating statement</w:t>
      </w:r>
    </w:p>
    <w:p w14:paraId="4DEED1E6" w14:textId="77777777" w:rsidR="00F06276" w:rsidRPr="003A75A2" w:rsidRDefault="00F06276" w:rsidP="00F06276">
      <w:pPr>
        <w:pStyle w:val="ListNumber3"/>
        <w:numPr>
          <w:ilvl w:val="0"/>
          <w:numId w:val="35"/>
        </w:numPr>
        <w:rPr>
          <w:rFonts w:asciiTheme="minorHAnsi" w:hAnsiTheme="minorHAnsi"/>
        </w:rPr>
      </w:pPr>
      <w:r w:rsidRPr="003A75A2">
        <w:rPr>
          <w:rFonts w:asciiTheme="minorHAnsi" w:hAnsiTheme="minorHAnsi"/>
        </w:rPr>
        <w:t>waivers as specified in the Treasurer’s Direction – Standard Classification Codes: Appendix A</w:t>
      </w:r>
    </w:p>
    <w:p w14:paraId="0BA1AB2F" w14:textId="77777777" w:rsidR="00F06276" w:rsidRPr="00E67B16" w:rsidRDefault="00F06276" w:rsidP="00F06276">
      <w:pPr>
        <w:pStyle w:val="ListNumber3"/>
        <w:numPr>
          <w:ilvl w:val="0"/>
          <w:numId w:val="35"/>
        </w:numPr>
        <w:rPr>
          <w:rFonts w:asciiTheme="minorHAnsi" w:hAnsiTheme="minorHAnsi"/>
        </w:rPr>
      </w:pPr>
      <w:r w:rsidRPr="003A75A2">
        <w:rPr>
          <w:rFonts w:asciiTheme="minorHAnsi" w:hAnsiTheme="minorHAnsi"/>
        </w:rPr>
        <w:t xml:space="preserve">any further variations for </w:t>
      </w:r>
      <w:r w:rsidRPr="00E67B16">
        <w:rPr>
          <w:rFonts w:asciiTheme="minorHAnsi" w:hAnsiTheme="minorHAnsi"/>
        </w:rPr>
        <w:t>non-cash items</w:t>
      </w:r>
      <w:r w:rsidRPr="003A75A2">
        <w:rPr>
          <w:rFonts w:asciiTheme="minorHAnsi" w:hAnsiTheme="minorHAnsi"/>
        </w:rPr>
        <w:t xml:space="preserve"> and other economic flows </w:t>
      </w:r>
      <w:r w:rsidRPr="00E67B16">
        <w:rPr>
          <w:rFonts w:asciiTheme="minorHAnsi" w:hAnsiTheme="minorHAnsi"/>
        </w:rPr>
        <w:t>as specified in Treasurer’s Direction – Sta</w:t>
      </w:r>
      <w:r w:rsidRPr="003A75A2">
        <w:rPr>
          <w:rFonts w:asciiTheme="minorHAnsi" w:hAnsiTheme="minorHAnsi"/>
        </w:rPr>
        <w:t xml:space="preserve">ndard Classification Codes: </w:t>
      </w:r>
      <w:r w:rsidRPr="00E67B16">
        <w:rPr>
          <w:rFonts w:asciiTheme="minorHAnsi" w:hAnsiTheme="minorHAnsi"/>
        </w:rPr>
        <w:t>Appendix A</w:t>
      </w:r>
      <w:r w:rsidRPr="003A75A2">
        <w:rPr>
          <w:rFonts w:asciiTheme="minorHAnsi" w:hAnsiTheme="minorHAnsi"/>
        </w:rPr>
        <w:t xml:space="preserve">, not already captured in (i to iii) above  </w:t>
      </w:r>
    </w:p>
    <w:p w14:paraId="22EFC253" w14:textId="092B2AA8" w:rsidR="000C5D62" w:rsidRPr="004063FF" w:rsidRDefault="000C5D62" w:rsidP="00353299">
      <w:pPr>
        <w:pStyle w:val="ListNumber"/>
        <w:numPr>
          <w:ilvl w:val="0"/>
          <w:numId w:val="35"/>
        </w:numPr>
        <w:rPr>
          <w:rFonts w:asciiTheme="minorHAnsi" w:hAnsiTheme="minorHAnsi"/>
        </w:rPr>
      </w:pPr>
      <w:proofErr w:type="gramStart"/>
      <w:r w:rsidRPr="004063FF">
        <w:rPr>
          <w:rFonts w:asciiTheme="minorHAnsi" w:hAnsiTheme="minorHAnsi"/>
        </w:rPr>
        <w:t>expenses</w:t>
      </w:r>
      <w:proofErr w:type="gramEnd"/>
      <w:r w:rsidRPr="004063FF">
        <w:rPr>
          <w:rFonts w:asciiTheme="minorHAnsi" w:hAnsiTheme="minorHAnsi"/>
        </w:rPr>
        <w:t xml:space="preserve"> eligible for a Treasurer’s Advance in accordance with Treasurer’s Direction – Treasurer’s Advance that have been absorbed</w:t>
      </w:r>
      <w:r w:rsidR="00611892" w:rsidRPr="004063FF">
        <w:rPr>
          <w:rFonts w:asciiTheme="minorHAnsi" w:hAnsiTheme="minorHAnsi"/>
        </w:rPr>
        <w:t xml:space="preserve"> from within existing resources</w:t>
      </w:r>
      <w:r w:rsidR="005747C9" w:rsidRPr="004063FF">
        <w:rPr>
          <w:rFonts w:asciiTheme="minorHAnsi" w:hAnsiTheme="minorHAnsi"/>
        </w:rPr>
        <w:t>.</w:t>
      </w:r>
    </w:p>
    <w:p w14:paraId="3BB639E4" w14:textId="4D98A4A4" w:rsidR="000C5D62" w:rsidRPr="004063FF" w:rsidRDefault="000C5D62" w:rsidP="00353299">
      <w:pPr>
        <w:pStyle w:val="ListNumber"/>
        <w:numPr>
          <w:ilvl w:val="0"/>
          <w:numId w:val="34"/>
        </w:numPr>
        <w:rPr>
          <w:rFonts w:asciiTheme="minorHAnsi" w:hAnsiTheme="minorHAnsi"/>
        </w:rPr>
      </w:pPr>
      <w:r w:rsidRPr="004063FF">
        <w:rPr>
          <w:rFonts w:asciiTheme="minorHAnsi" w:hAnsiTheme="minorHAnsi"/>
        </w:rPr>
        <w:t>including variations for:</w:t>
      </w:r>
    </w:p>
    <w:p w14:paraId="4BB6DE3A" w14:textId="15A10F79" w:rsidR="000C5D62" w:rsidRPr="004063FF" w:rsidRDefault="000C5D62" w:rsidP="00353299">
      <w:pPr>
        <w:pStyle w:val="ListNumber"/>
        <w:numPr>
          <w:ilvl w:val="0"/>
          <w:numId w:val="38"/>
        </w:numPr>
        <w:rPr>
          <w:rFonts w:asciiTheme="minorHAnsi" w:hAnsiTheme="minorHAnsi"/>
        </w:rPr>
      </w:pPr>
      <w:r w:rsidRPr="004063FF">
        <w:rPr>
          <w:rFonts w:asciiTheme="minorHAnsi" w:hAnsiTheme="minorHAnsi"/>
        </w:rPr>
        <w:t>purchases of</w:t>
      </w:r>
      <w:r w:rsidR="005747C9" w:rsidRPr="004063FF">
        <w:rPr>
          <w:rFonts w:asciiTheme="minorHAnsi" w:hAnsiTheme="minorHAnsi"/>
        </w:rPr>
        <w:t xml:space="preserve"> </w:t>
      </w:r>
      <w:r w:rsidRPr="004063FF">
        <w:rPr>
          <w:rFonts w:asciiTheme="minorHAnsi" w:hAnsiTheme="minorHAnsi"/>
        </w:rPr>
        <w:t>assets</w:t>
      </w:r>
      <w:r w:rsidR="00067FAC">
        <w:rPr>
          <w:rFonts w:asciiTheme="minorHAnsi" w:hAnsiTheme="minorHAnsi"/>
        </w:rPr>
        <w:t xml:space="preserve"> in the cash</w:t>
      </w:r>
      <w:r w:rsidR="008C1708">
        <w:rPr>
          <w:rFonts w:asciiTheme="minorHAnsi" w:hAnsiTheme="minorHAnsi"/>
        </w:rPr>
        <w:t xml:space="preserve"> </w:t>
      </w:r>
      <w:r w:rsidR="00067FAC">
        <w:rPr>
          <w:rFonts w:asciiTheme="minorHAnsi" w:hAnsiTheme="minorHAnsi"/>
        </w:rPr>
        <w:t>flow statement</w:t>
      </w:r>
    </w:p>
    <w:p w14:paraId="672249C0" w14:textId="1C29D9D2" w:rsidR="005747C9" w:rsidRPr="004063FF" w:rsidRDefault="00894D3A" w:rsidP="00353299">
      <w:pPr>
        <w:pStyle w:val="ListNumber"/>
        <w:numPr>
          <w:ilvl w:val="0"/>
          <w:numId w:val="38"/>
        </w:numPr>
        <w:rPr>
          <w:rFonts w:asciiTheme="minorHAnsi" w:hAnsiTheme="minorHAnsi"/>
        </w:rPr>
      </w:pPr>
      <w:r w:rsidRPr="004063FF">
        <w:rPr>
          <w:rFonts w:asciiTheme="minorHAnsi" w:hAnsiTheme="minorHAnsi"/>
        </w:rPr>
        <w:t>advances and investing payments</w:t>
      </w:r>
      <w:r w:rsidR="00067FAC">
        <w:rPr>
          <w:rFonts w:asciiTheme="minorHAnsi" w:hAnsiTheme="minorHAnsi"/>
        </w:rPr>
        <w:t xml:space="preserve"> in the cash</w:t>
      </w:r>
      <w:r w:rsidR="008C1708">
        <w:rPr>
          <w:rFonts w:asciiTheme="minorHAnsi" w:hAnsiTheme="minorHAnsi"/>
        </w:rPr>
        <w:t xml:space="preserve"> </w:t>
      </w:r>
      <w:r w:rsidR="00067FAC">
        <w:rPr>
          <w:rFonts w:asciiTheme="minorHAnsi" w:hAnsiTheme="minorHAnsi"/>
        </w:rPr>
        <w:t>flow statement</w:t>
      </w:r>
      <w:r w:rsidR="00AF0D43">
        <w:rPr>
          <w:rFonts w:asciiTheme="minorHAnsi" w:hAnsiTheme="minorHAnsi"/>
        </w:rPr>
        <w:t xml:space="preserve">, </w:t>
      </w:r>
      <w:r w:rsidRPr="004063FF">
        <w:rPr>
          <w:rFonts w:asciiTheme="minorHAnsi" w:hAnsiTheme="minorHAnsi"/>
        </w:rPr>
        <w:t>where deemed applicable by Department of Treasury and Finance</w:t>
      </w:r>
    </w:p>
    <w:p w14:paraId="32DF410E" w14:textId="0B7CB435" w:rsidR="00894D3A" w:rsidRPr="004063FF" w:rsidRDefault="00894D3A" w:rsidP="00353299">
      <w:pPr>
        <w:pStyle w:val="ListNumber"/>
        <w:numPr>
          <w:ilvl w:val="0"/>
          <w:numId w:val="38"/>
        </w:numPr>
        <w:rPr>
          <w:rFonts w:asciiTheme="minorHAnsi" w:hAnsiTheme="minorHAnsi"/>
        </w:rPr>
      </w:pPr>
      <w:r w:rsidRPr="004063FF">
        <w:rPr>
          <w:rFonts w:asciiTheme="minorHAnsi" w:hAnsiTheme="minorHAnsi"/>
        </w:rPr>
        <w:t>lease payments recorded</w:t>
      </w:r>
      <w:r w:rsidR="00AF0D43">
        <w:rPr>
          <w:rFonts w:asciiTheme="minorHAnsi" w:hAnsiTheme="minorHAnsi"/>
        </w:rPr>
        <w:t xml:space="preserve"> as financing payments in the</w:t>
      </w:r>
      <w:r w:rsidRPr="004063FF">
        <w:rPr>
          <w:rFonts w:asciiTheme="minorHAnsi" w:hAnsiTheme="minorHAnsi"/>
        </w:rPr>
        <w:t xml:space="preserve"> cash flow statement</w:t>
      </w:r>
    </w:p>
    <w:p w14:paraId="769B96F4" w14:textId="1C292B00" w:rsidR="000C5D62" w:rsidRPr="004063FF" w:rsidRDefault="00894D3A" w:rsidP="00353299">
      <w:pPr>
        <w:pStyle w:val="ListNumber"/>
        <w:numPr>
          <w:ilvl w:val="0"/>
          <w:numId w:val="38"/>
        </w:numPr>
        <w:rPr>
          <w:rFonts w:asciiTheme="minorHAnsi" w:hAnsiTheme="minorHAnsi"/>
        </w:rPr>
      </w:pPr>
      <w:proofErr w:type="gramStart"/>
      <w:r w:rsidRPr="004063FF">
        <w:rPr>
          <w:rFonts w:asciiTheme="minorHAnsi" w:hAnsiTheme="minorHAnsi"/>
        </w:rPr>
        <w:t>service</w:t>
      </w:r>
      <w:proofErr w:type="gramEnd"/>
      <w:r w:rsidRPr="004063FF">
        <w:rPr>
          <w:rFonts w:asciiTheme="minorHAnsi" w:hAnsiTheme="minorHAnsi"/>
        </w:rPr>
        <w:t xml:space="preserve"> concession liability payments</w:t>
      </w:r>
      <w:r w:rsidR="00067FAC">
        <w:rPr>
          <w:rFonts w:asciiTheme="minorHAnsi" w:hAnsiTheme="minorHAnsi"/>
        </w:rPr>
        <w:t xml:space="preserve"> in the cash</w:t>
      </w:r>
      <w:r w:rsidR="008C1708">
        <w:rPr>
          <w:rFonts w:asciiTheme="minorHAnsi" w:hAnsiTheme="minorHAnsi"/>
        </w:rPr>
        <w:t xml:space="preserve"> </w:t>
      </w:r>
      <w:r w:rsidR="00067FAC">
        <w:rPr>
          <w:rFonts w:asciiTheme="minorHAnsi" w:hAnsiTheme="minorHAnsi"/>
        </w:rPr>
        <w:t>flow statement</w:t>
      </w:r>
      <w:r w:rsidRPr="004063FF">
        <w:rPr>
          <w:rFonts w:asciiTheme="minorHAnsi" w:hAnsiTheme="minorHAnsi"/>
        </w:rPr>
        <w:t>.</w:t>
      </w:r>
    </w:p>
    <w:p w14:paraId="6FBD2381" w14:textId="5D5929A3" w:rsidR="00894D3A" w:rsidRPr="004063FF" w:rsidRDefault="00894D3A" w:rsidP="000C5D62">
      <w:pPr>
        <w:pStyle w:val="ListNumber"/>
        <w:numPr>
          <w:ilvl w:val="0"/>
          <w:numId w:val="0"/>
        </w:numPr>
        <w:ind w:left="284"/>
        <w:rPr>
          <w:rFonts w:asciiTheme="minorHAnsi" w:hAnsiTheme="minorHAnsi"/>
        </w:rPr>
      </w:pPr>
      <w:r w:rsidRPr="00353299">
        <w:rPr>
          <w:rFonts w:asciiTheme="minorHAnsi" w:hAnsiTheme="minorHAnsi"/>
        </w:rPr>
        <w:t xml:space="preserve">The Department of Treasury and Finance may include or exclude items from an agency’s final budget outcome on a </w:t>
      </w:r>
      <w:r w:rsidR="00A10DEF" w:rsidRPr="004063FF">
        <w:rPr>
          <w:rFonts w:asciiTheme="minorHAnsi" w:hAnsiTheme="minorHAnsi"/>
        </w:rPr>
        <w:t>case-by-case</w:t>
      </w:r>
      <w:r w:rsidRPr="00353299">
        <w:rPr>
          <w:rFonts w:asciiTheme="minorHAnsi" w:hAnsiTheme="minorHAnsi"/>
        </w:rPr>
        <w:t xml:space="preserve"> basis. For more information on the</w:t>
      </w:r>
      <w:r w:rsidR="00A10DEF" w:rsidRPr="00FB2CD0">
        <w:rPr>
          <w:rFonts w:asciiTheme="minorHAnsi" w:hAnsiTheme="minorHAnsi"/>
        </w:rPr>
        <w:t xml:space="preserve"> principles and the basis for such inclusions or exclusions, refer to </w:t>
      </w:r>
      <w:r w:rsidRPr="00353299">
        <w:rPr>
          <w:rFonts w:asciiTheme="minorHAnsi" w:hAnsiTheme="minorHAnsi"/>
        </w:rPr>
        <w:t>the Guidance document – Organisational performance and accountability</w:t>
      </w:r>
      <w:r w:rsidR="00F06276" w:rsidRPr="00353299">
        <w:rPr>
          <w:rFonts w:asciiTheme="minorHAnsi" w:hAnsiTheme="minorHAnsi"/>
        </w:rPr>
        <w:t xml:space="preserve"> *currently under development*</w:t>
      </w:r>
      <w:r w:rsidR="00603257" w:rsidRPr="005273A1">
        <w:rPr>
          <w:rFonts w:asciiTheme="minorHAnsi" w:hAnsiTheme="minorHAnsi"/>
        </w:rPr>
        <w:t>.</w:t>
      </w:r>
    </w:p>
    <w:p w14:paraId="445B5AF8" w14:textId="48426FF9" w:rsidR="00067FAC" w:rsidRDefault="00A10DEF" w:rsidP="000C5D62">
      <w:pPr>
        <w:pStyle w:val="ListNumber"/>
        <w:numPr>
          <w:ilvl w:val="0"/>
          <w:numId w:val="0"/>
        </w:numPr>
        <w:ind w:left="284"/>
        <w:rPr>
          <w:rFonts w:asciiTheme="minorHAnsi" w:hAnsiTheme="minorHAnsi"/>
        </w:rPr>
      </w:pPr>
      <w:r w:rsidRPr="005273A1">
        <w:rPr>
          <w:rFonts w:asciiTheme="minorHAnsi" w:hAnsiTheme="minorHAnsi"/>
        </w:rPr>
        <w:t>Agencies are able to access a prepopulated calculation of their agency final budget outcome</w:t>
      </w:r>
      <w:r w:rsidR="00F109E5" w:rsidRPr="005273A1">
        <w:rPr>
          <w:rFonts w:asciiTheme="minorHAnsi" w:hAnsiTheme="minorHAnsi"/>
        </w:rPr>
        <w:t xml:space="preserve"> each month</w:t>
      </w:r>
      <w:r w:rsidRPr="005273A1">
        <w:rPr>
          <w:rFonts w:asciiTheme="minorHAnsi" w:hAnsiTheme="minorHAnsi"/>
        </w:rPr>
        <w:t xml:space="preserve"> by running the Budget vs Actual </w:t>
      </w:r>
      <w:r w:rsidR="00023B05" w:rsidRPr="005273A1">
        <w:rPr>
          <w:rFonts w:asciiTheme="minorHAnsi" w:hAnsiTheme="minorHAnsi"/>
        </w:rPr>
        <w:t xml:space="preserve">– (Prorata, Excluding Administered) located under validation reports in the budget reporting system </w:t>
      </w:r>
      <w:r w:rsidR="00023B05" w:rsidRPr="00353299">
        <w:rPr>
          <w:rFonts w:asciiTheme="minorHAnsi" w:hAnsiTheme="minorHAnsi"/>
        </w:rPr>
        <w:t>APEX</w:t>
      </w:r>
      <w:r w:rsidR="00023B05" w:rsidRPr="00353299">
        <w:rPr>
          <w:rStyle w:val="FootnoteReference"/>
          <w:rFonts w:asciiTheme="minorHAnsi" w:hAnsiTheme="minorHAnsi"/>
        </w:rPr>
        <w:footnoteReference w:id="1"/>
      </w:r>
      <w:r w:rsidR="00067FAC" w:rsidRPr="005273A1">
        <w:rPr>
          <w:rFonts w:asciiTheme="minorHAnsi" w:hAnsiTheme="minorHAnsi"/>
        </w:rPr>
        <w:t>. A screenshot illustrating where to access this report in APEX</w:t>
      </w:r>
      <w:r w:rsidR="00067FAC" w:rsidRPr="005273A1">
        <w:rPr>
          <w:rStyle w:val="FootnoteReference"/>
          <w:rFonts w:asciiTheme="minorHAnsi" w:hAnsiTheme="minorHAnsi"/>
        </w:rPr>
        <w:t>1</w:t>
      </w:r>
      <w:r w:rsidR="00067FAC" w:rsidRPr="005273A1">
        <w:rPr>
          <w:rFonts w:asciiTheme="minorHAnsi" w:hAnsiTheme="minorHAnsi"/>
        </w:rPr>
        <w:t xml:space="preserve"> </w:t>
      </w:r>
      <w:proofErr w:type="gramStart"/>
      <w:r w:rsidR="00067FAC" w:rsidRPr="005273A1">
        <w:rPr>
          <w:rFonts w:asciiTheme="minorHAnsi" w:hAnsiTheme="minorHAnsi"/>
        </w:rPr>
        <w:t>is provided</w:t>
      </w:r>
      <w:proofErr w:type="gramEnd"/>
      <w:r w:rsidR="00067FAC" w:rsidRPr="005273A1">
        <w:rPr>
          <w:rFonts w:asciiTheme="minorHAnsi" w:hAnsiTheme="minorHAnsi"/>
        </w:rPr>
        <w:t xml:space="preserve"> below.</w:t>
      </w:r>
      <w:r w:rsidR="00067FAC">
        <w:rPr>
          <w:rFonts w:asciiTheme="minorHAnsi" w:hAnsiTheme="minorHAnsi"/>
        </w:rPr>
        <w:t xml:space="preserve"> </w:t>
      </w:r>
    </w:p>
    <w:p w14:paraId="0FD9E9A7" w14:textId="77777777" w:rsidR="00067FAC" w:rsidRDefault="00067FAC" w:rsidP="000C5D62">
      <w:pPr>
        <w:pStyle w:val="ListNumber"/>
        <w:numPr>
          <w:ilvl w:val="0"/>
          <w:numId w:val="0"/>
        </w:numPr>
        <w:ind w:left="284"/>
        <w:rPr>
          <w:rFonts w:asciiTheme="minorHAnsi" w:hAnsiTheme="minorHAnsi"/>
        </w:rPr>
      </w:pPr>
    </w:p>
    <w:p w14:paraId="2B27EFD2" w14:textId="55915AF5" w:rsidR="00067FAC" w:rsidRPr="00353299" w:rsidRDefault="00067FAC" w:rsidP="000C5D62">
      <w:pPr>
        <w:pStyle w:val="ListNumber"/>
        <w:numPr>
          <w:ilvl w:val="0"/>
          <w:numId w:val="0"/>
        </w:numPr>
        <w:ind w:left="284"/>
        <w:rPr>
          <w:rFonts w:asciiTheme="minorHAnsi" w:hAnsiTheme="minorHAnsi"/>
        </w:rPr>
      </w:pPr>
      <w:r w:rsidRPr="00067FAC">
        <w:rPr>
          <w:rFonts w:asciiTheme="minorHAnsi" w:hAnsiTheme="minorHAnsi"/>
          <w:noProof/>
          <w:lang w:eastAsia="en-AU"/>
        </w:rPr>
        <w:drawing>
          <wp:inline distT="0" distB="0" distL="0" distR="0" wp14:anchorId="58F91C24" wp14:editId="17EB15D4">
            <wp:extent cx="5219700" cy="1362021"/>
            <wp:effectExtent l="0" t="0" r="0" b="0"/>
            <wp:docPr id="4" name="Picture 4" descr="N:\Financial Management\Policy\NT FMAF\2017-18 Review\6. Work Papers\TD - Carryover\2nd Review\Screenshot for final budget outcome rep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inancial Management\Policy\NT FMAF\2017-18 Review\6. Work Papers\TD - Carryover\2nd Review\Screenshot for final budget outcome repor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4919" cy="1371211"/>
                    </a:xfrm>
                    <a:prstGeom prst="rect">
                      <a:avLst/>
                    </a:prstGeom>
                    <a:noFill/>
                    <a:ln>
                      <a:noFill/>
                    </a:ln>
                  </pic:spPr>
                </pic:pic>
              </a:graphicData>
            </a:graphic>
          </wp:inline>
        </w:drawing>
      </w:r>
    </w:p>
    <w:p w14:paraId="208CC7F0" w14:textId="77777777" w:rsidR="00067FAC" w:rsidRDefault="00067FAC">
      <w:pPr>
        <w:pStyle w:val="ListNumber"/>
        <w:numPr>
          <w:ilvl w:val="0"/>
          <w:numId w:val="0"/>
        </w:numPr>
        <w:ind w:left="284"/>
        <w:rPr>
          <w:rFonts w:asciiTheme="minorHAnsi" w:hAnsiTheme="minorHAnsi"/>
          <w:b/>
        </w:rPr>
      </w:pPr>
    </w:p>
    <w:p w14:paraId="1B65C2FE" w14:textId="690283F2" w:rsidR="00F95868" w:rsidRPr="004063FF" w:rsidRDefault="00603257">
      <w:pPr>
        <w:pStyle w:val="ListNumber"/>
        <w:numPr>
          <w:ilvl w:val="0"/>
          <w:numId w:val="0"/>
        </w:numPr>
        <w:ind w:left="284"/>
        <w:rPr>
          <w:rFonts w:asciiTheme="minorHAnsi" w:hAnsiTheme="minorHAnsi"/>
        </w:rPr>
      </w:pPr>
      <w:r>
        <w:rPr>
          <w:rFonts w:asciiTheme="minorHAnsi" w:hAnsiTheme="minorHAnsi"/>
        </w:rPr>
        <w:t xml:space="preserve">The key elements for calculating </w:t>
      </w:r>
      <w:r w:rsidR="00AF0D43">
        <w:rPr>
          <w:rFonts w:asciiTheme="minorHAnsi" w:hAnsiTheme="minorHAnsi"/>
        </w:rPr>
        <w:t>the</w:t>
      </w:r>
      <w:r>
        <w:rPr>
          <w:rFonts w:asciiTheme="minorHAnsi" w:hAnsiTheme="minorHAnsi"/>
        </w:rPr>
        <w:t xml:space="preserve"> final budget outcome </w:t>
      </w:r>
      <w:proofErr w:type="gramStart"/>
      <w:r>
        <w:rPr>
          <w:rFonts w:asciiTheme="minorHAnsi" w:hAnsiTheme="minorHAnsi"/>
        </w:rPr>
        <w:t>are discussed</w:t>
      </w:r>
      <w:proofErr w:type="gramEnd"/>
      <w:r>
        <w:rPr>
          <w:rFonts w:asciiTheme="minorHAnsi" w:hAnsiTheme="minorHAnsi"/>
        </w:rPr>
        <w:t xml:space="preserve"> below. The final budget outcome calculation looks at the variation between the</w:t>
      </w:r>
      <w:r w:rsidR="00127F66">
        <w:rPr>
          <w:rFonts w:asciiTheme="minorHAnsi" w:hAnsiTheme="minorHAnsi"/>
        </w:rPr>
        <w:t xml:space="preserve"> year to date</w:t>
      </w:r>
      <w:r>
        <w:rPr>
          <w:rFonts w:asciiTheme="minorHAnsi" w:hAnsiTheme="minorHAnsi"/>
        </w:rPr>
        <w:t xml:space="preserve"> actual</w:t>
      </w:r>
      <w:r w:rsidR="00127F66">
        <w:rPr>
          <w:rFonts w:asciiTheme="minorHAnsi" w:hAnsiTheme="minorHAnsi"/>
        </w:rPr>
        <w:t>s</w:t>
      </w:r>
      <w:r>
        <w:rPr>
          <w:rFonts w:asciiTheme="minorHAnsi" w:hAnsiTheme="minorHAnsi"/>
        </w:rPr>
        <w:t xml:space="preserve"> and budget for each of the elements discussed below.</w:t>
      </w:r>
    </w:p>
    <w:p w14:paraId="298DA318" w14:textId="77777777" w:rsidR="00F63246" w:rsidRPr="00353299" w:rsidRDefault="00F63246" w:rsidP="00F63246">
      <w:pPr>
        <w:pStyle w:val="ListNumber"/>
        <w:numPr>
          <w:ilvl w:val="0"/>
          <w:numId w:val="0"/>
        </w:numPr>
        <w:ind w:left="284"/>
        <w:rPr>
          <w:rFonts w:asciiTheme="minorHAnsi" w:hAnsiTheme="minorHAnsi"/>
          <w:b/>
          <w:u w:val="single"/>
        </w:rPr>
      </w:pPr>
      <w:r w:rsidRPr="00353299">
        <w:rPr>
          <w:rFonts w:asciiTheme="minorHAnsi" w:hAnsiTheme="minorHAnsi"/>
          <w:b/>
          <w:u w:val="single"/>
        </w:rPr>
        <w:t xml:space="preserve">Operating result (Actual and budgeted) </w:t>
      </w:r>
    </w:p>
    <w:p w14:paraId="1A3A1747" w14:textId="2EDDCAAC" w:rsidR="0021159B" w:rsidRDefault="00F63246" w:rsidP="000C5D62">
      <w:pPr>
        <w:pStyle w:val="ListNumber"/>
        <w:numPr>
          <w:ilvl w:val="0"/>
          <w:numId w:val="0"/>
        </w:numPr>
        <w:ind w:left="284"/>
        <w:rPr>
          <w:rFonts w:asciiTheme="minorHAnsi" w:hAnsiTheme="minorHAnsi"/>
        </w:rPr>
      </w:pPr>
      <w:r w:rsidRPr="004063FF">
        <w:rPr>
          <w:rFonts w:asciiTheme="minorHAnsi" w:hAnsiTheme="minorHAnsi"/>
        </w:rPr>
        <w:t xml:space="preserve">The operating result is the agency’s end of financial year outcome, calculated as total income less total expenses, and is also referred to as net surplus (+)/deficit(-) on the operating statement. </w:t>
      </w:r>
    </w:p>
    <w:p w14:paraId="499C2E2E" w14:textId="77777777" w:rsidR="00FB2CD0" w:rsidRPr="00BA6F39" w:rsidRDefault="00FB2CD0" w:rsidP="00FB2CD0">
      <w:pPr>
        <w:pStyle w:val="ListNumber"/>
        <w:numPr>
          <w:ilvl w:val="0"/>
          <w:numId w:val="0"/>
        </w:numPr>
        <w:ind w:left="284"/>
        <w:rPr>
          <w:rFonts w:asciiTheme="minorHAnsi" w:hAnsiTheme="minorHAnsi"/>
          <w:b/>
          <w:u w:val="single"/>
        </w:rPr>
      </w:pPr>
      <w:r w:rsidRPr="00BA6F39">
        <w:rPr>
          <w:rFonts w:asciiTheme="minorHAnsi" w:hAnsiTheme="minorHAnsi"/>
          <w:b/>
          <w:u w:val="single"/>
        </w:rPr>
        <w:t xml:space="preserve">Gain/loss on disposal of assets </w:t>
      </w:r>
    </w:p>
    <w:p w14:paraId="07A4668B" w14:textId="77777777" w:rsidR="00FB2CD0" w:rsidRPr="00A24634" w:rsidRDefault="00FB2CD0" w:rsidP="00FB2CD0">
      <w:pPr>
        <w:pStyle w:val="ListNumber"/>
        <w:numPr>
          <w:ilvl w:val="0"/>
          <w:numId w:val="0"/>
        </w:numPr>
        <w:ind w:left="284"/>
        <w:rPr>
          <w:rFonts w:asciiTheme="minorHAnsi" w:hAnsiTheme="minorHAnsi"/>
        </w:rPr>
      </w:pPr>
      <w:r>
        <w:rPr>
          <w:rFonts w:asciiTheme="minorHAnsi" w:hAnsiTheme="minorHAnsi"/>
        </w:rPr>
        <w:t xml:space="preserve">Gain or loss on disposal of assets is the </w:t>
      </w:r>
      <w:r w:rsidRPr="00A24634">
        <w:rPr>
          <w:rFonts w:asciiTheme="minorHAnsi" w:hAnsiTheme="minorHAnsi"/>
        </w:rPr>
        <w:t xml:space="preserve">profit or loss on the sale of an asset. </w:t>
      </w:r>
      <w:r>
        <w:rPr>
          <w:rFonts w:asciiTheme="minorHAnsi" w:hAnsiTheme="minorHAnsi"/>
        </w:rPr>
        <w:t xml:space="preserve"> </w:t>
      </w:r>
      <w:r w:rsidRPr="00A24634">
        <w:rPr>
          <w:rFonts w:asciiTheme="minorHAnsi" w:hAnsiTheme="minorHAnsi"/>
        </w:rPr>
        <w:t xml:space="preserve">This </w:t>
      </w:r>
      <w:proofErr w:type="gramStart"/>
      <w:r w:rsidRPr="00A24634">
        <w:rPr>
          <w:rFonts w:asciiTheme="minorHAnsi" w:hAnsiTheme="minorHAnsi"/>
        </w:rPr>
        <w:t>is</w:t>
      </w:r>
      <w:r>
        <w:rPr>
          <w:rFonts w:asciiTheme="minorHAnsi" w:hAnsiTheme="minorHAnsi"/>
        </w:rPr>
        <w:t xml:space="preserve"> recorded</w:t>
      </w:r>
      <w:proofErr w:type="gramEnd"/>
      <w:r>
        <w:rPr>
          <w:rFonts w:asciiTheme="minorHAnsi" w:hAnsiTheme="minorHAnsi"/>
        </w:rPr>
        <w:t xml:space="preserve"> in the </w:t>
      </w:r>
      <w:r w:rsidRPr="00A24634">
        <w:rPr>
          <w:rFonts w:asciiTheme="minorHAnsi" w:hAnsiTheme="minorHAnsi"/>
        </w:rPr>
        <w:t>APEX</w:t>
      </w:r>
      <w:r w:rsidRPr="00A24634">
        <w:rPr>
          <w:rStyle w:val="FootnoteReference"/>
          <w:rFonts w:asciiTheme="minorHAnsi" w:hAnsiTheme="minorHAnsi"/>
        </w:rPr>
        <w:footnoteReference w:id="2"/>
      </w:r>
      <w:r w:rsidRPr="00A24634">
        <w:rPr>
          <w:rFonts w:asciiTheme="minorHAnsi" w:hAnsiTheme="minorHAnsi"/>
        </w:rPr>
        <w:t xml:space="preserve"> operating statement</w:t>
      </w:r>
      <w:r>
        <w:rPr>
          <w:rFonts w:asciiTheme="minorHAnsi" w:hAnsiTheme="minorHAnsi"/>
        </w:rPr>
        <w:t xml:space="preserve"> under income</w:t>
      </w:r>
      <w:r w:rsidRPr="00A24634">
        <w:rPr>
          <w:rFonts w:asciiTheme="minorHAnsi" w:hAnsiTheme="minorHAnsi"/>
        </w:rPr>
        <w:t>. Agencies have</w:t>
      </w:r>
      <w:r>
        <w:rPr>
          <w:rFonts w:asciiTheme="minorHAnsi" w:hAnsiTheme="minorHAnsi"/>
        </w:rPr>
        <w:t xml:space="preserve"> no</w:t>
      </w:r>
      <w:r w:rsidRPr="00A24634">
        <w:rPr>
          <w:rFonts w:asciiTheme="minorHAnsi" w:hAnsiTheme="minorHAnsi"/>
        </w:rPr>
        <w:t xml:space="preserve"> control over the market conditions in place at the </w:t>
      </w:r>
      <w:r>
        <w:rPr>
          <w:rFonts w:asciiTheme="minorHAnsi" w:hAnsiTheme="minorHAnsi"/>
        </w:rPr>
        <w:t xml:space="preserve">time an asset </w:t>
      </w:r>
      <w:proofErr w:type="gramStart"/>
      <w:r>
        <w:rPr>
          <w:rFonts w:asciiTheme="minorHAnsi" w:hAnsiTheme="minorHAnsi"/>
        </w:rPr>
        <w:t>is sold</w:t>
      </w:r>
      <w:proofErr w:type="gramEnd"/>
      <w:r>
        <w:rPr>
          <w:rFonts w:asciiTheme="minorHAnsi" w:hAnsiTheme="minorHAnsi"/>
        </w:rPr>
        <w:t>, hence gains or losses arising from the disposal of assets, captured in the operating statement are excluded when calculating the final budget outcome.</w:t>
      </w:r>
    </w:p>
    <w:p w14:paraId="436789F5" w14:textId="7EB0F90B" w:rsidR="0021159B" w:rsidRPr="00353299" w:rsidRDefault="0021159B" w:rsidP="000C5D62">
      <w:pPr>
        <w:pStyle w:val="ListNumber"/>
        <w:numPr>
          <w:ilvl w:val="0"/>
          <w:numId w:val="0"/>
        </w:numPr>
        <w:ind w:left="284"/>
        <w:rPr>
          <w:rFonts w:asciiTheme="minorHAnsi" w:hAnsiTheme="minorHAnsi"/>
          <w:b/>
          <w:u w:val="single"/>
        </w:rPr>
      </w:pPr>
      <w:r w:rsidRPr="00353299">
        <w:rPr>
          <w:rFonts w:asciiTheme="minorHAnsi" w:hAnsiTheme="minorHAnsi"/>
          <w:b/>
          <w:u w:val="single"/>
        </w:rPr>
        <w:t>Interest expense, depreciation and amortisation expense</w:t>
      </w:r>
      <w:r w:rsidR="00DD06D6">
        <w:rPr>
          <w:rFonts w:asciiTheme="minorHAnsi" w:hAnsiTheme="minorHAnsi"/>
          <w:b/>
          <w:u w:val="single"/>
        </w:rPr>
        <w:t xml:space="preserve"> and </w:t>
      </w:r>
      <w:r w:rsidRPr="00353299">
        <w:rPr>
          <w:rFonts w:asciiTheme="minorHAnsi" w:hAnsiTheme="minorHAnsi"/>
          <w:b/>
          <w:u w:val="single"/>
        </w:rPr>
        <w:t>other administrative expense</w:t>
      </w:r>
      <w:r w:rsidR="00DD06D6">
        <w:rPr>
          <w:rFonts w:asciiTheme="minorHAnsi" w:hAnsiTheme="minorHAnsi"/>
          <w:b/>
          <w:u w:val="single"/>
        </w:rPr>
        <w:t xml:space="preserve"> </w:t>
      </w:r>
    </w:p>
    <w:p w14:paraId="3D01CFA9" w14:textId="1412B0E9" w:rsidR="00AA57F5" w:rsidRPr="004063FF" w:rsidRDefault="00E01CF7" w:rsidP="000C5D62">
      <w:pPr>
        <w:pStyle w:val="ListNumber"/>
        <w:numPr>
          <w:ilvl w:val="0"/>
          <w:numId w:val="0"/>
        </w:numPr>
        <w:ind w:left="284"/>
        <w:rPr>
          <w:rFonts w:asciiTheme="minorHAnsi" w:hAnsiTheme="minorHAnsi"/>
        </w:rPr>
      </w:pPr>
      <w:r w:rsidRPr="004063FF">
        <w:rPr>
          <w:rFonts w:asciiTheme="minorHAnsi" w:hAnsiTheme="minorHAnsi"/>
        </w:rPr>
        <w:t xml:space="preserve">Interest expenses are costs incurred in connection with borrowing </w:t>
      </w:r>
      <w:r w:rsidR="002E68F6">
        <w:rPr>
          <w:rFonts w:asciiTheme="minorHAnsi" w:hAnsiTheme="minorHAnsi"/>
        </w:rPr>
        <w:t>funds. These largely comprise of interest on advances, loans, overdrafts, bonds and bills, deposits, interest component of lease and service concession liabilities repayments and amortisation of discounts or premiums in relation to borrowings.</w:t>
      </w:r>
      <w:r w:rsidRPr="004063FF">
        <w:rPr>
          <w:rFonts w:asciiTheme="minorHAnsi" w:hAnsiTheme="minorHAnsi"/>
        </w:rPr>
        <w:t xml:space="preserve"> Interest expenses </w:t>
      </w:r>
      <w:proofErr w:type="gramStart"/>
      <w:r w:rsidRPr="004063FF">
        <w:rPr>
          <w:rFonts w:asciiTheme="minorHAnsi" w:hAnsiTheme="minorHAnsi"/>
        </w:rPr>
        <w:t>are excl</w:t>
      </w:r>
      <w:r w:rsidR="00AF0D43">
        <w:rPr>
          <w:rFonts w:asciiTheme="minorHAnsi" w:hAnsiTheme="minorHAnsi"/>
        </w:rPr>
        <w:t>uded</w:t>
      </w:r>
      <w:proofErr w:type="gramEnd"/>
      <w:r w:rsidR="00AF0D43">
        <w:rPr>
          <w:rFonts w:asciiTheme="minorHAnsi" w:hAnsiTheme="minorHAnsi"/>
        </w:rPr>
        <w:t xml:space="preserve"> when calculating the </w:t>
      </w:r>
      <w:r w:rsidRPr="004063FF">
        <w:rPr>
          <w:rFonts w:asciiTheme="minorHAnsi" w:hAnsiTheme="minorHAnsi"/>
        </w:rPr>
        <w:t xml:space="preserve">final budget outcome because agencies generally do not have control over interest </w:t>
      </w:r>
      <w:r w:rsidR="00DF6C20">
        <w:rPr>
          <w:rFonts w:asciiTheme="minorHAnsi" w:hAnsiTheme="minorHAnsi"/>
        </w:rPr>
        <w:t>expenses.</w:t>
      </w:r>
    </w:p>
    <w:p w14:paraId="1CD0DB50" w14:textId="0727AEE0" w:rsidR="00E01CF7" w:rsidRDefault="00E01CF7" w:rsidP="000C5D62">
      <w:pPr>
        <w:pStyle w:val="ListNumber"/>
        <w:numPr>
          <w:ilvl w:val="0"/>
          <w:numId w:val="0"/>
        </w:numPr>
        <w:ind w:left="284"/>
        <w:rPr>
          <w:rFonts w:asciiTheme="minorHAnsi" w:hAnsiTheme="minorHAnsi"/>
        </w:rPr>
      </w:pPr>
      <w:r w:rsidRPr="004063FF">
        <w:rPr>
          <w:rFonts w:asciiTheme="minorHAnsi" w:hAnsiTheme="minorHAnsi"/>
        </w:rPr>
        <w:t xml:space="preserve">Depreciation and amortisation </w:t>
      </w:r>
      <w:r w:rsidR="00F109E5" w:rsidRPr="004063FF">
        <w:rPr>
          <w:rFonts w:asciiTheme="minorHAnsi" w:hAnsiTheme="minorHAnsi"/>
        </w:rPr>
        <w:t xml:space="preserve">expenses represents the systematic allocation of </w:t>
      </w:r>
      <w:r w:rsidR="008E1232" w:rsidRPr="004063FF">
        <w:rPr>
          <w:rFonts w:asciiTheme="minorHAnsi" w:hAnsiTheme="minorHAnsi"/>
        </w:rPr>
        <w:t>the value</w:t>
      </w:r>
      <w:r w:rsidR="00F109E5" w:rsidRPr="004063FF">
        <w:rPr>
          <w:rFonts w:asciiTheme="minorHAnsi" w:hAnsiTheme="minorHAnsi"/>
        </w:rPr>
        <w:t xml:space="preserve"> of </w:t>
      </w:r>
      <w:r w:rsidR="008E1232" w:rsidRPr="004063FF">
        <w:rPr>
          <w:rFonts w:asciiTheme="minorHAnsi" w:hAnsiTheme="minorHAnsi"/>
        </w:rPr>
        <w:t>assets over</w:t>
      </w:r>
      <w:r w:rsidR="00F109E5" w:rsidRPr="004063FF">
        <w:rPr>
          <w:rFonts w:asciiTheme="minorHAnsi" w:hAnsiTheme="minorHAnsi"/>
        </w:rPr>
        <w:t xml:space="preserve"> their expected useful lives. Agencies are not funded for depreciation and amortisation</w:t>
      </w:r>
      <w:r w:rsidR="002E68F6">
        <w:rPr>
          <w:rFonts w:asciiTheme="minorHAnsi" w:hAnsiTheme="minorHAnsi"/>
        </w:rPr>
        <w:t xml:space="preserve"> expenses </w:t>
      </w:r>
      <w:r w:rsidR="00F109E5" w:rsidRPr="004063FF">
        <w:rPr>
          <w:rFonts w:asciiTheme="minorHAnsi" w:hAnsiTheme="minorHAnsi"/>
        </w:rPr>
        <w:t xml:space="preserve">and do not have control over such costs, </w:t>
      </w:r>
      <w:r w:rsidR="00603257">
        <w:rPr>
          <w:rFonts w:asciiTheme="minorHAnsi" w:hAnsiTheme="minorHAnsi"/>
        </w:rPr>
        <w:t xml:space="preserve">as such, these are excluded when calculating the </w:t>
      </w:r>
      <w:r w:rsidR="00F109E5" w:rsidRPr="004063FF">
        <w:rPr>
          <w:rFonts w:asciiTheme="minorHAnsi" w:hAnsiTheme="minorHAnsi"/>
        </w:rPr>
        <w:t>final budget outcome.</w:t>
      </w:r>
    </w:p>
    <w:p w14:paraId="3C019A24" w14:textId="7C1B3EB0" w:rsidR="00F109E5" w:rsidRDefault="00F109E5" w:rsidP="000C5D62">
      <w:pPr>
        <w:pStyle w:val="ListNumber"/>
        <w:numPr>
          <w:ilvl w:val="0"/>
          <w:numId w:val="0"/>
        </w:numPr>
        <w:ind w:left="284"/>
        <w:rPr>
          <w:rFonts w:asciiTheme="minorHAnsi" w:hAnsiTheme="minorHAnsi"/>
        </w:rPr>
      </w:pPr>
      <w:r w:rsidRPr="004063FF">
        <w:rPr>
          <w:rFonts w:asciiTheme="minorHAnsi" w:hAnsiTheme="minorHAnsi"/>
        </w:rPr>
        <w:t>Other administrative expenses largely cover</w:t>
      </w:r>
      <w:r w:rsidR="008E1232" w:rsidRPr="004063FF">
        <w:rPr>
          <w:rFonts w:asciiTheme="minorHAnsi" w:hAnsiTheme="minorHAnsi"/>
        </w:rPr>
        <w:t>s expenses relating to asset revaluation, impairment loss and write off expenses and assets donated and gifted. It also includes doubtful debt expenses and write offs and losses.</w:t>
      </w:r>
      <w:r w:rsidR="00F63246" w:rsidRPr="004063FF">
        <w:rPr>
          <w:rFonts w:asciiTheme="minorHAnsi" w:hAnsiTheme="minorHAnsi"/>
        </w:rPr>
        <w:t xml:space="preserve"> Agencies general</w:t>
      </w:r>
      <w:r w:rsidR="00603257">
        <w:rPr>
          <w:rFonts w:asciiTheme="minorHAnsi" w:hAnsiTheme="minorHAnsi"/>
        </w:rPr>
        <w:t>ly do not have control over such costs, as such;</w:t>
      </w:r>
      <w:r w:rsidR="00DF6C20">
        <w:rPr>
          <w:rFonts w:asciiTheme="minorHAnsi" w:hAnsiTheme="minorHAnsi"/>
        </w:rPr>
        <w:t xml:space="preserve"> they</w:t>
      </w:r>
      <w:r w:rsidR="00603257">
        <w:rPr>
          <w:rFonts w:asciiTheme="minorHAnsi" w:hAnsiTheme="minorHAnsi"/>
        </w:rPr>
        <w:t xml:space="preserve"> </w:t>
      </w:r>
      <w:proofErr w:type="gramStart"/>
      <w:r w:rsidR="00603257">
        <w:rPr>
          <w:rFonts w:asciiTheme="minorHAnsi" w:hAnsiTheme="minorHAnsi"/>
        </w:rPr>
        <w:t>are excluded</w:t>
      </w:r>
      <w:proofErr w:type="gramEnd"/>
      <w:r w:rsidR="00603257">
        <w:rPr>
          <w:rFonts w:asciiTheme="minorHAnsi" w:hAnsiTheme="minorHAnsi"/>
        </w:rPr>
        <w:t xml:space="preserve"> when calculating t</w:t>
      </w:r>
      <w:r w:rsidR="00F63246" w:rsidRPr="004063FF">
        <w:rPr>
          <w:rFonts w:asciiTheme="minorHAnsi" w:hAnsiTheme="minorHAnsi"/>
        </w:rPr>
        <w:t>he</w:t>
      </w:r>
      <w:r w:rsidR="00603257">
        <w:rPr>
          <w:rFonts w:asciiTheme="minorHAnsi" w:hAnsiTheme="minorHAnsi"/>
        </w:rPr>
        <w:t xml:space="preserve"> final budget outcome</w:t>
      </w:r>
      <w:r w:rsidR="00F63246" w:rsidRPr="004063FF">
        <w:rPr>
          <w:rFonts w:asciiTheme="minorHAnsi" w:hAnsiTheme="minorHAnsi"/>
        </w:rPr>
        <w:t>.</w:t>
      </w:r>
    </w:p>
    <w:p w14:paraId="3C40D881" w14:textId="6DABB265" w:rsidR="00DD06D6" w:rsidRPr="00353299" w:rsidRDefault="00DD06D6" w:rsidP="000C5D62">
      <w:pPr>
        <w:pStyle w:val="ListNumber"/>
        <w:numPr>
          <w:ilvl w:val="0"/>
          <w:numId w:val="0"/>
        </w:numPr>
        <w:ind w:left="284"/>
        <w:rPr>
          <w:rFonts w:asciiTheme="minorHAnsi" w:hAnsiTheme="minorHAnsi"/>
          <w:b/>
          <w:u w:val="single"/>
        </w:rPr>
      </w:pPr>
      <w:r w:rsidRPr="00353299">
        <w:rPr>
          <w:rFonts w:asciiTheme="minorHAnsi" w:hAnsiTheme="minorHAnsi"/>
          <w:b/>
          <w:u w:val="single"/>
        </w:rPr>
        <w:t>Waivers</w:t>
      </w:r>
    </w:p>
    <w:p w14:paraId="70327F02" w14:textId="77777777" w:rsidR="00DD06D6" w:rsidRPr="004063FF" w:rsidRDefault="00DD06D6" w:rsidP="00DD06D6">
      <w:pPr>
        <w:pStyle w:val="ListNumber"/>
        <w:numPr>
          <w:ilvl w:val="0"/>
          <w:numId w:val="0"/>
        </w:numPr>
        <w:ind w:left="284"/>
        <w:rPr>
          <w:rFonts w:asciiTheme="minorHAnsi" w:hAnsiTheme="minorHAnsi"/>
        </w:rPr>
      </w:pPr>
      <w:proofErr w:type="gramStart"/>
      <w:r>
        <w:rPr>
          <w:rFonts w:asciiTheme="minorHAnsi" w:hAnsiTheme="minorHAnsi"/>
        </w:rPr>
        <w:t>A waiver is an expense which reflects the forgoing of a right of the Territory or agency to the recovery of public money or public property owing to the Territory or agency, extinguishing the debt and renouncing the right of the Territory or agency to any future claim on that public money or public property as a result of the Territory or agency’s discretion or policy decision.</w:t>
      </w:r>
      <w:proofErr w:type="gramEnd"/>
      <w:r>
        <w:rPr>
          <w:rFonts w:asciiTheme="minorHAnsi" w:hAnsiTheme="minorHAnsi"/>
        </w:rPr>
        <w:t xml:space="preserve"> Given these are policy decisions of Government, they are excluded when calculating the final budget outcome.  </w:t>
      </w:r>
    </w:p>
    <w:p w14:paraId="0F51E1CE" w14:textId="4A9274F3" w:rsidR="00F63246" w:rsidRPr="00353299" w:rsidRDefault="00F63246" w:rsidP="00F63246">
      <w:pPr>
        <w:pStyle w:val="ListNumber"/>
        <w:numPr>
          <w:ilvl w:val="0"/>
          <w:numId w:val="0"/>
        </w:numPr>
        <w:ind w:left="284"/>
        <w:rPr>
          <w:rFonts w:asciiTheme="minorHAnsi" w:hAnsiTheme="minorHAnsi"/>
          <w:b/>
          <w:u w:val="single"/>
        </w:rPr>
      </w:pPr>
      <w:r w:rsidRPr="00353299">
        <w:rPr>
          <w:rFonts w:asciiTheme="minorHAnsi" w:hAnsiTheme="minorHAnsi"/>
          <w:b/>
          <w:u w:val="single"/>
        </w:rPr>
        <w:t>Non-cash items</w:t>
      </w:r>
    </w:p>
    <w:p w14:paraId="629A96BF" w14:textId="55467442" w:rsidR="00114325" w:rsidRPr="00A24634" w:rsidRDefault="00F63246" w:rsidP="00114325">
      <w:pPr>
        <w:pStyle w:val="ListNumber"/>
        <w:numPr>
          <w:ilvl w:val="0"/>
          <w:numId w:val="0"/>
        </w:numPr>
        <w:ind w:left="280"/>
        <w:rPr>
          <w:rFonts w:asciiTheme="minorHAnsi" w:hAnsiTheme="minorHAnsi"/>
        </w:rPr>
      </w:pPr>
      <w:r w:rsidRPr="004063FF">
        <w:rPr>
          <w:rFonts w:asciiTheme="minorHAnsi" w:hAnsiTheme="minorHAnsi"/>
        </w:rPr>
        <w:t xml:space="preserve">Non-cash items </w:t>
      </w:r>
      <w:proofErr w:type="gramStart"/>
      <w:r w:rsidRPr="004063FF">
        <w:rPr>
          <w:rFonts w:asciiTheme="minorHAnsi" w:hAnsiTheme="minorHAnsi"/>
        </w:rPr>
        <w:t>are identified</w:t>
      </w:r>
      <w:proofErr w:type="gramEnd"/>
      <w:r w:rsidRPr="004063FF">
        <w:rPr>
          <w:rFonts w:asciiTheme="minorHAnsi" w:hAnsiTheme="minorHAnsi"/>
        </w:rPr>
        <w:t xml:space="preserve"> in the Treasurer’s Direction – Standard Classification Codes: Appendix A</w:t>
      </w:r>
      <w:r w:rsidR="00114325">
        <w:rPr>
          <w:rFonts w:asciiTheme="minorHAnsi" w:hAnsiTheme="minorHAnsi"/>
        </w:rPr>
        <w:t>. Both non</w:t>
      </w:r>
      <w:r w:rsidR="00114325">
        <w:rPr>
          <w:rFonts w:asciiTheme="minorHAnsi" w:hAnsiTheme="minorHAnsi"/>
        </w:rPr>
        <w:noBreakHyphen/>
        <w:t xml:space="preserve">cash </w:t>
      </w:r>
      <w:r w:rsidR="00114325" w:rsidRPr="00A24634">
        <w:rPr>
          <w:rFonts w:asciiTheme="minorHAnsi" w:hAnsiTheme="minorHAnsi"/>
        </w:rPr>
        <w:t>income and expe</w:t>
      </w:r>
      <w:r w:rsidR="008F72A4">
        <w:rPr>
          <w:rFonts w:asciiTheme="minorHAnsi" w:hAnsiTheme="minorHAnsi"/>
        </w:rPr>
        <w:t xml:space="preserve">nses </w:t>
      </w:r>
      <w:proofErr w:type="gramStart"/>
      <w:r w:rsidR="008F72A4">
        <w:rPr>
          <w:rFonts w:asciiTheme="minorHAnsi" w:hAnsiTheme="minorHAnsi"/>
        </w:rPr>
        <w:t>are excluded</w:t>
      </w:r>
      <w:proofErr w:type="gramEnd"/>
      <w:r w:rsidR="008F72A4">
        <w:rPr>
          <w:rFonts w:asciiTheme="minorHAnsi" w:hAnsiTheme="minorHAnsi"/>
        </w:rPr>
        <w:t xml:space="preserve"> from the </w:t>
      </w:r>
      <w:r w:rsidR="00114325" w:rsidRPr="00A24634">
        <w:rPr>
          <w:rFonts w:asciiTheme="minorHAnsi" w:hAnsiTheme="minorHAnsi"/>
        </w:rPr>
        <w:t>final budget outcome.</w:t>
      </w:r>
    </w:p>
    <w:p w14:paraId="4A308B0C" w14:textId="7D5BCA71" w:rsidR="00F63246" w:rsidRPr="004063FF" w:rsidRDefault="00F63246" w:rsidP="00F63246">
      <w:pPr>
        <w:pStyle w:val="ListNumber"/>
        <w:numPr>
          <w:ilvl w:val="0"/>
          <w:numId w:val="0"/>
        </w:numPr>
        <w:ind w:left="284"/>
        <w:rPr>
          <w:rFonts w:asciiTheme="minorHAnsi" w:hAnsiTheme="minorHAnsi"/>
        </w:rPr>
      </w:pPr>
      <w:r w:rsidRPr="004063FF">
        <w:rPr>
          <w:rFonts w:asciiTheme="minorHAnsi" w:hAnsiTheme="minorHAnsi"/>
        </w:rPr>
        <w:t>Non</w:t>
      </w:r>
      <w:r w:rsidRPr="004063FF">
        <w:rPr>
          <w:rFonts w:asciiTheme="minorHAnsi" w:hAnsiTheme="minorHAnsi"/>
        </w:rPr>
        <w:noBreakHyphen/>
        <w:t>cash items may include but are not limited to:</w:t>
      </w:r>
    </w:p>
    <w:p w14:paraId="43531A8F" w14:textId="77777777" w:rsidR="00F63246" w:rsidRPr="004063FF" w:rsidRDefault="00F63246" w:rsidP="00F63246">
      <w:pPr>
        <w:pStyle w:val="ListNumber"/>
        <w:numPr>
          <w:ilvl w:val="0"/>
          <w:numId w:val="16"/>
        </w:numPr>
        <w:rPr>
          <w:rFonts w:asciiTheme="minorHAnsi" w:hAnsiTheme="minorHAnsi"/>
        </w:rPr>
      </w:pPr>
      <w:r w:rsidRPr="004063FF">
        <w:rPr>
          <w:rFonts w:asciiTheme="minorHAnsi" w:hAnsiTheme="minorHAnsi"/>
        </w:rPr>
        <w:t>assets acquired for nil consideration</w:t>
      </w:r>
    </w:p>
    <w:p w14:paraId="662EB990" w14:textId="0CC9CA5F" w:rsidR="00F63246" w:rsidRPr="004063FF" w:rsidRDefault="00114325" w:rsidP="00F63246">
      <w:pPr>
        <w:pStyle w:val="ListNumber"/>
        <w:numPr>
          <w:ilvl w:val="0"/>
          <w:numId w:val="16"/>
        </w:numPr>
        <w:rPr>
          <w:rFonts w:asciiTheme="minorHAnsi" w:hAnsiTheme="minorHAnsi"/>
        </w:rPr>
      </w:pPr>
      <w:r>
        <w:rPr>
          <w:rFonts w:asciiTheme="minorHAnsi" w:hAnsiTheme="minorHAnsi"/>
        </w:rPr>
        <w:t xml:space="preserve">capital grants – non cash </w:t>
      </w:r>
    </w:p>
    <w:p w14:paraId="2991AC72" w14:textId="19A457CE" w:rsidR="00F63246" w:rsidRPr="004063FF" w:rsidRDefault="00114325" w:rsidP="00F63246">
      <w:pPr>
        <w:pStyle w:val="ListNumber"/>
        <w:numPr>
          <w:ilvl w:val="0"/>
          <w:numId w:val="16"/>
        </w:numPr>
        <w:rPr>
          <w:rFonts w:asciiTheme="minorHAnsi" w:hAnsiTheme="minorHAnsi"/>
        </w:rPr>
      </w:pPr>
      <w:r>
        <w:rPr>
          <w:rFonts w:asciiTheme="minorHAnsi" w:hAnsiTheme="minorHAnsi"/>
        </w:rPr>
        <w:t>repairs and maintenance – minor new works non cash</w:t>
      </w:r>
    </w:p>
    <w:p w14:paraId="549150CD" w14:textId="77777777" w:rsidR="00F63246" w:rsidRPr="004063FF" w:rsidRDefault="00F63246" w:rsidP="00F63246">
      <w:pPr>
        <w:pStyle w:val="ListNumber"/>
        <w:numPr>
          <w:ilvl w:val="0"/>
          <w:numId w:val="16"/>
        </w:numPr>
        <w:rPr>
          <w:rFonts w:asciiTheme="minorHAnsi" w:hAnsiTheme="minorHAnsi"/>
        </w:rPr>
      </w:pPr>
      <w:r w:rsidRPr="004063FF">
        <w:rPr>
          <w:rFonts w:asciiTheme="minorHAnsi" w:hAnsiTheme="minorHAnsi"/>
        </w:rPr>
        <w:t>depreciation and amortisation</w:t>
      </w:r>
    </w:p>
    <w:p w14:paraId="5D50020C" w14:textId="03E40AFE" w:rsidR="00E23215" w:rsidRPr="004063FF" w:rsidRDefault="00401BA8" w:rsidP="00F63246">
      <w:pPr>
        <w:pStyle w:val="ListNumber"/>
        <w:numPr>
          <w:ilvl w:val="0"/>
          <w:numId w:val="0"/>
        </w:numPr>
        <w:ind w:left="280"/>
        <w:rPr>
          <w:rFonts w:asciiTheme="minorHAnsi" w:hAnsiTheme="minorHAnsi"/>
        </w:rPr>
      </w:pPr>
      <w:r>
        <w:rPr>
          <w:rFonts w:asciiTheme="minorHAnsi" w:hAnsiTheme="minorHAnsi"/>
        </w:rPr>
        <w:t xml:space="preserve">Each transaction or item </w:t>
      </w:r>
      <w:proofErr w:type="gramStart"/>
      <w:r>
        <w:rPr>
          <w:rFonts w:asciiTheme="minorHAnsi" w:hAnsiTheme="minorHAnsi"/>
        </w:rPr>
        <w:t>must be accounted for</w:t>
      </w:r>
      <w:proofErr w:type="gramEnd"/>
      <w:r>
        <w:rPr>
          <w:rFonts w:asciiTheme="minorHAnsi" w:hAnsiTheme="minorHAnsi"/>
        </w:rPr>
        <w:t xml:space="preserve"> only once when calculating the final budget outcome. </w:t>
      </w:r>
      <w:r w:rsidR="00E23215" w:rsidRPr="004063FF">
        <w:rPr>
          <w:rFonts w:asciiTheme="minorHAnsi" w:hAnsiTheme="minorHAnsi"/>
        </w:rPr>
        <w:t xml:space="preserve"> For example, depreciation and amortisation expense </w:t>
      </w:r>
      <w:proofErr w:type="gramStart"/>
      <w:r w:rsidR="00E23215" w:rsidRPr="004063FF">
        <w:rPr>
          <w:rFonts w:asciiTheme="minorHAnsi" w:hAnsiTheme="minorHAnsi"/>
        </w:rPr>
        <w:t>is identified</w:t>
      </w:r>
      <w:proofErr w:type="gramEnd"/>
      <w:r w:rsidR="00E23215" w:rsidRPr="004063FF">
        <w:rPr>
          <w:rFonts w:asciiTheme="minorHAnsi" w:hAnsiTheme="minorHAnsi"/>
        </w:rPr>
        <w:t xml:space="preserve"> </w:t>
      </w:r>
      <w:r>
        <w:rPr>
          <w:rFonts w:asciiTheme="minorHAnsi" w:hAnsiTheme="minorHAnsi"/>
        </w:rPr>
        <w:t>separately in the definition of the final budget outcome as an item to be excluded from the calculation of the final budget outcome. It also falls under the non-cash expense category. W</w:t>
      </w:r>
      <w:r w:rsidR="00F76F95" w:rsidRPr="004063FF">
        <w:rPr>
          <w:rFonts w:asciiTheme="minorHAnsi" w:hAnsiTheme="minorHAnsi"/>
        </w:rPr>
        <w:t>hen calculating</w:t>
      </w:r>
      <w:r w:rsidR="00E23215" w:rsidRPr="004063FF">
        <w:rPr>
          <w:rFonts w:asciiTheme="minorHAnsi" w:hAnsiTheme="minorHAnsi"/>
        </w:rPr>
        <w:t xml:space="preserve"> the final budget outcome, </w:t>
      </w:r>
      <w:r>
        <w:rPr>
          <w:rFonts w:asciiTheme="minorHAnsi" w:hAnsiTheme="minorHAnsi"/>
        </w:rPr>
        <w:t xml:space="preserve">an agency must exclude </w:t>
      </w:r>
      <w:r w:rsidR="00E23215" w:rsidRPr="004063FF">
        <w:rPr>
          <w:rFonts w:asciiTheme="minorHAnsi" w:hAnsiTheme="minorHAnsi"/>
        </w:rPr>
        <w:t>deprec</w:t>
      </w:r>
      <w:r>
        <w:rPr>
          <w:rFonts w:asciiTheme="minorHAnsi" w:hAnsiTheme="minorHAnsi"/>
        </w:rPr>
        <w:t>iation and amortisation expense</w:t>
      </w:r>
      <w:r w:rsidR="00E23215" w:rsidRPr="004063FF">
        <w:rPr>
          <w:rFonts w:asciiTheme="minorHAnsi" w:hAnsiTheme="minorHAnsi"/>
        </w:rPr>
        <w:t xml:space="preserve"> once.</w:t>
      </w:r>
    </w:p>
    <w:p w14:paraId="6FA7D6AD" w14:textId="77777777" w:rsidR="00F63246" w:rsidRPr="00353299" w:rsidRDefault="00F63246" w:rsidP="00F63246">
      <w:pPr>
        <w:pStyle w:val="ListNumber"/>
        <w:numPr>
          <w:ilvl w:val="0"/>
          <w:numId w:val="0"/>
        </w:numPr>
        <w:ind w:left="280"/>
        <w:rPr>
          <w:rFonts w:asciiTheme="minorHAnsi" w:hAnsiTheme="minorHAnsi"/>
          <w:b/>
          <w:u w:val="single"/>
        </w:rPr>
      </w:pPr>
      <w:r w:rsidRPr="00353299">
        <w:rPr>
          <w:rFonts w:asciiTheme="minorHAnsi" w:hAnsiTheme="minorHAnsi"/>
          <w:b/>
          <w:u w:val="single"/>
        </w:rPr>
        <w:t>Other economic flows</w:t>
      </w:r>
    </w:p>
    <w:p w14:paraId="14E3A7C2" w14:textId="602D0E19" w:rsidR="00F63246" w:rsidRPr="004063FF" w:rsidRDefault="00F63246" w:rsidP="00F63246">
      <w:pPr>
        <w:pStyle w:val="ListNumber"/>
        <w:numPr>
          <w:ilvl w:val="0"/>
          <w:numId w:val="0"/>
        </w:numPr>
        <w:ind w:left="280"/>
        <w:rPr>
          <w:rFonts w:asciiTheme="minorHAnsi" w:hAnsiTheme="minorHAnsi"/>
        </w:rPr>
      </w:pPr>
      <w:r w:rsidRPr="004063FF">
        <w:rPr>
          <w:rFonts w:asciiTheme="minorHAnsi" w:hAnsiTheme="minorHAnsi"/>
        </w:rPr>
        <w:t xml:space="preserve">Other economic flows </w:t>
      </w:r>
      <w:proofErr w:type="gramStart"/>
      <w:r w:rsidRPr="004063FF">
        <w:rPr>
          <w:rFonts w:asciiTheme="minorHAnsi" w:hAnsiTheme="minorHAnsi"/>
        </w:rPr>
        <w:t>are identified</w:t>
      </w:r>
      <w:proofErr w:type="gramEnd"/>
      <w:r w:rsidRPr="004063FF">
        <w:rPr>
          <w:rFonts w:asciiTheme="minorHAnsi" w:hAnsiTheme="minorHAnsi"/>
        </w:rPr>
        <w:t xml:space="preserve"> in Tr</w:t>
      </w:r>
      <w:r w:rsidR="008F72A4">
        <w:rPr>
          <w:rFonts w:asciiTheme="minorHAnsi" w:hAnsiTheme="minorHAnsi"/>
        </w:rPr>
        <w:t>easurer’s Direction</w:t>
      </w:r>
      <w:r w:rsidRPr="004063FF">
        <w:rPr>
          <w:rFonts w:asciiTheme="minorHAnsi" w:hAnsiTheme="minorHAnsi"/>
        </w:rPr>
        <w:t xml:space="preserve"> – Standard Classification Codes: App</w:t>
      </w:r>
      <w:r w:rsidR="00294D13">
        <w:rPr>
          <w:rFonts w:asciiTheme="minorHAnsi" w:hAnsiTheme="minorHAnsi"/>
        </w:rPr>
        <w:t xml:space="preserve">endix A. Other economic flows </w:t>
      </w:r>
      <w:r w:rsidR="00401BA8">
        <w:rPr>
          <w:rFonts w:asciiTheme="minorHAnsi" w:hAnsiTheme="minorHAnsi"/>
        </w:rPr>
        <w:t xml:space="preserve">measure the </w:t>
      </w:r>
      <w:r w:rsidRPr="004063FF">
        <w:rPr>
          <w:rFonts w:asciiTheme="minorHAnsi" w:hAnsiTheme="minorHAnsi"/>
        </w:rPr>
        <w:t>change in the volume or value of a</w:t>
      </w:r>
      <w:r w:rsidR="00986C6D" w:rsidRPr="004063FF">
        <w:rPr>
          <w:rFonts w:asciiTheme="minorHAnsi" w:hAnsiTheme="minorHAnsi"/>
        </w:rPr>
        <w:t>n agency’s</w:t>
      </w:r>
      <w:r w:rsidRPr="004063FF">
        <w:rPr>
          <w:rFonts w:asciiTheme="minorHAnsi" w:hAnsiTheme="minorHAnsi"/>
        </w:rPr>
        <w:t xml:space="preserve"> assets and liabilities</w:t>
      </w:r>
      <w:r w:rsidR="00401BA8">
        <w:rPr>
          <w:rFonts w:asciiTheme="minorHAnsi" w:hAnsiTheme="minorHAnsi"/>
        </w:rPr>
        <w:t xml:space="preserve"> that do not result from transactions</w:t>
      </w:r>
      <w:r w:rsidRPr="004063FF">
        <w:rPr>
          <w:rFonts w:asciiTheme="minorHAnsi" w:hAnsiTheme="minorHAnsi"/>
        </w:rPr>
        <w:t>. Other economic flo</w:t>
      </w:r>
      <w:r w:rsidR="003F737A">
        <w:rPr>
          <w:rFonts w:asciiTheme="minorHAnsi" w:hAnsiTheme="minorHAnsi"/>
        </w:rPr>
        <w:t>ws identified may include but are</w:t>
      </w:r>
      <w:r w:rsidRPr="004063FF">
        <w:rPr>
          <w:rFonts w:asciiTheme="minorHAnsi" w:hAnsiTheme="minorHAnsi"/>
        </w:rPr>
        <w:t xml:space="preserve"> not limited to:</w:t>
      </w:r>
    </w:p>
    <w:p w14:paraId="7CA76928" w14:textId="77777777" w:rsidR="00F63246" w:rsidRPr="004063FF" w:rsidRDefault="00F63246" w:rsidP="00F63246">
      <w:pPr>
        <w:pStyle w:val="ListNumber"/>
        <w:numPr>
          <w:ilvl w:val="0"/>
          <w:numId w:val="17"/>
        </w:numPr>
        <w:rPr>
          <w:rFonts w:asciiTheme="minorHAnsi" w:hAnsiTheme="minorHAnsi"/>
        </w:rPr>
      </w:pPr>
      <w:r w:rsidRPr="004063FF">
        <w:rPr>
          <w:rFonts w:asciiTheme="minorHAnsi" w:hAnsiTheme="minorHAnsi"/>
        </w:rPr>
        <w:t>gain or loss on sale of non-financial assets</w:t>
      </w:r>
    </w:p>
    <w:p w14:paraId="3D7A1FC3" w14:textId="77777777" w:rsidR="00F63246" w:rsidRPr="004063FF" w:rsidRDefault="00F63246" w:rsidP="00F63246">
      <w:pPr>
        <w:pStyle w:val="ListNumber"/>
        <w:numPr>
          <w:ilvl w:val="0"/>
          <w:numId w:val="17"/>
        </w:numPr>
        <w:rPr>
          <w:rFonts w:asciiTheme="minorHAnsi" w:hAnsiTheme="minorHAnsi"/>
        </w:rPr>
      </w:pPr>
      <w:r w:rsidRPr="004063FF">
        <w:rPr>
          <w:rFonts w:asciiTheme="minorHAnsi" w:hAnsiTheme="minorHAnsi"/>
        </w:rPr>
        <w:t>bad and doubtful debt</w:t>
      </w:r>
    </w:p>
    <w:p w14:paraId="11215BFA" w14:textId="77777777" w:rsidR="00F63246" w:rsidRPr="004063FF" w:rsidRDefault="00F63246" w:rsidP="00F63246">
      <w:pPr>
        <w:pStyle w:val="ListNumber"/>
        <w:numPr>
          <w:ilvl w:val="0"/>
          <w:numId w:val="17"/>
        </w:numPr>
        <w:rPr>
          <w:rFonts w:asciiTheme="minorHAnsi" w:hAnsiTheme="minorHAnsi"/>
        </w:rPr>
      </w:pPr>
      <w:r w:rsidRPr="004063FF">
        <w:rPr>
          <w:rFonts w:asciiTheme="minorHAnsi" w:hAnsiTheme="minorHAnsi"/>
        </w:rPr>
        <w:t>write up (down) of inventory</w:t>
      </w:r>
    </w:p>
    <w:p w14:paraId="47D23B05" w14:textId="3641C976" w:rsidR="00F63246" w:rsidRPr="004063FF" w:rsidRDefault="003D4D9B" w:rsidP="00F63246">
      <w:pPr>
        <w:pStyle w:val="ListNumber"/>
        <w:numPr>
          <w:ilvl w:val="0"/>
          <w:numId w:val="17"/>
        </w:numPr>
        <w:rPr>
          <w:rFonts w:asciiTheme="minorHAnsi" w:hAnsiTheme="minorHAnsi"/>
        </w:rPr>
      </w:pPr>
      <w:r>
        <w:rPr>
          <w:rFonts w:asciiTheme="minorHAnsi" w:hAnsiTheme="minorHAnsi"/>
        </w:rPr>
        <w:t>realised or unrealised investments</w:t>
      </w:r>
    </w:p>
    <w:p w14:paraId="32028390" w14:textId="3A0DAC06" w:rsidR="00D73F5C" w:rsidRPr="00353299" w:rsidRDefault="003D4D9B" w:rsidP="00F63246">
      <w:pPr>
        <w:pStyle w:val="ListNumber"/>
        <w:numPr>
          <w:ilvl w:val="0"/>
          <w:numId w:val="0"/>
        </w:numPr>
        <w:ind w:left="284"/>
        <w:rPr>
          <w:rFonts w:asciiTheme="minorHAnsi" w:hAnsiTheme="minorHAnsi"/>
        </w:rPr>
      </w:pPr>
      <w:r>
        <w:rPr>
          <w:rFonts w:asciiTheme="minorHAnsi" w:hAnsiTheme="minorHAnsi"/>
        </w:rPr>
        <w:t>As mentioned above</w:t>
      </w:r>
      <w:r w:rsidR="00FF50EE" w:rsidRPr="00353299">
        <w:rPr>
          <w:rFonts w:asciiTheme="minorHAnsi" w:hAnsiTheme="minorHAnsi"/>
        </w:rPr>
        <w:t>, w</w:t>
      </w:r>
      <w:r w:rsidR="00D73F5C" w:rsidRPr="00353299">
        <w:rPr>
          <w:rFonts w:asciiTheme="minorHAnsi" w:hAnsiTheme="minorHAnsi"/>
        </w:rPr>
        <w:t xml:space="preserve">here a </w:t>
      </w:r>
      <w:r w:rsidR="00FF50EE" w:rsidRPr="00353299">
        <w:rPr>
          <w:rFonts w:asciiTheme="minorHAnsi" w:hAnsiTheme="minorHAnsi"/>
        </w:rPr>
        <w:t>transaction</w:t>
      </w:r>
      <w:r w:rsidR="00D73F5C" w:rsidRPr="00353299">
        <w:rPr>
          <w:rFonts w:asciiTheme="minorHAnsi" w:hAnsiTheme="minorHAnsi"/>
        </w:rPr>
        <w:t xml:space="preserve"> falls within multiple categories,</w:t>
      </w:r>
      <w:r w:rsidR="00FF50EE" w:rsidRPr="00353299">
        <w:rPr>
          <w:rFonts w:asciiTheme="minorHAnsi" w:hAnsiTheme="minorHAnsi"/>
        </w:rPr>
        <w:t xml:space="preserve"> </w:t>
      </w:r>
      <w:r>
        <w:rPr>
          <w:rFonts w:asciiTheme="minorHAnsi" w:hAnsiTheme="minorHAnsi"/>
        </w:rPr>
        <w:t>it must be accounted for once.</w:t>
      </w:r>
      <w:r w:rsidR="00D73F5C" w:rsidRPr="00353299">
        <w:rPr>
          <w:rFonts w:asciiTheme="minorHAnsi" w:hAnsiTheme="minorHAnsi"/>
        </w:rPr>
        <w:t xml:space="preserve"> </w:t>
      </w:r>
    </w:p>
    <w:p w14:paraId="043CF731" w14:textId="0635EC2B" w:rsidR="00F63246" w:rsidRPr="00353299" w:rsidRDefault="000C50B6" w:rsidP="00353299">
      <w:pPr>
        <w:pStyle w:val="ListNumber"/>
        <w:numPr>
          <w:ilvl w:val="0"/>
          <w:numId w:val="0"/>
        </w:numPr>
        <w:ind w:left="280"/>
        <w:rPr>
          <w:rFonts w:asciiTheme="minorHAnsi" w:hAnsiTheme="minorHAnsi"/>
          <w:b/>
          <w:u w:val="single"/>
        </w:rPr>
      </w:pPr>
      <w:r w:rsidRPr="00353299">
        <w:rPr>
          <w:rFonts w:asciiTheme="minorHAnsi" w:hAnsiTheme="minorHAnsi"/>
          <w:b/>
          <w:u w:val="single"/>
        </w:rPr>
        <w:t xml:space="preserve">Investing and financing payment activities </w:t>
      </w:r>
    </w:p>
    <w:p w14:paraId="135C0A2C" w14:textId="3045182D" w:rsidR="000C50B6" w:rsidRPr="004063FF" w:rsidRDefault="000C50B6" w:rsidP="000C50B6">
      <w:pPr>
        <w:pStyle w:val="ListNumber"/>
        <w:numPr>
          <w:ilvl w:val="0"/>
          <w:numId w:val="0"/>
        </w:numPr>
        <w:ind w:left="284"/>
        <w:rPr>
          <w:rFonts w:asciiTheme="minorHAnsi" w:hAnsiTheme="minorHAnsi"/>
        </w:rPr>
      </w:pPr>
      <w:r w:rsidRPr="00353299">
        <w:rPr>
          <w:rFonts w:asciiTheme="minorHAnsi" w:hAnsiTheme="minorHAnsi"/>
          <w:b/>
        </w:rPr>
        <w:t>Purchases of assets</w:t>
      </w:r>
      <w:r w:rsidRPr="004063FF">
        <w:rPr>
          <w:rFonts w:asciiTheme="minorHAnsi" w:hAnsiTheme="minorHAnsi"/>
        </w:rPr>
        <w:t xml:space="preserve"> can be found under investing payments in the APEX</w:t>
      </w:r>
      <w:r w:rsidR="000323D1">
        <w:rPr>
          <w:rStyle w:val="FootnoteReference"/>
          <w:rFonts w:asciiTheme="minorHAnsi" w:hAnsiTheme="minorHAnsi"/>
        </w:rPr>
        <w:t>1</w:t>
      </w:r>
      <w:r w:rsidRPr="004063FF">
        <w:rPr>
          <w:rFonts w:asciiTheme="minorHAnsi" w:hAnsiTheme="minorHAnsi"/>
        </w:rPr>
        <w:t xml:space="preserve"> cash flow statement and largely includes:</w:t>
      </w:r>
    </w:p>
    <w:p w14:paraId="4CFEF939" w14:textId="77777777" w:rsidR="000C50B6" w:rsidRPr="004063FF" w:rsidRDefault="000C50B6" w:rsidP="000C50B6">
      <w:pPr>
        <w:pStyle w:val="ListNumber"/>
        <w:numPr>
          <w:ilvl w:val="0"/>
          <w:numId w:val="17"/>
        </w:numPr>
        <w:rPr>
          <w:rFonts w:asciiTheme="minorHAnsi" w:hAnsiTheme="minorHAnsi"/>
        </w:rPr>
      </w:pPr>
      <w:r w:rsidRPr="004063FF">
        <w:rPr>
          <w:rFonts w:asciiTheme="minorHAnsi" w:hAnsiTheme="minorHAnsi"/>
        </w:rPr>
        <w:t>asset acquisitions</w:t>
      </w:r>
    </w:p>
    <w:p w14:paraId="6CABE53C" w14:textId="77777777" w:rsidR="000C50B6" w:rsidRPr="004063FF" w:rsidRDefault="000C50B6" w:rsidP="000C50B6">
      <w:pPr>
        <w:pStyle w:val="ListNumber"/>
        <w:numPr>
          <w:ilvl w:val="0"/>
          <w:numId w:val="17"/>
        </w:numPr>
        <w:rPr>
          <w:rFonts w:asciiTheme="minorHAnsi" w:hAnsiTheme="minorHAnsi"/>
        </w:rPr>
      </w:pPr>
      <w:proofErr w:type="gramStart"/>
      <w:r w:rsidRPr="004063FF">
        <w:rPr>
          <w:rFonts w:asciiTheme="minorHAnsi" w:hAnsiTheme="minorHAnsi"/>
        </w:rPr>
        <w:t>capitalised</w:t>
      </w:r>
      <w:proofErr w:type="gramEnd"/>
      <w:r w:rsidRPr="004063FF">
        <w:rPr>
          <w:rFonts w:asciiTheme="minorHAnsi" w:hAnsiTheme="minorHAnsi"/>
        </w:rPr>
        <w:t xml:space="preserve"> expenditure.</w:t>
      </w:r>
    </w:p>
    <w:p w14:paraId="19860D5C" w14:textId="1283C8F8" w:rsidR="000C50B6" w:rsidRPr="00353299" w:rsidRDefault="000C50B6" w:rsidP="000C50B6">
      <w:pPr>
        <w:pStyle w:val="ListNumber"/>
        <w:numPr>
          <w:ilvl w:val="0"/>
          <w:numId w:val="0"/>
        </w:numPr>
        <w:ind w:left="284"/>
        <w:rPr>
          <w:rFonts w:asciiTheme="minorHAnsi" w:hAnsiTheme="minorHAnsi"/>
        </w:rPr>
      </w:pPr>
      <w:r w:rsidRPr="00353299">
        <w:rPr>
          <w:rFonts w:asciiTheme="minorHAnsi" w:hAnsiTheme="minorHAnsi"/>
        </w:rPr>
        <w:t xml:space="preserve">For Department of Infrastructure, Planning and Logistics, variations relating to Territory Government funded capital works projects </w:t>
      </w:r>
      <w:proofErr w:type="gramStart"/>
      <w:r w:rsidRPr="00353299">
        <w:rPr>
          <w:rFonts w:asciiTheme="minorHAnsi" w:hAnsiTheme="minorHAnsi"/>
        </w:rPr>
        <w:t>are excluded</w:t>
      </w:r>
      <w:proofErr w:type="gramEnd"/>
      <w:r w:rsidRPr="00353299">
        <w:rPr>
          <w:rFonts w:asciiTheme="minorHAnsi" w:hAnsiTheme="minorHAnsi"/>
        </w:rPr>
        <w:t xml:space="preserve"> from the</w:t>
      </w:r>
      <w:r w:rsidR="00C6596B" w:rsidRPr="00353299">
        <w:rPr>
          <w:rFonts w:asciiTheme="minorHAnsi" w:hAnsiTheme="minorHAnsi"/>
        </w:rPr>
        <w:t xml:space="preserve"> agency’s</w:t>
      </w:r>
      <w:r w:rsidRPr="00353299">
        <w:rPr>
          <w:rFonts w:asciiTheme="minorHAnsi" w:hAnsiTheme="minorHAnsi"/>
        </w:rPr>
        <w:t xml:space="preserve"> purchases of assets. These </w:t>
      </w:r>
      <w:proofErr w:type="gramStart"/>
      <w:r w:rsidRPr="00353299">
        <w:rPr>
          <w:rFonts w:asciiTheme="minorHAnsi" w:hAnsiTheme="minorHAnsi"/>
        </w:rPr>
        <w:t>are separately addressed</w:t>
      </w:r>
      <w:proofErr w:type="gramEnd"/>
      <w:r w:rsidRPr="00353299">
        <w:rPr>
          <w:rFonts w:asciiTheme="minorHAnsi" w:hAnsiTheme="minorHAnsi"/>
        </w:rPr>
        <w:t xml:space="preserve"> through the budget development process.</w:t>
      </w:r>
    </w:p>
    <w:p w14:paraId="750D3BA5" w14:textId="499BD269" w:rsidR="000C50B6" w:rsidRPr="00353299" w:rsidRDefault="000C50B6" w:rsidP="000C5D62">
      <w:pPr>
        <w:pStyle w:val="ListNumber"/>
        <w:numPr>
          <w:ilvl w:val="0"/>
          <w:numId w:val="0"/>
        </w:numPr>
        <w:ind w:left="284"/>
        <w:rPr>
          <w:rFonts w:asciiTheme="minorHAnsi" w:hAnsiTheme="minorHAnsi"/>
          <w:b/>
        </w:rPr>
      </w:pPr>
      <w:r w:rsidRPr="00353299">
        <w:rPr>
          <w:rFonts w:asciiTheme="minorHAnsi" w:hAnsiTheme="minorHAnsi"/>
          <w:b/>
        </w:rPr>
        <w:t>Advances and investing payments</w:t>
      </w:r>
    </w:p>
    <w:p w14:paraId="23D22A3F" w14:textId="13682B93" w:rsidR="00C6596B" w:rsidRPr="004063FF" w:rsidRDefault="005E3404" w:rsidP="000C5D62">
      <w:pPr>
        <w:pStyle w:val="ListNumber"/>
        <w:numPr>
          <w:ilvl w:val="0"/>
          <w:numId w:val="0"/>
        </w:numPr>
        <w:ind w:left="284"/>
        <w:rPr>
          <w:rFonts w:asciiTheme="minorHAnsi" w:hAnsiTheme="minorHAnsi"/>
        </w:rPr>
      </w:pPr>
      <w:r>
        <w:rPr>
          <w:rFonts w:asciiTheme="minorHAnsi" w:hAnsiTheme="minorHAnsi"/>
        </w:rPr>
        <w:t xml:space="preserve">Advances and investing payments </w:t>
      </w:r>
      <w:r w:rsidR="00DC5A7B" w:rsidRPr="004063FF">
        <w:rPr>
          <w:rFonts w:asciiTheme="minorHAnsi" w:hAnsiTheme="minorHAnsi"/>
        </w:rPr>
        <w:t xml:space="preserve">include investments in financial assets with the aim of funding particular enterprise, household and government activities. It also includes loans, advances paid, and the purchase of investment property. </w:t>
      </w:r>
    </w:p>
    <w:p w14:paraId="6E2A9E3F" w14:textId="320C47DC" w:rsidR="005E3404" w:rsidRDefault="00DC5A7B" w:rsidP="000C5D62">
      <w:pPr>
        <w:pStyle w:val="ListNumber"/>
        <w:numPr>
          <w:ilvl w:val="0"/>
          <w:numId w:val="0"/>
        </w:numPr>
        <w:ind w:left="284"/>
        <w:rPr>
          <w:rFonts w:asciiTheme="minorHAnsi" w:hAnsiTheme="minorHAnsi"/>
        </w:rPr>
      </w:pPr>
      <w:r w:rsidRPr="004063FF">
        <w:rPr>
          <w:rFonts w:asciiTheme="minorHAnsi" w:hAnsiTheme="minorHAnsi"/>
        </w:rPr>
        <w:t xml:space="preserve">Advances and investing payments </w:t>
      </w:r>
      <w:proofErr w:type="gramStart"/>
      <w:r w:rsidRPr="004063FF">
        <w:rPr>
          <w:rFonts w:asciiTheme="minorHAnsi" w:hAnsiTheme="minorHAnsi"/>
        </w:rPr>
        <w:t>can be found</w:t>
      </w:r>
      <w:proofErr w:type="gramEnd"/>
      <w:r w:rsidRPr="004063FF">
        <w:rPr>
          <w:rFonts w:asciiTheme="minorHAnsi" w:hAnsiTheme="minorHAnsi"/>
        </w:rPr>
        <w:t xml:space="preserve"> under investing payments in the APEX</w:t>
      </w:r>
      <w:r w:rsidRPr="00353299">
        <w:rPr>
          <w:rStyle w:val="FootnoteReference"/>
          <w:rFonts w:asciiTheme="minorHAnsi" w:hAnsiTheme="minorHAnsi"/>
        </w:rPr>
        <w:footnoteReference w:id="3"/>
      </w:r>
      <w:r w:rsidRPr="004063FF">
        <w:rPr>
          <w:rFonts w:asciiTheme="minorHAnsi" w:hAnsiTheme="minorHAnsi"/>
        </w:rPr>
        <w:t xml:space="preserve"> cash flow statement.  Not all advances and investing payments are included when calculating the final budget outcome. </w:t>
      </w:r>
      <w:r w:rsidR="005E3404">
        <w:rPr>
          <w:rFonts w:asciiTheme="minorHAnsi" w:hAnsiTheme="minorHAnsi"/>
        </w:rPr>
        <w:t xml:space="preserve">Generally, if an agency received appropriation or external funding to support an advance or investing payment, the payment is included when calculating the final budget outcome. This is because </w:t>
      </w:r>
      <w:r w:rsidR="005E4B4E">
        <w:rPr>
          <w:rFonts w:asciiTheme="minorHAnsi" w:hAnsiTheme="minorHAnsi"/>
        </w:rPr>
        <w:t xml:space="preserve">funding received </w:t>
      </w:r>
      <w:proofErr w:type="gramStart"/>
      <w:r w:rsidR="005E4B4E">
        <w:rPr>
          <w:rFonts w:asciiTheme="minorHAnsi" w:hAnsiTheme="minorHAnsi"/>
        </w:rPr>
        <w:t>is</w:t>
      </w:r>
      <w:r w:rsidR="005E3404">
        <w:rPr>
          <w:rFonts w:asciiTheme="minorHAnsi" w:hAnsiTheme="minorHAnsi"/>
        </w:rPr>
        <w:t xml:space="preserve"> recorded</w:t>
      </w:r>
      <w:proofErr w:type="gramEnd"/>
      <w:r w:rsidR="005E3404">
        <w:rPr>
          <w:rFonts w:asciiTheme="minorHAnsi" w:hAnsiTheme="minorHAnsi"/>
        </w:rPr>
        <w:t xml:space="preserve"> in the operating result; however, the corresponding expenditure is reflected in the </w:t>
      </w:r>
      <w:r w:rsidR="005E4B4E">
        <w:rPr>
          <w:rFonts w:asciiTheme="minorHAnsi" w:hAnsiTheme="minorHAnsi"/>
        </w:rPr>
        <w:t>cash flow</w:t>
      </w:r>
      <w:r w:rsidR="005E3404">
        <w:rPr>
          <w:rFonts w:asciiTheme="minorHAnsi" w:hAnsiTheme="minorHAnsi"/>
        </w:rPr>
        <w:t xml:space="preserve"> statement.  </w:t>
      </w:r>
    </w:p>
    <w:p w14:paraId="0E96B543" w14:textId="12858F44" w:rsidR="005E3404" w:rsidRDefault="005E3404" w:rsidP="000C5D62">
      <w:pPr>
        <w:pStyle w:val="ListNumber"/>
        <w:numPr>
          <w:ilvl w:val="0"/>
          <w:numId w:val="0"/>
        </w:numPr>
        <w:ind w:left="284"/>
        <w:rPr>
          <w:rFonts w:asciiTheme="minorHAnsi" w:hAnsiTheme="minorHAnsi"/>
        </w:rPr>
      </w:pPr>
      <w:r>
        <w:rPr>
          <w:rFonts w:asciiTheme="minorHAnsi" w:hAnsiTheme="minorHAnsi"/>
        </w:rPr>
        <w:t xml:space="preserve">On the other hand, if an agency receives an equity injection to fund an advance or investing payment, this payment </w:t>
      </w:r>
      <w:proofErr w:type="gramStart"/>
      <w:r>
        <w:rPr>
          <w:rFonts w:asciiTheme="minorHAnsi" w:hAnsiTheme="minorHAnsi"/>
        </w:rPr>
        <w:t>is excluded</w:t>
      </w:r>
      <w:proofErr w:type="gramEnd"/>
      <w:r>
        <w:rPr>
          <w:rFonts w:asciiTheme="minorHAnsi" w:hAnsiTheme="minorHAnsi"/>
        </w:rPr>
        <w:t xml:space="preserve"> from the final budget outcome calculation. This is because </w:t>
      </w:r>
      <w:r w:rsidR="008F72A4">
        <w:rPr>
          <w:rFonts w:asciiTheme="minorHAnsi" w:hAnsiTheme="minorHAnsi"/>
        </w:rPr>
        <w:t xml:space="preserve">no income </w:t>
      </w:r>
      <w:proofErr w:type="gramStart"/>
      <w:r w:rsidR="008F72A4">
        <w:rPr>
          <w:rFonts w:asciiTheme="minorHAnsi" w:hAnsiTheme="minorHAnsi"/>
        </w:rPr>
        <w:t>is recorded</w:t>
      </w:r>
      <w:proofErr w:type="gramEnd"/>
      <w:r w:rsidR="008F72A4">
        <w:rPr>
          <w:rFonts w:asciiTheme="minorHAnsi" w:hAnsiTheme="minorHAnsi"/>
        </w:rPr>
        <w:t xml:space="preserve"> in the </w:t>
      </w:r>
      <w:r>
        <w:rPr>
          <w:rFonts w:asciiTheme="minorHAnsi" w:hAnsiTheme="minorHAnsi"/>
        </w:rPr>
        <w:t xml:space="preserve">operating result for the transaction and as </w:t>
      </w:r>
      <w:r w:rsidR="006B3095">
        <w:rPr>
          <w:rFonts w:asciiTheme="minorHAnsi" w:hAnsiTheme="minorHAnsi"/>
        </w:rPr>
        <w:t>such,</w:t>
      </w:r>
      <w:r>
        <w:rPr>
          <w:rFonts w:asciiTheme="minorHAnsi" w:hAnsiTheme="minorHAnsi"/>
        </w:rPr>
        <w:t xml:space="preserve"> corresponding expenditure should be excluded.</w:t>
      </w:r>
    </w:p>
    <w:p w14:paraId="784A77CF" w14:textId="07520F6A" w:rsidR="00DC5A7B" w:rsidRPr="004063FF" w:rsidRDefault="00DC5A7B" w:rsidP="000C5D62">
      <w:pPr>
        <w:pStyle w:val="ListNumber"/>
        <w:numPr>
          <w:ilvl w:val="0"/>
          <w:numId w:val="0"/>
        </w:numPr>
        <w:ind w:left="284"/>
        <w:rPr>
          <w:rFonts w:asciiTheme="minorHAnsi" w:hAnsiTheme="minorHAnsi"/>
        </w:rPr>
      </w:pPr>
      <w:r w:rsidRPr="004063FF">
        <w:rPr>
          <w:rFonts w:asciiTheme="minorHAnsi" w:hAnsiTheme="minorHAnsi"/>
        </w:rPr>
        <w:t>Agencies should liaise with the Department of Treasury and Finance to determine</w:t>
      </w:r>
      <w:r w:rsidR="00127F66">
        <w:rPr>
          <w:rFonts w:asciiTheme="minorHAnsi" w:hAnsiTheme="minorHAnsi"/>
        </w:rPr>
        <w:t xml:space="preserve"> which</w:t>
      </w:r>
      <w:r w:rsidR="00902F24" w:rsidRPr="004063FF">
        <w:rPr>
          <w:rFonts w:asciiTheme="minorHAnsi" w:hAnsiTheme="minorHAnsi"/>
        </w:rPr>
        <w:t xml:space="preserve"> payments</w:t>
      </w:r>
      <w:r w:rsidR="00127F66">
        <w:rPr>
          <w:rFonts w:asciiTheme="minorHAnsi" w:hAnsiTheme="minorHAnsi"/>
        </w:rPr>
        <w:t xml:space="preserve"> for advances or investments </w:t>
      </w:r>
      <w:r w:rsidR="00902F24" w:rsidRPr="004063FF">
        <w:rPr>
          <w:rFonts w:asciiTheme="minorHAnsi" w:hAnsiTheme="minorHAnsi"/>
        </w:rPr>
        <w:t xml:space="preserve">may be included or excluded </w:t>
      </w:r>
      <w:r w:rsidR="001A72DF">
        <w:rPr>
          <w:rFonts w:asciiTheme="minorHAnsi" w:hAnsiTheme="minorHAnsi"/>
        </w:rPr>
        <w:t xml:space="preserve">when calculating the final budget outcome. </w:t>
      </w:r>
    </w:p>
    <w:p w14:paraId="4F081BFB" w14:textId="6B19950F" w:rsidR="000C50B6" w:rsidRPr="004063FF" w:rsidRDefault="000C50B6" w:rsidP="000C5D62">
      <w:pPr>
        <w:pStyle w:val="ListNumber"/>
        <w:numPr>
          <w:ilvl w:val="0"/>
          <w:numId w:val="0"/>
        </w:numPr>
        <w:ind w:left="284"/>
        <w:rPr>
          <w:rFonts w:asciiTheme="minorHAnsi" w:hAnsiTheme="minorHAnsi"/>
          <w:b/>
        </w:rPr>
      </w:pPr>
      <w:r w:rsidRPr="00353299">
        <w:rPr>
          <w:rFonts w:asciiTheme="minorHAnsi" w:hAnsiTheme="minorHAnsi"/>
          <w:b/>
        </w:rPr>
        <w:t>Lease payment</w:t>
      </w:r>
    </w:p>
    <w:p w14:paraId="4F785B2E" w14:textId="7065A5D7" w:rsidR="00902F24" w:rsidRPr="004063FF" w:rsidRDefault="00C2257D" w:rsidP="000C5D62">
      <w:pPr>
        <w:pStyle w:val="ListNumber"/>
        <w:numPr>
          <w:ilvl w:val="0"/>
          <w:numId w:val="0"/>
        </w:numPr>
        <w:ind w:left="284"/>
        <w:rPr>
          <w:rFonts w:asciiTheme="minorHAnsi" w:hAnsiTheme="minorHAnsi"/>
        </w:rPr>
      </w:pPr>
      <w:r>
        <w:rPr>
          <w:rFonts w:asciiTheme="minorHAnsi" w:hAnsiTheme="minorHAnsi"/>
        </w:rPr>
        <w:t xml:space="preserve">Lease payments </w:t>
      </w:r>
      <w:r w:rsidR="00F133D6" w:rsidRPr="00353299">
        <w:rPr>
          <w:rFonts w:asciiTheme="minorHAnsi" w:hAnsiTheme="minorHAnsi"/>
        </w:rPr>
        <w:t>are the principal component of lease repayments</w:t>
      </w:r>
      <w:r w:rsidR="00F133D6" w:rsidRPr="004063FF">
        <w:rPr>
          <w:rFonts w:asciiTheme="minorHAnsi" w:hAnsiTheme="minorHAnsi"/>
        </w:rPr>
        <w:t xml:space="preserve">. </w:t>
      </w:r>
      <w:r w:rsidR="001D1505" w:rsidRPr="004063FF">
        <w:rPr>
          <w:rFonts w:asciiTheme="minorHAnsi" w:hAnsiTheme="minorHAnsi"/>
        </w:rPr>
        <w:t>Le</w:t>
      </w:r>
      <w:r w:rsidR="007C7631" w:rsidRPr="004063FF">
        <w:rPr>
          <w:rFonts w:asciiTheme="minorHAnsi" w:hAnsiTheme="minorHAnsi"/>
        </w:rPr>
        <w:t xml:space="preserve">ase payments are located </w:t>
      </w:r>
      <w:r w:rsidR="001D1505" w:rsidRPr="004063FF">
        <w:rPr>
          <w:rFonts w:asciiTheme="minorHAnsi" w:hAnsiTheme="minorHAnsi"/>
        </w:rPr>
        <w:t xml:space="preserve">under financing payments in the </w:t>
      </w:r>
      <w:r w:rsidR="001D1505" w:rsidRPr="00353299">
        <w:rPr>
          <w:rFonts w:asciiTheme="minorHAnsi" w:hAnsiTheme="minorHAnsi"/>
        </w:rPr>
        <w:t>APEX</w:t>
      </w:r>
      <w:r w:rsidR="005C6C65">
        <w:rPr>
          <w:rStyle w:val="FootnoteReference"/>
        </w:rPr>
        <w:t>1</w:t>
      </w:r>
      <w:r w:rsidR="001D1505" w:rsidRPr="004063FF">
        <w:rPr>
          <w:rFonts w:asciiTheme="minorHAnsi" w:hAnsiTheme="minorHAnsi"/>
        </w:rPr>
        <w:t xml:space="preserve"> cash flow statement. </w:t>
      </w:r>
      <w:r>
        <w:rPr>
          <w:rFonts w:asciiTheme="minorHAnsi" w:hAnsiTheme="minorHAnsi"/>
        </w:rPr>
        <w:t xml:space="preserve">Lease payments </w:t>
      </w:r>
      <w:r w:rsidR="008E378B" w:rsidRPr="004063FF">
        <w:rPr>
          <w:rFonts w:asciiTheme="minorHAnsi" w:hAnsiTheme="minorHAnsi"/>
        </w:rPr>
        <w:t>are included in the final budget outcome</w:t>
      </w:r>
      <w:r w:rsidR="007C7631" w:rsidRPr="004063FF">
        <w:rPr>
          <w:rFonts w:asciiTheme="minorHAnsi" w:hAnsiTheme="minorHAnsi"/>
        </w:rPr>
        <w:t xml:space="preserve"> because they </w:t>
      </w:r>
      <w:proofErr w:type="gramStart"/>
      <w:r w:rsidR="007C7631" w:rsidRPr="004063FF">
        <w:rPr>
          <w:rFonts w:asciiTheme="minorHAnsi" w:hAnsiTheme="minorHAnsi"/>
        </w:rPr>
        <w:t>are generally funded</w:t>
      </w:r>
      <w:proofErr w:type="gramEnd"/>
      <w:r w:rsidR="007C7631" w:rsidRPr="004063FF">
        <w:rPr>
          <w:rFonts w:asciiTheme="minorHAnsi" w:hAnsiTheme="minorHAnsi"/>
        </w:rPr>
        <w:t xml:space="preserve"> t</w:t>
      </w:r>
      <w:r w:rsidR="008E378B" w:rsidRPr="004063FF">
        <w:rPr>
          <w:rFonts w:asciiTheme="minorHAnsi" w:hAnsiTheme="minorHAnsi"/>
        </w:rPr>
        <w:t xml:space="preserve">hrough output </w:t>
      </w:r>
      <w:r w:rsidR="007C7631" w:rsidRPr="004063FF">
        <w:rPr>
          <w:rFonts w:asciiTheme="minorHAnsi" w:hAnsiTheme="minorHAnsi"/>
        </w:rPr>
        <w:t>appropriation</w:t>
      </w:r>
      <w:r w:rsidR="008D549A" w:rsidRPr="004063FF">
        <w:rPr>
          <w:rFonts w:asciiTheme="minorHAnsi" w:hAnsiTheme="minorHAnsi"/>
        </w:rPr>
        <w:t>,</w:t>
      </w:r>
      <w:r w:rsidR="007C7631" w:rsidRPr="004063FF">
        <w:rPr>
          <w:rFonts w:asciiTheme="minorHAnsi" w:hAnsiTheme="minorHAnsi"/>
        </w:rPr>
        <w:t xml:space="preserve"> which is included in the operating result.</w:t>
      </w:r>
    </w:p>
    <w:p w14:paraId="7F4BA7E3" w14:textId="4AAC3FDB" w:rsidR="00E750DA" w:rsidRPr="00353299" w:rsidRDefault="00E750DA" w:rsidP="000C5D62">
      <w:pPr>
        <w:pStyle w:val="ListNumber"/>
        <w:numPr>
          <w:ilvl w:val="0"/>
          <w:numId w:val="0"/>
        </w:numPr>
        <w:ind w:left="284"/>
        <w:rPr>
          <w:rFonts w:asciiTheme="minorHAnsi" w:hAnsiTheme="minorHAnsi"/>
          <w:b/>
        </w:rPr>
      </w:pPr>
      <w:r w:rsidRPr="00353299">
        <w:rPr>
          <w:rFonts w:asciiTheme="minorHAnsi" w:hAnsiTheme="minorHAnsi"/>
          <w:b/>
        </w:rPr>
        <w:t>Service concession liability</w:t>
      </w:r>
    </w:p>
    <w:p w14:paraId="7B731EA8" w14:textId="68475974" w:rsidR="007C7631" w:rsidRPr="004063FF" w:rsidRDefault="008A4B69" w:rsidP="007C7631">
      <w:pPr>
        <w:pStyle w:val="ListNumber"/>
        <w:numPr>
          <w:ilvl w:val="0"/>
          <w:numId w:val="0"/>
        </w:numPr>
        <w:ind w:left="284"/>
        <w:rPr>
          <w:rFonts w:asciiTheme="minorHAnsi" w:hAnsiTheme="minorHAnsi"/>
        </w:rPr>
      </w:pPr>
      <w:r>
        <w:rPr>
          <w:rFonts w:asciiTheme="minorHAnsi" w:hAnsiTheme="minorHAnsi"/>
        </w:rPr>
        <w:t>Service concession liability is</w:t>
      </w:r>
      <w:r w:rsidR="00F231C1" w:rsidRPr="004063FF">
        <w:rPr>
          <w:rFonts w:asciiTheme="minorHAnsi" w:hAnsiTheme="minorHAnsi"/>
        </w:rPr>
        <w:t xml:space="preserve"> the principal component of service concession repayments. Service concession liability</w:t>
      </w:r>
      <w:r>
        <w:rPr>
          <w:rFonts w:asciiTheme="minorHAnsi" w:hAnsiTheme="minorHAnsi"/>
        </w:rPr>
        <w:t xml:space="preserve"> is</w:t>
      </w:r>
      <w:r w:rsidR="007C7631" w:rsidRPr="004063FF">
        <w:rPr>
          <w:rFonts w:asciiTheme="minorHAnsi" w:hAnsiTheme="minorHAnsi"/>
        </w:rPr>
        <w:t xml:space="preserve"> located under financing payment</w:t>
      </w:r>
      <w:r w:rsidR="00F231C1" w:rsidRPr="004063FF">
        <w:rPr>
          <w:rFonts w:asciiTheme="minorHAnsi" w:hAnsiTheme="minorHAnsi"/>
        </w:rPr>
        <w:t xml:space="preserve"> </w:t>
      </w:r>
      <w:r w:rsidR="007C7631" w:rsidRPr="004063FF">
        <w:rPr>
          <w:rFonts w:asciiTheme="minorHAnsi" w:hAnsiTheme="minorHAnsi"/>
        </w:rPr>
        <w:t>in the APEX</w:t>
      </w:r>
      <w:r w:rsidR="005C6C65">
        <w:rPr>
          <w:rStyle w:val="FootnoteReference"/>
        </w:rPr>
        <w:t>1</w:t>
      </w:r>
      <w:r w:rsidR="007C7631" w:rsidRPr="004063FF">
        <w:rPr>
          <w:rFonts w:asciiTheme="minorHAnsi" w:hAnsiTheme="minorHAnsi"/>
        </w:rPr>
        <w:t xml:space="preserve"> cash flow statement. These are included in the final budget outcome because they </w:t>
      </w:r>
      <w:proofErr w:type="gramStart"/>
      <w:r w:rsidR="007C7631" w:rsidRPr="004063FF">
        <w:rPr>
          <w:rFonts w:asciiTheme="minorHAnsi" w:hAnsiTheme="minorHAnsi"/>
        </w:rPr>
        <w:t>are generally funded</w:t>
      </w:r>
      <w:proofErr w:type="gramEnd"/>
      <w:r w:rsidR="007C7631" w:rsidRPr="004063FF">
        <w:rPr>
          <w:rFonts w:asciiTheme="minorHAnsi" w:hAnsiTheme="minorHAnsi"/>
        </w:rPr>
        <w:t xml:space="preserve"> through output appropriation</w:t>
      </w:r>
      <w:r w:rsidR="008D549A" w:rsidRPr="004063FF">
        <w:rPr>
          <w:rFonts w:asciiTheme="minorHAnsi" w:hAnsiTheme="minorHAnsi"/>
        </w:rPr>
        <w:t>,</w:t>
      </w:r>
      <w:r w:rsidR="007C7631" w:rsidRPr="004063FF">
        <w:rPr>
          <w:rFonts w:asciiTheme="minorHAnsi" w:hAnsiTheme="minorHAnsi"/>
        </w:rPr>
        <w:t xml:space="preserve"> which is included in the operating result.</w:t>
      </w:r>
    </w:p>
    <w:p w14:paraId="240A120B" w14:textId="03ABA765" w:rsidR="008D549A" w:rsidRPr="00353299" w:rsidRDefault="008D549A" w:rsidP="008D549A">
      <w:pPr>
        <w:pStyle w:val="ListNumber"/>
        <w:numPr>
          <w:ilvl w:val="0"/>
          <w:numId w:val="0"/>
        </w:numPr>
        <w:ind w:left="284"/>
        <w:rPr>
          <w:rFonts w:asciiTheme="minorHAnsi" w:hAnsiTheme="minorHAnsi"/>
          <w:b/>
        </w:rPr>
      </w:pPr>
      <w:r w:rsidRPr="00353299">
        <w:rPr>
          <w:rFonts w:asciiTheme="minorHAnsi" w:hAnsiTheme="minorHAnsi"/>
          <w:b/>
        </w:rPr>
        <w:t>Eligible Treasurer’s Advance expense absorbed from within existing resources</w:t>
      </w:r>
    </w:p>
    <w:p w14:paraId="3162FCCC" w14:textId="642CA870" w:rsidR="008D549A" w:rsidRDefault="005B763F" w:rsidP="008D549A">
      <w:pPr>
        <w:pStyle w:val="ListNumber"/>
        <w:numPr>
          <w:ilvl w:val="0"/>
          <w:numId w:val="0"/>
        </w:numPr>
        <w:ind w:left="284"/>
        <w:rPr>
          <w:rFonts w:asciiTheme="minorHAnsi" w:hAnsiTheme="minorHAnsi"/>
        </w:rPr>
      </w:pPr>
      <w:r w:rsidRPr="004063FF">
        <w:rPr>
          <w:rFonts w:asciiTheme="minorHAnsi" w:hAnsiTheme="minorHAnsi"/>
        </w:rPr>
        <w:t xml:space="preserve">Expenses, </w:t>
      </w:r>
      <w:proofErr w:type="gramStart"/>
      <w:r w:rsidRPr="004063FF">
        <w:rPr>
          <w:rFonts w:asciiTheme="minorHAnsi" w:hAnsiTheme="minorHAnsi"/>
        </w:rPr>
        <w:t>which</w:t>
      </w:r>
      <w:r w:rsidR="008D549A" w:rsidRPr="004063FF">
        <w:rPr>
          <w:rFonts w:asciiTheme="minorHAnsi" w:hAnsiTheme="minorHAnsi"/>
        </w:rPr>
        <w:t xml:space="preserve"> would have been eligible for a Treasurer’s Advance but were absorbed from within agency’s existing </w:t>
      </w:r>
      <w:r w:rsidR="004A662B" w:rsidRPr="004063FF">
        <w:rPr>
          <w:rFonts w:asciiTheme="minorHAnsi" w:hAnsiTheme="minorHAnsi"/>
        </w:rPr>
        <w:t>resources,</w:t>
      </w:r>
      <w:proofErr w:type="gramEnd"/>
      <w:r w:rsidR="008D549A" w:rsidRPr="004063FF">
        <w:rPr>
          <w:rFonts w:asciiTheme="minorHAnsi" w:hAnsiTheme="minorHAnsi"/>
        </w:rPr>
        <w:t xml:space="preserve"> are excluded from the final budget outcome.</w:t>
      </w:r>
      <w:r w:rsidRPr="004063FF">
        <w:rPr>
          <w:rFonts w:asciiTheme="minorHAnsi" w:hAnsiTheme="minorHAnsi"/>
        </w:rPr>
        <w:t xml:space="preserve"> This </w:t>
      </w:r>
      <w:proofErr w:type="gramStart"/>
      <w:r w:rsidRPr="004063FF">
        <w:rPr>
          <w:rFonts w:asciiTheme="minorHAnsi" w:hAnsiTheme="minorHAnsi"/>
        </w:rPr>
        <w:t>is done</w:t>
      </w:r>
      <w:proofErr w:type="gramEnd"/>
      <w:r w:rsidRPr="004063FF">
        <w:rPr>
          <w:rFonts w:asciiTheme="minorHAnsi" w:hAnsiTheme="minorHAnsi"/>
        </w:rPr>
        <w:t xml:space="preserve"> so that an</w:t>
      </w:r>
      <w:r w:rsidR="008D549A" w:rsidRPr="004063FF">
        <w:rPr>
          <w:rFonts w:asciiTheme="minorHAnsi" w:hAnsiTheme="minorHAnsi"/>
        </w:rPr>
        <w:t xml:space="preserve"> agency is not penalised for absorbing costs they would have been eligible to receive additional appropriation for.</w:t>
      </w:r>
    </w:p>
    <w:p w14:paraId="6860CF68" w14:textId="5F6CBB52" w:rsidR="004A662B" w:rsidRPr="00A24634" w:rsidRDefault="004A662B" w:rsidP="004A662B">
      <w:pPr>
        <w:pStyle w:val="Heading4"/>
        <w:ind w:left="280"/>
        <w:rPr>
          <w:rFonts w:asciiTheme="minorHAnsi" w:hAnsiTheme="minorHAnsi"/>
        </w:rPr>
      </w:pPr>
      <w:r w:rsidRPr="00A24634">
        <w:rPr>
          <w:rFonts w:asciiTheme="minorHAnsi" w:hAnsiTheme="minorHAnsi"/>
        </w:rPr>
        <w:t>Example 1. Calculating an agency</w:t>
      </w:r>
      <w:r w:rsidR="008F72A4">
        <w:rPr>
          <w:rFonts w:asciiTheme="minorHAnsi" w:hAnsiTheme="minorHAnsi"/>
        </w:rPr>
        <w:t>’s</w:t>
      </w:r>
      <w:r w:rsidRPr="00A24634">
        <w:rPr>
          <w:rFonts w:asciiTheme="minorHAnsi" w:hAnsiTheme="minorHAnsi"/>
        </w:rPr>
        <w:t xml:space="preserve"> final budget outcome</w:t>
      </w:r>
    </w:p>
    <w:p w14:paraId="6501CA2E" w14:textId="1EB0661D" w:rsidR="004A662B" w:rsidRPr="00A24634" w:rsidRDefault="004A662B" w:rsidP="004A662B">
      <w:pPr>
        <w:pStyle w:val="ListNumber"/>
        <w:numPr>
          <w:ilvl w:val="0"/>
          <w:numId w:val="0"/>
        </w:numPr>
        <w:ind w:left="284"/>
        <w:rPr>
          <w:rFonts w:asciiTheme="minorHAnsi" w:hAnsiTheme="minorHAnsi"/>
        </w:rPr>
      </w:pPr>
      <w:r w:rsidRPr="00A24634">
        <w:rPr>
          <w:rFonts w:asciiTheme="minorHAnsi" w:hAnsiTheme="minorHAnsi"/>
        </w:rPr>
        <w:t xml:space="preserve">Agency </w:t>
      </w:r>
      <w:r w:rsidR="008F72A4" w:rsidRPr="00A24634">
        <w:rPr>
          <w:rFonts w:asciiTheme="minorHAnsi" w:hAnsiTheme="minorHAnsi"/>
        </w:rPr>
        <w:t>A</w:t>
      </w:r>
      <w:r w:rsidR="008F72A4">
        <w:rPr>
          <w:rFonts w:asciiTheme="minorHAnsi" w:hAnsiTheme="minorHAnsi"/>
        </w:rPr>
        <w:t xml:space="preserve"> wants</w:t>
      </w:r>
      <w:r w:rsidR="003B3E8D">
        <w:rPr>
          <w:rFonts w:asciiTheme="minorHAnsi" w:hAnsiTheme="minorHAnsi"/>
        </w:rPr>
        <w:t xml:space="preserve"> to submit</w:t>
      </w:r>
      <w:r w:rsidRPr="00A24634">
        <w:rPr>
          <w:rFonts w:asciiTheme="minorHAnsi" w:hAnsiTheme="minorHAnsi"/>
        </w:rPr>
        <w:t xml:space="preserve"> a request to carryover external funds of $5 million.</w:t>
      </w:r>
    </w:p>
    <w:p w14:paraId="10B63B27" w14:textId="4E104055" w:rsidR="004A662B" w:rsidRDefault="004A662B" w:rsidP="004A662B">
      <w:pPr>
        <w:pStyle w:val="ListNumber"/>
        <w:numPr>
          <w:ilvl w:val="0"/>
          <w:numId w:val="0"/>
        </w:numPr>
        <w:ind w:left="284"/>
        <w:rPr>
          <w:rFonts w:asciiTheme="minorHAnsi" w:hAnsiTheme="minorHAnsi"/>
        </w:rPr>
      </w:pPr>
      <w:r w:rsidRPr="00A24634">
        <w:rPr>
          <w:rFonts w:asciiTheme="minorHAnsi" w:hAnsiTheme="minorHAnsi"/>
        </w:rPr>
        <w:t>Before submitting the carryover request, Age</w:t>
      </w:r>
      <w:r w:rsidR="00B35272">
        <w:rPr>
          <w:rFonts w:asciiTheme="minorHAnsi" w:hAnsiTheme="minorHAnsi"/>
        </w:rPr>
        <w:t>ncy A must demonstrate a</w:t>
      </w:r>
      <w:r w:rsidRPr="00A24634">
        <w:rPr>
          <w:rFonts w:asciiTheme="minorHAnsi" w:hAnsiTheme="minorHAnsi"/>
        </w:rPr>
        <w:t xml:space="preserve"> final budget outcome</w:t>
      </w:r>
      <w:r w:rsidR="00B35272">
        <w:rPr>
          <w:rFonts w:asciiTheme="minorHAnsi" w:hAnsiTheme="minorHAnsi"/>
        </w:rPr>
        <w:t xml:space="preserve"> improvement</w:t>
      </w:r>
      <w:r w:rsidRPr="00A24634">
        <w:rPr>
          <w:rFonts w:asciiTheme="minorHAnsi" w:hAnsiTheme="minorHAnsi"/>
        </w:rPr>
        <w:t xml:space="preserve"> relative to the carryover amount requested.</w:t>
      </w:r>
    </w:p>
    <w:p w14:paraId="3A0804FC" w14:textId="2BFADD2F" w:rsidR="004A662B" w:rsidRPr="00A24634" w:rsidRDefault="004A662B" w:rsidP="00353299">
      <w:pPr>
        <w:pStyle w:val="ListParagraph"/>
        <w:numPr>
          <w:ilvl w:val="0"/>
          <w:numId w:val="53"/>
        </w:numPr>
        <w:spacing w:line="276" w:lineRule="auto"/>
      </w:pPr>
      <w:r w:rsidRPr="00A24634">
        <w:rPr>
          <w:rFonts w:asciiTheme="minorHAnsi" w:hAnsiTheme="minorHAnsi"/>
          <w:b/>
        </w:rPr>
        <w:t>Step 1</w:t>
      </w:r>
      <w:r w:rsidRPr="00A24634">
        <w:rPr>
          <w:rFonts w:asciiTheme="minorHAnsi" w:hAnsiTheme="minorHAnsi"/>
        </w:rPr>
        <w:t xml:space="preserve"> – Identify agency</w:t>
      </w:r>
      <w:r w:rsidR="00B35272">
        <w:rPr>
          <w:rFonts w:asciiTheme="minorHAnsi" w:hAnsiTheme="minorHAnsi"/>
        </w:rPr>
        <w:t>’s</w:t>
      </w:r>
      <w:r w:rsidRPr="00A24634">
        <w:rPr>
          <w:rFonts w:asciiTheme="minorHAnsi" w:hAnsiTheme="minorHAnsi"/>
        </w:rPr>
        <w:t xml:space="preserve"> actual and budget</w:t>
      </w:r>
      <w:r w:rsidR="00B35272">
        <w:rPr>
          <w:rFonts w:asciiTheme="minorHAnsi" w:hAnsiTheme="minorHAnsi"/>
        </w:rPr>
        <w:t>ed</w:t>
      </w:r>
      <w:r w:rsidRPr="00A24634">
        <w:rPr>
          <w:rFonts w:asciiTheme="minorHAnsi" w:hAnsiTheme="minorHAnsi"/>
        </w:rPr>
        <w:t xml:space="preserve"> operating result using APEX</w:t>
      </w:r>
      <w:r w:rsidR="000323D1" w:rsidRPr="00353299">
        <w:rPr>
          <w:rFonts w:asciiTheme="minorHAnsi" w:hAnsiTheme="minorHAnsi"/>
          <w:vertAlign w:val="superscript"/>
        </w:rPr>
        <w:t>1</w:t>
      </w:r>
      <w:r w:rsidR="000323D1" w:rsidRPr="000323D1">
        <w:rPr>
          <w:rFonts w:asciiTheme="minorHAnsi" w:hAnsiTheme="minorHAnsi"/>
        </w:rPr>
        <w:t xml:space="preserve"> </w:t>
      </w:r>
      <w:r w:rsidR="000323D1" w:rsidRPr="00A24634">
        <w:rPr>
          <w:rFonts w:asciiTheme="minorHAnsi" w:hAnsiTheme="minorHAnsi"/>
        </w:rPr>
        <w:t>operating statement</w:t>
      </w:r>
    </w:p>
    <w:p w14:paraId="78EA5CA1" w14:textId="10E330B0" w:rsidR="00654979" w:rsidRPr="00353299" w:rsidRDefault="004A662B" w:rsidP="00353299">
      <w:pPr>
        <w:pStyle w:val="ListParagraph"/>
        <w:numPr>
          <w:ilvl w:val="0"/>
          <w:numId w:val="53"/>
        </w:numPr>
        <w:spacing w:line="276" w:lineRule="auto"/>
      </w:pPr>
      <w:r w:rsidRPr="00A24634">
        <w:rPr>
          <w:rFonts w:asciiTheme="minorHAnsi" w:hAnsiTheme="minorHAnsi"/>
          <w:b/>
        </w:rPr>
        <w:t xml:space="preserve">Step </w:t>
      </w:r>
      <w:proofErr w:type="gramStart"/>
      <w:r w:rsidRPr="00A24634">
        <w:rPr>
          <w:rFonts w:asciiTheme="minorHAnsi" w:hAnsiTheme="minorHAnsi"/>
          <w:b/>
        </w:rPr>
        <w:t>2</w:t>
      </w:r>
      <w:proofErr w:type="gramEnd"/>
      <w:r w:rsidRPr="00A24634">
        <w:rPr>
          <w:rFonts w:asciiTheme="minorHAnsi" w:hAnsiTheme="minorHAnsi"/>
          <w:b/>
        </w:rPr>
        <w:t xml:space="preserve"> </w:t>
      </w:r>
      <w:r w:rsidRPr="00A24634">
        <w:rPr>
          <w:rFonts w:asciiTheme="minorHAnsi" w:hAnsiTheme="minorHAnsi"/>
        </w:rPr>
        <w:t xml:space="preserve">– </w:t>
      </w:r>
      <w:r w:rsidR="00654979">
        <w:rPr>
          <w:rFonts w:asciiTheme="minorHAnsi" w:hAnsiTheme="minorHAnsi"/>
        </w:rPr>
        <w:t>Identify</w:t>
      </w:r>
      <w:r w:rsidR="00DD06D6">
        <w:rPr>
          <w:rFonts w:asciiTheme="minorHAnsi" w:hAnsiTheme="minorHAnsi"/>
        </w:rPr>
        <w:t xml:space="preserve"> gain or loss on disposal of assets,</w:t>
      </w:r>
      <w:r w:rsidR="00654979">
        <w:rPr>
          <w:rFonts w:asciiTheme="minorHAnsi" w:hAnsiTheme="minorHAnsi"/>
        </w:rPr>
        <w:t xml:space="preserve"> </w:t>
      </w:r>
      <w:r w:rsidR="00F519E3">
        <w:rPr>
          <w:rFonts w:asciiTheme="minorHAnsi" w:hAnsiTheme="minorHAnsi"/>
        </w:rPr>
        <w:t xml:space="preserve">interest expense, </w:t>
      </w:r>
      <w:r w:rsidR="00654979">
        <w:rPr>
          <w:rFonts w:asciiTheme="minorHAnsi" w:hAnsiTheme="minorHAnsi"/>
        </w:rPr>
        <w:t>depreciation and amortisation</w:t>
      </w:r>
      <w:r w:rsidR="00F519E3">
        <w:rPr>
          <w:rFonts w:asciiTheme="minorHAnsi" w:hAnsiTheme="minorHAnsi"/>
        </w:rPr>
        <w:t xml:space="preserve"> expense</w:t>
      </w:r>
      <w:r w:rsidR="00DD06D6">
        <w:rPr>
          <w:rFonts w:asciiTheme="minorHAnsi" w:hAnsiTheme="minorHAnsi"/>
        </w:rPr>
        <w:t xml:space="preserve"> and other administrative expenses </w:t>
      </w:r>
      <w:r w:rsidR="00735EE7">
        <w:rPr>
          <w:rFonts w:asciiTheme="minorHAnsi" w:hAnsiTheme="minorHAnsi"/>
        </w:rPr>
        <w:t xml:space="preserve">using the </w:t>
      </w:r>
      <w:r w:rsidR="00735EE7" w:rsidRPr="00A24634">
        <w:rPr>
          <w:rFonts w:asciiTheme="minorHAnsi" w:hAnsiTheme="minorHAnsi"/>
        </w:rPr>
        <w:t>APEX</w:t>
      </w:r>
      <w:r w:rsidR="00735EE7" w:rsidRPr="00A24634">
        <w:rPr>
          <w:rStyle w:val="FootnoteReference"/>
          <w:rFonts w:asciiTheme="minorHAnsi" w:hAnsiTheme="minorHAnsi"/>
        </w:rPr>
        <w:footnoteReference w:id="4"/>
      </w:r>
      <w:r w:rsidR="00735EE7" w:rsidRPr="00A24634">
        <w:rPr>
          <w:rFonts w:asciiTheme="minorHAnsi" w:hAnsiTheme="minorHAnsi"/>
        </w:rPr>
        <w:t xml:space="preserve"> operating statement</w:t>
      </w:r>
      <w:r w:rsidR="006179E4">
        <w:rPr>
          <w:rFonts w:asciiTheme="minorHAnsi" w:hAnsiTheme="minorHAnsi"/>
        </w:rPr>
        <w:t xml:space="preserve">. </w:t>
      </w:r>
      <w:r w:rsidR="00B35272">
        <w:rPr>
          <w:rFonts w:asciiTheme="minorHAnsi" w:hAnsiTheme="minorHAnsi"/>
        </w:rPr>
        <w:t xml:space="preserve">Add </w:t>
      </w:r>
      <w:r w:rsidR="00B05BFA">
        <w:rPr>
          <w:rFonts w:asciiTheme="minorHAnsi" w:hAnsiTheme="minorHAnsi"/>
        </w:rPr>
        <w:t>all expense adjustments</w:t>
      </w:r>
      <w:r w:rsidR="000E1D0E">
        <w:rPr>
          <w:rFonts w:asciiTheme="minorHAnsi" w:hAnsiTheme="minorHAnsi"/>
        </w:rPr>
        <w:t xml:space="preserve"> to</w:t>
      </w:r>
      <w:r w:rsidR="00B35272">
        <w:rPr>
          <w:rFonts w:asciiTheme="minorHAnsi" w:hAnsiTheme="minorHAnsi"/>
        </w:rPr>
        <w:t xml:space="preserve"> the</w:t>
      </w:r>
      <w:r w:rsidR="000E1D0E">
        <w:rPr>
          <w:rFonts w:asciiTheme="minorHAnsi" w:hAnsiTheme="minorHAnsi"/>
        </w:rPr>
        <w:t xml:space="preserve"> operating result</w:t>
      </w:r>
      <w:r w:rsidR="00B05BFA">
        <w:rPr>
          <w:rFonts w:asciiTheme="minorHAnsi" w:hAnsiTheme="minorHAnsi"/>
        </w:rPr>
        <w:t>. Subtract</w:t>
      </w:r>
      <w:r w:rsidR="000E1D0E">
        <w:rPr>
          <w:rFonts w:asciiTheme="minorHAnsi" w:hAnsiTheme="minorHAnsi"/>
        </w:rPr>
        <w:t xml:space="preserve"> all</w:t>
      </w:r>
      <w:r w:rsidR="00B05BFA">
        <w:rPr>
          <w:rFonts w:asciiTheme="minorHAnsi" w:hAnsiTheme="minorHAnsi"/>
        </w:rPr>
        <w:t xml:space="preserve"> income adjustments</w:t>
      </w:r>
      <w:r w:rsidR="000E1D0E">
        <w:rPr>
          <w:rFonts w:asciiTheme="minorHAnsi" w:hAnsiTheme="minorHAnsi"/>
        </w:rPr>
        <w:t xml:space="preserve"> from </w:t>
      </w:r>
      <w:r w:rsidR="00B35272">
        <w:rPr>
          <w:rFonts w:asciiTheme="minorHAnsi" w:hAnsiTheme="minorHAnsi"/>
        </w:rPr>
        <w:t xml:space="preserve">the </w:t>
      </w:r>
      <w:r w:rsidR="000E1D0E">
        <w:rPr>
          <w:rFonts w:asciiTheme="minorHAnsi" w:hAnsiTheme="minorHAnsi"/>
        </w:rPr>
        <w:t>operating result</w:t>
      </w:r>
      <w:r w:rsidR="00B05BFA">
        <w:rPr>
          <w:rFonts w:asciiTheme="minorHAnsi" w:hAnsiTheme="minorHAnsi"/>
        </w:rPr>
        <w:t>.</w:t>
      </w:r>
      <w:r w:rsidR="00735EE7">
        <w:rPr>
          <w:rFonts w:asciiTheme="minorHAnsi" w:hAnsiTheme="minorHAnsi"/>
        </w:rPr>
        <w:t xml:space="preserve"> </w:t>
      </w:r>
      <w:r w:rsidR="00654979">
        <w:rPr>
          <w:rFonts w:asciiTheme="minorHAnsi" w:hAnsiTheme="minorHAnsi"/>
        </w:rPr>
        <w:t xml:space="preserve"> </w:t>
      </w:r>
    </w:p>
    <w:p w14:paraId="1DD4C52E" w14:textId="74C760C9" w:rsidR="00DD06D6" w:rsidRPr="00353299" w:rsidRDefault="00DD06D6" w:rsidP="00353299">
      <w:pPr>
        <w:pStyle w:val="ListParagraph"/>
        <w:numPr>
          <w:ilvl w:val="0"/>
          <w:numId w:val="53"/>
        </w:numPr>
        <w:spacing w:line="276" w:lineRule="auto"/>
      </w:pPr>
      <w:r>
        <w:rPr>
          <w:rFonts w:asciiTheme="minorHAnsi" w:hAnsiTheme="minorHAnsi"/>
          <w:b/>
        </w:rPr>
        <w:t xml:space="preserve">Step </w:t>
      </w:r>
      <w:proofErr w:type="gramStart"/>
      <w:r>
        <w:rPr>
          <w:rFonts w:asciiTheme="minorHAnsi" w:hAnsiTheme="minorHAnsi"/>
          <w:b/>
        </w:rPr>
        <w:t>3</w:t>
      </w:r>
      <w:proofErr w:type="gramEnd"/>
      <w:r>
        <w:rPr>
          <w:rFonts w:asciiTheme="minorHAnsi" w:hAnsiTheme="minorHAnsi"/>
          <w:b/>
        </w:rPr>
        <w:t xml:space="preserve"> </w:t>
      </w:r>
      <w:r>
        <w:t>– Identify waivers using Treasurer’s Direction – Standard Classification Codes: Appendix A. Add waivers to the operating result.</w:t>
      </w:r>
    </w:p>
    <w:p w14:paraId="187CF921" w14:textId="5BA12E87" w:rsidR="00435891" w:rsidRPr="00A24634" w:rsidRDefault="00481A40" w:rsidP="00435891">
      <w:pPr>
        <w:pStyle w:val="ListParagraph"/>
        <w:numPr>
          <w:ilvl w:val="0"/>
          <w:numId w:val="53"/>
        </w:numPr>
        <w:spacing w:line="276" w:lineRule="auto"/>
      </w:pPr>
      <w:r>
        <w:rPr>
          <w:rFonts w:asciiTheme="minorHAnsi" w:hAnsiTheme="minorHAnsi"/>
          <w:b/>
        </w:rPr>
        <w:t xml:space="preserve">Step </w:t>
      </w:r>
      <w:proofErr w:type="gramStart"/>
      <w:r>
        <w:rPr>
          <w:rFonts w:asciiTheme="minorHAnsi" w:hAnsiTheme="minorHAnsi"/>
          <w:b/>
        </w:rPr>
        <w:t>4</w:t>
      </w:r>
      <w:proofErr w:type="gramEnd"/>
      <w:r w:rsidR="00654979">
        <w:rPr>
          <w:rFonts w:asciiTheme="minorHAnsi" w:hAnsiTheme="minorHAnsi"/>
          <w:b/>
        </w:rPr>
        <w:t xml:space="preserve"> – </w:t>
      </w:r>
      <w:r w:rsidR="004A662B" w:rsidRPr="00A24634">
        <w:rPr>
          <w:rFonts w:asciiTheme="minorHAnsi" w:hAnsiTheme="minorHAnsi"/>
        </w:rPr>
        <w:t>Identify all non-cash income and expense accounts using Treasurer’s Direction – Standard Classification</w:t>
      </w:r>
      <w:r w:rsidR="00B35272">
        <w:rPr>
          <w:rFonts w:asciiTheme="minorHAnsi" w:hAnsiTheme="minorHAnsi"/>
        </w:rPr>
        <w:t xml:space="preserve"> Codes: Appendix A. Subtract non-cash income from </w:t>
      </w:r>
      <w:r w:rsidR="004A662B" w:rsidRPr="00A24634">
        <w:rPr>
          <w:rFonts w:asciiTheme="minorHAnsi" w:hAnsiTheme="minorHAnsi"/>
        </w:rPr>
        <w:t>operating result</w:t>
      </w:r>
      <w:r w:rsidR="00B35272">
        <w:rPr>
          <w:rFonts w:asciiTheme="minorHAnsi" w:hAnsiTheme="minorHAnsi"/>
        </w:rPr>
        <w:t xml:space="preserve">. Add non-cash expenses to </w:t>
      </w:r>
      <w:r w:rsidR="004A662B" w:rsidRPr="00A24634">
        <w:rPr>
          <w:rFonts w:asciiTheme="minorHAnsi" w:hAnsiTheme="minorHAnsi"/>
        </w:rPr>
        <w:t>operating re</w:t>
      </w:r>
      <w:r w:rsidR="00B35272">
        <w:rPr>
          <w:rFonts w:asciiTheme="minorHAnsi" w:hAnsiTheme="minorHAnsi"/>
        </w:rPr>
        <w:t>sults</w:t>
      </w:r>
      <w:r w:rsidR="00435891">
        <w:rPr>
          <w:rFonts w:asciiTheme="minorHAnsi" w:hAnsiTheme="minorHAnsi"/>
        </w:rPr>
        <w:t xml:space="preserve">. </w:t>
      </w:r>
      <w:r w:rsidR="00435891" w:rsidRPr="00A24634">
        <w:rPr>
          <w:rFonts w:asciiTheme="minorHAnsi" w:hAnsiTheme="minorHAnsi"/>
        </w:rPr>
        <w:t>Where</w:t>
      </w:r>
      <w:r w:rsidR="00A87A9F">
        <w:rPr>
          <w:rFonts w:asciiTheme="minorHAnsi" w:hAnsiTheme="minorHAnsi"/>
        </w:rPr>
        <w:t xml:space="preserve"> a transaction</w:t>
      </w:r>
      <w:r w:rsidR="00435891" w:rsidRPr="00A24634">
        <w:rPr>
          <w:rFonts w:asciiTheme="minorHAnsi" w:hAnsiTheme="minorHAnsi"/>
        </w:rPr>
        <w:t xml:space="preserve"> fall</w:t>
      </w:r>
      <w:r w:rsidR="00A87A9F">
        <w:rPr>
          <w:rFonts w:asciiTheme="minorHAnsi" w:hAnsiTheme="minorHAnsi"/>
        </w:rPr>
        <w:t>s</w:t>
      </w:r>
      <w:r w:rsidR="00435891" w:rsidRPr="00A24634">
        <w:rPr>
          <w:rFonts w:asciiTheme="minorHAnsi" w:hAnsiTheme="minorHAnsi"/>
        </w:rPr>
        <w:t xml:space="preserve"> </w:t>
      </w:r>
      <w:r w:rsidR="00435891">
        <w:rPr>
          <w:rFonts w:asciiTheme="minorHAnsi" w:hAnsiTheme="minorHAnsi"/>
        </w:rPr>
        <w:t>with</w:t>
      </w:r>
      <w:r w:rsidR="00435891" w:rsidRPr="00A24634">
        <w:rPr>
          <w:rFonts w:asciiTheme="minorHAnsi" w:hAnsiTheme="minorHAnsi"/>
        </w:rPr>
        <w:t>in multiple categorie</w:t>
      </w:r>
      <w:r w:rsidR="00F519E3">
        <w:rPr>
          <w:rFonts w:asciiTheme="minorHAnsi" w:hAnsiTheme="minorHAnsi"/>
        </w:rPr>
        <w:t xml:space="preserve">s, include the transaction </w:t>
      </w:r>
      <w:r w:rsidR="00435891" w:rsidRPr="00A24634">
        <w:rPr>
          <w:rFonts w:asciiTheme="minorHAnsi" w:hAnsiTheme="minorHAnsi"/>
        </w:rPr>
        <w:t xml:space="preserve">once. </w:t>
      </w:r>
    </w:p>
    <w:p w14:paraId="76343E55" w14:textId="551A3D92" w:rsidR="004A662B" w:rsidRPr="00A24634" w:rsidRDefault="00481A40" w:rsidP="00353299">
      <w:pPr>
        <w:pStyle w:val="ListParagraph"/>
        <w:numPr>
          <w:ilvl w:val="0"/>
          <w:numId w:val="53"/>
        </w:numPr>
        <w:spacing w:line="276" w:lineRule="auto"/>
      </w:pPr>
      <w:r>
        <w:rPr>
          <w:rFonts w:asciiTheme="minorHAnsi" w:hAnsiTheme="minorHAnsi"/>
          <w:b/>
        </w:rPr>
        <w:t xml:space="preserve">Step </w:t>
      </w:r>
      <w:proofErr w:type="gramStart"/>
      <w:r>
        <w:rPr>
          <w:rFonts w:asciiTheme="minorHAnsi" w:hAnsiTheme="minorHAnsi"/>
          <w:b/>
        </w:rPr>
        <w:t>5</w:t>
      </w:r>
      <w:proofErr w:type="gramEnd"/>
      <w:r w:rsidR="00DD06D6">
        <w:rPr>
          <w:rFonts w:asciiTheme="minorHAnsi" w:hAnsiTheme="minorHAnsi"/>
          <w:b/>
        </w:rPr>
        <w:t xml:space="preserve"> – </w:t>
      </w:r>
      <w:r w:rsidR="004A662B" w:rsidRPr="00A24634">
        <w:rPr>
          <w:rFonts w:asciiTheme="minorHAnsi" w:hAnsiTheme="minorHAnsi"/>
        </w:rPr>
        <w:t xml:space="preserve">Identify all income and expense accounts with the </w:t>
      </w:r>
      <w:r w:rsidR="00B35272">
        <w:rPr>
          <w:rFonts w:asciiTheme="minorHAnsi" w:hAnsiTheme="minorHAnsi"/>
        </w:rPr>
        <w:t>‘</w:t>
      </w:r>
      <w:r w:rsidR="004A662B" w:rsidRPr="00A24634">
        <w:rPr>
          <w:rFonts w:asciiTheme="minorHAnsi" w:hAnsiTheme="minorHAnsi"/>
        </w:rPr>
        <w:t>other economic flows</w:t>
      </w:r>
      <w:r w:rsidR="00B35272">
        <w:rPr>
          <w:rFonts w:asciiTheme="minorHAnsi" w:hAnsiTheme="minorHAnsi"/>
        </w:rPr>
        <w:t>’</w:t>
      </w:r>
      <w:r w:rsidR="004A662B" w:rsidRPr="00A24634">
        <w:rPr>
          <w:rFonts w:asciiTheme="minorHAnsi" w:hAnsiTheme="minorHAnsi"/>
        </w:rPr>
        <w:t xml:space="preserve"> tag in Treasurer’s Direction – Standard Classification</w:t>
      </w:r>
      <w:r w:rsidR="00B35272">
        <w:rPr>
          <w:rFonts w:asciiTheme="minorHAnsi" w:hAnsiTheme="minorHAnsi"/>
        </w:rPr>
        <w:t xml:space="preserve"> Code: Appendix A. Subtract </w:t>
      </w:r>
      <w:r w:rsidR="004A662B" w:rsidRPr="00A24634">
        <w:rPr>
          <w:rFonts w:asciiTheme="minorHAnsi" w:hAnsiTheme="minorHAnsi"/>
        </w:rPr>
        <w:t xml:space="preserve">income with the </w:t>
      </w:r>
      <w:r w:rsidR="00B35272">
        <w:rPr>
          <w:rFonts w:asciiTheme="minorHAnsi" w:hAnsiTheme="minorHAnsi"/>
        </w:rPr>
        <w:t>‘</w:t>
      </w:r>
      <w:r w:rsidR="004A662B" w:rsidRPr="00A24634">
        <w:rPr>
          <w:rFonts w:asciiTheme="minorHAnsi" w:hAnsiTheme="minorHAnsi"/>
        </w:rPr>
        <w:t>other economic flow</w:t>
      </w:r>
      <w:r w:rsidR="00B35272">
        <w:rPr>
          <w:rFonts w:asciiTheme="minorHAnsi" w:hAnsiTheme="minorHAnsi"/>
        </w:rPr>
        <w:t xml:space="preserve">s’ tag. Add </w:t>
      </w:r>
      <w:r w:rsidR="004A662B" w:rsidRPr="00A24634">
        <w:rPr>
          <w:rFonts w:asciiTheme="minorHAnsi" w:hAnsiTheme="minorHAnsi"/>
        </w:rPr>
        <w:t xml:space="preserve">expenses with </w:t>
      </w:r>
      <w:r w:rsidR="00B35272">
        <w:rPr>
          <w:rFonts w:asciiTheme="minorHAnsi" w:hAnsiTheme="minorHAnsi"/>
        </w:rPr>
        <w:t>the ‘</w:t>
      </w:r>
      <w:r w:rsidR="004A662B" w:rsidRPr="00A24634">
        <w:rPr>
          <w:rFonts w:asciiTheme="minorHAnsi" w:hAnsiTheme="minorHAnsi"/>
        </w:rPr>
        <w:t>other economic flows</w:t>
      </w:r>
      <w:r w:rsidR="00B35272">
        <w:rPr>
          <w:rFonts w:asciiTheme="minorHAnsi" w:hAnsiTheme="minorHAnsi"/>
        </w:rPr>
        <w:t>’</w:t>
      </w:r>
      <w:r w:rsidR="004A662B" w:rsidRPr="00A24634">
        <w:rPr>
          <w:rFonts w:asciiTheme="minorHAnsi" w:hAnsiTheme="minorHAnsi"/>
        </w:rPr>
        <w:t xml:space="preserve"> tag.</w:t>
      </w:r>
      <w:r w:rsidR="00435891">
        <w:rPr>
          <w:rFonts w:asciiTheme="minorHAnsi" w:hAnsiTheme="minorHAnsi"/>
        </w:rPr>
        <w:t xml:space="preserve"> Where</w:t>
      </w:r>
      <w:r w:rsidR="00A87A9F">
        <w:rPr>
          <w:rFonts w:asciiTheme="minorHAnsi" w:hAnsiTheme="minorHAnsi"/>
        </w:rPr>
        <w:t xml:space="preserve"> a transaction</w:t>
      </w:r>
      <w:r w:rsidR="00435891">
        <w:rPr>
          <w:rFonts w:asciiTheme="minorHAnsi" w:hAnsiTheme="minorHAnsi"/>
        </w:rPr>
        <w:t xml:space="preserve"> fall</w:t>
      </w:r>
      <w:r w:rsidR="00A87A9F">
        <w:rPr>
          <w:rFonts w:asciiTheme="minorHAnsi" w:hAnsiTheme="minorHAnsi"/>
        </w:rPr>
        <w:t>s</w:t>
      </w:r>
      <w:r w:rsidR="00435891">
        <w:rPr>
          <w:rFonts w:asciiTheme="minorHAnsi" w:hAnsiTheme="minorHAnsi"/>
        </w:rPr>
        <w:t xml:space="preserve"> within</w:t>
      </w:r>
      <w:r w:rsidR="004A662B" w:rsidRPr="00A24634">
        <w:rPr>
          <w:rFonts w:asciiTheme="minorHAnsi" w:hAnsiTheme="minorHAnsi"/>
        </w:rPr>
        <w:t xml:space="preserve"> multiple categorie</w:t>
      </w:r>
      <w:r w:rsidR="00F519E3">
        <w:rPr>
          <w:rFonts w:asciiTheme="minorHAnsi" w:hAnsiTheme="minorHAnsi"/>
        </w:rPr>
        <w:t xml:space="preserve">s, include the transaction </w:t>
      </w:r>
      <w:r w:rsidR="004A662B" w:rsidRPr="00A24634">
        <w:rPr>
          <w:rFonts w:asciiTheme="minorHAnsi" w:hAnsiTheme="minorHAnsi"/>
        </w:rPr>
        <w:t xml:space="preserve">once. </w:t>
      </w:r>
    </w:p>
    <w:p w14:paraId="7FBE4B4A" w14:textId="2D242D34" w:rsidR="000E1D0E" w:rsidRPr="00A24634" w:rsidRDefault="00481A40" w:rsidP="000E1D0E">
      <w:pPr>
        <w:pStyle w:val="ListParagraph"/>
        <w:numPr>
          <w:ilvl w:val="0"/>
          <w:numId w:val="53"/>
        </w:numPr>
        <w:spacing w:line="276" w:lineRule="auto"/>
      </w:pPr>
      <w:r>
        <w:rPr>
          <w:b/>
        </w:rPr>
        <w:t xml:space="preserve">Step </w:t>
      </w:r>
      <w:proofErr w:type="gramStart"/>
      <w:r>
        <w:rPr>
          <w:b/>
        </w:rPr>
        <w:t>6</w:t>
      </w:r>
      <w:proofErr w:type="gramEnd"/>
      <w:r w:rsidR="004A662B" w:rsidRPr="00A24634">
        <w:rPr>
          <w:b/>
        </w:rPr>
        <w:t xml:space="preserve"> –</w:t>
      </w:r>
      <w:r w:rsidR="004A662B" w:rsidRPr="00353299">
        <w:rPr>
          <w:rFonts w:asciiTheme="minorHAnsi" w:hAnsiTheme="minorHAnsi"/>
        </w:rPr>
        <w:t xml:space="preserve"> </w:t>
      </w:r>
      <w:r w:rsidR="000E1D0E" w:rsidRPr="00353299">
        <w:rPr>
          <w:rFonts w:asciiTheme="minorHAnsi" w:hAnsiTheme="minorHAnsi"/>
        </w:rPr>
        <w:t>I</w:t>
      </w:r>
      <w:r w:rsidR="00A87A9F" w:rsidRPr="00353299">
        <w:rPr>
          <w:rFonts w:asciiTheme="minorHAnsi" w:hAnsiTheme="minorHAnsi"/>
        </w:rPr>
        <w:t xml:space="preserve">dentify eligible </w:t>
      </w:r>
      <w:r w:rsidR="000E1D0E" w:rsidRPr="00353299">
        <w:rPr>
          <w:rFonts w:asciiTheme="minorHAnsi" w:hAnsiTheme="minorHAnsi"/>
        </w:rPr>
        <w:t>payments for investing and financing activities including purchases of assets, advances and investing payments where appropriate, lease payments and service concession liability payments using</w:t>
      </w:r>
      <w:r w:rsidR="00A87A9F" w:rsidRPr="00353299">
        <w:rPr>
          <w:rFonts w:asciiTheme="minorHAnsi" w:hAnsiTheme="minorHAnsi"/>
        </w:rPr>
        <w:t xml:space="preserve"> the</w:t>
      </w:r>
      <w:r w:rsidR="000E1D0E" w:rsidRPr="00353299">
        <w:rPr>
          <w:rFonts w:asciiTheme="minorHAnsi" w:hAnsiTheme="minorHAnsi"/>
        </w:rPr>
        <w:t xml:space="preserve"> </w:t>
      </w:r>
      <w:r w:rsidR="000E1D0E" w:rsidRPr="00A24634">
        <w:rPr>
          <w:rFonts w:asciiTheme="minorHAnsi" w:hAnsiTheme="minorHAnsi"/>
        </w:rPr>
        <w:t>APEX</w:t>
      </w:r>
      <w:r w:rsidR="00F519E3" w:rsidRPr="00353299">
        <w:rPr>
          <w:rFonts w:asciiTheme="minorHAnsi" w:hAnsiTheme="minorHAnsi"/>
        </w:rPr>
        <w:t>1</w:t>
      </w:r>
      <w:r w:rsidR="000E1D0E" w:rsidRPr="00A24634">
        <w:rPr>
          <w:rFonts w:asciiTheme="minorHAnsi" w:hAnsiTheme="minorHAnsi"/>
        </w:rPr>
        <w:t xml:space="preserve"> </w:t>
      </w:r>
      <w:r w:rsidR="000E1D0E" w:rsidRPr="00353299">
        <w:rPr>
          <w:rFonts w:asciiTheme="minorHAnsi" w:hAnsiTheme="minorHAnsi"/>
        </w:rPr>
        <w:t>cash flow statement</w:t>
      </w:r>
      <w:r w:rsidR="00A87A9F" w:rsidRPr="00353299">
        <w:rPr>
          <w:rFonts w:asciiTheme="minorHAnsi" w:hAnsiTheme="minorHAnsi"/>
        </w:rPr>
        <w:t xml:space="preserve">. Subtract eligible payments for investing and financing activities </w:t>
      </w:r>
      <w:r w:rsidR="00F519E3" w:rsidRPr="00353299">
        <w:rPr>
          <w:rFonts w:asciiTheme="minorHAnsi" w:hAnsiTheme="minorHAnsi"/>
        </w:rPr>
        <w:t xml:space="preserve">from </w:t>
      </w:r>
      <w:r w:rsidR="000E1D0E" w:rsidRPr="00353299">
        <w:rPr>
          <w:rFonts w:asciiTheme="minorHAnsi" w:hAnsiTheme="minorHAnsi"/>
        </w:rPr>
        <w:t>the operating result.</w:t>
      </w:r>
    </w:p>
    <w:p w14:paraId="158E1FEA" w14:textId="6DD3DE62" w:rsidR="000E1D0E" w:rsidRPr="00353299" w:rsidRDefault="00481A40" w:rsidP="000E1D0E">
      <w:pPr>
        <w:pStyle w:val="ListParagraph"/>
        <w:numPr>
          <w:ilvl w:val="0"/>
          <w:numId w:val="53"/>
        </w:numPr>
        <w:spacing w:line="276" w:lineRule="auto"/>
      </w:pPr>
      <w:r>
        <w:rPr>
          <w:b/>
        </w:rPr>
        <w:t xml:space="preserve">Step </w:t>
      </w:r>
      <w:proofErr w:type="gramStart"/>
      <w:r>
        <w:rPr>
          <w:b/>
        </w:rPr>
        <w:t>7</w:t>
      </w:r>
      <w:proofErr w:type="gramEnd"/>
      <w:r w:rsidR="000E1D0E">
        <w:t xml:space="preserve"> – </w:t>
      </w:r>
      <w:r w:rsidR="00A87A9F" w:rsidRPr="00353299">
        <w:rPr>
          <w:rFonts w:asciiTheme="minorHAnsi" w:hAnsiTheme="minorHAnsi"/>
        </w:rPr>
        <w:t>Identify amounts</w:t>
      </w:r>
      <w:r w:rsidR="000E1D0E" w:rsidRPr="00353299">
        <w:rPr>
          <w:rFonts w:asciiTheme="minorHAnsi" w:hAnsiTheme="minorHAnsi"/>
        </w:rPr>
        <w:t xml:space="preserve"> eligible for a Treasurer’s </w:t>
      </w:r>
      <w:r w:rsidR="00F519E3" w:rsidRPr="00353299">
        <w:rPr>
          <w:rFonts w:asciiTheme="minorHAnsi" w:hAnsiTheme="minorHAnsi"/>
        </w:rPr>
        <w:t>Advance that</w:t>
      </w:r>
      <w:r w:rsidR="000E1D0E" w:rsidRPr="00353299">
        <w:rPr>
          <w:rFonts w:asciiTheme="minorHAnsi" w:hAnsiTheme="minorHAnsi"/>
        </w:rPr>
        <w:t xml:space="preserve"> have been absorbed from </w:t>
      </w:r>
      <w:r w:rsidR="006721E4" w:rsidRPr="00353299">
        <w:rPr>
          <w:rFonts w:asciiTheme="minorHAnsi" w:hAnsiTheme="minorHAnsi"/>
        </w:rPr>
        <w:t xml:space="preserve">within existing resources. These amounts </w:t>
      </w:r>
      <w:proofErr w:type="gramStart"/>
      <w:r w:rsidR="006721E4" w:rsidRPr="00353299">
        <w:rPr>
          <w:rFonts w:asciiTheme="minorHAnsi" w:hAnsiTheme="minorHAnsi"/>
        </w:rPr>
        <w:t xml:space="preserve">will be </w:t>
      </w:r>
      <w:r w:rsidR="000E1D0E" w:rsidRPr="00353299">
        <w:rPr>
          <w:rFonts w:asciiTheme="minorHAnsi" w:hAnsiTheme="minorHAnsi"/>
        </w:rPr>
        <w:t>formally communicated</w:t>
      </w:r>
      <w:proofErr w:type="gramEnd"/>
      <w:r w:rsidR="006721E4" w:rsidRPr="00353299">
        <w:rPr>
          <w:rFonts w:asciiTheme="minorHAnsi" w:hAnsiTheme="minorHAnsi"/>
        </w:rPr>
        <w:t xml:space="preserve"> by the </w:t>
      </w:r>
      <w:r w:rsidR="000E1D0E" w:rsidRPr="00353299">
        <w:rPr>
          <w:rFonts w:asciiTheme="minorHAnsi" w:hAnsiTheme="minorHAnsi"/>
        </w:rPr>
        <w:t xml:space="preserve">Department of Treasury and Finance </w:t>
      </w:r>
      <w:r w:rsidR="006721E4" w:rsidRPr="00353299">
        <w:rPr>
          <w:rFonts w:asciiTheme="minorHAnsi" w:hAnsiTheme="minorHAnsi"/>
        </w:rPr>
        <w:t xml:space="preserve">to agencies </w:t>
      </w:r>
      <w:r w:rsidR="000E1D0E" w:rsidRPr="00353299">
        <w:rPr>
          <w:rFonts w:asciiTheme="minorHAnsi" w:hAnsiTheme="minorHAnsi"/>
        </w:rPr>
        <w:t>as part of the end of year process</w:t>
      </w:r>
      <w:r w:rsidR="006721E4" w:rsidRPr="00353299">
        <w:rPr>
          <w:rFonts w:asciiTheme="minorHAnsi" w:hAnsiTheme="minorHAnsi"/>
        </w:rPr>
        <w:t>, where applicable</w:t>
      </w:r>
      <w:r w:rsidR="000E1D0E" w:rsidRPr="00353299">
        <w:rPr>
          <w:rFonts w:asciiTheme="minorHAnsi" w:hAnsiTheme="minorHAnsi"/>
        </w:rPr>
        <w:t>. Add Treasurer’s advance absorbed from w</w:t>
      </w:r>
      <w:r w:rsidR="002B206B" w:rsidRPr="00353299">
        <w:rPr>
          <w:rFonts w:asciiTheme="minorHAnsi" w:hAnsiTheme="minorHAnsi"/>
        </w:rPr>
        <w:t xml:space="preserve">ithin existing resources to </w:t>
      </w:r>
      <w:r w:rsidR="000E1D0E" w:rsidRPr="00353299">
        <w:rPr>
          <w:rFonts w:asciiTheme="minorHAnsi" w:hAnsiTheme="minorHAnsi"/>
        </w:rPr>
        <w:t>operating result.</w:t>
      </w:r>
    </w:p>
    <w:p w14:paraId="1EF1330B" w14:textId="3C6252F7" w:rsidR="00AA57F5" w:rsidRPr="00353299" w:rsidRDefault="0093773D" w:rsidP="000C5D62">
      <w:pPr>
        <w:pStyle w:val="ListNumber"/>
        <w:numPr>
          <w:ilvl w:val="0"/>
          <w:numId w:val="0"/>
        </w:numPr>
        <w:ind w:left="284"/>
        <w:rPr>
          <w:rFonts w:asciiTheme="minorHAnsi" w:hAnsiTheme="minorHAnsi"/>
        </w:rPr>
      </w:pPr>
      <w:r>
        <w:rPr>
          <w:rFonts w:asciiTheme="minorHAnsi" w:hAnsiTheme="minorHAnsi"/>
          <w:b/>
        </w:rPr>
        <w:t>Table 1</w:t>
      </w:r>
      <w:r w:rsidR="00AA2F74">
        <w:rPr>
          <w:rFonts w:asciiTheme="minorHAnsi" w:hAnsiTheme="minorHAnsi"/>
          <w:b/>
        </w:rPr>
        <w:t xml:space="preserve"> – Calculating final budget outcome</w:t>
      </w:r>
    </w:p>
    <w:tbl>
      <w:tblPr>
        <w:tblStyle w:val="NTGtable"/>
        <w:tblW w:w="12393" w:type="dxa"/>
        <w:tblInd w:w="279" w:type="dxa"/>
        <w:tblLayout w:type="fixed"/>
        <w:tblLook w:val="04A0" w:firstRow="1" w:lastRow="0" w:firstColumn="1" w:lastColumn="0" w:noHBand="0" w:noVBand="1"/>
        <w:tblCaption w:val="Agency final budget outcome calculation"/>
      </w:tblPr>
      <w:tblGrid>
        <w:gridCol w:w="912"/>
        <w:gridCol w:w="5005"/>
        <w:gridCol w:w="1217"/>
        <w:gridCol w:w="1181"/>
        <w:gridCol w:w="1182"/>
        <w:gridCol w:w="532"/>
        <w:gridCol w:w="1182"/>
        <w:gridCol w:w="1182"/>
      </w:tblGrid>
      <w:tr w:rsidR="000463C2" w:rsidRPr="004063FF" w14:paraId="4D58B5E9" w14:textId="77777777" w:rsidTr="00F63246">
        <w:trPr>
          <w:gridAfter w:val="2"/>
          <w:cnfStyle w:val="100000000000" w:firstRow="1" w:lastRow="0" w:firstColumn="0" w:lastColumn="0" w:oddVBand="0" w:evenVBand="0" w:oddHBand="0" w:evenHBand="0" w:firstRowFirstColumn="0" w:firstRowLastColumn="0" w:lastRowFirstColumn="0" w:lastRowLastColumn="0"/>
          <w:wAfter w:w="2364" w:type="dxa"/>
          <w:trHeight w:val="260"/>
          <w:tblHeader/>
        </w:trPr>
        <w:tc>
          <w:tcPr>
            <w:cnfStyle w:val="001000000100" w:firstRow="0" w:lastRow="0" w:firstColumn="1" w:lastColumn="0" w:oddVBand="0" w:evenVBand="0" w:oddHBand="0" w:evenHBand="0" w:firstRowFirstColumn="1" w:firstRowLastColumn="0" w:lastRowFirstColumn="0" w:lastRowLastColumn="0"/>
            <w:tcW w:w="5917" w:type="dxa"/>
            <w:gridSpan w:val="2"/>
            <w:tcBorders>
              <w:top w:val="single" w:sz="4" w:space="0" w:color="1F1F5F" w:themeColor="text1"/>
              <w:bottom w:val="single" w:sz="4" w:space="0" w:color="auto"/>
            </w:tcBorders>
          </w:tcPr>
          <w:p w14:paraId="0DF07FB4" w14:textId="77777777" w:rsidR="000463C2" w:rsidRPr="004063FF" w:rsidRDefault="000463C2" w:rsidP="00F109E5">
            <w:pPr>
              <w:spacing w:after="120"/>
              <w:rPr>
                <w:b w:val="0"/>
              </w:rPr>
            </w:pPr>
          </w:p>
        </w:tc>
        <w:tc>
          <w:tcPr>
            <w:tcW w:w="1217" w:type="dxa"/>
            <w:tcBorders>
              <w:top w:val="single" w:sz="4" w:space="0" w:color="1F1F5F" w:themeColor="text1"/>
              <w:bottom w:val="single" w:sz="4" w:space="0" w:color="auto"/>
            </w:tcBorders>
          </w:tcPr>
          <w:p w14:paraId="0DCB8A6A" w14:textId="77777777" w:rsidR="000463C2" w:rsidRDefault="000463C2" w:rsidP="00F109E5">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063FF">
              <w:rPr>
                <w:rFonts w:asciiTheme="minorHAnsi" w:hAnsiTheme="minorHAnsi"/>
              </w:rPr>
              <w:t>Approved budget</w:t>
            </w:r>
          </w:p>
          <w:p w14:paraId="5E5FC54D" w14:textId="24024B81" w:rsidR="00331E68" w:rsidRPr="004063FF" w:rsidRDefault="00331E68" w:rsidP="00F109E5">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(A)</w:t>
            </w:r>
          </w:p>
        </w:tc>
        <w:tc>
          <w:tcPr>
            <w:tcW w:w="1181" w:type="dxa"/>
            <w:tcBorders>
              <w:top w:val="single" w:sz="4" w:space="0" w:color="1F1F5F" w:themeColor="text1"/>
              <w:bottom w:val="single" w:sz="4" w:space="0" w:color="auto"/>
            </w:tcBorders>
          </w:tcPr>
          <w:p w14:paraId="56F37546" w14:textId="0A135B70" w:rsidR="000463C2" w:rsidRDefault="00127F66" w:rsidP="00F109E5">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Actuals</w:t>
            </w:r>
          </w:p>
          <w:p w14:paraId="1B20FB8F" w14:textId="044DC50B" w:rsidR="00331E68" w:rsidRPr="004063FF" w:rsidRDefault="00331E68" w:rsidP="00F109E5">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(B)</w:t>
            </w:r>
          </w:p>
        </w:tc>
        <w:tc>
          <w:tcPr>
            <w:tcW w:w="1182" w:type="dxa"/>
            <w:tcBorders>
              <w:top w:val="single" w:sz="4" w:space="0" w:color="1F1F5F" w:themeColor="text1"/>
              <w:bottom w:val="single" w:sz="4" w:space="0" w:color="auto"/>
            </w:tcBorders>
          </w:tcPr>
          <w:p w14:paraId="5B5F5598" w14:textId="5CE2A57C" w:rsidR="000463C2" w:rsidRPr="004063FF" w:rsidRDefault="000463C2" w:rsidP="00F109E5">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4063FF">
              <w:rPr>
                <w:rFonts w:asciiTheme="minorHAnsi" w:hAnsiTheme="minorHAnsi"/>
              </w:rPr>
              <w:t>Variance</w:t>
            </w:r>
            <w:r w:rsidR="00331E68">
              <w:rPr>
                <w:rFonts w:asciiTheme="minorHAnsi" w:hAnsiTheme="minorHAnsi"/>
              </w:rPr>
              <w:t xml:space="preserve"> C=B-A</w:t>
            </w:r>
          </w:p>
        </w:tc>
        <w:tc>
          <w:tcPr>
            <w:tcW w:w="532" w:type="dxa"/>
            <w:tcBorders>
              <w:top w:val="single" w:sz="4" w:space="0" w:color="1F1F5F" w:themeColor="text1"/>
              <w:bottom w:val="nil"/>
              <w:right w:val="single" w:sz="4" w:space="0" w:color="auto"/>
            </w:tcBorders>
          </w:tcPr>
          <w:p w14:paraId="73638E58" w14:textId="6B204FC4" w:rsidR="00331E68" w:rsidRPr="004063FF" w:rsidRDefault="00331E68" w:rsidP="00353299">
            <w:pPr>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rPr>
            </w:pPr>
          </w:p>
        </w:tc>
      </w:tr>
      <w:tr w:rsidR="000463C2" w:rsidRPr="004063FF" w14:paraId="1B93C6D7" w14:textId="77777777" w:rsidTr="00F63246">
        <w:trPr>
          <w:gridAfter w:val="2"/>
          <w:cnfStyle w:val="000000100000" w:firstRow="0" w:lastRow="0" w:firstColumn="0" w:lastColumn="0" w:oddVBand="0" w:evenVBand="0" w:oddHBand="1" w:evenHBand="0" w:firstRowFirstColumn="0" w:firstRowLastColumn="0" w:lastRowFirstColumn="0" w:lastRowLastColumn="0"/>
          <w:wAfter w:w="2364" w:type="dxa"/>
          <w:trHeight w:val="260"/>
        </w:trPr>
        <w:tc>
          <w:tcPr>
            <w:cnfStyle w:val="001000000000" w:firstRow="0" w:lastRow="0" w:firstColumn="1" w:lastColumn="0" w:oddVBand="0" w:evenVBand="0" w:oddHBand="0" w:evenHBand="0" w:firstRowFirstColumn="0" w:firstRowLastColumn="0" w:lastRowFirstColumn="0" w:lastRowLastColumn="0"/>
            <w:tcW w:w="5917" w:type="dxa"/>
            <w:gridSpan w:val="2"/>
            <w:tcBorders>
              <w:top w:val="single" w:sz="4" w:space="0" w:color="auto"/>
              <w:bottom w:val="nil"/>
              <w:right w:val="nil"/>
            </w:tcBorders>
          </w:tcPr>
          <w:p w14:paraId="5F4793DE" w14:textId="77777777" w:rsidR="000463C2" w:rsidRPr="004063FF" w:rsidRDefault="000463C2" w:rsidP="00F109E5">
            <w:pPr>
              <w:spacing w:after="120"/>
              <w:rPr>
                <w:rFonts w:asciiTheme="minorHAnsi" w:hAnsiTheme="minorHAnsi"/>
                <w:b/>
              </w:rPr>
            </w:pPr>
          </w:p>
        </w:tc>
        <w:tc>
          <w:tcPr>
            <w:tcW w:w="1217" w:type="dxa"/>
            <w:tcBorders>
              <w:top w:val="single" w:sz="4" w:space="0" w:color="auto"/>
              <w:left w:val="nil"/>
              <w:bottom w:val="nil"/>
              <w:right w:val="nil"/>
            </w:tcBorders>
          </w:tcPr>
          <w:p w14:paraId="58009EE3" w14:textId="7BA4EC88" w:rsidR="000463C2" w:rsidRPr="004063FF" w:rsidRDefault="00331E68" w:rsidP="00F109E5">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    </w:t>
            </w:r>
            <w:r w:rsidR="000463C2" w:rsidRPr="004063FF">
              <w:rPr>
                <w:rFonts w:asciiTheme="minorHAnsi" w:hAnsiTheme="minorHAnsi"/>
              </w:rPr>
              <w:t>$000</w:t>
            </w:r>
          </w:p>
        </w:tc>
        <w:tc>
          <w:tcPr>
            <w:tcW w:w="1181" w:type="dxa"/>
            <w:tcBorders>
              <w:top w:val="single" w:sz="4" w:space="0" w:color="auto"/>
              <w:left w:val="nil"/>
              <w:bottom w:val="nil"/>
              <w:right w:val="nil"/>
            </w:tcBorders>
          </w:tcPr>
          <w:p w14:paraId="2ADC523E" w14:textId="638AD59A" w:rsidR="000463C2" w:rsidRPr="004063FF" w:rsidRDefault="00331E68" w:rsidP="00F109E5">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   </w:t>
            </w:r>
            <w:r w:rsidR="000463C2" w:rsidRPr="004063FF">
              <w:rPr>
                <w:rFonts w:asciiTheme="minorHAnsi" w:hAnsiTheme="minorHAnsi"/>
              </w:rPr>
              <w:t>$000</w:t>
            </w:r>
          </w:p>
        </w:tc>
        <w:tc>
          <w:tcPr>
            <w:tcW w:w="1182" w:type="dxa"/>
            <w:tcBorders>
              <w:top w:val="single" w:sz="4" w:space="0" w:color="auto"/>
              <w:left w:val="nil"/>
              <w:bottom w:val="nil"/>
              <w:right w:val="nil"/>
            </w:tcBorders>
          </w:tcPr>
          <w:p w14:paraId="614BDDF4" w14:textId="5181DA8D" w:rsidR="000463C2" w:rsidRPr="004063FF" w:rsidRDefault="00331E68" w:rsidP="00F109E5">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    </w:t>
            </w:r>
            <w:r w:rsidR="004524FA">
              <w:rPr>
                <w:rFonts w:asciiTheme="minorHAnsi" w:hAnsiTheme="minorHAnsi"/>
              </w:rPr>
              <w:t xml:space="preserve"> </w:t>
            </w:r>
            <w:r w:rsidR="000463C2" w:rsidRPr="004063FF">
              <w:rPr>
                <w:rFonts w:asciiTheme="minorHAnsi" w:hAnsiTheme="minorHAnsi"/>
              </w:rPr>
              <w:t>$000</w:t>
            </w:r>
          </w:p>
        </w:tc>
        <w:tc>
          <w:tcPr>
            <w:tcW w:w="532" w:type="dxa"/>
            <w:tcBorders>
              <w:top w:val="single" w:sz="4" w:space="0" w:color="1F1F5F" w:themeColor="text1"/>
              <w:left w:val="nil"/>
              <w:bottom w:val="nil"/>
              <w:right w:val="single" w:sz="4" w:space="0" w:color="auto"/>
            </w:tcBorders>
          </w:tcPr>
          <w:p w14:paraId="368EB3C8" w14:textId="77777777" w:rsidR="000463C2" w:rsidRPr="004063FF" w:rsidRDefault="000463C2" w:rsidP="00F109E5">
            <w:pPr>
              <w:spacing w:after="120"/>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0463C2" w:rsidRPr="004063FF" w14:paraId="79C68F2F" w14:textId="77777777" w:rsidTr="00F63246">
        <w:trPr>
          <w:gridAfter w:val="2"/>
          <w:cnfStyle w:val="000000010000" w:firstRow="0" w:lastRow="0" w:firstColumn="0" w:lastColumn="0" w:oddVBand="0" w:evenVBand="0" w:oddHBand="0" w:evenHBand="1" w:firstRowFirstColumn="0" w:firstRowLastColumn="0" w:lastRowFirstColumn="0" w:lastRowLastColumn="0"/>
          <w:wAfter w:w="2364" w:type="dxa"/>
        </w:trPr>
        <w:tc>
          <w:tcPr>
            <w:cnfStyle w:val="001000000000" w:firstRow="0" w:lastRow="0" w:firstColumn="1" w:lastColumn="0" w:oddVBand="0" w:evenVBand="0" w:oddHBand="0" w:evenHBand="0" w:firstRowFirstColumn="0" w:firstRowLastColumn="0" w:lastRowFirstColumn="0" w:lastRowLastColumn="0"/>
            <w:tcW w:w="5917" w:type="dxa"/>
            <w:gridSpan w:val="2"/>
            <w:tcBorders>
              <w:top w:val="nil"/>
              <w:left w:val="single" w:sz="4" w:space="0" w:color="auto"/>
              <w:bottom w:val="nil"/>
              <w:right w:val="nil"/>
            </w:tcBorders>
          </w:tcPr>
          <w:p w14:paraId="0F3FEF04" w14:textId="2A713ED3" w:rsidR="000463C2" w:rsidRPr="004063FF" w:rsidRDefault="000463C2" w:rsidP="00F109E5">
            <w:pPr>
              <w:spacing w:after="120"/>
              <w:rPr>
                <w:rFonts w:asciiTheme="minorHAnsi" w:hAnsiTheme="minorHAnsi"/>
              </w:rPr>
            </w:pPr>
            <w:r w:rsidRPr="004063FF">
              <w:rPr>
                <w:rFonts w:asciiTheme="minorHAnsi" w:hAnsiTheme="minorHAnsi"/>
              </w:rPr>
              <w:t>Operating result (net surplus/deficit)</w:t>
            </w:r>
            <w:r w:rsidR="005B3157">
              <w:rPr>
                <w:rFonts w:asciiTheme="minorHAnsi" w:hAnsiTheme="minorHAnsi"/>
              </w:rPr>
              <w:t xml:space="preserve">                                                  </w:t>
            </w:r>
          </w:p>
        </w:tc>
        <w:tc>
          <w:tcPr>
            <w:tcW w:w="1217" w:type="dxa"/>
            <w:tcBorders>
              <w:left w:val="nil"/>
              <w:bottom w:val="nil"/>
              <w:right w:val="nil"/>
            </w:tcBorders>
          </w:tcPr>
          <w:p w14:paraId="22C115D1" w14:textId="6282D810" w:rsidR="000463C2" w:rsidRPr="004063FF" w:rsidRDefault="00FF6AAF" w:rsidP="0041491E">
            <w:pPr>
              <w:spacing w:after="120"/>
              <w:jc w:val="right"/>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rPr>
              <w:t>-58 862</w:t>
            </w:r>
          </w:p>
        </w:tc>
        <w:tc>
          <w:tcPr>
            <w:tcW w:w="1181" w:type="dxa"/>
            <w:tcBorders>
              <w:left w:val="nil"/>
              <w:bottom w:val="nil"/>
              <w:right w:val="nil"/>
            </w:tcBorders>
          </w:tcPr>
          <w:p w14:paraId="646EB097" w14:textId="7ED72260" w:rsidR="000463C2" w:rsidRPr="004063FF" w:rsidRDefault="00FF6AAF">
            <w:pPr>
              <w:spacing w:after="120"/>
              <w:jc w:val="right"/>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rPr>
              <w:t>-89 311</w:t>
            </w:r>
          </w:p>
        </w:tc>
        <w:tc>
          <w:tcPr>
            <w:tcW w:w="1182" w:type="dxa"/>
            <w:tcBorders>
              <w:left w:val="nil"/>
              <w:bottom w:val="nil"/>
              <w:right w:val="nil"/>
            </w:tcBorders>
          </w:tcPr>
          <w:p w14:paraId="05797D81" w14:textId="36FAE608" w:rsidR="000463C2" w:rsidRPr="004063FF" w:rsidRDefault="00FF6AAF">
            <w:pPr>
              <w:spacing w:after="120"/>
              <w:jc w:val="right"/>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rPr>
              <w:t>-30 449</w:t>
            </w:r>
          </w:p>
        </w:tc>
        <w:tc>
          <w:tcPr>
            <w:tcW w:w="532" w:type="dxa"/>
            <w:tcBorders>
              <w:top w:val="nil"/>
              <w:left w:val="nil"/>
              <w:bottom w:val="nil"/>
              <w:right w:val="single" w:sz="4" w:space="0" w:color="auto"/>
            </w:tcBorders>
          </w:tcPr>
          <w:p w14:paraId="20D07FE1" w14:textId="2E69D723" w:rsidR="000463C2" w:rsidRPr="004063FF" w:rsidRDefault="000463C2" w:rsidP="00F109E5">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0463C2" w:rsidRPr="004063FF" w14:paraId="1FCEDBD4" w14:textId="77777777" w:rsidTr="00F63246">
        <w:trPr>
          <w:gridAfter w:val="2"/>
          <w:cnfStyle w:val="000000100000" w:firstRow="0" w:lastRow="0" w:firstColumn="0" w:lastColumn="0" w:oddVBand="0" w:evenVBand="0" w:oddHBand="1" w:evenHBand="0" w:firstRowFirstColumn="0" w:firstRowLastColumn="0" w:lastRowFirstColumn="0" w:lastRowLastColumn="0"/>
          <w:wAfter w:w="2364" w:type="dxa"/>
          <w:trHeight w:val="346"/>
        </w:trPr>
        <w:tc>
          <w:tcPr>
            <w:cnfStyle w:val="001000000000" w:firstRow="0" w:lastRow="0" w:firstColumn="1" w:lastColumn="0" w:oddVBand="0" w:evenVBand="0" w:oddHBand="0" w:evenHBand="0" w:firstRowFirstColumn="0" w:firstRowLastColumn="0" w:lastRowFirstColumn="0" w:lastRowLastColumn="0"/>
            <w:tcW w:w="912" w:type="dxa"/>
            <w:tcBorders>
              <w:top w:val="nil"/>
              <w:left w:val="single" w:sz="4" w:space="0" w:color="auto"/>
              <w:bottom w:val="nil"/>
              <w:right w:val="nil"/>
            </w:tcBorders>
          </w:tcPr>
          <w:p w14:paraId="517003F8" w14:textId="431C7F87" w:rsidR="000463C2" w:rsidRPr="00353299" w:rsidRDefault="00AA57F5" w:rsidP="00F109E5">
            <w:pPr>
              <w:spacing w:after="120"/>
              <w:jc w:val="right"/>
              <w:rPr>
                <w:rFonts w:asciiTheme="minorHAnsi" w:hAnsiTheme="minorHAnsi"/>
                <w:b/>
              </w:rPr>
            </w:pPr>
            <w:r w:rsidRPr="00353299">
              <w:rPr>
                <w:rFonts w:asciiTheme="minorHAnsi" w:hAnsiTheme="minorHAnsi"/>
                <w:b/>
              </w:rPr>
              <w:t>Add:</w:t>
            </w:r>
          </w:p>
        </w:tc>
        <w:tc>
          <w:tcPr>
            <w:tcW w:w="5005" w:type="dxa"/>
            <w:tcBorders>
              <w:top w:val="nil"/>
              <w:left w:val="nil"/>
              <w:bottom w:val="nil"/>
              <w:right w:val="nil"/>
            </w:tcBorders>
          </w:tcPr>
          <w:p w14:paraId="515531B6" w14:textId="78900B70" w:rsidR="000463C2" w:rsidRPr="00353299" w:rsidRDefault="00AA57F5" w:rsidP="00F109E5">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353299">
              <w:rPr>
                <w:rFonts w:asciiTheme="minorHAnsi" w:hAnsiTheme="minorHAnsi"/>
                <w:b/>
              </w:rPr>
              <w:t>Expense adjustments</w:t>
            </w:r>
          </w:p>
        </w:tc>
        <w:tc>
          <w:tcPr>
            <w:tcW w:w="1217" w:type="dxa"/>
            <w:tcBorders>
              <w:top w:val="nil"/>
              <w:left w:val="nil"/>
              <w:bottom w:val="nil"/>
              <w:right w:val="nil"/>
            </w:tcBorders>
          </w:tcPr>
          <w:p w14:paraId="4C60ED2E" w14:textId="752C3FAE" w:rsidR="000463C2" w:rsidRPr="004063FF" w:rsidRDefault="000463C2" w:rsidP="00F109E5">
            <w:pPr>
              <w:spacing w:after="120"/>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181" w:type="dxa"/>
            <w:tcBorders>
              <w:top w:val="nil"/>
              <w:left w:val="nil"/>
              <w:bottom w:val="nil"/>
              <w:right w:val="nil"/>
            </w:tcBorders>
          </w:tcPr>
          <w:p w14:paraId="3D77E44A" w14:textId="54D11C01" w:rsidR="000463C2" w:rsidRPr="004063FF" w:rsidRDefault="000463C2" w:rsidP="00F109E5">
            <w:pPr>
              <w:spacing w:after="120"/>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182" w:type="dxa"/>
            <w:tcBorders>
              <w:top w:val="nil"/>
              <w:left w:val="nil"/>
              <w:bottom w:val="nil"/>
              <w:right w:val="nil"/>
            </w:tcBorders>
          </w:tcPr>
          <w:p w14:paraId="3B7DB7E9" w14:textId="2A4FDCA9" w:rsidR="000463C2" w:rsidRPr="004063FF" w:rsidRDefault="000463C2" w:rsidP="00F109E5">
            <w:pPr>
              <w:spacing w:after="120"/>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532" w:type="dxa"/>
            <w:tcBorders>
              <w:top w:val="nil"/>
              <w:left w:val="nil"/>
              <w:bottom w:val="nil"/>
              <w:right w:val="single" w:sz="4" w:space="0" w:color="auto"/>
            </w:tcBorders>
          </w:tcPr>
          <w:p w14:paraId="610534FE" w14:textId="130E6546" w:rsidR="000463C2" w:rsidRPr="004063FF" w:rsidRDefault="000463C2" w:rsidP="00F109E5">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460F24" w:rsidRPr="004063FF" w14:paraId="5090C29C" w14:textId="77777777" w:rsidTr="00F63246">
        <w:trPr>
          <w:gridAfter w:val="2"/>
          <w:cnfStyle w:val="000000010000" w:firstRow="0" w:lastRow="0" w:firstColumn="0" w:lastColumn="0" w:oddVBand="0" w:evenVBand="0" w:oddHBand="0" w:evenHBand="1" w:firstRowFirstColumn="0" w:firstRowLastColumn="0" w:lastRowFirstColumn="0" w:lastRowLastColumn="0"/>
          <w:wAfter w:w="2364" w:type="dxa"/>
          <w:trHeight w:val="346"/>
        </w:trPr>
        <w:tc>
          <w:tcPr>
            <w:cnfStyle w:val="001000000000" w:firstRow="0" w:lastRow="0" w:firstColumn="1" w:lastColumn="0" w:oddVBand="0" w:evenVBand="0" w:oddHBand="0" w:evenHBand="0" w:firstRowFirstColumn="0" w:firstRowLastColumn="0" w:lastRowFirstColumn="0" w:lastRowLastColumn="0"/>
            <w:tcW w:w="912" w:type="dxa"/>
            <w:tcBorders>
              <w:top w:val="nil"/>
              <w:left w:val="single" w:sz="4" w:space="0" w:color="auto"/>
              <w:bottom w:val="nil"/>
              <w:right w:val="nil"/>
            </w:tcBorders>
          </w:tcPr>
          <w:p w14:paraId="28406305" w14:textId="77777777" w:rsidR="00460F24" w:rsidRPr="004063FF" w:rsidRDefault="00460F24" w:rsidP="00460F24">
            <w:pPr>
              <w:spacing w:after="120"/>
              <w:jc w:val="right"/>
              <w:rPr>
                <w:rFonts w:asciiTheme="minorHAnsi" w:hAnsiTheme="minorHAnsi"/>
                <w:b/>
              </w:rPr>
            </w:pPr>
          </w:p>
        </w:tc>
        <w:tc>
          <w:tcPr>
            <w:tcW w:w="5005" w:type="dxa"/>
            <w:tcBorders>
              <w:top w:val="nil"/>
              <w:left w:val="nil"/>
              <w:bottom w:val="nil"/>
              <w:right w:val="nil"/>
            </w:tcBorders>
          </w:tcPr>
          <w:p w14:paraId="492376E1" w14:textId="08259E4C" w:rsidR="00460F24" w:rsidRPr="004063FF" w:rsidRDefault="00460F24" w:rsidP="00460F24">
            <w:pPr>
              <w:spacing w:after="120"/>
              <w:cnfStyle w:val="000000010000" w:firstRow="0" w:lastRow="0" w:firstColumn="0" w:lastColumn="0" w:oddVBand="0" w:evenVBand="0" w:oddHBand="0" w:evenHBand="1" w:firstRowFirstColumn="0" w:firstRowLastColumn="0" w:lastRowFirstColumn="0" w:lastRowLastColumn="0"/>
              <w:rPr>
                <w:rFonts w:asciiTheme="minorHAnsi" w:hAnsiTheme="minorHAnsi"/>
                <w:b/>
              </w:rPr>
            </w:pPr>
            <w:r w:rsidRPr="004063FF">
              <w:rPr>
                <w:rFonts w:asciiTheme="minorHAnsi" w:hAnsiTheme="minorHAnsi"/>
              </w:rPr>
              <w:t xml:space="preserve">Interest expense </w:t>
            </w:r>
          </w:p>
        </w:tc>
        <w:tc>
          <w:tcPr>
            <w:tcW w:w="1217" w:type="dxa"/>
            <w:tcBorders>
              <w:top w:val="nil"/>
              <w:left w:val="nil"/>
              <w:bottom w:val="nil"/>
              <w:right w:val="nil"/>
            </w:tcBorders>
          </w:tcPr>
          <w:p w14:paraId="70947B30" w14:textId="2636822F" w:rsidR="00460F24" w:rsidRPr="004063FF" w:rsidRDefault="00460F24" w:rsidP="00460F24">
            <w:pPr>
              <w:spacing w:after="120"/>
              <w:jc w:val="right"/>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rPr>
              <w:t>832</w:t>
            </w:r>
          </w:p>
        </w:tc>
        <w:tc>
          <w:tcPr>
            <w:tcW w:w="1181" w:type="dxa"/>
            <w:tcBorders>
              <w:top w:val="nil"/>
              <w:left w:val="nil"/>
              <w:bottom w:val="nil"/>
              <w:right w:val="nil"/>
            </w:tcBorders>
          </w:tcPr>
          <w:p w14:paraId="0B46DE65" w14:textId="142CFDDF" w:rsidR="00460F24" w:rsidRPr="004063FF" w:rsidRDefault="00460F24" w:rsidP="00460F24">
            <w:pPr>
              <w:spacing w:after="120"/>
              <w:jc w:val="right"/>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rPr>
              <w:t>816</w:t>
            </w:r>
          </w:p>
        </w:tc>
        <w:tc>
          <w:tcPr>
            <w:tcW w:w="1182" w:type="dxa"/>
            <w:tcBorders>
              <w:top w:val="nil"/>
              <w:left w:val="nil"/>
              <w:bottom w:val="nil"/>
              <w:right w:val="nil"/>
            </w:tcBorders>
          </w:tcPr>
          <w:p w14:paraId="38CE8935" w14:textId="1D1421B7" w:rsidR="00460F24" w:rsidRPr="004063FF" w:rsidRDefault="00460F24" w:rsidP="00460F24">
            <w:pPr>
              <w:spacing w:after="120"/>
              <w:jc w:val="right"/>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rPr>
              <w:t>-16</w:t>
            </w:r>
          </w:p>
        </w:tc>
        <w:tc>
          <w:tcPr>
            <w:tcW w:w="532" w:type="dxa"/>
            <w:tcBorders>
              <w:top w:val="nil"/>
              <w:left w:val="nil"/>
              <w:bottom w:val="nil"/>
              <w:right w:val="single" w:sz="4" w:space="0" w:color="auto"/>
            </w:tcBorders>
          </w:tcPr>
          <w:p w14:paraId="667278CA" w14:textId="77777777" w:rsidR="00460F24" w:rsidRPr="004063FF" w:rsidRDefault="00460F24" w:rsidP="00460F24">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460F24" w:rsidRPr="004063FF" w14:paraId="2336A5B7" w14:textId="77777777" w:rsidTr="00F63246">
        <w:trPr>
          <w:gridAfter w:val="2"/>
          <w:cnfStyle w:val="000000100000" w:firstRow="0" w:lastRow="0" w:firstColumn="0" w:lastColumn="0" w:oddVBand="0" w:evenVBand="0" w:oddHBand="1" w:evenHBand="0" w:firstRowFirstColumn="0" w:firstRowLastColumn="0" w:lastRowFirstColumn="0" w:lastRowLastColumn="0"/>
          <w:wAfter w:w="2364" w:type="dxa"/>
        </w:trPr>
        <w:tc>
          <w:tcPr>
            <w:cnfStyle w:val="001000000000" w:firstRow="0" w:lastRow="0" w:firstColumn="1" w:lastColumn="0" w:oddVBand="0" w:evenVBand="0" w:oddHBand="0" w:evenHBand="0" w:firstRowFirstColumn="0" w:firstRowLastColumn="0" w:lastRowFirstColumn="0" w:lastRowLastColumn="0"/>
            <w:tcW w:w="912" w:type="dxa"/>
            <w:tcBorders>
              <w:top w:val="nil"/>
              <w:left w:val="single" w:sz="4" w:space="0" w:color="auto"/>
              <w:bottom w:val="nil"/>
              <w:right w:val="nil"/>
            </w:tcBorders>
          </w:tcPr>
          <w:p w14:paraId="5DD4088A" w14:textId="0F116C0C" w:rsidR="00460F24" w:rsidRPr="004063FF" w:rsidRDefault="00460F24" w:rsidP="00460F24">
            <w:pPr>
              <w:spacing w:after="120"/>
              <w:jc w:val="right"/>
              <w:rPr>
                <w:rFonts w:asciiTheme="minorHAnsi" w:hAnsiTheme="minorHAnsi"/>
              </w:rPr>
            </w:pPr>
          </w:p>
        </w:tc>
        <w:tc>
          <w:tcPr>
            <w:tcW w:w="5005" w:type="dxa"/>
            <w:tcBorders>
              <w:top w:val="nil"/>
              <w:left w:val="nil"/>
              <w:bottom w:val="nil"/>
              <w:right w:val="nil"/>
            </w:tcBorders>
          </w:tcPr>
          <w:p w14:paraId="2A587CA3" w14:textId="77CE81DA" w:rsidR="00460F24" w:rsidRPr="004063FF" w:rsidRDefault="00460F24" w:rsidP="00460F24">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063FF">
              <w:rPr>
                <w:rFonts w:asciiTheme="minorHAnsi" w:hAnsiTheme="minorHAnsi"/>
              </w:rPr>
              <w:t>Depreciation and amortisation (non</w:t>
            </w:r>
            <w:r w:rsidRPr="004063FF">
              <w:rPr>
                <w:rFonts w:asciiTheme="minorHAnsi" w:hAnsiTheme="minorHAnsi"/>
              </w:rPr>
              <w:noBreakHyphen/>
              <w:t>cash)</w:t>
            </w:r>
          </w:p>
        </w:tc>
        <w:tc>
          <w:tcPr>
            <w:tcW w:w="1217" w:type="dxa"/>
            <w:tcBorders>
              <w:top w:val="nil"/>
              <w:left w:val="nil"/>
              <w:bottom w:val="nil"/>
              <w:right w:val="nil"/>
            </w:tcBorders>
          </w:tcPr>
          <w:p w14:paraId="1FB23F46" w14:textId="537ACCD4" w:rsidR="00460F24" w:rsidRPr="004063FF" w:rsidRDefault="00460F24" w:rsidP="00460F24">
            <w:pPr>
              <w:spacing w:after="120"/>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62 596 </w:t>
            </w:r>
          </w:p>
        </w:tc>
        <w:tc>
          <w:tcPr>
            <w:tcW w:w="1181" w:type="dxa"/>
            <w:tcBorders>
              <w:top w:val="nil"/>
              <w:left w:val="nil"/>
              <w:bottom w:val="nil"/>
              <w:right w:val="nil"/>
            </w:tcBorders>
          </w:tcPr>
          <w:p w14:paraId="143233E7" w14:textId="3D6F6355" w:rsidR="00460F24" w:rsidRPr="004063FF" w:rsidRDefault="00460F24" w:rsidP="00460F24">
            <w:pPr>
              <w:spacing w:after="120"/>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65 959</w:t>
            </w:r>
          </w:p>
        </w:tc>
        <w:tc>
          <w:tcPr>
            <w:tcW w:w="1182" w:type="dxa"/>
            <w:tcBorders>
              <w:top w:val="nil"/>
              <w:left w:val="nil"/>
              <w:bottom w:val="nil"/>
              <w:right w:val="nil"/>
            </w:tcBorders>
          </w:tcPr>
          <w:p w14:paraId="64FDE5BB" w14:textId="653C05B0" w:rsidR="00460F24" w:rsidRPr="004063FF" w:rsidRDefault="00460F24" w:rsidP="00353299">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       3 363</w:t>
            </w:r>
          </w:p>
        </w:tc>
        <w:tc>
          <w:tcPr>
            <w:tcW w:w="532" w:type="dxa"/>
            <w:tcBorders>
              <w:top w:val="nil"/>
              <w:left w:val="nil"/>
              <w:bottom w:val="nil"/>
              <w:right w:val="single" w:sz="4" w:space="0" w:color="auto"/>
            </w:tcBorders>
          </w:tcPr>
          <w:p w14:paraId="7B631557" w14:textId="3D93F6F0" w:rsidR="00460F24" w:rsidRPr="004063FF" w:rsidRDefault="00460F24" w:rsidP="00460F24">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460F24" w:rsidRPr="004063FF" w14:paraId="5CB633FE" w14:textId="77777777" w:rsidTr="00F63246">
        <w:trPr>
          <w:gridAfter w:val="2"/>
          <w:cnfStyle w:val="000000010000" w:firstRow="0" w:lastRow="0" w:firstColumn="0" w:lastColumn="0" w:oddVBand="0" w:evenVBand="0" w:oddHBand="0" w:evenHBand="1" w:firstRowFirstColumn="0" w:firstRowLastColumn="0" w:lastRowFirstColumn="0" w:lastRowLastColumn="0"/>
          <w:wAfter w:w="2364" w:type="dxa"/>
        </w:trPr>
        <w:tc>
          <w:tcPr>
            <w:cnfStyle w:val="001000000000" w:firstRow="0" w:lastRow="0" w:firstColumn="1" w:lastColumn="0" w:oddVBand="0" w:evenVBand="0" w:oddHBand="0" w:evenHBand="0" w:firstRowFirstColumn="0" w:firstRowLastColumn="0" w:lastRowFirstColumn="0" w:lastRowLastColumn="0"/>
            <w:tcW w:w="912" w:type="dxa"/>
            <w:tcBorders>
              <w:top w:val="nil"/>
              <w:left w:val="single" w:sz="4" w:space="0" w:color="auto"/>
              <w:bottom w:val="nil"/>
              <w:right w:val="nil"/>
            </w:tcBorders>
          </w:tcPr>
          <w:p w14:paraId="1314F12A" w14:textId="77777777" w:rsidR="00460F24" w:rsidRPr="004063FF" w:rsidRDefault="00460F24" w:rsidP="00460F24">
            <w:pPr>
              <w:spacing w:after="120"/>
              <w:jc w:val="right"/>
              <w:rPr>
                <w:rFonts w:asciiTheme="minorHAnsi" w:hAnsiTheme="minorHAnsi"/>
              </w:rPr>
            </w:pPr>
          </w:p>
        </w:tc>
        <w:tc>
          <w:tcPr>
            <w:tcW w:w="5005" w:type="dxa"/>
            <w:tcBorders>
              <w:top w:val="nil"/>
              <w:left w:val="nil"/>
              <w:bottom w:val="nil"/>
              <w:right w:val="nil"/>
            </w:tcBorders>
          </w:tcPr>
          <w:p w14:paraId="25748F56" w14:textId="797D7BA0" w:rsidR="00460F24" w:rsidRPr="004063FF" w:rsidRDefault="00460F24" w:rsidP="00460F24">
            <w:pPr>
              <w:spacing w:after="12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4063FF">
              <w:rPr>
                <w:rFonts w:asciiTheme="minorHAnsi" w:hAnsiTheme="minorHAnsi"/>
              </w:rPr>
              <w:t>Other administrative expense</w:t>
            </w:r>
          </w:p>
        </w:tc>
        <w:tc>
          <w:tcPr>
            <w:tcW w:w="1217" w:type="dxa"/>
            <w:tcBorders>
              <w:top w:val="nil"/>
              <w:left w:val="nil"/>
              <w:bottom w:val="nil"/>
              <w:right w:val="nil"/>
            </w:tcBorders>
          </w:tcPr>
          <w:p w14:paraId="03AB8DC5" w14:textId="3BA4100F" w:rsidR="00460F24" w:rsidRPr="004063FF" w:rsidRDefault="00460F24" w:rsidP="00460F24">
            <w:pPr>
              <w:spacing w:after="120"/>
              <w:jc w:val="right"/>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rPr>
              <w:t>0</w:t>
            </w:r>
          </w:p>
        </w:tc>
        <w:tc>
          <w:tcPr>
            <w:tcW w:w="1181" w:type="dxa"/>
            <w:tcBorders>
              <w:top w:val="nil"/>
              <w:left w:val="nil"/>
              <w:bottom w:val="nil"/>
              <w:right w:val="nil"/>
            </w:tcBorders>
          </w:tcPr>
          <w:p w14:paraId="676A6288" w14:textId="67345B27" w:rsidR="00460F24" w:rsidRPr="004063FF" w:rsidRDefault="00460F24" w:rsidP="00460F24">
            <w:pPr>
              <w:spacing w:after="120"/>
              <w:jc w:val="right"/>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rPr>
              <w:t>10 900</w:t>
            </w:r>
          </w:p>
        </w:tc>
        <w:tc>
          <w:tcPr>
            <w:tcW w:w="1182" w:type="dxa"/>
            <w:tcBorders>
              <w:top w:val="nil"/>
              <w:left w:val="nil"/>
              <w:bottom w:val="nil"/>
              <w:right w:val="nil"/>
            </w:tcBorders>
          </w:tcPr>
          <w:p w14:paraId="7752DC6F" w14:textId="415DEE3E" w:rsidR="00460F24" w:rsidRPr="004063FF" w:rsidRDefault="00460F24" w:rsidP="00460F24">
            <w:pPr>
              <w:spacing w:after="120"/>
              <w:jc w:val="right"/>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rPr>
              <w:t>10 900</w:t>
            </w:r>
          </w:p>
        </w:tc>
        <w:tc>
          <w:tcPr>
            <w:tcW w:w="532" w:type="dxa"/>
            <w:tcBorders>
              <w:top w:val="nil"/>
              <w:left w:val="nil"/>
              <w:bottom w:val="nil"/>
              <w:right w:val="single" w:sz="4" w:space="0" w:color="auto"/>
            </w:tcBorders>
          </w:tcPr>
          <w:p w14:paraId="40DF9725" w14:textId="77777777" w:rsidR="00460F24" w:rsidRPr="004063FF" w:rsidRDefault="00460F24" w:rsidP="00460F24">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460F24" w:rsidRPr="004063FF" w14:paraId="0428A5A0" w14:textId="77777777" w:rsidTr="00353299">
        <w:trPr>
          <w:gridAfter w:val="2"/>
          <w:cnfStyle w:val="000000100000" w:firstRow="0" w:lastRow="0" w:firstColumn="0" w:lastColumn="0" w:oddVBand="0" w:evenVBand="0" w:oddHBand="1" w:evenHBand="0" w:firstRowFirstColumn="0" w:firstRowLastColumn="0" w:lastRowFirstColumn="0" w:lastRowLastColumn="0"/>
          <w:wAfter w:w="2364" w:type="dxa"/>
        </w:trPr>
        <w:tc>
          <w:tcPr>
            <w:cnfStyle w:val="001000000000" w:firstRow="0" w:lastRow="0" w:firstColumn="1" w:lastColumn="0" w:oddVBand="0" w:evenVBand="0" w:oddHBand="0" w:evenHBand="0" w:firstRowFirstColumn="0" w:firstRowLastColumn="0" w:lastRowFirstColumn="0" w:lastRowLastColumn="0"/>
            <w:tcW w:w="912" w:type="dxa"/>
            <w:tcBorders>
              <w:left w:val="single" w:sz="4" w:space="0" w:color="auto"/>
              <w:right w:val="nil"/>
            </w:tcBorders>
          </w:tcPr>
          <w:p w14:paraId="7CAE25DE" w14:textId="77777777" w:rsidR="00460F24" w:rsidRPr="004063FF" w:rsidRDefault="00460F24" w:rsidP="00460F24">
            <w:pPr>
              <w:spacing w:after="120"/>
              <w:jc w:val="right"/>
              <w:rPr>
                <w:rFonts w:asciiTheme="minorHAnsi" w:hAnsiTheme="minorHAnsi"/>
              </w:rPr>
            </w:pPr>
          </w:p>
        </w:tc>
        <w:tc>
          <w:tcPr>
            <w:tcW w:w="5005" w:type="dxa"/>
            <w:tcBorders>
              <w:top w:val="nil"/>
              <w:left w:val="nil"/>
              <w:bottom w:val="nil"/>
              <w:right w:val="nil"/>
            </w:tcBorders>
          </w:tcPr>
          <w:p w14:paraId="3FEFA764" w14:textId="1C810A7C" w:rsidR="00460F24" w:rsidRPr="004063FF" w:rsidRDefault="00460F24" w:rsidP="00460F24">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063FF">
              <w:rPr>
                <w:rFonts w:asciiTheme="minorHAnsi" w:hAnsiTheme="minorHAnsi"/>
              </w:rPr>
              <w:t>Non cash expenses</w:t>
            </w:r>
          </w:p>
        </w:tc>
        <w:tc>
          <w:tcPr>
            <w:tcW w:w="1217" w:type="dxa"/>
            <w:tcBorders>
              <w:top w:val="nil"/>
              <w:left w:val="nil"/>
              <w:bottom w:val="nil"/>
              <w:right w:val="nil"/>
            </w:tcBorders>
          </w:tcPr>
          <w:p w14:paraId="67F576FA" w14:textId="50F5DE63" w:rsidR="00460F24" w:rsidRPr="004063FF" w:rsidRDefault="00460F24" w:rsidP="00460F24">
            <w:pPr>
              <w:spacing w:after="120"/>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0</w:t>
            </w:r>
          </w:p>
        </w:tc>
        <w:tc>
          <w:tcPr>
            <w:tcW w:w="1181" w:type="dxa"/>
            <w:tcBorders>
              <w:top w:val="nil"/>
              <w:left w:val="nil"/>
              <w:bottom w:val="nil"/>
              <w:right w:val="nil"/>
            </w:tcBorders>
          </w:tcPr>
          <w:p w14:paraId="4EE231E1" w14:textId="7B273EC3" w:rsidR="00460F24" w:rsidRPr="004063FF" w:rsidRDefault="00460F24" w:rsidP="00460F24">
            <w:pPr>
              <w:spacing w:after="120"/>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50</w:t>
            </w:r>
          </w:p>
        </w:tc>
        <w:tc>
          <w:tcPr>
            <w:tcW w:w="1182" w:type="dxa"/>
            <w:tcBorders>
              <w:top w:val="nil"/>
              <w:left w:val="nil"/>
              <w:bottom w:val="nil"/>
              <w:right w:val="nil"/>
            </w:tcBorders>
          </w:tcPr>
          <w:p w14:paraId="56A07581" w14:textId="5FF5A8AC" w:rsidR="00460F24" w:rsidRPr="004063FF" w:rsidRDefault="00460F24" w:rsidP="00460F24">
            <w:pPr>
              <w:spacing w:after="120"/>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50</w:t>
            </w:r>
          </w:p>
        </w:tc>
        <w:tc>
          <w:tcPr>
            <w:tcW w:w="532" w:type="dxa"/>
            <w:tcBorders>
              <w:top w:val="nil"/>
              <w:left w:val="nil"/>
              <w:bottom w:val="nil"/>
              <w:right w:val="single" w:sz="4" w:space="0" w:color="auto"/>
            </w:tcBorders>
          </w:tcPr>
          <w:p w14:paraId="64C8BDDD" w14:textId="77777777" w:rsidR="00460F24" w:rsidRPr="004063FF" w:rsidRDefault="00460F24" w:rsidP="00460F24">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460F24" w:rsidRPr="004063FF" w14:paraId="61345F57" w14:textId="77777777" w:rsidTr="00353299">
        <w:trPr>
          <w:gridAfter w:val="2"/>
          <w:cnfStyle w:val="000000010000" w:firstRow="0" w:lastRow="0" w:firstColumn="0" w:lastColumn="0" w:oddVBand="0" w:evenVBand="0" w:oddHBand="0" w:evenHBand="1" w:firstRowFirstColumn="0" w:firstRowLastColumn="0" w:lastRowFirstColumn="0" w:lastRowLastColumn="0"/>
          <w:wAfter w:w="2364" w:type="dxa"/>
        </w:trPr>
        <w:tc>
          <w:tcPr>
            <w:cnfStyle w:val="001000000000" w:firstRow="0" w:lastRow="0" w:firstColumn="1" w:lastColumn="0" w:oddVBand="0" w:evenVBand="0" w:oddHBand="0" w:evenHBand="0" w:firstRowFirstColumn="0" w:firstRowLastColumn="0" w:lastRowFirstColumn="0" w:lastRowLastColumn="0"/>
            <w:tcW w:w="912" w:type="dxa"/>
            <w:tcBorders>
              <w:left w:val="single" w:sz="4" w:space="0" w:color="auto"/>
              <w:right w:val="nil"/>
            </w:tcBorders>
          </w:tcPr>
          <w:p w14:paraId="269D19BB" w14:textId="77777777" w:rsidR="00460F24" w:rsidRPr="004063FF" w:rsidRDefault="00460F24" w:rsidP="00460F24">
            <w:pPr>
              <w:spacing w:after="120"/>
              <w:jc w:val="right"/>
              <w:rPr>
                <w:rFonts w:asciiTheme="minorHAnsi" w:hAnsiTheme="minorHAnsi"/>
              </w:rPr>
            </w:pPr>
          </w:p>
        </w:tc>
        <w:tc>
          <w:tcPr>
            <w:tcW w:w="5005" w:type="dxa"/>
            <w:tcBorders>
              <w:top w:val="nil"/>
              <w:left w:val="nil"/>
              <w:bottom w:val="nil"/>
              <w:right w:val="nil"/>
            </w:tcBorders>
          </w:tcPr>
          <w:p w14:paraId="73F0CFFB" w14:textId="361D87BD" w:rsidR="00460F24" w:rsidRPr="004063FF" w:rsidRDefault="00460F24" w:rsidP="00460F24">
            <w:pPr>
              <w:spacing w:after="12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4063FF">
              <w:rPr>
                <w:rFonts w:asciiTheme="minorHAnsi" w:hAnsiTheme="minorHAnsi"/>
              </w:rPr>
              <w:t xml:space="preserve">Other economic flows expense </w:t>
            </w:r>
          </w:p>
        </w:tc>
        <w:tc>
          <w:tcPr>
            <w:tcW w:w="1217" w:type="dxa"/>
            <w:tcBorders>
              <w:top w:val="nil"/>
              <w:left w:val="nil"/>
              <w:bottom w:val="single" w:sz="4" w:space="0" w:color="auto"/>
              <w:right w:val="nil"/>
            </w:tcBorders>
          </w:tcPr>
          <w:p w14:paraId="7867C119" w14:textId="3922126C" w:rsidR="00460F24" w:rsidRPr="004063FF" w:rsidRDefault="00460F24" w:rsidP="00460F24">
            <w:pPr>
              <w:spacing w:after="120"/>
              <w:jc w:val="right"/>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rPr>
              <w:t>0</w:t>
            </w:r>
          </w:p>
        </w:tc>
        <w:tc>
          <w:tcPr>
            <w:tcW w:w="1181" w:type="dxa"/>
            <w:tcBorders>
              <w:top w:val="nil"/>
              <w:left w:val="nil"/>
              <w:bottom w:val="single" w:sz="4" w:space="0" w:color="auto"/>
              <w:right w:val="nil"/>
            </w:tcBorders>
          </w:tcPr>
          <w:p w14:paraId="3F67D218" w14:textId="05B84F6A" w:rsidR="00460F24" w:rsidRPr="004063FF" w:rsidRDefault="00460F24" w:rsidP="00460F24">
            <w:pPr>
              <w:spacing w:after="120"/>
              <w:jc w:val="right"/>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rPr>
              <w:t>100</w:t>
            </w:r>
          </w:p>
        </w:tc>
        <w:tc>
          <w:tcPr>
            <w:tcW w:w="1182" w:type="dxa"/>
            <w:tcBorders>
              <w:top w:val="nil"/>
              <w:left w:val="nil"/>
              <w:bottom w:val="single" w:sz="4" w:space="0" w:color="auto"/>
              <w:right w:val="nil"/>
            </w:tcBorders>
          </w:tcPr>
          <w:p w14:paraId="0CF3BFDC" w14:textId="28CAF2DD" w:rsidR="00460F24" w:rsidRPr="004063FF" w:rsidRDefault="00460F24" w:rsidP="00460F24">
            <w:pPr>
              <w:spacing w:after="120"/>
              <w:jc w:val="right"/>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rPr>
              <w:t>100</w:t>
            </w:r>
          </w:p>
        </w:tc>
        <w:tc>
          <w:tcPr>
            <w:tcW w:w="532" w:type="dxa"/>
            <w:tcBorders>
              <w:top w:val="nil"/>
              <w:left w:val="nil"/>
              <w:bottom w:val="single" w:sz="4" w:space="0" w:color="auto"/>
              <w:right w:val="single" w:sz="4" w:space="0" w:color="auto"/>
            </w:tcBorders>
          </w:tcPr>
          <w:p w14:paraId="7E1405ED" w14:textId="77777777" w:rsidR="00460F24" w:rsidRPr="004063FF" w:rsidRDefault="00460F24" w:rsidP="00460F24">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460F24" w:rsidRPr="004063FF" w14:paraId="020DFD62" w14:textId="77777777" w:rsidTr="00353299">
        <w:trPr>
          <w:gridAfter w:val="2"/>
          <w:cnfStyle w:val="000000100000" w:firstRow="0" w:lastRow="0" w:firstColumn="0" w:lastColumn="0" w:oddVBand="0" w:evenVBand="0" w:oddHBand="1" w:evenHBand="0" w:firstRowFirstColumn="0" w:firstRowLastColumn="0" w:lastRowFirstColumn="0" w:lastRowLastColumn="0"/>
          <w:wAfter w:w="2364" w:type="dxa"/>
        </w:trPr>
        <w:tc>
          <w:tcPr>
            <w:cnfStyle w:val="001000000000" w:firstRow="0" w:lastRow="0" w:firstColumn="1" w:lastColumn="0" w:oddVBand="0" w:evenVBand="0" w:oddHBand="0" w:evenHBand="0" w:firstRowFirstColumn="0" w:firstRowLastColumn="0" w:lastRowFirstColumn="0" w:lastRowLastColumn="0"/>
            <w:tcW w:w="912" w:type="dxa"/>
            <w:tcBorders>
              <w:left w:val="single" w:sz="4" w:space="0" w:color="auto"/>
              <w:right w:val="nil"/>
            </w:tcBorders>
          </w:tcPr>
          <w:p w14:paraId="199F979A" w14:textId="77777777" w:rsidR="00460F24" w:rsidRPr="004063FF" w:rsidRDefault="00460F24" w:rsidP="00460F24">
            <w:pPr>
              <w:spacing w:after="120"/>
              <w:jc w:val="right"/>
              <w:rPr>
                <w:rFonts w:asciiTheme="minorHAnsi" w:hAnsiTheme="minorHAnsi"/>
              </w:rPr>
            </w:pPr>
          </w:p>
        </w:tc>
        <w:tc>
          <w:tcPr>
            <w:tcW w:w="5005" w:type="dxa"/>
            <w:tcBorders>
              <w:top w:val="nil"/>
              <w:left w:val="nil"/>
              <w:bottom w:val="nil"/>
              <w:right w:val="nil"/>
            </w:tcBorders>
          </w:tcPr>
          <w:p w14:paraId="1A879C81" w14:textId="2CDC524B" w:rsidR="00460F24" w:rsidRPr="00353299" w:rsidRDefault="00460F24" w:rsidP="00460F24">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353299">
              <w:rPr>
                <w:rFonts w:asciiTheme="minorHAnsi" w:hAnsiTheme="minorHAnsi"/>
                <w:b/>
              </w:rPr>
              <w:t>Total expense adjustment</w:t>
            </w:r>
          </w:p>
        </w:tc>
        <w:tc>
          <w:tcPr>
            <w:tcW w:w="1217" w:type="dxa"/>
            <w:tcBorders>
              <w:top w:val="single" w:sz="4" w:space="0" w:color="auto"/>
              <w:left w:val="nil"/>
              <w:bottom w:val="nil"/>
              <w:right w:val="nil"/>
            </w:tcBorders>
          </w:tcPr>
          <w:p w14:paraId="5F8BC51F" w14:textId="2D8493D2" w:rsidR="00460F24" w:rsidRPr="00353299" w:rsidRDefault="00460F24" w:rsidP="00460F24">
            <w:pPr>
              <w:spacing w:after="120"/>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353299">
              <w:rPr>
                <w:rFonts w:asciiTheme="minorHAnsi" w:hAnsiTheme="minorHAnsi"/>
                <w:b/>
              </w:rPr>
              <w:t>63 428</w:t>
            </w:r>
          </w:p>
        </w:tc>
        <w:tc>
          <w:tcPr>
            <w:tcW w:w="1181" w:type="dxa"/>
            <w:tcBorders>
              <w:top w:val="single" w:sz="4" w:space="0" w:color="auto"/>
              <w:left w:val="nil"/>
              <w:bottom w:val="nil"/>
              <w:right w:val="nil"/>
            </w:tcBorders>
          </w:tcPr>
          <w:p w14:paraId="10162250" w14:textId="14912C36" w:rsidR="00460F24" w:rsidRPr="00353299" w:rsidRDefault="00460F24" w:rsidP="00460F24">
            <w:pPr>
              <w:spacing w:after="120"/>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Pr>
                <w:rFonts w:asciiTheme="minorHAnsi" w:hAnsiTheme="minorHAnsi"/>
                <w:b/>
              </w:rPr>
              <w:t>77 825</w:t>
            </w:r>
          </w:p>
        </w:tc>
        <w:tc>
          <w:tcPr>
            <w:tcW w:w="1182" w:type="dxa"/>
            <w:tcBorders>
              <w:top w:val="single" w:sz="4" w:space="0" w:color="auto"/>
              <w:left w:val="nil"/>
              <w:bottom w:val="nil"/>
              <w:right w:val="nil"/>
            </w:tcBorders>
          </w:tcPr>
          <w:p w14:paraId="3C2F07B1" w14:textId="6CE9876E" w:rsidR="00460F24" w:rsidRPr="00353299" w:rsidRDefault="00460F24" w:rsidP="00460F24">
            <w:pPr>
              <w:spacing w:after="120"/>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Pr>
                <w:rFonts w:asciiTheme="minorHAnsi" w:hAnsiTheme="minorHAnsi"/>
                <w:b/>
              </w:rPr>
              <w:t>14 397</w:t>
            </w:r>
          </w:p>
        </w:tc>
        <w:tc>
          <w:tcPr>
            <w:tcW w:w="532" w:type="dxa"/>
            <w:tcBorders>
              <w:top w:val="single" w:sz="4" w:space="0" w:color="auto"/>
              <w:left w:val="nil"/>
              <w:bottom w:val="nil"/>
              <w:right w:val="single" w:sz="4" w:space="0" w:color="auto"/>
            </w:tcBorders>
          </w:tcPr>
          <w:p w14:paraId="7346E6B7" w14:textId="77777777" w:rsidR="00460F24" w:rsidRPr="00353299" w:rsidRDefault="00460F24" w:rsidP="00460F24">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460F24" w:rsidRPr="004063FF" w14:paraId="304D1F49" w14:textId="77777777" w:rsidTr="00F63246">
        <w:trPr>
          <w:gridAfter w:val="2"/>
          <w:cnfStyle w:val="000000010000" w:firstRow="0" w:lastRow="0" w:firstColumn="0" w:lastColumn="0" w:oddVBand="0" w:evenVBand="0" w:oddHBand="0" w:evenHBand="1" w:firstRowFirstColumn="0" w:firstRowLastColumn="0" w:lastRowFirstColumn="0" w:lastRowLastColumn="0"/>
          <w:wAfter w:w="2364" w:type="dxa"/>
        </w:trPr>
        <w:tc>
          <w:tcPr>
            <w:cnfStyle w:val="001000000000" w:firstRow="0" w:lastRow="0" w:firstColumn="1" w:lastColumn="0" w:oddVBand="0" w:evenVBand="0" w:oddHBand="0" w:evenHBand="0" w:firstRowFirstColumn="0" w:firstRowLastColumn="0" w:lastRowFirstColumn="0" w:lastRowLastColumn="0"/>
            <w:tcW w:w="912" w:type="dxa"/>
            <w:tcBorders>
              <w:left w:val="single" w:sz="4" w:space="0" w:color="auto"/>
              <w:right w:val="nil"/>
            </w:tcBorders>
          </w:tcPr>
          <w:p w14:paraId="028021BF" w14:textId="2FEBD29C" w:rsidR="00460F24" w:rsidRPr="00353299" w:rsidRDefault="00460F24" w:rsidP="00460F24">
            <w:pPr>
              <w:spacing w:after="120"/>
              <w:jc w:val="right"/>
              <w:rPr>
                <w:rFonts w:asciiTheme="minorHAnsi" w:hAnsiTheme="minorHAnsi"/>
                <w:b/>
              </w:rPr>
            </w:pPr>
            <w:r w:rsidRPr="00353299">
              <w:rPr>
                <w:rFonts w:asciiTheme="minorHAnsi" w:hAnsiTheme="minorHAnsi"/>
                <w:b/>
              </w:rPr>
              <w:t>Less:</w:t>
            </w:r>
          </w:p>
        </w:tc>
        <w:tc>
          <w:tcPr>
            <w:tcW w:w="5005" w:type="dxa"/>
            <w:tcBorders>
              <w:top w:val="nil"/>
              <w:left w:val="nil"/>
              <w:bottom w:val="nil"/>
              <w:right w:val="nil"/>
            </w:tcBorders>
          </w:tcPr>
          <w:p w14:paraId="089B3BB6" w14:textId="5088061E" w:rsidR="00460F24" w:rsidRPr="00353299" w:rsidRDefault="00460F24" w:rsidP="00460F24">
            <w:pPr>
              <w:spacing w:after="120"/>
              <w:cnfStyle w:val="000000010000" w:firstRow="0" w:lastRow="0" w:firstColumn="0" w:lastColumn="0" w:oddVBand="0" w:evenVBand="0" w:oddHBand="0" w:evenHBand="1" w:firstRowFirstColumn="0" w:firstRowLastColumn="0" w:lastRowFirstColumn="0" w:lastRowLastColumn="0"/>
              <w:rPr>
                <w:rFonts w:asciiTheme="minorHAnsi" w:hAnsiTheme="minorHAnsi"/>
                <w:b/>
              </w:rPr>
            </w:pPr>
            <w:r w:rsidRPr="004063FF">
              <w:rPr>
                <w:rFonts w:asciiTheme="minorHAnsi" w:hAnsiTheme="minorHAnsi"/>
                <w:b/>
              </w:rPr>
              <w:t>Income adjustments</w:t>
            </w:r>
          </w:p>
        </w:tc>
        <w:tc>
          <w:tcPr>
            <w:tcW w:w="1217" w:type="dxa"/>
            <w:tcBorders>
              <w:top w:val="nil"/>
              <w:left w:val="nil"/>
              <w:bottom w:val="nil"/>
              <w:right w:val="nil"/>
            </w:tcBorders>
          </w:tcPr>
          <w:p w14:paraId="464E65BF" w14:textId="77777777" w:rsidR="00460F24" w:rsidRPr="004063FF" w:rsidRDefault="00460F24" w:rsidP="00460F24">
            <w:pPr>
              <w:spacing w:after="120"/>
              <w:jc w:val="right"/>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c>
          <w:tcPr>
            <w:tcW w:w="1181" w:type="dxa"/>
            <w:tcBorders>
              <w:top w:val="nil"/>
              <w:left w:val="nil"/>
              <w:bottom w:val="nil"/>
              <w:right w:val="nil"/>
            </w:tcBorders>
          </w:tcPr>
          <w:p w14:paraId="48A23CCC" w14:textId="5C5F3C1A" w:rsidR="00460F24" w:rsidRPr="004063FF" w:rsidRDefault="00460F24" w:rsidP="00460F24">
            <w:pPr>
              <w:spacing w:after="120"/>
              <w:jc w:val="right"/>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c>
          <w:tcPr>
            <w:tcW w:w="1182" w:type="dxa"/>
            <w:tcBorders>
              <w:top w:val="nil"/>
              <w:left w:val="nil"/>
              <w:bottom w:val="nil"/>
              <w:right w:val="nil"/>
            </w:tcBorders>
          </w:tcPr>
          <w:p w14:paraId="130348A9" w14:textId="312465B9" w:rsidR="00460F24" w:rsidRPr="004063FF" w:rsidRDefault="00460F24" w:rsidP="00460F24">
            <w:pPr>
              <w:spacing w:after="120"/>
              <w:jc w:val="right"/>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c>
          <w:tcPr>
            <w:tcW w:w="532" w:type="dxa"/>
            <w:tcBorders>
              <w:top w:val="nil"/>
              <w:left w:val="nil"/>
              <w:bottom w:val="nil"/>
              <w:right w:val="single" w:sz="4" w:space="0" w:color="auto"/>
            </w:tcBorders>
          </w:tcPr>
          <w:p w14:paraId="00073A1D" w14:textId="7640DB27" w:rsidR="00460F24" w:rsidRPr="004063FF" w:rsidRDefault="00460F24" w:rsidP="00460F24">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460F24" w:rsidRPr="004063FF" w14:paraId="73779F83" w14:textId="77777777" w:rsidTr="00353299">
        <w:trPr>
          <w:gridAfter w:val="2"/>
          <w:cnfStyle w:val="000000100000" w:firstRow="0" w:lastRow="0" w:firstColumn="0" w:lastColumn="0" w:oddVBand="0" w:evenVBand="0" w:oddHBand="1" w:evenHBand="0" w:firstRowFirstColumn="0" w:firstRowLastColumn="0" w:lastRowFirstColumn="0" w:lastRowLastColumn="0"/>
          <w:wAfter w:w="2364" w:type="dxa"/>
        </w:trPr>
        <w:tc>
          <w:tcPr>
            <w:cnfStyle w:val="001000000000" w:firstRow="0" w:lastRow="0" w:firstColumn="1" w:lastColumn="0" w:oddVBand="0" w:evenVBand="0" w:oddHBand="0" w:evenHBand="0" w:firstRowFirstColumn="0" w:firstRowLastColumn="0" w:lastRowFirstColumn="0" w:lastRowLastColumn="0"/>
            <w:tcW w:w="912" w:type="dxa"/>
            <w:tcBorders>
              <w:left w:val="single" w:sz="4" w:space="0" w:color="auto"/>
              <w:bottom w:val="nil"/>
              <w:right w:val="nil"/>
            </w:tcBorders>
          </w:tcPr>
          <w:p w14:paraId="2E09A113" w14:textId="77777777" w:rsidR="00460F24" w:rsidRPr="004063FF" w:rsidRDefault="00460F24" w:rsidP="00460F24">
            <w:pPr>
              <w:spacing w:after="120"/>
              <w:jc w:val="right"/>
              <w:rPr>
                <w:rFonts w:asciiTheme="minorHAnsi" w:hAnsiTheme="minorHAnsi"/>
              </w:rPr>
            </w:pPr>
          </w:p>
        </w:tc>
        <w:tc>
          <w:tcPr>
            <w:tcW w:w="5005" w:type="dxa"/>
            <w:tcBorders>
              <w:top w:val="nil"/>
              <w:left w:val="nil"/>
              <w:bottom w:val="nil"/>
              <w:right w:val="nil"/>
            </w:tcBorders>
          </w:tcPr>
          <w:p w14:paraId="4275119F" w14:textId="7B73A36C" w:rsidR="00460F24" w:rsidRPr="004063FF" w:rsidRDefault="00460F24" w:rsidP="00460F24">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53299">
              <w:rPr>
                <w:rFonts w:asciiTheme="minorHAnsi" w:hAnsiTheme="minorHAnsi"/>
              </w:rPr>
              <w:t>Gain/loss on disposal of assets</w:t>
            </w:r>
          </w:p>
        </w:tc>
        <w:tc>
          <w:tcPr>
            <w:tcW w:w="1217" w:type="dxa"/>
            <w:tcBorders>
              <w:top w:val="nil"/>
              <w:left w:val="nil"/>
              <w:bottom w:val="nil"/>
              <w:right w:val="nil"/>
            </w:tcBorders>
          </w:tcPr>
          <w:p w14:paraId="2031D1B0" w14:textId="7C2E27CA" w:rsidR="00460F24" w:rsidRPr="004063FF" w:rsidRDefault="00460F24" w:rsidP="00460F24">
            <w:pPr>
              <w:spacing w:after="120"/>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0</w:t>
            </w:r>
          </w:p>
        </w:tc>
        <w:tc>
          <w:tcPr>
            <w:tcW w:w="1181" w:type="dxa"/>
            <w:tcBorders>
              <w:top w:val="nil"/>
              <w:left w:val="nil"/>
              <w:bottom w:val="nil"/>
              <w:right w:val="nil"/>
            </w:tcBorders>
          </w:tcPr>
          <w:p w14:paraId="32460702" w14:textId="3DEC44DE" w:rsidR="00460F24" w:rsidRPr="004063FF" w:rsidRDefault="00460F24" w:rsidP="00460F24">
            <w:pPr>
              <w:spacing w:after="120"/>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0</w:t>
            </w:r>
          </w:p>
        </w:tc>
        <w:tc>
          <w:tcPr>
            <w:tcW w:w="1182" w:type="dxa"/>
            <w:tcBorders>
              <w:top w:val="nil"/>
              <w:left w:val="nil"/>
              <w:bottom w:val="nil"/>
              <w:right w:val="nil"/>
            </w:tcBorders>
          </w:tcPr>
          <w:p w14:paraId="4387A8CD" w14:textId="03F1A555" w:rsidR="00460F24" w:rsidRPr="004063FF" w:rsidRDefault="00460F24" w:rsidP="00460F24">
            <w:pPr>
              <w:spacing w:after="120"/>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0</w:t>
            </w:r>
          </w:p>
        </w:tc>
        <w:tc>
          <w:tcPr>
            <w:tcW w:w="532" w:type="dxa"/>
            <w:tcBorders>
              <w:top w:val="nil"/>
              <w:left w:val="nil"/>
              <w:bottom w:val="nil"/>
              <w:right w:val="single" w:sz="4" w:space="0" w:color="auto"/>
            </w:tcBorders>
          </w:tcPr>
          <w:p w14:paraId="4663887B" w14:textId="77777777" w:rsidR="00460F24" w:rsidRPr="004063FF" w:rsidRDefault="00460F24" w:rsidP="00460F24">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460F24" w:rsidRPr="004063FF" w14:paraId="60970306" w14:textId="77777777" w:rsidTr="00353299">
        <w:trPr>
          <w:gridAfter w:val="2"/>
          <w:cnfStyle w:val="000000010000" w:firstRow="0" w:lastRow="0" w:firstColumn="0" w:lastColumn="0" w:oddVBand="0" w:evenVBand="0" w:oddHBand="0" w:evenHBand="1" w:firstRowFirstColumn="0" w:firstRowLastColumn="0" w:lastRowFirstColumn="0" w:lastRowLastColumn="0"/>
          <w:wAfter w:w="2364" w:type="dxa"/>
        </w:trPr>
        <w:tc>
          <w:tcPr>
            <w:cnfStyle w:val="001000000000" w:firstRow="0" w:lastRow="0" w:firstColumn="1" w:lastColumn="0" w:oddVBand="0" w:evenVBand="0" w:oddHBand="0" w:evenHBand="0" w:firstRowFirstColumn="0" w:firstRowLastColumn="0" w:lastRowFirstColumn="0" w:lastRowLastColumn="0"/>
            <w:tcW w:w="912" w:type="dxa"/>
            <w:tcBorders>
              <w:top w:val="nil"/>
              <w:left w:val="single" w:sz="4" w:space="0" w:color="auto"/>
              <w:bottom w:val="nil"/>
              <w:right w:val="nil"/>
            </w:tcBorders>
          </w:tcPr>
          <w:p w14:paraId="406C0545" w14:textId="77777777" w:rsidR="00460F24" w:rsidRPr="004063FF" w:rsidRDefault="00460F24" w:rsidP="00460F24">
            <w:pPr>
              <w:spacing w:after="120"/>
              <w:jc w:val="right"/>
              <w:rPr>
                <w:rFonts w:asciiTheme="minorHAnsi" w:hAnsiTheme="minorHAnsi"/>
              </w:rPr>
            </w:pPr>
          </w:p>
        </w:tc>
        <w:tc>
          <w:tcPr>
            <w:tcW w:w="5005" w:type="dxa"/>
            <w:tcBorders>
              <w:top w:val="nil"/>
              <w:left w:val="nil"/>
              <w:bottom w:val="nil"/>
              <w:right w:val="nil"/>
            </w:tcBorders>
          </w:tcPr>
          <w:p w14:paraId="0B12F805" w14:textId="13D931BB" w:rsidR="00460F24" w:rsidRPr="004063FF" w:rsidRDefault="00460F24" w:rsidP="00460F24">
            <w:pPr>
              <w:spacing w:after="12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4063FF">
              <w:rPr>
                <w:rFonts w:asciiTheme="minorHAnsi" w:hAnsiTheme="minorHAnsi"/>
              </w:rPr>
              <w:t xml:space="preserve">Non cash income </w:t>
            </w:r>
          </w:p>
        </w:tc>
        <w:tc>
          <w:tcPr>
            <w:tcW w:w="1217" w:type="dxa"/>
            <w:tcBorders>
              <w:top w:val="nil"/>
              <w:left w:val="nil"/>
              <w:bottom w:val="nil"/>
              <w:right w:val="nil"/>
            </w:tcBorders>
          </w:tcPr>
          <w:p w14:paraId="71C18405" w14:textId="3643065D" w:rsidR="00460F24" w:rsidRPr="004063FF" w:rsidRDefault="00460F24" w:rsidP="00460F24">
            <w:pPr>
              <w:spacing w:after="120"/>
              <w:jc w:val="right"/>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rPr>
              <w:t>500</w:t>
            </w:r>
          </w:p>
        </w:tc>
        <w:tc>
          <w:tcPr>
            <w:tcW w:w="1181" w:type="dxa"/>
            <w:tcBorders>
              <w:top w:val="nil"/>
              <w:left w:val="nil"/>
              <w:bottom w:val="nil"/>
              <w:right w:val="nil"/>
            </w:tcBorders>
          </w:tcPr>
          <w:p w14:paraId="27F2BA77" w14:textId="65522819" w:rsidR="00460F24" w:rsidRPr="004063FF" w:rsidRDefault="00460F24" w:rsidP="00460F24">
            <w:pPr>
              <w:spacing w:after="120"/>
              <w:jc w:val="right"/>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rPr>
              <w:t>700</w:t>
            </w:r>
          </w:p>
        </w:tc>
        <w:tc>
          <w:tcPr>
            <w:tcW w:w="1182" w:type="dxa"/>
            <w:tcBorders>
              <w:top w:val="nil"/>
              <w:left w:val="nil"/>
              <w:bottom w:val="nil"/>
              <w:right w:val="nil"/>
            </w:tcBorders>
          </w:tcPr>
          <w:p w14:paraId="25E82A71" w14:textId="3F4DCED8" w:rsidR="00460F24" w:rsidRPr="004063FF" w:rsidRDefault="00460F24" w:rsidP="00460F24">
            <w:pPr>
              <w:spacing w:after="120"/>
              <w:jc w:val="right"/>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rPr>
              <w:t>200</w:t>
            </w:r>
          </w:p>
        </w:tc>
        <w:tc>
          <w:tcPr>
            <w:tcW w:w="532" w:type="dxa"/>
            <w:tcBorders>
              <w:top w:val="nil"/>
              <w:left w:val="nil"/>
              <w:bottom w:val="nil"/>
              <w:right w:val="single" w:sz="4" w:space="0" w:color="auto"/>
            </w:tcBorders>
          </w:tcPr>
          <w:p w14:paraId="56B10844" w14:textId="77777777" w:rsidR="00460F24" w:rsidRPr="004063FF" w:rsidRDefault="00460F24" w:rsidP="00460F24">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460F24" w:rsidRPr="004063FF" w14:paraId="3ACD131C" w14:textId="77777777" w:rsidTr="00353299">
        <w:trPr>
          <w:gridAfter w:val="2"/>
          <w:cnfStyle w:val="000000100000" w:firstRow="0" w:lastRow="0" w:firstColumn="0" w:lastColumn="0" w:oddVBand="0" w:evenVBand="0" w:oddHBand="1" w:evenHBand="0" w:firstRowFirstColumn="0" w:firstRowLastColumn="0" w:lastRowFirstColumn="0" w:lastRowLastColumn="0"/>
          <w:wAfter w:w="2364" w:type="dxa"/>
        </w:trPr>
        <w:tc>
          <w:tcPr>
            <w:cnfStyle w:val="001000000000" w:firstRow="0" w:lastRow="0" w:firstColumn="1" w:lastColumn="0" w:oddVBand="0" w:evenVBand="0" w:oddHBand="0" w:evenHBand="0" w:firstRowFirstColumn="0" w:firstRowLastColumn="0" w:lastRowFirstColumn="0" w:lastRowLastColumn="0"/>
            <w:tcW w:w="912" w:type="dxa"/>
            <w:tcBorders>
              <w:top w:val="nil"/>
              <w:left w:val="single" w:sz="4" w:space="0" w:color="auto"/>
              <w:right w:val="nil"/>
            </w:tcBorders>
          </w:tcPr>
          <w:p w14:paraId="6EE79F69" w14:textId="77777777" w:rsidR="00460F24" w:rsidRPr="004063FF" w:rsidRDefault="00460F24" w:rsidP="00460F24">
            <w:pPr>
              <w:spacing w:after="120"/>
              <w:jc w:val="right"/>
              <w:rPr>
                <w:rFonts w:asciiTheme="minorHAnsi" w:hAnsiTheme="minorHAnsi"/>
              </w:rPr>
            </w:pPr>
          </w:p>
        </w:tc>
        <w:tc>
          <w:tcPr>
            <w:tcW w:w="5005" w:type="dxa"/>
            <w:tcBorders>
              <w:top w:val="nil"/>
              <w:left w:val="nil"/>
              <w:bottom w:val="nil"/>
              <w:right w:val="nil"/>
            </w:tcBorders>
          </w:tcPr>
          <w:p w14:paraId="46DB7ADA" w14:textId="537ED556" w:rsidR="00460F24" w:rsidRPr="004063FF" w:rsidRDefault="00460F24" w:rsidP="00460F24">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063FF">
              <w:rPr>
                <w:rFonts w:asciiTheme="minorHAnsi" w:hAnsiTheme="minorHAnsi"/>
              </w:rPr>
              <w:t>Other economic flows income</w:t>
            </w:r>
          </w:p>
        </w:tc>
        <w:tc>
          <w:tcPr>
            <w:tcW w:w="1217" w:type="dxa"/>
            <w:tcBorders>
              <w:top w:val="nil"/>
              <w:left w:val="nil"/>
              <w:bottom w:val="single" w:sz="4" w:space="0" w:color="auto"/>
              <w:right w:val="nil"/>
            </w:tcBorders>
          </w:tcPr>
          <w:p w14:paraId="6D04D2D6" w14:textId="598F3A2E" w:rsidR="00460F24" w:rsidRPr="004063FF" w:rsidRDefault="00460F24" w:rsidP="00460F24">
            <w:pPr>
              <w:spacing w:after="120"/>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0</w:t>
            </w:r>
          </w:p>
        </w:tc>
        <w:tc>
          <w:tcPr>
            <w:tcW w:w="1181" w:type="dxa"/>
            <w:tcBorders>
              <w:top w:val="nil"/>
              <w:left w:val="nil"/>
              <w:bottom w:val="single" w:sz="4" w:space="0" w:color="auto"/>
              <w:right w:val="nil"/>
            </w:tcBorders>
          </w:tcPr>
          <w:p w14:paraId="6D194D2E" w14:textId="2ED669C5" w:rsidR="00460F24" w:rsidRPr="004063FF" w:rsidRDefault="00460F24" w:rsidP="00460F24">
            <w:pPr>
              <w:spacing w:after="120"/>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70</w:t>
            </w:r>
          </w:p>
        </w:tc>
        <w:tc>
          <w:tcPr>
            <w:tcW w:w="1182" w:type="dxa"/>
            <w:tcBorders>
              <w:top w:val="nil"/>
              <w:left w:val="nil"/>
              <w:bottom w:val="single" w:sz="4" w:space="0" w:color="auto"/>
              <w:right w:val="nil"/>
            </w:tcBorders>
          </w:tcPr>
          <w:p w14:paraId="7EB2DE36" w14:textId="3D011006" w:rsidR="00460F24" w:rsidRPr="004063FF" w:rsidRDefault="00460F24" w:rsidP="00460F24">
            <w:pPr>
              <w:spacing w:after="120"/>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70</w:t>
            </w:r>
          </w:p>
        </w:tc>
        <w:tc>
          <w:tcPr>
            <w:tcW w:w="532" w:type="dxa"/>
            <w:tcBorders>
              <w:top w:val="nil"/>
              <w:left w:val="nil"/>
              <w:bottom w:val="single" w:sz="4" w:space="0" w:color="auto"/>
              <w:right w:val="single" w:sz="4" w:space="0" w:color="auto"/>
            </w:tcBorders>
          </w:tcPr>
          <w:p w14:paraId="2F03AB3D" w14:textId="77777777" w:rsidR="00460F24" w:rsidRPr="004063FF" w:rsidRDefault="00460F24" w:rsidP="00460F24">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460F24" w:rsidRPr="004524FA" w14:paraId="28CCBDE7" w14:textId="77777777" w:rsidTr="00353299">
        <w:trPr>
          <w:gridAfter w:val="2"/>
          <w:cnfStyle w:val="000000010000" w:firstRow="0" w:lastRow="0" w:firstColumn="0" w:lastColumn="0" w:oddVBand="0" w:evenVBand="0" w:oddHBand="0" w:evenHBand="1" w:firstRowFirstColumn="0" w:firstRowLastColumn="0" w:lastRowFirstColumn="0" w:lastRowLastColumn="0"/>
          <w:wAfter w:w="2364" w:type="dxa"/>
        </w:trPr>
        <w:tc>
          <w:tcPr>
            <w:cnfStyle w:val="001000000000" w:firstRow="0" w:lastRow="0" w:firstColumn="1" w:lastColumn="0" w:oddVBand="0" w:evenVBand="0" w:oddHBand="0" w:evenHBand="0" w:firstRowFirstColumn="0" w:firstRowLastColumn="0" w:lastRowFirstColumn="0" w:lastRowLastColumn="0"/>
            <w:tcW w:w="912" w:type="dxa"/>
            <w:tcBorders>
              <w:left w:val="single" w:sz="4" w:space="0" w:color="auto"/>
              <w:right w:val="nil"/>
            </w:tcBorders>
          </w:tcPr>
          <w:p w14:paraId="6B588DC7" w14:textId="77777777" w:rsidR="00460F24" w:rsidRPr="00353299" w:rsidRDefault="00460F24" w:rsidP="00460F24">
            <w:pPr>
              <w:spacing w:after="120"/>
              <w:jc w:val="right"/>
              <w:rPr>
                <w:rFonts w:asciiTheme="minorHAnsi" w:hAnsiTheme="minorHAnsi"/>
                <w:b/>
              </w:rPr>
            </w:pPr>
          </w:p>
        </w:tc>
        <w:tc>
          <w:tcPr>
            <w:tcW w:w="5005" w:type="dxa"/>
            <w:tcBorders>
              <w:top w:val="nil"/>
              <w:left w:val="nil"/>
              <w:bottom w:val="nil"/>
              <w:right w:val="nil"/>
            </w:tcBorders>
          </w:tcPr>
          <w:p w14:paraId="3F4407D3" w14:textId="4C91F0B3" w:rsidR="00460F24" w:rsidRPr="00353299" w:rsidRDefault="00460F24" w:rsidP="00460F24">
            <w:pPr>
              <w:spacing w:after="120"/>
              <w:cnfStyle w:val="000000010000" w:firstRow="0" w:lastRow="0" w:firstColumn="0" w:lastColumn="0" w:oddVBand="0" w:evenVBand="0" w:oddHBand="0" w:evenHBand="1" w:firstRowFirstColumn="0" w:firstRowLastColumn="0" w:lastRowFirstColumn="0" w:lastRowLastColumn="0"/>
              <w:rPr>
                <w:rFonts w:asciiTheme="minorHAnsi" w:hAnsiTheme="minorHAnsi"/>
                <w:b/>
              </w:rPr>
            </w:pPr>
            <w:r w:rsidRPr="00353299">
              <w:rPr>
                <w:rFonts w:asciiTheme="minorHAnsi" w:hAnsiTheme="minorHAnsi"/>
                <w:b/>
              </w:rPr>
              <w:t>Total income adjustments</w:t>
            </w:r>
          </w:p>
        </w:tc>
        <w:tc>
          <w:tcPr>
            <w:tcW w:w="1217" w:type="dxa"/>
            <w:tcBorders>
              <w:top w:val="single" w:sz="4" w:space="0" w:color="auto"/>
              <w:left w:val="nil"/>
              <w:bottom w:val="nil"/>
              <w:right w:val="nil"/>
            </w:tcBorders>
          </w:tcPr>
          <w:p w14:paraId="2FECFF4C" w14:textId="5F27AAE0" w:rsidR="00460F24" w:rsidRPr="00353299" w:rsidRDefault="00460F24" w:rsidP="00460F24">
            <w:pPr>
              <w:spacing w:after="120"/>
              <w:jc w:val="right"/>
              <w:cnfStyle w:val="000000010000" w:firstRow="0" w:lastRow="0" w:firstColumn="0" w:lastColumn="0" w:oddVBand="0" w:evenVBand="0" w:oddHBand="0" w:evenHBand="1" w:firstRowFirstColumn="0" w:firstRowLastColumn="0" w:lastRowFirstColumn="0" w:lastRowLastColumn="0"/>
              <w:rPr>
                <w:rFonts w:asciiTheme="minorHAnsi" w:hAnsiTheme="minorHAnsi"/>
                <w:b/>
              </w:rPr>
            </w:pPr>
            <w:r w:rsidRPr="00353299">
              <w:rPr>
                <w:rFonts w:asciiTheme="minorHAnsi" w:hAnsiTheme="minorHAnsi"/>
                <w:b/>
              </w:rPr>
              <w:t>500</w:t>
            </w:r>
          </w:p>
        </w:tc>
        <w:tc>
          <w:tcPr>
            <w:tcW w:w="1181" w:type="dxa"/>
            <w:tcBorders>
              <w:top w:val="single" w:sz="4" w:space="0" w:color="auto"/>
              <w:left w:val="nil"/>
              <w:bottom w:val="nil"/>
              <w:right w:val="nil"/>
            </w:tcBorders>
          </w:tcPr>
          <w:p w14:paraId="320AD1B0" w14:textId="4991C560" w:rsidR="00460F24" w:rsidRPr="00353299" w:rsidRDefault="00460F24" w:rsidP="00460F24">
            <w:pPr>
              <w:spacing w:after="120"/>
              <w:jc w:val="right"/>
              <w:cnfStyle w:val="000000010000" w:firstRow="0" w:lastRow="0" w:firstColumn="0" w:lastColumn="0" w:oddVBand="0" w:evenVBand="0" w:oddHBand="0" w:evenHBand="1" w:firstRowFirstColumn="0" w:firstRowLastColumn="0" w:lastRowFirstColumn="0" w:lastRowLastColumn="0"/>
              <w:rPr>
                <w:rFonts w:asciiTheme="minorHAnsi" w:hAnsiTheme="minorHAnsi"/>
                <w:b/>
              </w:rPr>
            </w:pPr>
            <w:r w:rsidRPr="00353299">
              <w:rPr>
                <w:rFonts w:asciiTheme="minorHAnsi" w:hAnsiTheme="minorHAnsi"/>
                <w:b/>
              </w:rPr>
              <w:t>770</w:t>
            </w:r>
          </w:p>
        </w:tc>
        <w:tc>
          <w:tcPr>
            <w:tcW w:w="1182" w:type="dxa"/>
            <w:tcBorders>
              <w:top w:val="single" w:sz="4" w:space="0" w:color="auto"/>
              <w:left w:val="nil"/>
              <w:bottom w:val="nil"/>
              <w:right w:val="nil"/>
            </w:tcBorders>
          </w:tcPr>
          <w:p w14:paraId="641B26ED" w14:textId="60B95F7A" w:rsidR="00460F24" w:rsidRPr="00353299" w:rsidRDefault="00460F24" w:rsidP="00460F24">
            <w:pPr>
              <w:spacing w:after="120"/>
              <w:jc w:val="right"/>
              <w:cnfStyle w:val="000000010000" w:firstRow="0" w:lastRow="0" w:firstColumn="0" w:lastColumn="0" w:oddVBand="0" w:evenVBand="0" w:oddHBand="0" w:evenHBand="1" w:firstRowFirstColumn="0" w:firstRowLastColumn="0" w:lastRowFirstColumn="0" w:lastRowLastColumn="0"/>
              <w:rPr>
                <w:rFonts w:asciiTheme="minorHAnsi" w:hAnsiTheme="minorHAnsi"/>
                <w:b/>
              </w:rPr>
            </w:pPr>
            <w:r w:rsidRPr="00353299">
              <w:rPr>
                <w:rFonts w:asciiTheme="minorHAnsi" w:hAnsiTheme="minorHAnsi"/>
                <w:b/>
              </w:rPr>
              <w:t>270</w:t>
            </w:r>
          </w:p>
        </w:tc>
        <w:tc>
          <w:tcPr>
            <w:tcW w:w="532" w:type="dxa"/>
            <w:tcBorders>
              <w:top w:val="single" w:sz="4" w:space="0" w:color="auto"/>
              <w:left w:val="nil"/>
              <w:bottom w:val="nil"/>
              <w:right w:val="single" w:sz="4" w:space="0" w:color="auto"/>
            </w:tcBorders>
          </w:tcPr>
          <w:p w14:paraId="00B131B6" w14:textId="77777777" w:rsidR="00460F24" w:rsidRPr="00353299" w:rsidRDefault="00460F24" w:rsidP="00460F24">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rPr>
            </w:pPr>
          </w:p>
        </w:tc>
      </w:tr>
      <w:tr w:rsidR="00460F24" w:rsidRPr="004063FF" w14:paraId="5198D857" w14:textId="77777777" w:rsidTr="00F63246">
        <w:trPr>
          <w:gridAfter w:val="2"/>
          <w:cnfStyle w:val="000000100000" w:firstRow="0" w:lastRow="0" w:firstColumn="0" w:lastColumn="0" w:oddVBand="0" w:evenVBand="0" w:oddHBand="1" w:evenHBand="0" w:firstRowFirstColumn="0" w:firstRowLastColumn="0" w:lastRowFirstColumn="0" w:lastRowLastColumn="0"/>
          <w:wAfter w:w="2364" w:type="dxa"/>
        </w:trPr>
        <w:tc>
          <w:tcPr>
            <w:cnfStyle w:val="001000000000" w:firstRow="0" w:lastRow="0" w:firstColumn="1" w:lastColumn="0" w:oddVBand="0" w:evenVBand="0" w:oddHBand="0" w:evenHBand="0" w:firstRowFirstColumn="0" w:firstRowLastColumn="0" w:lastRowFirstColumn="0" w:lastRowLastColumn="0"/>
            <w:tcW w:w="912" w:type="dxa"/>
            <w:tcBorders>
              <w:left w:val="single" w:sz="4" w:space="0" w:color="auto"/>
              <w:right w:val="nil"/>
            </w:tcBorders>
          </w:tcPr>
          <w:p w14:paraId="6969A8BC" w14:textId="29D40E5F" w:rsidR="00460F24" w:rsidRPr="00353299" w:rsidRDefault="00460F24" w:rsidP="00460F24">
            <w:pPr>
              <w:spacing w:after="120"/>
              <w:jc w:val="right"/>
              <w:rPr>
                <w:rFonts w:asciiTheme="minorHAnsi" w:hAnsiTheme="minorHAnsi"/>
                <w:b/>
              </w:rPr>
            </w:pPr>
            <w:r w:rsidRPr="00353299">
              <w:rPr>
                <w:rFonts w:asciiTheme="minorHAnsi" w:hAnsiTheme="minorHAnsi"/>
                <w:b/>
              </w:rPr>
              <w:t xml:space="preserve">Less:    </w:t>
            </w:r>
          </w:p>
        </w:tc>
        <w:tc>
          <w:tcPr>
            <w:tcW w:w="5005" w:type="dxa"/>
            <w:tcBorders>
              <w:top w:val="nil"/>
              <w:left w:val="nil"/>
              <w:bottom w:val="nil"/>
              <w:right w:val="nil"/>
            </w:tcBorders>
          </w:tcPr>
          <w:p w14:paraId="157B316E" w14:textId="671D70E8" w:rsidR="00460F24" w:rsidRPr="00353299" w:rsidRDefault="00460F24" w:rsidP="00460F24">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353299">
              <w:rPr>
                <w:rFonts w:asciiTheme="minorHAnsi" w:hAnsiTheme="minorHAnsi"/>
                <w:b/>
              </w:rPr>
              <w:t>Investing and financing payment activities adjustment</w:t>
            </w:r>
          </w:p>
        </w:tc>
        <w:tc>
          <w:tcPr>
            <w:tcW w:w="1217" w:type="dxa"/>
            <w:tcBorders>
              <w:top w:val="nil"/>
              <w:left w:val="nil"/>
              <w:bottom w:val="nil"/>
              <w:right w:val="nil"/>
            </w:tcBorders>
          </w:tcPr>
          <w:p w14:paraId="3224097A" w14:textId="77777777" w:rsidR="00460F24" w:rsidRPr="004063FF" w:rsidRDefault="00460F24" w:rsidP="00460F24">
            <w:pPr>
              <w:spacing w:after="120"/>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181" w:type="dxa"/>
            <w:tcBorders>
              <w:top w:val="nil"/>
              <w:left w:val="nil"/>
              <w:bottom w:val="nil"/>
              <w:right w:val="nil"/>
            </w:tcBorders>
          </w:tcPr>
          <w:p w14:paraId="2B8C4FDC" w14:textId="77777777" w:rsidR="00460F24" w:rsidRPr="004063FF" w:rsidRDefault="00460F24" w:rsidP="00460F24">
            <w:pPr>
              <w:spacing w:after="120"/>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182" w:type="dxa"/>
            <w:tcBorders>
              <w:top w:val="nil"/>
              <w:left w:val="nil"/>
              <w:bottom w:val="nil"/>
              <w:right w:val="nil"/>
            </w:tcBorders>
          </w:tcPr>
          <w:p w14:paraId="40E069C9" w14:textId="77777777" w:rsidR="00460F24" w:rsidRPr="004063FF" w:rsidRDefault="00460F24" w:rsidP="00460F24">
            <w:pPr>
              <w:spacing w:after="120"/>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532" w:type="dxa"/>
            <w:tcBorders>
              <w:top w:val="nil"/>
              <w:left w:val="nil"/>
              <w:bottom w:val="nil"/>
              <w:right w:val="single" w:sz="4" w:space="0" w:color="auto"/>
            </w:tcBorders>
          </w:tcPr>
          <w:p w14:paraId="7C472D11" w14:textId="77777777" w:rsidR="00460F24" w:rsidRPr="004063FF" w:rsidRDefault="00460F24" w:rsidP="00460F24">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460F24" w:rsidRPr="004063FF" w14:paraId="3B63A8FB" w14:textId="77777777" w:rsidTr="00F63246">
        <w:trPr>
          <w:gridAfter w:val="2"/>
          <w:cnfStyle w:val="000000010000" w:firstRow="0" w:lastRow="0" w:firstColumn="0" w:lastColumn="0" w:oddVBand="0" w:evenVBand="0" w:oddHBand="0" w:evenHBand="1" w:firstRowFirstColumn="0" w:firstRowLastColumn="0" w:lastRowFirstColumn="0" w:lastRowLastColumn="0"/>
          <w:wAfter w:w="2364" w:type="dxa"/>
        </w:trPr>
        <w:tc>
          <w:tcPr>
            <w:cnfStyle w:val="001000000000" w:firstRow="0" w:lastRow="0" w:firstColumn="1" w:lastColumn="0" w:oddVBand="0" w:evenVBand="0" w:oddHBand="0" w:evenHBand="0" w:firstRowFirstColumn="0" w:firstRowLastColumn="0" w:lastRowFirstColumn="0" w:lastRowLastColumn="0"/>
            <w:tcW w:w="912" w:type="dxa"/>
            <w:tcBorders>
              <w:left w:val="single" w:sz="4" w:space="0" w:color="auto"/>
              <w:right w:val="nil"/>
            </w:tcBorders>
          </w:tcPr>
          <w:p w14:paraId="1816BF61" w14:textId="77777777" w:rsidR="00460F24" w:rsidRPr="004063FF" w:rsidRDefault="00460F24" w:rsidP="00460F24">
            <w:pPr>
              <w:spacing w:after="120"/>
              <w:jc w:val="right"/>
              <w:rPr>
                <w:rFonts w:asciiTheme="minorHAnsi" w:hAnsiTheme="minorHAnsi"/>
              </w:rPr>
            </w:pPr>
          </w:p>
        </w:tc>
        <w:tc>
          <w:tcPr>
            <w:tcW w:w="5005" w:type="dxa"/>
            <w:tcBorders>
              <w:top w:val="nil"/>
              <w:left w:val="nil"/>
              <w:bottom w:val="nil"/>
              <w:right w:val="nil"/>
            </w:tcBorders>
          </w:tcPr>
          <w:p w14:paraId="3BB8B67E" w14:textId="091B341E" w:rsidR="00460F24" w:rsidRPr="004063FF" w:rsidRDefault="00460F24" w:rsidP="00460F24">
            <w:pPr>
              <w:spacing w:after="12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4063FF">
              <w:rPr>
                <w:rFonts w:asciiTheme="minorHAnsi" w:hAnsiTheme="minorHAnsi"/>
              </w:rPr>
              <w:t>Purchases of assets</w:t>
            </w:r>
          </w:p>
        </w:tc>
        <w:tc>
          <w:tcPr>
            <w:tcW w:w="1217" w:type="dxa"/>
            <w:tcBorders>
              <w:top w:val="nil"/>
              <w:left w:val="nil"/>
              <w:bottom w:val="nil"/>
              <w:right w:val="nil"/>
            </w:tcBorders>
          </w:tcPr>
          <w:p w14:paraId="383DD9D7" w14:textId="32E48BFA" w:rsidR="00460F24" w:rsidRPr="004063FF" w:rsidRDefault="00460F24" w:rsidP="00460F24">
            <w:pPr>
              <w:spacing w:after="120"/>
              <w:jc w:val="right"/>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rPr>
              <w:t>3 423</w:t>
            </w:r>
          </w:p>
        </w:tc>
        <w:tc>
          <w:tcPr>
            <w:tcW w:w="1181" w:type="dxa"/>
            <w:tcBorders>
              <w:top w:val="nil"/>
              <w:left w:val="nil"/>
              <w:bottom w:val="nil"/>
              <w:right w:val="nil"/>
            </w:tcBorders>
          </w:tcPr>
          <w:p w14:paraId="37DACD52" w14:textId="40AE8219" w:rsidR="00460F24" w:rsidRPr="004063FF" w:rsidRDefault="00460F24" w:rsidP="00460F24">
            <w:pPr>
              <w:spacing w:after="120"/>
              <w:jc w:val="right"/>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rPr>
              <w:t>8 828</w:t>
            </w:r>
          </w:p>
        </w:tc>
        <w:tc>
          <w:tcPr>
            <w:tcW w:w="1182" w:type="dxa"/>
            <w:tcBorders>
              <w:top w:val="nil"/>
              <w:left w:val="nil"/>
              <w:bottom w:val="nil"/>
              <w:right w:val="nil"/>
            </w:tcBorders>
          </w:tcPr>
          <w:p w14:paraId="60038FD0" w14:textId="64F96A45" w:rsidR="00460F24" w:rsidRPr="004063FF" w:rsidRDefault="00460F24" w:rsidP="00460F24">
            <w:pPr>
              <w:spacing w:after="120"/>
              <w:jc w:val="right"/>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rPr>
              <w:t>5 405</w:t>
            </w:r>
          </w:p>
        </w:tc>
        <w:tc>
          <w:tcPr>
            <w:tcW w:w="532" w:type="dxa"/>
            <w:tcBorders>
              <w:top w:val="nil"/>
              <w:left w:val="nil"/>
              <w:bottom w:val="nil"/>
              <w:right w:val="single" w:sz="4" w:space="0" w:color="auto"/>
            </w:tcBorders>
          </w:tcPr>
          <w:p w14:paraId="03B11447" w14:textId="77777777" w:rsidR="00460F24" w:rsidRPr="004063FF" w:rsidRDefault="00460F24" w:rsidP="00460F24">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460F24" w:rsidRPr="004063FF" w14:paraId="6AFAD0C1" w14:textId="77777777" w:rsidTr="00F63246">
        <w:trPr>
          <w:gridAfter w:val="2"/>
          <w:cnfStyle w:val="000000100000" w:firstRow="0" w:lastRow="0" w:firstColumn="0" w:lastColumn="0" w:oddVBand="0" w:evenVBand="0" w:oddHBand="1" w:evenHBand="0" w:firstRowFirstColumn="0" w:firstRowLastColumn="0" w:lastRowFirstColumn="0" w:lastRowLastColumn="0"/>
          <w:wAfter w:w="2364" w:type="dxa"/>
        </w:trPr>
        <w:tc>
          <w:tcPr>
            <w:cnfStyle w:val="001000000000" w:firstRow="0" w:lastRow="0" w:firstColumn="1" w:lastColumn="0" w:oddVBand="0" w:evenVBand="0" w:oddHBand="0" w:evenHBand="0" w:firstRowFirstColumn="0" w:firstRowLastColumn="0" w:lastRowFirstColumn="0" w:lastRowLastColumn="0"/>
            <w:tcW w:w="912" w:type="dxa"/>
            <w:tcBorders>
              <w:left w:val="single" w:sz="4" w:space="0" w:color="auto"/>
              <w:right w:val="nil"/>
            </w:tcBorders>
          </w:tcPr>
          <w:p w14:paraId="3EE4B215" w14:textId="08C02E28" w:rsidR="00460F24" w:rsidRPr="004063FF" w:rsidRDefault="00460F24" w:rsidP="00460F24">
            <w:pPr>
              <w:spacing w:after="120"/>
              <w:jc w:val="right"/>
              <w:rPr>
                <w:rFonts w:asciiTheme="minorHAnsi" w:hAnsiTheme="minorHAnsi"/>
              </w:rPr>
            </w:pPr>
            <w:r>
              <w:rPr>
                <w:rFonts w:asciiTheme="minorHAnsi" w:hAnsiTheme="minorHAnsi"/>
              </w:rPr>
              <w:t xml:space="preserve"> </w:t>
            </w:r>
          </w:p>
        </w:tc>
        <w:tc>
          <w:tcPr>
            <w:tcW w:w="5005" w:type="dxa"/>
            <w:tcBorders>
              <w:top w:val="nil"/>
              <w:left w:val="nil"/>
              <w:bottom w:val="nil"/>
              <w:right w:val="nil"/>
            </w:tcBorders>
          </w:tcPr>
          <w:p w14:paraId="66909E87" w14:textId="3D7B3B82" w:rsidR="00460F24" w:rsidRPr="004063FF" w:rsidRDefault="00460F24" w:rsidP="00460F24">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063FF">
              <w:rPr>
                <w:rFonts w:asciiTheme="minorHAnsi" w:hAnsiTheme="minorHAnsi"/>
              </w:rPr>
              <w:t>Advances and investing payments</w:t>
            </w:r>
          </w:p>
        </w:tc>
        <w:tc>
          <w:tcPr>
            <w:tcW w:w="1217" w:type="dxa"/>
            <w:tcBorders>
              <w:top w:val="nil"/>
              <w:left w:val="nil"/>
              <w:bottom w:val="nil"/>
              <w:right w:val="nil"/>
            </w:tcBorders>
          </w:tcPr>
          <w:p w14:paraId="551E8525" w14:textId="11DB2280" w:rsidR="00460F24" w:rsidRPr="004063FF" w:rsidRDefault="00460F24" w:rsidP="00460F24">
            <w:pPr>
              <w:spacing w:after="120"/>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10 000</w:t>
            </w:r>
          </w:p>
        </w:tc>
        <w:tc>
          <w:tcPr>
            <w:tcW w:w="1181" w:type="dxa"/>
            <w:tcBorders>
              <w:top w:val="nil"/>
              <w:left w:val="nil"/>
              <w:bottom w:val="nil"/>
              <w:right w:val="nil"/>
            </w:tcBorders>
          </w:tcPr>
          <w:p w14:paraId="0EE6D00F" w14:textId="618498FC" w:rsidR="00460F24" w:rsidRPr="004063FF" w:rsidRDefault="00460F24" w:rsidP="00353299">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      5 877</w:t>
            </w:r>
          </w:p>
        </w:tc>
        <w:tc>
          <w:tcPr>
            <w:tcW w:w="1182" w:type="dxa"/>
            <w:tcBorders>
              <w:top w:val="nil"/>
              <w:left w:val="nil"/>
              <w:bottom w:val="nil"/>
              <w:right w:val="nil"/>
            </w:tcBorders>
          </w:tcPr>
          <w:p w14:paraId="47C88D57" w14:textId="44A93A71" w:rsidR="00460F24" w:rsidRPr="004063FF" w:rsidRDefault="00460F24" w:rsidP="00353299">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    - 4 123</w:t>
            </w:r>
          </w:p>
        </w:tc>
        <w:tc>
          <w:tcPr>
            <w:tcW w:w="532" w:type="dxa"/>
            <w:tcBorders>
              <w:top w:val="nil"/>
              <w:left w:val="nil"/>
              <w:bottom w:val="nil"/>
              <w:right w:val="single" w:sz="4" w:space="0" w:color="auto"/>
            </w:tcBorders>
          </w:tcPr>
          <w:p w14:paraId="73E31DCA" w14:textId="77777777" w:rsidR="00460F24" w:rsidRPr="004063FF" w:rsidRDefault="00460F24" w:rsidP="00460F24">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460F24" w:rsidRPr="004063FF" w14:paraId="5DA6DC53" w14:textId="77777777" w:rsidTr="00353299">
        <w:trPr>
          <w:gridAfter w:val="2"/>
          <w:cnfStyle w:val="000000010000" w:firstRow="0" w:lastRow="0" w:firstColumn="0" w:lastColumn="0" w:oddVBand="0" w:evenVBand="0" w:oddHBand="0" w:evenHBand="1" w:firstRowFirstColumn="0" w:firstRowLastColumn="0" w:lastRowFirstColumn="0" w:lastRowLastColumn="0"/>
          <w:wAfter w:w="2364" w:type="dxa"/>
        </w:trPr>
        <w:tc>
          <w:tcPr>
            <w:cnfStyle w:val="001000000000" w:firstRow="0" w:lastRow="0" w:firstColumn="1" w:lastColumn="0" w:oddVBand="0" w:evenVBand="0" w:oddHBand="0" w:evenHBand="0" w:firstRowFirstColumn="0" w:firstRowLastColumn="0" w:lastRowFirstColumn="0" w:lastRowLastColumn="0"/>
            <w:tcW w:w="912" w:type="dxa"/>
            <w:tcBorders>
              <w:left w:val="single" w:sz="4" w:space="0" w:color="auto"/>
              <w:right w:val="nil"/>
            </w:tcBorders>
          </w:tcPr>
          <w:p w14:paraId="75EE9405" w14:textId="77777777" w:rsidR="00460F24" w:rsidRPr="004063FF" w:rsidRDefault="00460F24" w:rsidP="00460F24">
            <w:pPr>
              <w:spacing w:after="120"/>
              <w:jc w:val="right"/>
              <w:rPr>
                <w:rFonts w:asciiTheme="minorHAnsi" w:hAnsiTheme="minorHAnsi"/>
              </w:rPr>
            </w:pPr>
          </w:p>
        </w:tc>
        <w:tc>
          <w:tcPr>
            <w:tcW w:w="5005" w:type="dxa"/>
            <w:tcBorders>
              <w:top w:val="nil"/>
              <w:left w:val="nil"/>
              <w:bottom w:val="nil"/>
              <w:right w:val="nil"/>
            </w:tcBorders>
          </w:tcPr>
          <w:p w14:paraId="5CB18943" w14:textId="43AE1DBE" w:rsidR="00460F24" w:rsidRPr="004063FF" w:rsidRDefault="00460F24" w:rsidP="00460F24">
            <w:pPr>
              <w:spacing w:after="12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4063FF">
              <w:rPr>
                <w:rFonts w:asciiTheme="minorHAnsi" w:hAnsiTheme="minorHAnsi"/>
              </w:rPr>
              <w:t>Lease payments</w:t>
            </w:r>
          </w:p>
        </w:tc>
        <w:tc>
          <w:tcPr>
            <w:tcW w:w="1217" w:type="dxa"/>
            <w:tcBorders>
              <w:top w:val="nil"/>
              <w:left w:val="nil"/>
              <w:bottom w:val="nil"/>
              <w:right w:val="nil"/>
            </w:tcBorders>
          </w:tcPr>
          <w:p w14:paraId="21EBBC83" w14:textId="0F08CE7B" w:rsidR="00460F24" w:rsidRPr="004063FF" w:rsidRDefault="00460F24" w:rsidP="00460F24">
            <w:pPr>
              <w:spacing w:after="120"/>
              <w:jc w:val="right"/>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rPr>
              <w:t>3 477</w:t>
            </w:r>
          </w:p>
        </w:tc>
        <w:tc>
          <w:tcPr>
            <w:tcW w:w="1181" w:type="dxa"/>
            <w:tcBorders>
              <w:top w:val="nil"/>
              <w:left w:val="nil"/>
              <w:bottom w:val="nil"/>
              <w:right w:val="nil"/>
            </w:tcBorders>
          </w:tcPr>
          <w:p w14:paraId="6BABBA04" w14:textId="29B6A659" w:rsidR="00460F24" w:rsidRPr="004063FF" w:rsidRDefault="00460F24" w:rsidP="00460F24">
            <w:pPr>
              <w:spacing w:after="120"/>
              <w:jc w:val="right"/>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rPr>
              <w:t xml:space="preserve"> 4 416</w:t>
            </w:r>
          </w:p>
        </w:tc>
        <w:tc>
          <w:tcPr>
            <w:tcW w:w="1182" w:type="dxa"/>
            <w:tcBorders>
              <w:top w:val="nil"/>
              <w:left w:val="nil"/>
              <w:bottom w:val="nil"/>
              <w:right w:val="nil"/>
            </w:tcBorders>
          </w:tcPr>
          <w:p w14:paraId="360C0FC8" w14:textId="7FE5B2DD" w:rsidR="00460F24" w:rsidRPr="004063FF" w:rsidRDefault="00460F24" w:rsidP="00460F24">
            <w:pPr>
              <w:spacing w:after="120"/>
              <w:jc w:val="right"/>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rPr>
              <w:t>939</w:t>
            </w:r>
          </w:p>
        </w:tc>
        <w:tc>
          <w:tcPr>
            <w:tcW w:w="532" w:type="dxa"/>
            <w:tcBorders>
              <w:top w:val="nil"/>
              <w:left w:val="nil"/>
              <w:bottom w:val="nil"/>
              <w:right w:val="single" w:sz="4" w:space="0" w:color="auto"/>
            </w:tcBorders>
          </w:tcPr>
          <w:p w14:paraId="07C64DE4" w14:textId="77777777" w:rsidR="00460F24" w:rsidRPr="004063FF" w:rsidRDefault="00460F24" w:rsidP="00460F24">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460F24" w:rsidRPr="004063FF" w14:paraId="278145A8" w14:textId="77777777" w:rsidTr="00353299">
        <w:trPr>
          <w:gridAfter w:val="2"/>
          <w:cnfStyle w:val="000000100000" w:firstRow="0" w:lastRow="0" w:firstColumn="0" w:lastColumn="0" w:oddVBand="0" w:evenVBand="0" w:oddHBand="1" w:evenHBand="0" w:firstRowFirstColumn="0" w:firstRowLastColumn="0" w:lastRowFirstColumn="0" w:lastRowLastColumn="0"/>
          <w:wAfter w:w="2364" w:type="dxa"/>
        </w:trPr>
        <w:tc>
          <w:tcPr>
            <w:cnfStyle w:val="001000000000" w:firstRow="0" w:lastRow="0" w:firstColumn="1" w:lastColumn="0" w:oddVBand="0" w:evenVBand="0" w:oddHBand="0" w:evenHBand="0" w:firstRowFirstColumn="0" w:firstRowLastColumn="0" w:lastRowFirstColumn="0" w:lastRowLastColumn="0"/>
            <w:tcW w:w="912" w:type="dxa"/>
            <w:tcBorders>
              <w:left w:val="single" w:sz="4" w:space="0" w:color="auto"/>
              <w:right w:val="nil"/>
            </w:tcBorders>
          </w:tcPr>
          <w:p w14:paraId="6ADCEC39" w14:textId="77777777" w:rsidR="00460F24" w:rsidRPr="004063FF" w:rsidRDefault="00460F24" w:rsidP="00460F24">
            <w:pPr>
              <w:spacing w:after="120"/>
              <w:jc w:val="right"/>
              <w:rPr>
                <w:rFonts w:asciiTheme="minorHAnsi" w:hAnsiTheme="minorHAnsi"/>
              </w:rPr>
            </w:pPr>
          </w:p>
        </w:tc>
        <w:tc>
          <w:tcPr>
            <w:tcW w:w="5005" w:type="dxa"/>
            <w:tcBorders>
              <w:top w:val="nil"/>
              <w:left w:val="nil"/>
              <w:bottom w:val="nil"/>
              <w:right w:val="nil"/>
            </w:tcBorders>
          </w:tcPr>
          <w:p w14:paraId="385F4124" w14:textId="637FB7EC" w:rsidR="00460F24" w:rsidRPr="004063FF" w:rsidRDefault="00460F24" w:rsidP="00460F24">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063FF">
              <w:rPr>
                <w:rFonts w:asciiTheme="minorHAnsi" w:hAnsiTheme="minorHAnsi"/>
              </w:rPr>
              <w:t>Service concession liability payments</w:t>
            </w:r>
          </w:p>
        </w:tc>
        <w:tc>
          <w:tcPr>
            <w:tcW w:w="1217" w:type="dxa"/>
            <w:tcBorders>
              <w:top w:val="nil"/>
              <w:left w:val="nil"/>
              <w:bottom w:val="single" w:sz="4" w:space="0" w:color="auto"/>
              <w:right w:val="nil"/>
            </w:tcBorders>
          </w:tcPr>
          <w:p w14:paraId="3952D46D" w14:textId="62FC6180" w:rsidR="00460F24" w:rsidRPr="004063FF" w:rsidRDefault="00460F24" w:rsidP="00460F24">
            <w:pPr>
              <w:spacing w:after="120"/>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0</w:t>
            </w:r>
          </w:p>
        </w:tc>
        <w:tc>
          <w:tcPr>
            <w:tcW w:w="1181" w:type="dxa"/>
            <w:tcBorders>
              <w:top w:val="nil"/>
              <w:left w:val="nil"/>
              <w:bottom w:val="single" w:sz="4" w:space="0" w:color="auto"/>
              <w:right w:val="nil"/>
            </w:tcBorders>
          </w:tcPr>
          <w:p w14:paraId="39AC24FA" w14:textId="00C84380" w:rsidR="00460F24" w:rsidRPr="004063FF" w:rsidRDefault="00460F24" w:rsidP="00460F24">
            <w:pPr>
              <w:spacing w:after="120"/>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0</w:t>
            </w:r>
          </w:p>
        </w:tc>
        <w:tc>
          <w:tcPr>
            <w:tcW w:w="1182" w:type="dxa"/>
            <w:tcBorders>
              <w:top w:val="nil"/>
              <w:left w:val="nil"/>
              <w:bottom w:val="single" w:sz="4" w:space="0" w:color="auto"/>
              <w:right w:val="nil"/>
            </w:tcBorders>
          </w:tcPr>
          <w:p w14:paraId="1C135A52" w14:textId="75410639" w:rsidR="00460F24" w:rsidRPr="004063FF" w:rsidRDefault="00460F24" w:rsidP="00460F24">
            <w:pPr>
              <w:spacing w:after="120"/>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0</w:t>
            </w:r>
          </w:p>
        </w:tc>
        <w:tc>
          <w:tcPr>
            <w:tcW w:w="532" w:type="dxa"/>
            <w:tcBorders>
              <w:top w:val="nil"/>
              <w:left w:val="nil"/>
              <w:bottom w:val="single" w:sz="4" w:space="0" w:color="auto"/>
              <w:right w:val="single" w:sz="4" w:space="0" w:color="auto"/>
            </w:tcBorders>
          </w:tcPr>
          <w:p w14:paraId="2D7CCAEA" w14:textId="77777777" w:rsidR="00460F24" w:rsidRPr="004063FF" w:rsidRDefault="00460F24" w:rsidP="00460F24">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460F24" w:rsidRPr="004524FA" w14:paraId="46E6BBF5" w14:textId="77777777" w:rsidTr="00353299">
        <w:trPr>
          <w:gridAfter w:val="2"/>
          <w:cnfStyle w:val="000000010000" w:firstRow="0" w:lastRow="0" w:firstColumn="0" w:lastColumn="0" w:oddVBand="0" w:evenVBand="0" w:oddHBand="0" w:evenHBand="1" w:firstRowFirstColumn="0" w:firstRowLastColumn="0" w:lastRowFirstColumn="0" w:lastRowLastColumn="0"/>
          <w:wAfter w:w="2364" w:type="dxa"/>
        </w:trPr>
        <w:tc>
          <w:tcPr>
            <w:cnfStyle w:val="001000000000" w:firstRow="0" w:lastRow="0" w:firstColumn="1" w:lastColumn="0" w:oddVBand="0" w:evenVBand="0" w:oddHBand="0" w:evenHBand="0" w:firstRowFirstColumn="0" w:firstRowLastColumn="0" w:lastRowFirstColumn="0" w:lastRowLastColumn="0"/>
            <w:tcW w:w="912" w:type="dxa"/>
            <w:tcBorders>
              <w:left w:val="single" w:sz="4" w:space="0" w:color="auto"/>
              <w:right w:val="nil"/>
            </w:tcBorders>
          </w:tcPr>
          <w:p w14:paraId="4111BA55" w14:textId="77777777" w:rsidR="00460F24" w:rsidRPr="00353299" w:rsidRDefault="00460F24" w:rsidP="00460F24">
            <w:pPr>
              <w:spacing w:after="120"/>
              <w:jc w:val="right"/>
              <w:rPr>
                <w:rFonts w:asciiTheme="minorHAnsi" w:hAnsiTheme="minorHAnsi"/>
                <w:b/>
              </w:rPr>
            </w:pPr>
          </w:p>
        </w:tc>
        <w:tc>
          <w:tcPr>
            <w:tcW w:w="5005" w:type="dxa"/>
            <w:tcBorders>
              <w:top w:val="nil"/>
              <w:left w:val="nil"/>
              <w:bottom w:val="nil"/>
              <w:right w:val="nil"/>
            </w:tcBorders>
          </w:tcPr>
          <w:p w14:paraId="602621D3" w14:textId="0C59BEF8" w:rsidR="00460F24" w:rsidRPr="00353299" w:rsidRDefault="00460F24" w:rsidP="00460F24">
            <w:pPr>
              <w:spacing w:after="120"/>
              <w:cnfStyle w:val="000000010000" w:firstRow="0" w:lastRow="0" w:firstColumn="0" w:lastColumn="0" w:oddVBand="0" w:evenVBand="0" w:oddHBand="0" w:evenHBand="1" w:firstRowFirstColumn="0" w:firstRowLastColumn="0" w:lastRowFirstColumn="0" w:lastRowLastColumn="0"/>
              <w:rPr>
                <w:rFonts w:asciiTheme="minorHAnsi" w:hAnsiTheme="minorHAnsi"/>
                <w:b/>
              </w:rPr>
            </w:pPr>
            <w:r w:rsidRPr="00353299">
              <w:rPr>
                <w:rFonts w:asciiTheme="minorHAnsi" w:hAnsiTheme="minorHAnsi"/>
                <w:b/>
              </w:rPr>
              <w:t xml:space="preserve">Total investing and financing payment activities adjustments </w:t>
            </w:r>
          </w:p>
        </w:tc>
        <w:tc>
          <w:tcPr>
            <w:tcW w:w="1217" w:type="dxa"/>
            <w:tcBorders>
              <w:top w:val="single" w:sz="4" w:space="0" w:color="auto"/>
              <w:left w:val="nil"/>
              <w:bottom w:val="nil"/>
              <w:right w:val="nil"/>
            </w:tcBorders>
          </w:tcPr>
          <w:p w14:paraId="31EC786A" w14:textId="5B3576A7" w:rsidR="00460F24" w:rsidRPr="00353299" w:rsidRDefault="00460F24" w:rsidP="00460F24">
            <w:pPr>
              <w:spacing w:after="120"/>
              <w:jc w:val="right"/>
              <w:cnfStyle w:val="000000010000" w:firstRow="0" w:lastRow="0" w:firstColumn="0" w:lastColumn="0" w:oddVBand="0" w:evenVBand="0" w:oddHBand="0" w:evenHBand="1" w:firstRowFirstColumn="0" w:firstRowLastColumn="0" w:lastRowFirstColumn="0" w:lastRowLastColumn="0"/>
              <w:rPr>
                <w:rFonts w:asciiTheme="minorHAnsi" w:hAnsiTheme="minorHAnsi"/>
                <w:b/>
              </w:rPr>
            </w:pPr>
            <w:r>
              <w:rPr>
                <w:rFonts w:asciiTheme="minorHAnsi" w:hAnsiTheme="minorHAnsi"/>
                <w:b/>
              </w:rPr>
              <w:t>1</w:t>
            </w:r>
            <w:r w:rsidRPr="00353299">
              <w:rPr>
                <w:rFonts w:asciiTheme="minorHAnsi" w:hAnsiTheme="minorHAnsi"/>
                <w:b/>
              </w:rPr>
              <w:t>6 900</w:t>
            </w:r>
          </w:p>
        </w:tc>
        <w:tc>
          <w:tcPr>
            <w:tcW w:w="1181" w:type="dxa"/>
            <w:tcBorders>
              <w:top w:val="single" w:sz="4" w:space="0" w:color="auto"/>
              <w:left w:val="nil"/>
              <w:bottom w:val="nil"/>
              <w:right w:val="nil"/>
            </w:tcBorders>
          </w:tcPr>
          <w:p w14:paraId="57D44F67" w14:textId="0D8EA68A" w:rsidR="00460F24" w:rsidRPr="00353299" w:rsidRDefault="00460F24" w:rsidP="00460F24">
            <w:pPr>
              <w:spacing w:after="120"/>
              <w:jc w:val="right"/>
              <w:cnfStyle w:val="000000010000" w:firstRow="0" w:lastRow="0" w:firstColumn="0" w:lastColumn="0" w:oddVBand="0" w:evenVBand="0" w:oddHBand="0" w:evenHBand="1" w:firstRowFirstColumn="0" w:firstRowLastColumn="0" w:lastRowFirstColumn="0" w:lastRowLastColumn="0"/>
              <w:rPr>
                <w:rFonts w:asciiTheme="minorHAnsi" w:hAnsiTheme="minorHAnsi"/>
                <w:b/>
              </w:rPr>
            </w:pPr>
            <w:r>
              <w:rPr>
                <w:rFonts w:asciiTheme="minorHAnsi" w:hAnsiTheme="minorHAnsi"/>
                <w:b/>
              </w:rPr>
              <w:t>19 121</w:t>
            </w:r>
          </w:p>
        </w:tc>
        <w:tc>
          <w:tcPr>
            <w:tcW w:w="1182" w:type="dxa"/>
            <w:tcBorders>
              <w:top w:val="single" w:sz="4" w:space="0" w:color="auto"/>
              <w:left w:val="nil"/>
              <w:bottom w:val="nil"/>
              <w:right w:val="nil"/>
            </w:tcBorders>
          </w:tcPr>
          <w:p w14:paraId="06F6F48B" w14:textId="1E62F5C2" w:rsidR="00460F24" w:rsidRPr="00353299" w:rsidRDefault="00460F24" w:rsidP="00460F24">
            <w:pPr>
              <w:spacing w:after="120"/>
              <w:jc w:val="right"/>
              <w:cnfStyle w:val="000000010000" w:firstRow="0" w:lastRow="0" w:firstColumn="0" w:lastColumn="0" w:oddVBand="0" w:evenVBand="0" w:oddHBand="0" w:evenHBand="1" w:firstRowFirstColumn="0" w:firstRowLastColumn="0" w:lastRowFirstColumn="0" w:lastRowLastColumn="0"/>
              <w:rPr>
                <w:rFonts w:asciiTheme="minorHAnsi" w:hAnsiTheme="minorHAnsi"/>
                <w:b/>
              </w:rPr>
            </w:pPr>
            <w:r>
              <w:rPr>
                <w:rFonts w:asciiTheme="minorHAnsi" w:hAnsiTheme="minorHAnsi"/>
                <w:b/>
              </w:rPr>
              <w:t>2 221</w:t>
            </w:r>
          </w:p>
        </w:tc>
        <w:tc>
          <w:tcPr>
            <w:tcW w:w="532" w:type="dxa"/>
            <w:tcBorders>
              <w:top w:val="single" w:sz="4" w:space="0" w:color="auto"/>
              <w:left w:val="nil"/>
              <w:bottom w:val="nil"/>
              <w:right w:val="single" w:sz="4" w:space="0" w:color="auto"/>
            </w:tcBorders>
          </w:tcPr>
          <w:p w14:paraId="4B102EF8" w14:textId="77777777" w:rsidR="00460F24" w:rsidRPr="00353299" w:rsidRDefault="00460F24" w:rsidP="00460F24">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rPr>
            </w:pPr>
          </w:p>
        </w:tc>
      </w:tr>
      <w:tr w:rsidR="00460F24" w:rsidRPr="004063FF" w14:paraId="52B7CEF8" w14:textId="77777777" w:rsidTr="00353299">
        <w:trPr>
          <w:gridAfter w:val="2"/>
          <w:cnfStyle w:val="000000100000" w:firstRow="0" w:lastRow="0" w:firstColumn="0" w:lastColumn="0" w:oddVBand="0" w:evenVBand="0" w:oddHBand="1" w:evenHBand="0" w:firstRowFirstColumn="0" w:firstRowLastColumn="0" w:lastRowFirstColumn="0" w:lastRowLastColumn="0"/>
          <w:wAfter w:w="2364" w:type="dxa"/>
        </w:trPr>
        <w:tc>
          <w:tcPr>
            <w:cnfStyle w:val="001000000000" w:firstRow="0" w:lastRow="0" w:firstColumn="1" w:lastColumn="0" w:oddVBand="0" w:evenVBand="0" w:oddHBand="0" w:evenHBand="0" w:firstRowFirstColumn="0" w:firstRowLastColumn="0" w:lastRowFirstColumn="0" w:lastRowLastColumn="0"/>
            <w:tcW w:w="912" w:type="dxa"/>
            <w:tcBorders>
              <w:left w:val="single" w:sz="4" w:space="0" w:color="auto"/>
              <w:bottom w:val="nil"/>
              <w:right w:val="nil"/>
            </w:tcBorders>
          </w:tcPr>
          <w:p w14:paraId="7CFADAC2" w14:textId="67E7A3E6" w:rsidR="00460F24" w:rsidRPr="004063FF" w:rsidRDefault="00460F24" w:rsidP="00460F24">
            <w:pPr>
              <w:spacing w:after="120"/>
              <w:jc w:val="right"/>
              <w:rPr>
                <w:rFonts w:asciiTheme="minorHAnsi" w:hAnsiTheme="minorHAnsi"/>
              </w:rPr>
            </w:pPr>
            <w:r w:rsidRPr="004063FF">
              <w:rPr>
                <w:rFonts w:asciiTheme="minorHAnsi" w:hAnsiTheme="minorHAnsi"/>
                <w:b/>
              </w:rPr>
              <w:t>Add</w:t>
            </w:r>
            <w:r w:rsidRPr="00353299">
              <w:rPr>
                <w:rFonts w:asciiTheme="minorHAnsi" w:hAnsiTheme="minorHAnsi"/>
                <w:b/>
              </w:rPr>
              <w:t>:</w:t>
            </w:r>
          </w:p>
        </w:tc>
        <w:tc>
          <w:tcPr>
            <w:tcW w:w="5005" w:type="dxa"/>
            <w:tcBorders>
              <w:top w:val="nil"/>
              <w:left w:val="nil"/>
              <w:bottom w:val="nil"/>
              <w:right w:val="nil"/>
            </w:tcBorders>
          </w:tcPr>
          <w:p w14:paraId="3EA749C6" w14:textId="04DC9887" w:rsidR="00460F24" w:rsidRPr="004063FF" w:rsidRDefault="00460F24" w:rsidP="00460F24">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063FF">
              <w:rPr>
                <w:rFonts w:asciiTheme="minorHAnsi" w:hAnsiTheme="minorHAnsi"/>
              </w:rPr>
              <w:t>Treasurer’s Advance expenses absorbed from within existing resources</w:t>
            </w:r>
          </w:p>
        </w:tc>
        <w:tc>
          <w:tcPr>
            <w:tcW w:w="1217" w:type="dxa"/>
            <w:tcBorders>
              <w:top w:val="nil"/>
              <w:left w:val="nil"/>
              <w:bottom w:val="single" w:sz="4" w:space="0" w:color="auto"/>
              <w:right w:val="nil"/>
            </w:tcBorders>
          </w:tcPr>
          <w:p w14:paraId="32C6102A" w14:textId="2EE310EC" w:rsidR="00460F24" w:rsidRPr="004063FF" w:rsidRDefault="00460F24" w:rsidP="00460F24">
            <w:pPr>
              <w:spacing w:after="120"/>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181" w:type="dxa"/>
            <w:tcBorders>
              <w:top w:val="nil"/>
              <w:left w:val="nil"/>
              <w:bottom w:val="single" w:sz="4" w:space="0" w:color="auto"/>
              <w:right w:val="nil"/>
            </w:tcBorders>
          </w:tcPr>
          <w:p w14:paraId="7366EFED" w14:textId="453CDD50" w:rsidR="00460F24" w:rsidRPr="004063FF" w:rsidRDefault="00460F24" w:rsidP="00460F24">
            <w:pPr>
              <w:spacing w:after="120"/>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0</w:t>
            </w:r>
          </w:p>
        </w:tc>
        <w:tc>
          <w:tcPr>
            <w:tcW w:w="1182" w:type="dxa"/>
            <w:tcBorders>
              <w:top w:val="nil"/>
              <w:left w:val="nil"/>
              <w:bottom w:val="single" w:sz="4" w:space="0" w:color="auto"/>
              <w:right w:val="nil"/>
            </w:tcBorders>
          </w:tcPr>
          <w:p w14:paraId="4F0F3AAD" w14:textId="706F5EDC" w:rsidR="00460F24" w:rsidRPr="004063FF" w:rsidRDefault="00460F24" w:rsidP="00460F24">
            <w:pPr>
              <w:spacing w:after="120"/>
              <w:jc w:val="righ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0</w:t>
            </w:r>
          </w:p>
        </w:tc>
        <w:tc>
          <w:tcPr>
            <w:tcW w:w="532" w:type="dxa"/>
            <w:tcBorders>
              <w:top w:val="nil"/>
              <w:left w:val="nil"/>
              <w:bottom w:val="single" w:sz="4" w:space="0" w:color="auto"/>
              <w:right w:val="single" w:sz="4" w:space="0" w:color="auto"/>
            </w:tcBorders>
          </w:tcPr>
          <w:p w14:paraId="164AE820" w14:textId="4129EE02" w:rsidR="00460F24" w:rsidRPr="004063FF" w:rsidRDefault="00460F24" w:rsidP="00460F24">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460F24" w:rsidRPr="004524FA" w14:paraId="404C0F80" w14:textId="78C93E1D" w:rsidTr="00331E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 w:type="dxa"/>
            <w:tcBorders>
              <w:left w:val="single" w:sz="4" w:space="0" w:color="auto"/>
              <w:bottom w:val="nil"/>
              <w:right w:val="nil"/>
            </w:tcBorders>
          </w:tcPr>
          <w:p w14:paraId="3C742D27" w14:textId="77777777" w:rsidR="00460F24" w:rsidRPr="00353299" w:rsidRDefault="00460F24" w:rsidP="00460F24">
            <w:pPr>
              <w:spacing w:after="120"/>
              <w:jc w:val="right"/>
              <w:rPr>
                <w:rFonts w:asciiTheme="minorHAnsi" w:hAnsiTheme="minorHAnsi"/>
                <w:b/>
              </w:rPr>
            </w:pPr>
          </w:p>
        </w:tc>
        <w:tc>
          <w:tcPr>
            <w:tcW w:w="5005" w:type="dxa"/>
            <w:tcBorders>
              <w:top w:val="nil"/>
              <w:left w:val="nil"/>
              <w:bottom w:val="nil"/>
              <w:right w:val="nil"/>
            </w:tcBorders>
          </w:tcPr>
          <w:p w14:paraId="4FF505B0" w14:textId="384D4BF6" w:rsidR="00460F24" w:rsidRPr="00353299" w:rsidRDefault="00460F24" w:rsidP="00460F24">
            <w:pPr>
              <w:spacing w:after="120"/>
              <w:cnfStyle w:val="000000010000" w:firstRow="0" w:lastRow="0" w:firstColumn="0" w:lastColumn="0" w:oddVBand="0" w:evenVBand="0" w:oddHBand="0" w:evenHBand="1" w:firstRowFirstColumn="0" w:firstRowLastColumn="0" w:lastRowFirstColumn="0" w:lastRowLastColumn="0"/>
              <w:rPr>
                <w:rFonts w:asciiTheme="minorHAnsi" w:hAnsiTheme="minorHAnsi"/>
                <w:b/>
              </w:rPr>
            </w:pPr>
            <w:r w:rsidRPr="0041491E">
              <w:rPr>
                <w:rFonts w:asciiTheme="minorHAnsi" w:hAnsiTheme="minorHAnsi"/>
                <w:b/>
              </w:rPr>
              <w:t>Total Treasurer</w:t>
            </w:r>
            <w:r w:rsidRPr="004524FA">
              <w:rPr>
                <w:rFonts w:asciiTheme="minorHAnsi" w:hAnsiTheme="minorHAnsi"/>
                <w:b/>
              </w:rPr>
              <w:t>’s Advance expenses absorbed from within existing resources</w:t>
            </w:r>
          </w:p>
        </w:tc>
        <w:tc>
          <w:tcPr>
            <w:tcW w:w="1217" w:type="dxa"/>
            <w:tcBorders>
              <w:top w:val="single" w:sz="4" w:space="0" w:color="auto"/>
              <w:left w:val="nil"/>
              <w:bottom w:val="single" w:sz="4" w:space="0" w:color="auto"/>
              <w:right w:val="nil"/>
            </w:tcBorders>
          </w:tcPr>
          <w:p w14:paraId="05E80696" w14:textId="77777777" w:rsidR="00460F24" w:rsidRPr="00353299" w:rsidRDefault="00460F24" w:rsidP="00460F24">
            <w:pPr>
              <w:spacing w:after="120"/>
              <w:jc w:val="right"/>
              <w:cnfStyle w:val="000000010000" w:firstRow="0" w:lastRow="0" w:firstColumn="0" w:lastColumn="0" w:oddVBand="0" w:evenVBand="0" w:oddHBand="0" w:evenHBand="1" w:firstRowFirstColumn="0" w:firstRowLastColumn="0" w:lastRowFirstColumn="0" w:lastRowLastColumn="0"/>
              <w:rPr>
                <w:rFonts w:asciiTheme="minorHAnsi" w:hAnsiTheme="minorHAnsi"/>
                <w:b/>
              </w:rPr>
            </w:pPr>
          </w:p>
        </w:tc>
        <w:tc>
          <w:tcPr>
            <w:tcW w:w="1181" w:type="dxa"/>
            <w:tcBorders>
              <w:top w:val="single" w:sz="4" w:space="0" w:color="auto"/>
              <w:left w:val="nil"/>
              <w:bottom w:val="single" w:sz="4" w:space="0" w:color="auto"/>
              <w:right w:val="nil"/>
            </w:tcBorders>
          </w:tcPr>
          <w:p w14:paraId="31514D35" w14:textId="32CA2547" w:rsidR="00460F24" w:rsidRPr="00353299" w:rsidRDefault="00460F24" w:rsidP="00460F24">
            <w:pPr>
              <w:spacing w:after="120"/>
              <w:jc w:val="right"/>
              <w:cnfStyle w:val="000000010000" w:firstRow="0" w:lastRow="0" w:firstColumn="0" w:lastColumn="0" w:oddVBand="0" w:evenVBand="0" w:oddHBand="0" w:evenHBand="1" w:firstRowFirstColumn="0" w:firstRowLastColumn="0" w:lastRowFirstColumn="0" w:lastRowLastColumn="0"/>
              <w:rPr>
                <w:rFonts w:asciiTheme="minorHAnsi" w:hAnsiTheme="minorHAnsi"/>
                <w:b/>
              </w:rPr>
            </w:pPr>
            <w:r w:rsidRPr="00353299">
              <w:rPr>
                <w:rFonts w:asciiTheme="minorHAnsi" w:hAnsiTheme="minorHAnsi"/>
                <w:b/>
              </w:rPr>
              <w:t>0</w:t>
            </w:r>
          </w:p>
        </w:tc>
        <w:tc>
          <w:tcPr>
            <w:tcW w:w="1182" w:type="dxa"/>
            <w:tcBorders>
              <w:top w:val="single" w:sz="4" w:space="0" w:color="auto"/>
              <w:left w:val="nil"/>
              <w:bottom w:val="single" w:sz="4" w:space="0" w:color="auto"/>
              <w:right w:val="nil"/>
            </w:tcBorders>
          </w:tcPr>
          <w:p w14:paraId="170BC43F" w14:textId="7E0E742D" w:rsidR="00460F24" w:rsidRPr="00353299" w:rsidRDefault="00460F24" w:rsidP="00460F24">
            <w:pPr>
              <w:spacing w:after="120"/>
              <w:jc w:val="right"/>
              <w:cnfStyle w:val="000000010000" w:firstRow="0" w:lastRow="0" w:firstColumn="0" w:lastColumn="0" w:oddVBand="0" w:evenVBand="0" w:oddHBand="0" w:evenHBand="1" w:firstRowFirstColumn="0" w:firstRowLastColumn="0" w:lastRowFirstColumn="0" w:lastRowLastColumn="0"/>
              <w:rPr>
                <w:rFonts w:asciiTheme="minorHAnsi" w:hAnsiTheme="minorHAnsi"/>
                <w:b/>
              </w:rPr>
            </w:pPr>
            <w:r w:rsidRPr="00353299">
              <w:rPr>
                <w:rFonts w:asciiTheme="minorHAnsi" w:hAnsiTheme="minorHAnsi"/>
                <w:b/>
              </w:rPr>
              <w:t>0</w:t>
            </w:r>
          </w:p>
        </w:tc>
        <w:tc>
          <w:tcPr>
            <w:tcW w:w="532" w:type="dxa"/>
            <w:tcBorders>
              <w:top w:val="single" w:sz="4" w:space="0" w:color="auto"/>
              <w:left w:val="nil"/>
              <w:bottom w:val="single" w:sz="4" w:space="0" w:color="auto"/>
              <w:right w:val="single" w:sz="4" w:space="0" w:color="auto"/>
            </w:tcBorders>
          </w:tcPr>
          <w:p w14:paraId="39745E22" w14:textId="77777777" w:rsidR="00460F24" w:rsidRPr="00353299" w:rsidRDefault="00460F24" w:rsidP="00460F24">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rPr>
            </w:pPr>
          </w:p>
        </w:tc>
        <w:tc>
          <w:tcPr>
            <w:tcW w:w="1182" w:type="dxa"/>
          </w:tcPr>
          <w:p w14:paraId="5B60C855" w14:textId="77777777" w:rsidR="00460F24" w:rsidRPr="00353299" w:rsidRDefault="00460F24" w:rsidP="00460F24">
            <w:pPr>
              <w:cnfStyle w:val="000000010000" w:firstRow="0" w:lastRow="0" w:firstColumn="0" w:lastColumn="0" w:oddVBand="0" w:evenVBand="0" w:oddHBand="0" w:evenHBand="1" w:firstRowFirstColumn="0" w:firstRowLastColumn="0" w:lastRowFirstColumn="0" w:lastRowLastColumn="0"/>
              <w:rPr>
                <w:b/>
              </w:rPr>
            </w:pPr>
          </w:p>
        </w:tc>
        <w:tc>
          <w:tcPr>
            <w:tcW w:w="1182" w:type="dxa"/>
          </w:tcPr>
          <w:p w14:paraId="2AF25101" w14:textId="77777777" w:rsidR="00460F24" w:rsidRPr="00353299" w:rsidRDefault="00460F24" w:rsidP="00460F24">
            <w:pPr>
              <w:cnfStyle w:val="000000010000" w:firstRow="0" w:lastRow="0" w:firstColumn="0" w:lastColumn="0" w:oddVBand="0" w:evenVBand="0" w:oddHBand="0" w:evenHBand="1" w:firstRowFirstColumn="0" w:firstRowLastColumn="0" w:lastRowFirstColumn="0" w:lastRowLastColumn="0"/>
              <w:rPr>
                <w:b/>
              </w:rPr>
            </w:pPr>
          </w:p>
        </w:tc>
      </w:tr>
      <w:tr w:rsidR="00460F24" w:rsidRPr="004063FF" w14:paraId="3C280A69" w14:textId="77777777" w:rsidTr="00353299">
        <w:trPr>
          <w:gridAfter w:val="2"/>
          <w:cnfStyle w:val="000000100000" w:firstRow="0" w:lastRow="0" w:firstColumn="0" w:lastColumn="0" w:oddVBand="0" w:evenVBand="0" w:oddHBand="1" w:evenHBand="0" w:firstRowFirstColumn="0" w:firstRowLastColumn="0" w:lastRowFirstColumn="0" w:lastRowLastColumn="0"/>
          <w:wAfter w:w="2364" w:type="dxa"/>
          <w:trHeight w:val="364"/>
        </w:trPr>
        <w:tc>
          <w:tcPr>
            <w:cnfStyle w:val="001000000000" w:firstRow="0" w:lastRow="0" w:firstColumn="1" w:lastColumn="0" w:oddVBand="0" w:evenVBand="0" w:oddHBand="0" w:evenHBand="0" w:firstRowFirstColumn="0" w:firstRowLastColumn="0" w:lastRowFirstColumn="0" w:lastRowLastColumn="0"/>
            <w:tcW w:w="5917" w:type="dxa"/>
            <w:gridSpan w:val="2"/>
            <w:tcBorders>
              <w:top w:val="nil"/>
              <w:left w:val="single" w:sz="4" w:space="0" w:color="auto"/>
              <w:bottom w:val="single" w:sz="4" w:space="0" w:color="auto"/>
              <w:right w:val="nil"/>
            </w:tcBorders>
          </w:tcPr>
          <w:p w14:paraId="708BD489" w14:textId="26CBDCF6" w:rsidR="00460F24" w:rsidRPr="004063FF" w:rsidRDefault="00460F24" w:rsidP="00460F24">
            <w:pPr>
              <w:spacing w:after="120"/>
              <w:rPr>
                <w:rFonts w:asciiTheme="minorHAnsi" w:hAnsiTheme="minorHAnsi"/>
              </w:rPr>
            </w:pPr>
            <w:r>
              <w:rPr>
                <w:rFonts w:asciiTheme="minorHAnsi" w:hAnsiTheme="minorHAnsi"/>
                <w:b/>
              </w:rPr>
              <w:t>F</w:t>
            </w:r>
            <w:r w:rsidRPr="004063FF">
              <w:rPr>
                <w:rFonts w:asciiTheme="minorHAnsi" w:hAnsiTheme="minorHAnsi"/>
                <w:b/>
              </w:rPr>
              <w:t>inal budget outcome</w:t>
            </w:r>
          </w:p>
        </w:tc>
        <w:tc>
          <w:tcPr>
            <w:tcW w:w="1217" w:type="dxa"/>
            <w:tcBorders>
              <w:top w:val="single" w:sz="4" w:space="0" w:color="auto"/>
              <w:left w:val="nil"/>
              <w:bottom w:val="single" w:sz="4" w:space="0" w:color="auto"/>
              <w:right w:val="nil"/>
            </w:tcBorders>
          </w:tcPr>
          <w:p w14:paraId="3F6580CF" w14:textId="1F721A7E" w:rsidR="00460F24" w:rsidRPr="00353299" w:rsidRDefault="00460F24" w:rsidP="00353299">
            <w:pPr>
              <w:pStyle w:val="ListParagraph"/>
              <w:ind w:left="7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1181" w:type="dxa"/>
            <w:tcBorders>
              <w:top w:val="single" w:sz="4" w:space="0" w:color="auto"/>
              <w:left w:val="nil"/>
              <w:bottom w:val="single" w:sz="4" w:space="0" w:color="auto"/>
              <w:right w:val="nil"/>
            </w:tcBorders>
          </w:tcPr>
          <w:p w14:paraId="340B548D" w14:textId="6B73CA02" w:rsidR="00460F24" w:rsidRPr="004063FF" w:rsidRDefault="00460F24" w:rsidP="00460F24">
            <w:pPr>
              <w:spacing w:after="120"/>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1182" w:type="dxa"/>
            <w:tcBorders>
              <w:top w:val="single" w:sz="4" w:space="0" w:color="auto"/>
              <w:left w:val="nil"/>
              <w:bottom w:val="single" w:sz="4" w:space="0" w:color="auto"/>
              <w:right w:val="nil"/>
            </w:tcBorders>
          </w:tcPr>
          <w:p w14:paraId="31B76669" w14:textId="6E6A818B" w:rsidR="00460F24" w:rsidRPr="004063FF" w:rsidRDefault="00460F24" w:rsidP="00460F24">
            <w:pPr>
              <w:spacing w:after="120"/>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Pr>
                <w:rFonts w:asciiTheme="minorHAnsi" w:hAnsiTheme="minorHAnsi"/>
                <w:b/>
              </w:rPr>
              <w:t>-18 543</w:t>
            </w:r>
          </w:p>
        </w:tc>
        <w:tc>
          <w:tcPr>
            <w:tcW w:w="532" w:type="dxa"/>
            <w:tcBorders>
              <w:top w:val="single" w:sz="4" w:space="0" w:color="auto"/>
              <w:left w:val="nil"/>
              <w:bottom w:val="single" w:sz="4" w:space="0" w:color="auto"/>
              <w:right w:val="single" w:sz="4" w:space="0" w:color="auto"/>
            </w:tcBorders>
          </w:tcPr>
          <w:p w14:paraId="63E0A508" w14:textId="77777777" w:rsidR="00460F24" w:rsidRPr="004063FF" w:rsidRDefault="00460F24" w:rsidP="00460F24">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bl>
    <w:p w14:paraId="7728B335" w14:textId="77777777" w:rsidR="00127F66" w:rsidRDefault="00127F66" w:rsidP="00353299">
      <w:pPr>
        <w:pStyle w:val="Caption"/>
        <w:keepNext/>
        <w:rPr>
          <w:rFonts w:asciiTheme="minorHAnsi" w:hAnsiTheme="minorHAnsi"/>
          <w:iCs w:val="0"/>
          <w:sz w:val="22"/>
          <w:szCs w:val="22"/>
        </w:rPr>
      </w:pPr>
    </w:p>
    <w:p w14:paraId="3C31A6B6" w14:textId="09D42861" w:rsidR="00546C22" w:rsidRPr="0003469D" w:rsidRDefault="00FA4BEB" w:rsidP="00353299">
      <w:pPr>
        <w:pStyle w:val="Caption"/>
        <w:keepNext/>
        <w:rPr>
          <w:rFonts w:asciiTheme="minorHAnsi" w:hAnsiTheme="minorHAnsi"/>
          <w:iCs w:val="0"/>
          <w:sz w:val="22"/>
          <w:szCs w:val="22"/>
        </w:rPr>
      </w:pPr>
      <w:r w:rsidRPr="0003469D">
        <w:rPr>
          <w:rFonts w:asciiTheme="minorHAnsi" w:hAnsiTheme="minorHAnsi"/>
          <w:iCs w:val="0"/>
          <w:sz w:val="22"/>
          <w:szCs w:val="22"/>
        </w:rPr>
        <w:t xml:space="preserve">Based on </w:t>
      </w:r>
      <w:r w:rsidR="003B3E8D" w:rsidRPr="0003469D">
        <w:rPr>
          <w:rFonts w:asciiTheme="minorHAnsi" w:hAnsiTheme="minorHAnsi"/>
          <w:iCs w:val="0"/>
          <w:sz w:val="22"/>
          <w:szCs w:val="22"/>
        </w:rPr>
        <w:t>calculations above, agency</w:t>
      </w:r>
      <w:r w:rsidR="004D15B7" w:rsidRPr="0003469D">
        <w:rPr>
          <w:rFonts w:asciiTheme="minorHAnsi" w:hAnsiTheme="minorHAnsi"/>
          <w:iCs w:val="0"/>
          <w:sz w:val="22"/>
          <w:szCs w:val="22"/>
        </w:rPr>
        <w:t xml:space="preserve"> A</w:t>
      </w:r>
      <w:r w:rsidRPr="0003469D">
        <w:rPr>
          <w:rFonts w:asciiTheme="minorHAnsi" w:hAnsiTheme="minorHAnsi"/>
          <w:iCs w:val="0"/>
          <w:sz w:val="22"/>
          <w:szCs w:val="22"/>
        </w:rPr>
        <w:t>’s f</w:t>
      </w:r>
      <w:r w:rsidR="004D15B7" w:rsidRPr="0003469D">
        <w:rPr>
          <w:rFonts w:asciiTheme="minorHAnsi" w:hAnsiTheme="minorHAnsi"/>
          <w:iCs w:val="0"/>
          <w:sz w:val="22"/>
          <w:szCs w:val="22"/>
        </w:rPr>
        <w:t xml:space="preserve">inal budget outcome </w:t>
      </w:r>
      <w:r w:rsidRPr="0003469D">
        <w:rPr>
          <w:rFonts w:asciiTheme="minorHAnsi" w:hAnsiTheme="minorHAnsi"/>
          <w:iCs w:val="0"/>
          <w:sz w:val="22"/>
          <w:szCs w:val="22"/>
        </w:rPr>
        <w:t xml:space="preserve">is </w:t>
      </w:r>
      <w:r w:rsidR="004D15B7" w:rsidRPr="0003469D">
        <w:rPr>
          <w:rFonts w:asciiTheme="minorHAnsi" w:hAnsiTheme="minorHAnsi"/>
          <w:iCs w:val="0"/>
          <w:sz w:val="22"/>
          <w:szCs w:val="22"/>
        </w:rPr>
        <w:t>(-</w:t>
      </w:r>
      <w:r w:rsidR="00145C29" w:rsidRPr="0003469D">
        <w:rPr>
          <w:rFonts w:asciiTheme="minorHAnsi" w:hAnsiTheme="minorHAnsi"/>
          <w:iCs w:val="0"/>
          <w:sz w:val="22"/>
          <w:szCs w:val="22"/>
        </w:rPr>
        <w:t>$18.54</w:t>
      </w:r>
      <w:r w:rsidR="003B3E8D" w:rsidRPr="0003469D">
        <w:rPr>
          <w:rFonts w:asciiTheme="minorHAnsi" w:hAnsiTheme="minorHAnsi"/>
          <w:iCs w:val="0"/>
          <w:sz w:val="22"/>
          <w:szCs w:val="22"/>
        </w:rPr>
        <w:t xml:space="preserve"> million</w:t>
      </w:r>
      <w:r w:rsidR="004D15B7" w:rsidRPr="0003469D">
        <w:rPr>
          <w:rFonts w:asciiTheme="minorHAnsi" w:hAnsiTheme="minorHAnsi"/>
          <w:iCs w:val="0"/>
          <w:sz w:val="22"/>
          <w:szCs w:val="22"/>
        </w:rPr>
        <w:t>)</w:t>
      </w:r>
      <w:r w:rsidR="00145C29" w:rsidRPr="0003469D">
        <w:rPr>
          <w:rFonts w:asciiTheme="minorHAnsi" w:hAnsiTheme="minorHAnsi"/>
          <w:iCs w:val="0"/>
          <w:sz w:val="22"/>
          <w:szCs w:val="22"/>
        </w:rPr>
        <w:t>. Given</w:t>
      </w:r>
      <w:r w:rsidRPr="0003469D">
        <w:rPr>
          <w:rFonts w:asciiTheme="minorHAnsi" w:hAnsiTheme="minorHAnsi"/>
          <w:iCs w:val="0"/>
          <w:sz w:val="22"/>
          <w:szCs w:val="22"/>
        </w:rPr>
        <w:t xml:space="preserve"> agency </w:t>
      </w:r>
      <w:proofErr w:type="gramStart"/>
      <w:r w:rsidRPr="0003469D">
        <w:rPr>
          <w:rFonts w:asciiTheme="minorHAnsi" w:hAnsiTheme="minorHAnsi"/>
          <w:iCs w:val="0"/>
          <w:sz w:val="22"/>
          <w:szCs w:val="22"/>
        </w:rPr>
        <w:t>A’s</w:t>
      </w:r>
      <w:proofErr w:type="gramEnd"/>
      <w:r w:rsidR="004D15B7" w:rsidRPr="0003469D">
        <w:rPr>
          <w:rFonts w:asciiTheme="minorHAnsi" w:hAnsiTheme="minorHAnsi"/>
          <w:iCs w:val="0"/>
          <w:sz w:val="22"/>
          <w:szCs w:val="22"/>
        </w:rPr>
        <w:t xml:space="preserve"> final budget outcome is less than the</w:t>
      </w:r>
      <w:r w:rsidRPr="0003469D">
        <w:rPr>
          <w:rFonts w:asciiTheme="minorHAnsi" w:hAnsiTheme="minorHAnsi"/>
          <w:iCs w:val="0"/>
          <w:sz w:val="22"/>
          <w:szCs w:val="22"/>
        </w:rPr>
        <w:t xml:space="preserve"> proposed carryover </w:t>
      </w:r>
      <w:r w:rsidR="004D15B7" w:rsidRPr="0003469D">
        <w:rPr>
          <w:rFonts w:asciiTheme="minorHAnsi" w:hAnsiTheme="minorHAnsi"/>
          <w:iCs w:val="0"/>
          <w:sz w:val="22"/>
          <w:szCs w:val="22"/>
        </w:rPr>
        <w:t>request</w:t>
      </w:r>
      <w:r w:rsidRPr="0003469D">
        <w:rPr>
          <w:rFonts w:asciiTheme="minorHAnsi" w:hAnsiTheme="minorHAnsi"/>
          <w:iCs w:val="0"/>
          <w:sz w:val="22"/>
          <w:szCs w:val="22"/>
        </w:rPr>
        <w:t xml:space="preserve"> of </w:t>
      </w:r>
      <w:r w:rsidR="004D15B7" w:rsidRPr="0003469D">
        <w:rPr>
          <w:rFonts w:asciiTheme="minorHAnsi" w:hAnsiTheme="minorHAnsi"/>
          <w:iCs w:val="0"/>
          <w:sz w:val="22"/>
          <w:szCs w:val="22"/>
        </w:rPr>
        <w:t>$5 million,</w:t>
      </w:r>
      <w:r w:rsidR="003B3E8D" w:rsidRPr="0003469D">
        <w:rPr>
          <w:rFonts w:asciiTheme="minorHAnsi" w:hAnsiTheme="minorHAnsi"/>
          <w:iCs w:val="0"/>
          <w:sz w:val="22"/>
          <w:szCs w:val="22"/>
        </w:rPr>
        <w:t xml:space="preserve"> </w:t>
      </w:r>
      <w:r w:rsidRPr="0003469D">
        <w:rPr>
          <w:rFonts w:asciiTheme="minorHAnsi" w:hAnsiTheme="minorHAnsi"/>
          <w:iCs w:val="0"/>
          <w:sz w:val="22"/>
          <w:szCs w:val="22"/>
        </w:rPr>
        <w:t>the</w:t>
      </w:r>
      <w:r w:rsidR="004D15B7" w:rsidRPr="0003469D">
        <w:rPr>
          <w:rFonts w:asciiTheme="minorHAnsi" w:hAnsiTheme="minorHAnsi"/>
          <w:iCs w:val="0"/>
          <w:sz w:val="22"/>
          <w:szCs w:val="22"/>
        </w:rPr>
        <w:t xml:space="preserve"> request cannot be progressed.</w:t>
      </w:r>
      <w:bookmarkStart w:id="0" w:name="_GoBack"/>
      <w:bookmarkEnd w:id="0"/>
    </w:p>
    <w:p w14:paraId="04D2B998" w14:textId="68F7F484" w:rsidR="00D5254D" w:rsidRPr="004063FF" w:rsidRDefault="00D5254D" w:rsidP="00D5254D">
      <w:pPr>
        <w:pStyle w:val="Heading3"/>
        <w:rPr>
          <w:rFonts w:asciiTheme="minorHAnsi" w:hAnsiTheme="minorHAnsi"/>
        </w:rPr>
      </w:pPr>
      <w:r w:rsidRPr="004063FF">
        <w:rPr>
          <w:rFonts w:asciiTheme="minorHAnsi" w:hAnsiTheme="minorHAnsi"/>
        </w:rPr>
        <w:t xml:space="preserve">10. </w:t>
      </w:r>
      <w:r w:rsidR="00381251" w:rsidRPr="004063FF">
        <w:rPr>
          <w:rFonts w:asciiTheme="minorHAnsi" w:hAnsiTheme="minorHAnsi"/>
        </w:rPr>
        <w:t xml:space="preserve">How do I </w:t>
      </w:r>
      <w:r w:rsidR="006568DE" w:rsidRPr="004063FF">
        <w:rPr>
          <w:rFonts w:asciiTheme="minorHAnsi" w:hAnsiTheme="minorHAnsi"/>
        </w:rPr>
        <w:t>determine</w:t>
      </w:r>
      <w:r w:rsidR="00381251" w:rsidRPr="004063FF">
        <w:rPr>
          <w:rFonts w:asciiTheme="minorHAnsi" w:hAnsiTheme="minorHAnsi"/>
        </w:rPr>
        <w:t xml:space="preserve"> if there </w:t>
      </w:r>
      <w:r w:rsidR="006568DE" w:rsidRPr="004063FF">
        <w:rPr>
          <w:rFonts w:asciiTheme="minorHAnsi" w:hAnsiTheme="minorHAnsi"/>
        </w:rPr>
        <w:t>are</w:t>
      </w:r>
      <w:r w:rsidRPr="004063FF">
        <w:rPr>
          <w:rFonts w:asciiTheme="minorHAnsi" w:hAnsiTheme="minorHAnsi"/>
        </w:rPr>
        <w:t xml:space="preserve"> sufficient </w:t>
      </w:r>
      <w:r w:rsidR="00381251" w:rsidRPr="004063FF">
        <w:rPr>
          <w:rFonts w:asciiTheme="minorHAnsi" w:hAnsiTheme="minorHAnsi"/>
        </w:rPr>
        <w:t>cash balance</w:t>
      </w:r>
      <w:r w:rsidR="006568DE" w:rsidRPr="004063FF">
        <w:rPr>
          <w:rFonts w:asciiTheme="minorHAnsi" w:hAnsiTheme="minorHAnsi"/>
        </w:rPr>
        <w:t>s</w:t>
      </w:r>
      <w:r w:rsidRPr="004063FF">
        <w:rPr>
          <w:rFonts w:asciiTheme="minorHAnsi" w:hAnsiTheme="minorHAnsi"/>
        </w:rPr>
        <w:t>?</w:t>
      </w:r>
    </w:p>
    <w:p w14:paraId="145878C0" w14:textId="482FFE49" w:rsidR="00941315" w:rsidRPr="007D2EC5" w:rsidRDefault="006568DE" w:rsidP="00353299">
      <w:pPr>
        <w:pStyle w:val="Caption"/>
        <w:keepNext/>
        <w:rPr>
          <w:rFonts w:asciiTheme="minorHAnsi" w:hAnsiTheme="minorHAnsi"/>
        </w:rPr>
      </w:pPr>
      <w:r w:rsidRPr="007D2EC5">
        <w:rPr>
          <w:rFonts w:asciiTheme="minorHAnsi" w:hAnsiTheme="minorHAnsi"/>
          <w:iCs w:val="0"/>
          <w:sz w:val="22"/>
          <w:szCs w:val="22"/>
        </w:rPr>
        <w:t>When determining if there are sufficient cash balances</w:t>
      </w:r>
      <w:r w:rsidR="00BE4416" w:rsidRPr="007D2EC5">
        <w:rPr>
          <w:rFonts w:asciiTheme="minorHAnsi" w:hAnsiTheme="minorHAnsi"/>
          <w:iCs w:val="0"/>
          <w:sz w:val="22"/>
          <w:szCs w:val="22"/>
        </w:rPr>
        <w:t xml:space="preserve"> to support a carryover request</w:t>
      </w:r>
      <w:r w:rsidRPr="007D2EC5">
        <w:rPr>
          <w:rFonts w:asciiTheme="minorHAnsi" w:hAnsiTheme="minorHAnsi"/>
          <w:iCs w:val="0"/>
          <w:sz w:val="22"/>
          <w:szCs w:val="22"/>
        </w:rPr>
        <w:t xml:space="preserve">, an agency should </w:t>
      </w:r>
      <w:r w:rsidR="00B02023" w:rsidRPr="007D2EC5">
        <w:rPr>
          <w:rFonts w:asciiTheme="minorHAnsi" w:hAnsiTheme="minorHAnsi"/>
          <w:iCs w:val="0"/>
          <w:sz w:val="22"/>
          <w:szCs w:val="22"/>
        </w:rPr>
        <w:t xml:space="preserve">compare the </w:t>
      </w:r>
      <w:r w:rsidR="005402EA" w:rsidRPr="007D2EC5">
        <w:rPr>
          <w:rFonts w:asciiTheme="minorHAnsi" w:hAnsiTheme="minorHAnsi"/>
          <w:iCs w:val="0"/>
          <w:sz w:val="22"/>
          <w:szCs w:val="22"/>
        </w:rPr>
        <w:t>c</w:t>
      </w:r>
      <w:r w:rsidR="00B02023" w:rsidRPr="007D2EC5">
        <w:rPr>
          <w:rFonts w:asciiTheme="minorHAnsi" w:hAnsiTheme="minorHAnsi"/>
          <w:iCs w:val="0"/>
          <w:sz w:val="22"/>
          <w:szCs w:val="22"/>
        </w:rPr>
        <w:t xml:space="preserve">arryover request to the </w:t>
      </w:r>
      <w:r w:rsidR="00941315" w:rsidRPr="007D2EC5">
        <w:rPr>
          <w:rFonts w:asciiTheme="minorHAnsi" w:hAnsiTheme="minorHAnsi"/>
          <w:iCs w:val="0"/>
          <w:sz w:val="22"/>
          <w:szCs w:val="22"/>
        </w:rPr>
        <w:t xml:space="preserve">unrestricted </w:t>
      </w:r>
      <w:r w:rsidR="00B02023" w:rsidRPr="007D2EC5">
        <w:rPr>
          <w:rFonts w:asciiTheme="minorHAnsi" w:hAnsiTheme="minorHAnsi"/>
          <w:iCs w:val="0"/>
          <w:sz w:val="22"/>
          <w:szCs w:val="22"/>
        </w:rPr>
        <w:t xml:space="preserve">cash and deposits accounts </w:t>
      </w:r>
      <w:r w:rsidR="007807E5" w:rsidRPr="007D2EC5">
        <w:rPr>
          <w:rFonts w:asciiTheme="minorHAnsi" w:hAnsiTheme="minorHAnsi"/>
          <w:iCs w:val="0"/>
          <w:sz w:val="22"/>
          <w:szCs w:val="22"/>
        </w:rPr>
        <w:t>balance</w:t>
      </w:r>
      <w:r w:rsidR="00941315" w:rsidRPr="007D2EC5">
        <w:rPr>
          <w:rFonts w:asciiTheme="minorHAnsi" w:hAnsiTheme="minorHAnsi"/>
          <w:iCs w:val="0"/>
          <w:sz w:val="22"/>
          <w:szCs w:val="22"/>
        </w:rPr>
        <w:t xml:space="preserve"> at the beginning of the financial year in which the amount </w:t>
      </w:r>
      <w:proofErr w:type="gramStart"/>
      <w:r w:rsidR="00941315" w:rsidRPr="007D2EC5">
        <w:rPr>
          <w:rFonts w:asciiTheme="minorHAnsi" w:hAnsiTheme="minorHAnsi"/>
          <w:iCs w:val="0"/>
          <w:sz w:val="22"/>
          <w:szCs w:val="22"/>
        </w:rPr>
        <w:t>will be carried over</w:t>
      </w:r>
      <w:proofErr w:type="gramEnd"/>
      <w:r w:rsidR="00941315" w:rsidRPr="007D2EC5">
        <w:rPr>
          <w:rFonts w:asciiTheme="minorHAnsi" w:hAnsiTheme="minorHAnsi"/>
          <w:iCs w:val="0"/>
          <w:sz w:val="22"/>
          <w:szCs w:val="22"/>
        </w:rPr>
        <w:t>.</w:t>
      </w:r>
    </w:p>
    <w:p w14:paraId="66385FEA" w14:textId="55986A5D" w:rsidR="007807E5" w:rsidRPr="00353299" w:rsidRDefault="00941315" w:rsidP="00353299">
      <w:pPr>
        <w:pStyle w:val="ListNumber"/>
        <w:numPr>
          <w:ilvl w:val="0"/>
          <w:numId w:val="0"/>
        </w:numPr>
        <w:spacing w:before="240"/>
      </w:pPr>
      <w:r w:rsidRPr="00353299">
        <w:t>Unrestricted cash and deposits account</w:t>
      </w:r>
      <w:r w:rsidR="00AE0694" w:rsidRPr="00353299">
        <w:t>s</w:t>
      </w:r>
      <w:r w:rsidRPr="00353299">
        <w:t xml:space="preserve"> balance is the cash balance </w:t>
      </w:r>
      <w:r w:rsidR="00B02023" w:rsidRPr="00353299">
        <w:t xml:space="preserve">after deducting </w:t>
      </w:r>
      <w:r w:rsidR="007807E5" w:rsidRPr="00353299">
        <w:t>the following:</w:t>
      </w:r>
    </w:p>
    <w:p w14:paraId="507574C4" w14:textId="1C2CDBDE" w:rsidR="00D5254D" w:rsidRPr="00353299" w:rsidRDefault="00AE0694" w:rsidP="007807E5">
      <w:pPr>
        <w:pStyle w:val="ListNumber"/>
        <w:numPr>
          <w:ilvl w:val="0"/>
          <w:numId w:val="17"/>
        </w:numPr>
      </w:pPr>
      <w:r w:rsidRPr="00353299">
        <w:t>quarantined cash and deposit accounts balance</w:t>
      </w:r>
    </w:p>
    <w:p w14:paraId="4BB6E59E" w14:textId="69AED17A" w:rsidR="007807E5" w:rsidRPr="00353299" w:rsidRDefault="007807E5" w:rsidP="007807E5">
      <w:pPr>
        <w:pStyle w:val="ListNumber"/>
        <w:numPr>
          <w:ilvl w:val="0"/>
          <w:numId w:val="17"/>
        </w:numPr>
      </w:pPr>
      <w:r w:rsidRPr="00353299">
        <w:t>funds quarantined under legislation (</w:t>
      </w:r>
      <w:r w:rsidR="0009005C" w:rsidRPr="00353299">
        <w:t>for example,</w:t>
      </w:r>
      <w:r w:rsidR="00941315" w:rsidRPr="00353299">
        <w:t xml:space="preserve"> Community Benefit Fund)</w:t>
      </w:r>
    </w:p>
    <w:p w14:paraId="4293CCEB" w14:textId="0726EEA6" w:rsidR="007807E5" w:rsidRDefault="007807E5" w:rsidP="007807E5">
      <w:pPr>
        <w:pStyle w:val="ListNumber"/>
        <w:numPr>
          <w:ilvl w:val="0"/>
          <w:numId w:val="17"/>
        </w:numPr>
      </w:pPr>
      <w:r w:rsidRPr="00353299">
        <w:t>previously approved (and sought) carryovers</w:t>
      </w:r>
    </w:p>
    <w:p w14:paraId="7B9E10F8" w14:textId="4EA67D70" w:rsidR="00E86E3A" w:rsidRPr="00353299" w:rsidRDefault="00E86E3A" w:rsidP="007807E5">
      <w:pPr>
        <w:pStyle w:val="ListNumber"/>
        <w:numPr>
          <w:ilvl w:val="0"/>
          <w:numId w:val="17"/>
        </w:numPr>
      </w:pPr>
      <w:r>
        <w:t>unearned revenue opening balance</w:t>
      </w:r>
    </w:p>
    <w:p w14:paraId="2C66A945" w14:textId="7E7C9E24" w:rsidR="000F5D79" w:rsidRPr="00353299" w:rsidRDefault="000F5D79" w:rsidP="00BF5E56">
      <w:pPr>
        <w:pStyle w:val="ListNumber"/>
        <w:numPr>
          <w:ilvl w:val="0"/>
          <w:numId w:val="0"/>
        </w:numPr>
        <w:spacing w:before="240"/>
        <w:ind w:left="284"/>
      </w:pPr>
      <w:r w:rsidRPr="00353299">
        <w:t>Quarantined cash and deposit</w:t>
      </w:r>
      <w:r w:rsidR="00EB42F9" w:rsidRPr="00353299">
        <w:t xml:space="preserve"> consist</w:t>
      </w:r>
      <w:r w:rsidR="00E5298C" w:rsidRPr="00353299">
        <w:t>s</w:t>
      </w:r>
      <w:r w:rsidR="00EB42F9" w:rsidRPr="00353299">
        <w:t xml:space="preserve"> of accounts noted in</w:t>
      </w:r>
      <w:r w:rsidR="000D75A6" w:rsidRPr="00353299">
        <w:t xml:space="preserve"> the</w:t>
      </w:r>
      <w:r w:rsidR="00EB42F9" w:rsidRPr="00353299">
        <w:t xml:space="preserve"> Table 2 below.</w:t>
      </w:r>
    </w:p>
    <w:p w14:paraId="5A60FD39" w14:textId="74395229" w:rsidR="00EB42F9" w:rsidRPr="00A97E78" w:rsidRDefault="00EB42F9" w:rsidP="00353299">
      <w:pPr>
        <w:pStyle w:val="ListNumber"/>
        <w:numPr>
          <w:ilvl w:val="0"/>
          <w:numId w:val="0"/>
        </w:numPr>
        <w:ind w:left="284"/>
        <w:rPr>
          <w:rFonts w:asciiTheme="minorHAnsi" w:hAnsiTheme="minorHAnsi"/>
          <w:b/>
        </w:rPr>
      </w:pPr>
      <w:r w:rsidRPr="00A97E78">
        <w:rPr>
          <w:rFonts w:asciiTheme="minorHAnsi" w:hAnsiTheme="minorHAnsi"/>
          <w:b/>
        </w:rPr>
        <w:t>Table 2 – Quarantined cash and deposits accounts</w:t>
      </w:r>
    </w:p>
    <w:tbl>
      <w:tblPr>
        <w:tblW w:w="4867" w:type="pct"/>
        <w:tblInd w:w="274" w:type="dxa"/>
        <w:tblLayout w:type="fixed"/>
        <w:tblLook w:val="04A0" w:firstRow="1" w:lastRow="0" w:firstColumn="1" w:lastColumn="0" w:noHBand="0" w:noVBand="1"/>
      </w:tblPr>
      <w:tblGrid>
        <w:gridCol w:w="3969"/>
        <w:gridCol w:w="1213"/>
        <w:gridCol w:w="4842"/>
      </w:tblGrid>
      <w:tr w:rsidR="00BA3A05" w:rsidRPr="004063FF" w14:paraId="0DF58CEC" w14:textId="77777777" w:rsidTr="00C65D50">
        <w:trPr>
          <w:trHeight w:val="270"/>
          <w:tblHeader/>
        </w:trPr>
        <w:tc>
          <w:tcPr>
            <w:tcW w:w="1980" w:type="pct"/>
            <w:tcBorders>
              <w:top w:val="single" w:sz="8" w:space="0" w:color="auto"/>
              <w:left w:val="single" w:sz="8" w:space="0" w:color="auto"/>
              <w:bottom w:val="single" w:sz="8" w:space="0" w:color="auto"/>
              <w:right w:val="single" w:sz="4" w:space="0" w:color="auto"/>
            </w:tcBorders>
            <w:shd w:val="clear" w:color="auto" w:fill="1F1F5F" w:themeFill="text1"/>
            <w:noWrap/>
            <w:hideMark/>
          </w:tcPr>
          <w:p w14:paraId="1DCC9D6D" w14:textId="77777777" w:rsidR="009511FA" w:rsidRPr="004063FF" w:rsidRDefault="009511FA" w:rsidP="00353299">
            <w:pPr>
              <w:spacing w:after="0"/>
              <w:rPr>
                <w:rFonts w:asciiTheme="minorHAnsi" w:eastAsia="Times New Roman" w:hAnsiTheme="minorHAnsi" w:cstheme="minorHAnsi"/>
                <w:b/>
                <w:bCs/>
                <w:lang w:eastAsia="en-AU"/>
              </w:rPr>
            </w:pPr>
            <w:r w:rsidRPr="004063FF">
              <w:rPr>
                <w:rFonts w:asciiTheme="minorHAnsi" w:eastAsia="Times New Roman" w:hAnsiTheme="minorHAnsi" w:cstheme="minorHAnsi"/>
                <w:b/>
                <w:bCs/>
                <w:lang w:eastAsia="en-AU"/>
              </w:rPr>
              <w:t>Account Category</w:t>
            </w:r>
          </w:p>
        </w:tc>
        <w:tc>
          <w:tcPr>
            <w:tcW w:w="605" w:type="pct"/>
            <w:tcBorders>
              <w:top w:val="single" w:sz="8" w:space="0" w:color="auto"/>
              <w:left w:val="nil"/>
              <w:bottom w:val="single" w:sz="8" w:space="0" w:color="auto"/>
              <w:right w:val="single" w:sz="4" w:space="0" w:color="auto"/>
            </w:tcBorders>
            <w:shd w:val="clear" w:color="auto" w:fill="1F1F5F" w:themeFill="text1"/>
            <w:noWrap/>
            <w:hideMark/>
          </w:tcPr>
          <w:p w14:paraId="4DC01778" w14:textId="77777777" w:rsidR="009511FA" w:rsidRPr="004063FF" w:rsidRDefault="009511FA" w:rsidP="009511FA">
            <w:pPr>
              <w:spacing w:after="0"/>
              <w:jc w:val="center"/>
              <w:rPr>
                <w:rFonts w:asciiTheme="minorHAnsi" w:eastAsia="Times New Roman" w:hAnsiTheme="minorHAnsi" w:cstheme="minorHAnsi"/>
                <w:b/>
                <w:bCs/>
                <w:lang w:eastAsia="en-AU"/>
              </w:rPr>
            </w:pPr>
            <w:r w:rsidRPr="004063FF">
              <w:rPr>
                <w:rFonts w:asciiTheme="minorHAnsi" w:eastAsia="Times New Roman" w:hAnsiTheme="minorHAnsi" w:cstheme="minorHAnsi"/>
                <w:b/>
                <w:bCs/>
                <w:lang w:eastAsia="en-AU"/>
              </w:rPr>
              <w:t xml:space="preserve">Account Code </w:t>
            </w:r>
          </w:p>
        </w:tc>
        <w:tc>
          <w:tcPr>
            <w:tcW w:w="2416" w:type="pct"/>
            <w:tcBorders>
              <w:top w:val="single" w:sz="8" w:space="0" w:color="auto"/>
              <w:left w:val="nil"/>
              <w:bottom w:val="single" w:sz="8" w:space="0" w:color="auto"/>
              <w:right w:val="single" w:sz="8" w:space="0" w:color="auto"/>
            </w:tcBorders>
            <w:shd w:val="clear" w:color="auto" w:fill="1F1F5F" w:themeFill="text1"/>
            <w:noWrap/>
            <w:hideMark/>
          </w:tcPr>
          <w:p w14:paraId="5D512B43" w14:textId="77777777" w:rsidR="009511FA" w:rsidRPr="004063FF" w:rsidRDefault="009511FA" w:rsidP="009511FA">
            <w:pPr>
              <w:spacing w:after="0"/>
              <w:jc w:val="center"/>
              <w:rPr>
                <w:rFonts w:asciiTheme="minorHAnsi" w:eastAsia="Times New Roman" w:hAnsiTheme="minorHAnsi" w:cstheme="minorHAnsi"/>
                <w:b/>
                <w:bCs/>
                <w:lang w:eastAsia="en-AU"/>
              </w:rPr>
            </w:pPr>
            <w:r w:rsidRPr="004063FF">
              <w:rPr>
                <w:rFonts w:asciiTheme="minorHAnsi" w:eastAsia="Times New Roman" w:hAnsiTheme="minorHAnsi" w:cstheme="minorHAnsi"/>
                <w:b/>
                <w:bCs/>
                <w:lang w:eastAsia="en-AU"/>
              </w:rPr>
              <w:t>Account description</w:t>
            </w:r>
          </w:p>
        </w:tc>
      </w:tr>
      <w:tr w:rsidR="00BA3A05" w:rsidRPr="004063FF" w14:paraId="77F94738" w14:textId="77777777" w:rsidTr="00BA3A05">
        <w:trPr>
          <w:trHeight w:val="255"/>
        </w:trPr>
        <w:tc>
          <w:tcPr>
            <w:tcW w:w="1980" w:type="pct"/>
            <w:tcBorders>
              <w:top w:val="nil"/>
              <w:left w:val="single" w:sz="8" w:space="0" w:color="auto"/>
              <w:bottom w:val="single" w:sz="4" w:space="0" w:color="auto"/>
              <w:right w:val="single" w:sz="4" w:space="0" w:color="auto"/>
            </w:tcBorders>
            <w:shd w:val="clear" w:color="auto" w:fill="auto"/>
            <w:noWrap/>
            <w:hideMark/>
          </w:tcPr>
          <w:p w14:paraId="202BFC93" w14:textId="77777777" w:rsidR="009511FA" w:rsidRPr="004063FF" w:rsidRDefault="009511FA" w:rsidP="009511FA">
            <w:pPr>
              <w:spacing w:after="0"/>
              <w:rPr>
                <w:rFonts w:asciiTheme="minorHAnsi" w:eastAsia="Times New Roman" w:hAnsiTheme="minorHAnsi" w:cstheme="minorHAnsi"/>
                <w:lang w:eastAsia="en-AU"/>
              </w:rPr>
            </w:pPr>
            <w:r w:rsidRPr="004063FF">
              <w:rPr>
                <w:rFonts w:asciiTheme="minorHAnsi" w:eastAsia="Times New Roman" w:hAnsiTheme="minorHAnsi" w:cstheme="minorHAnsi"/>
                <w:lang w:eastAsia="en-AU"/>
              </w:rPr>
              <w:t>Advance accounts</w:t>
            </w:r>
          </w:p>
        </w:tc>
        <w:tc>
          <w:tcPr>
            <w:tcW w:w="605" w:type="pct"/>
            <w:tcBorders>
              <w:top w:val="nil"/>
              <w:left w:val="nil"/>
              <w:bottom w:val="single" w:sz="4" w:space="0" w:color="auto"/>
              <w:right w:val="single" w:sz="4" w:space="0" w:color="auto"/>
            </w:tcBorders>
            <w:shd w:val="clear" w:color="auto" w:fill="auto"/>
            <w:noWrap/>
            <w:hideMark/>
          </w:tcPr>
          <w:p w14:paraId="3CA98E92" w14:textId="77777777" w:rsidR="009511FA" w:rsidRPr="004063FF" w:rsidRDefault="009511FA" w:rsidP="009511FA">
            <w:pPr>
              <w:spacing w:after="0"/>
              <w:jc w:val="center"/>
              <w:rPr>
                <w:rFonts w:asciiTheme="minorHAnsi" w:eastAsia="Times New Roman" w:hAnsiTheme="minorHAnsi" w:cstheme="minorHAnsi"/>
                <w:lang w:eastAsia="en-AU"/>
              </w:rPr>
            </w:pPr>
            <w:r w:rsidRPr="004063FF">
              <w:rPr>
                <w:rFonts w:asciiTheme="minorHAnsi" w:eastAsia="Times New Roman" w:hAnsiTheme="minorHAnsi" w:cstheme="minorHAnsi"/>
                <w:lang w:eastAsia="en-AU"/>
              </w:rPr>
              <w:t>811120</w:t>
            </w:r>
          </w:p>
          <w:p w14:paraId="528547C7" w14:textId="12330706" w:rsidR="00BA3A05" w:rsidRPr="004063FF" w:rsidRDefault="00BA3A05" w:rsidP="009511FA">
            <w:pPr>
              <w:spacing w:after="0"/>
              <w:jc w:val="center"/>
              <w:rPr>
                <w:rFonts w:asciiTheme="minorHAnsi" w:eastAsia="Times New Roman" w:hAnsiTheme="minorHAnsi" w:cstheme="minorHAnsi"/>
                <w:lang w:eastAsia="en-AU"/>
              </w:rPr>
            </w:pPr>
            <w:r w:rsidRPr="004063FF">
              <w:rPr>
                <w:rFonts w:asciiTheme="minorHAnsi" w:eastAsia="Times New Roman" w:hAnsiTheme="minorHAnsi" w:cstheme="minorHAnsi"/>
                <w:lang w:eastAsia="en-AU"/>
              </w:rPr>
              <w:t>811150</w:t>
            </w:r>
          </w:p>
        </w:tc>
        <w:tc>
          <w:tcPr>
            <w:tcW w:w="2416" w:type="pct"/>
            <w:tcBorders>
              <w:top w:val="nil"/>
              <w:left w:val="nil"/>
              <w:bottom w:val="single" w:sz="4" w:space="0" w:color="auto"/>
              <w:right w:val="single" w:sz="8" w:space="0" w:color="auto"/>
            </w:tcBorders>
            <w:shd w:val="clear" w:color="auto" w:fill="auto"/>
            <w:noWrap/>
            <w:hideMark/>
          </w:tcPr>
          <w:p w14:paraId="4066DE13" w14:textId="77777777" w:rsidR="009511FA" w:rsidRPr="004063FF" w:rsidRDefault="009511FA" w:rsidP="009511FA">
            <w:pPr>
              <w:spacing w:after="0"/>
              <w:rPr>
                <w:rFonts w:asciiTheme="minorHAnsi" w:eastAsia="Times New Roman" w:hAnsiTheme="minorHAnsi" w:cstheme="minorHAnsi"/>
                <w:lang w:eastAsia="en-AU"/>
              </w:rPr>
            </w:pPr>
            <w:r w:rsidRPr="004063FF">
              <w:rPr>
                <w:rFonts w:asciiTheme="minorHAnsi" w:eastAsia="Times New Roman" w:hAnsiTheme="minorHAnsi" w:cstheme="minorHAnsi"/>
                <w:lang w:eastAsia="en-AU"/>
              </w:rPr>
              <w:t>Cash at Bank - Advance Accounts</w:t>
            </w:r>
          </w:p>
          <w:p w14:paraId="5E1F75DB" w14:textId="52D9F846" w:rsidR="00BA3A05" w:rsidRPr="004063FF" w:rsidRDefault="00BA3A05" w:rsidP="009511FA">
            <w:pPr>
              <w:spacing w:after="0"/>
              <w:rPr>
                <w:rFonts w:asciiTheme="minorHAnsi" w:eastAsia="Times New Roman" w:hAnsiTheme="minorHAnsi" w:cstheme="minorHAnsi"/>
                <w:lang w:eastAsia="en-AU"/>
              </w:rPr>
            </w:pPr>
            <w:r w:rsidRPr="004063FF">
              <w:rPr>
                <w:rFonts w:asciiTheme="minorHAnsi" w:eastAsia="Times New Roman" w:hAnsiTheme="minorHAnsi" w:cstheme="minorHAnsi"/>
                <w:lang w:eastAsia="en-AU"/>
              </w:rPr>
              <w:t>Cash at Bank - Advance Accounts Outside Set Off Group</w:t>
            </w:r>
          </w:p>
        </w:tc>
      </w:tr>
      <w:tr w:rsidR="00BA3A05" w:rsidRPr="004063FF" w14:paraId="7A951C31" w14:textId="77777777" w:rsidTr="007100E7">
        <w:trPr>
          <w:trHeight w:val="255"/>
        </w:trPr>
        <w:tc>
          <w:tcPr>
            <w:tcW w:w="1980" w:type="pct"/>
            <w:tcBorders>
              <w:top w:val="nil"/>
              <w:left w:val="single" w:sz="8" w:space="0" w:color="auto"/>
              <w:bottom w:val="single" w:sz="4" w:space="0" w:color="auto"/>
              <w:right w:val="single" w:sz="4" w:space="0" w:color="auto"/>
            </w:tcBorders>
            <w:shd w:val="clear" w:color="auto" w:fill="D9D9D9" w:themeFill="background1" w:themeFillShade="D9"/>
            <w:noWrap/>
            <w:hideMark/>
          </w:tcPr>
          <w:p w14:paraId="3DFA87F1" w14:textId="77777777" w:rsidR="009511FA" w:rsidRPr="004063FF" w:rsidRDefault="009511FA" w:rsidP="009511FA">
            <w:pPr>
              <w:spacing w:after="0"/>
              <w:rPr>
                <w:rFonts w:asciiTheme="minorHAnsi" w:eastAsia="Times New Roman" w:hAnsiTheme="minorHAnsi" w:cstheme="minorHAnsi"/>
                <w:lang w:eastAsia="en-AU"/>
              </w:rPr>
            </w:pPr>
            <w:r w:rsidRPr="004063FF">
              <w:rPr>
                <w:rFonts w:asciiTheme="minorHAnsi" w:eastAsia="Times New Roman" w:hAnsiTheme="minorHAnsi" w:cstheme="minorHAnsi"/>
                <w:lang w:eastAsia="en-AU"/>
              </w:rPr>
              <w:t>External accounts</w:t>
            </w:r>
          </w:p>
        </w:tc>
        <w:tc>
          <w:tcPr>
            <w:tcW w:w="605" w:type="pct"/>
            <w:tcBorders>
              <w:top w:val="nil"/>
              <w:left w:val="nil"/>
              <w:bottom w:val="single" w:sz="4" w:space="0" w:color="auto"/>
              <w:right w:val="single" w:sz="4" w:space="0" w:color="auto"/>
            </w:tcBorders>
            <w:shd w:val="clear" w:color="auto" w:fill="D9D9D9" w:themeFill="background1" w:themeFillShade="D9"/>
            <w:noWrap/>
            <w:hideMark/>
          </w:tcPr>
          <w:p w14:paraId="0BC1056F" w14:textId="77777777" w:rsidR="009511FA" w:rsidRPr="004063FF" w:rsidRDefault="009511FA" w:rsidP="009511FA">
            <w:pPr>
              <w:spacing w:after="0"/>
              <w:jc w:val="center"/>
              <w:rPr>
                <w:rFonts w:asciiTheme="minorHAnsi" w:eastAsia="Times New Roman" w:hAnsiTheme="minorHAnsi" w:cstheme="minorHAnsi"/>
                <w:lang w:eastAsia="en-AU"/>
              </w:rPr>
            </w:pPr>
            <w:r w:rsidRPr="004063FF">
              <w:rPr>
                <w:rFonts w:asciiTheme="minorHAnsi" w:eastAsia="Times New Roman" w:hAnsiTheme="minorHAnsi" w:cstheme="minorHAnsi"/>
                <w:lang w:eastAsia="en-AU"/>
              </w:rPr>
              <w:t>811130</w:t>
            </w:r>
          </w:p>
          <w:p w14:paraId="130B7615" w14:textId="77777777" w:rsidR="00BA3A05" w:rsidRPr="004063FF" w:rsidRDefault="00BA3A05" w:rsidP="009511FA">
            <w:pPr>
              <w:spacing w:after="0"/>
              <w:jc w:val="center"/>
              <w:rPr>
                <w:rFonts w:asciiTheme="minorHAnsi" w:eastAsia="Times New Roman" w:hAnsiTheme="minorHAnsi" w:cstheme="minorHAnsi"/>
                <w:lang w:eastAsia="en-AU"/>
              </w:rPr>
            </w:pPr>
          </w:p>
          <w:p w14:paraId="4F3DF580" w14:textId="748C2CB4" w:rsidR="00BA3A05" w:rsidRPr="004063FF" w:rsidRDefault="00BA3A05" w:rsidP="009511FA">
            <w:pPr>
              <w:spacing w:after="0"/>
              <w:jc w:val="center"/>
              <w:rPr>
                <w:rFonts w:asciiTheme="minorHAnsi" w:eastAsia="Times New Roman" w:hAnsiTheme="minorHAnsi" w:cstheme="minorHAnsi"/>
                <w:lang w:eastAsia="en-AU"/>
              </w:rPr>
            </w:pPr>
            <w:r w:rsidRPr="004063FF">
              <w:rPr>
                <w:rFonts w:asciiTheme="minorHAnsi" w:eastAsia="Times New Roman" w:hAnsiTheme="minorHAnsi" w:cstheme="minorHAnsi"/>
                <w:lang w:eastAsia="en-AU"/>
              </w:rPr>
              <w:t>811140</w:t>
            </w:r>
          </w:p>
        </w:tc>
        <w:tc>
          <w:tcPr>
            <w:tcW w:w="2416" w:type="pct"/>
            <w:tcBorders>
              <w:top w:val="nil"/>
              <w:left w:val="nil"/>
              <w:bottom w:val="single" w:sz="4" w:space="0" w:color="auto"/>
              <w:right w:val="single" w:sz="8" w:space="0" w:color="auto"/>
            </w:tcBorders>
            <w:shd w:val="clear" w:color="auto" w:fill="D9D9D9" w:themeFill="background1" w:themeFillShade="D9"/>
            <w:noWrap/>
            <w:hideMark/>
          </w:tcPr>
          <w:p w14:paraId="4206F357" w14:textId="77777777" w:rsidR="009511FA" w:rsidRPr="004063FF" w:rsidRDefault="009511FA" w:rsidP="009511FA">
            <w:pPr>
              <w:spacing w:after="0"/>
              <w:rPr>
                <w:rFonts w:asciiTheme="minorHAnsi" w:eastAsia="Times New Roman" w:hAnsiTheme="minorHAnsi" w:cstheme="minorHAnsi"/>
                <w:lang w:eastAsia="en-AU"/>
              </w:rPr>
            </w:pPr>
            <w:r w:rsidRPr="004063FF">
              <w:rPr>
                <w:rFonts w:asciiTheme="minorHAnsi" w:eastAsia="Times New Roman" w:hAnsiTheme="minorHAnsi" w:cstheme="minorHAnsi"/>
                <w:lang w:eastAsia="en-AU"/>
              </w:rPr>
              <w:t>Cash at Bank - External Accounts Within Set Off Group</w:t>
            </w:r>
          </w:p>
          <w:p w14:paraId="17001E3F" w14:textId="7EEA6D5A" w:rsidR="00BA3A05" w:rsidRPr="004063FF" w:rsidRDefault="00BA3A05" w:rsidP="009511FA">
            <w:pPr>
              <w:spacing w:after="0"/>
              <w:rPr>
                <w:rFonts w:asciiTheme="minorHAnsi" w:eastAsia="Times New Roman" w:hAnsiTheme="minorHAnsi" w:cstheme="minorHAnsi"/>
                <w:lang w:eastAsia="en-AU"/>
              </w:rPr>
            </w:pPr>
            <w:r w:rsidRPr="004063FF">
              <w:rPr>
                <w:rFonts w:asciiTheme="minorHAnsi" w:eastAsia="Times New Roman" w:hAnsiTheme="minorHAnsi" w:cstheme="minorHAnsi"/>
                <w:lang w:eastAsia="en-AU"/>
              </w:rPr>
              <w:t>Cash at Bank - External Accounts Within Set Off Group</w:t>
            </w:r>
          </w:p>
        </w:tc>
      </w:tr>
      <w:tr w:rsidR="00BA3A05" w:rsidRPr="004063FF" w14:paraId="4A3764CC" w14:textId="77777777" w:rsidTr="007100E7">
        <w:trPr>
          <w:trHeight w:val="255"/>
        </w:trPr>
        <w:tc>
          <w:tcPr>
            <w:tcW w:w="1980" w:type="pct"/>
            <w:tcBorders>
              <w:top w:val="nil"/>
              <w:left w:val="single" w:sz="8" w:space="0" w:color="auto"/>
              <w:bottom w:val="single" w:sz="4" w:space="0" w:color="auto"/>
              <w:right w:val="single" w:sz="4" w:space="0" w:color="auto"/>
            </w:tcBorders>
            <w:shd w:val="clear" w:color="auto" w:fill="auto"/>
            <w:noWrap/>
            <w:hideMark/>
          </w:tcPr>
          <w:p w14:paraId="443B0CD6" w14:textId="77777777" w:rsidR="00BA3A05" w:rsidRPr="004063FF" w:rsidRDefault="00BA3A05" w:rsidP="00BA3A05">
            <w:pPr>
              <w:spacing w:after="0"/>
              <w:rPr>
                <w:rFonts w:asciiTheme="minorHAnsi" w:eastAsia="Times New Roman" w:hAnsiTheme="minorHAnsi" w:cstheme="minorHAnsi"/>
                <w:lang w:eastAsia="en-AU"/>
              </w:rPr>
            </w:pPr>
            <w:r w:rsidRPr="004063FF">
              <w:rPr>
                <w:rFonts w:asciiTheme="minorHAnsi" w:eastAsia="Times New Roman" w:hAnsiTheme="minorHAnsi" w:cstheme="minorHAnsi"/>
                <w:lang w:eastAsia="en-AU"/>
              </w:rPr>
              <w:t>Cash on hand</w:t>
            </w:r>
          </w:p>
        </w:tc>
        <w:tc>
          <w:tcPr>
            <w:tcW w:w="605" w:type="pct"/>
            <w:tcBorders>
              <w:top w:val="nil"/>
              <w:left w:val="nil"/>
              <w:bottom w:val="single" w:sz="4" w:space="0" w:color="auto"/>
              <w:right w:val="single" w:sz="4" w:space="0" w:color="auto"/>
            </w:tcBorders>
            <w:shd w:val="clear" w:color="auto" w:fill="auto"/>
            <w:noWrap/>
            <w:hideMark/>
          </w:tcPr>
          <w:p w14:paraId="1BC14B9C" w14:textId="77777777" w:rsidR="00BA3A05" w:rsidRPr="004063FF" w:rsidRDefault="00BA3A05" w:rsidP="00BA3A05">
            <w:pPr>
              <w:spacing w:after="0"/>
              <w:jc w:val="center"/>
              <w:rPr>
                <w:rFonts w:asciiTheme="minorHAnsi" w:eastAsia="Times New Roman" w:hAnsiTheme="minorHAnsi" w:cstheme="minorHAnsi"/>
                <w:lang w:eastAsia="en-AU"/>
              </w:rPr>
            </w:pPr>
            <w:r w:rsidRPr="004063FF">
              <w:rPr>
                <w:rFonts w:asciiTheme="minorHAnsi" w:eastAsia="Times New Roman" w:hAnsiTheme="minorHAnsi" w:cstheme="minorHAnsi"/>
                <w:lang w:eastAsia="en-AU"/>
              </w:rPr>
              <w:t>811210</w:t>
            </w:r>
          </w:p>
          <w:p w14:paraId="28684017" w14:textId="2113C9FA" w:rsidR="00BA3A05" w:rsidRPr="004063FF" w:rsidRDefault="00BA3A05" w:rsidP="00BA3A05">
            <w:pPr>
              <w:spacing w:after="0"/>
              <w:rPr>
                <w:rFonts w:asciiTheme="minorHAnsi" w:eastAsia="Times New Roman" w:hAnsiTheme="minorHAnsi" w:cstheme="minorHAnsi"/>
                <w:lang w:eastAsia="en-AU"/>
              </w:rPr>
            </w:pPr>
            <w:r w:rsidRPr="004063FF">
              <w:rPr>
                <w:rFonts w:asciiTheme="minorHAnsi" w:eastAsia="Times New Roman" w:hAnsiTheme="minorHAnsi" w:cstheme="minorHAnsi"/>
                <w:lang w:eastAsia="en-AU"/>
              </w:rPr>
              <w:t xml:space="preserve">  811220</w:t>
            </w:r>
          </w:p>
        </w:tc>
        <w:tc>
          <w:tcPr>
            <w:tcW w:w="2416" w:type="pct"/>
            <w:tcBorders>
              <w:top w:val="nil"/>
              <w:left w:val="nil"/>
              <w:bottom w:val="single" w:sz="4" w:space="0" w:color="auto"/>
              <w:right w:val="single" w:sz="8" w:space="0" w:color="auto"/>
            </w:tcBorders>
            <w:shd w:val="clear" w:color="auto" w:fill="auto"/>
            <w:noWrap/>
            <w:hideMark/>
          </w:tcPr>
          <w:p w14:paraId="426F7DBC" w14:textId="5AB2DB62" w:rsidR="00BA3A05" w:rsidRPr="004063FF" w:rsidRDefault="00BA3A05" w:rsidP="00BA3A05">
            <w:pPr>
              <w:spacing w:after="0"/>
              <w:rPr>
                <w:rFonts w:asciiTheme="minorHAnsi" w:eastAsia="Times New Roman" w:hAnsiTheme="minorHAnsi" w:cstheme="minorHAnsi"/>
                <w:lang w:eastAsia="en-AU"/>
              </w:rPr>
            </w:pPr>
            <w:r w:rsidRPr="004063FF">
              <w:rPr>
                <w:rFonts w:asciiTheme="minorHAnsi" w:eastAsia="Times New Roman" w:hAnsiTheme="minorHAnsi" w:cstheme="minorHAnsi"/>
                <w:lang w:eastAsia="en-AU"/>
              </w:rPr>
              <w:t>Cash Floats (including petty cash and till floats) Cash in Transit</w:t>
            </w:r>
          </w:p>
        </w:tc>
      </w:tr>
      <w:tr w:rsidR="00BA3A05" w:rsidRPr="004063FF" w14:paraId="1EC45157" w14:textId="77777777" w:rsidTr="007100E7">
        <w:trPr>
          <w:trHeight w:val="270"/>
        </w:trPr>
        <w:tc>
          <w:tcPr>
            <w:tcW w:w="1980" w:type="pct"/>
            <w:tcBorders>
              <w:top w:val="single" w:sz="4" w:space="0" w:color="auto"/>
              <w:left w:val="single" w:sz="8" w:space="0" w:color="auto"/>
              <w:bottom w:val="single" w:sz="4" w:space="0" w:color="auto"/>
              <w:right w:val="single" w:sz="4" w:space="0" w:color="auto"/>
            </w:tcBorders>
            <w:shd w:val="clear" w:color="auto" w:fill="auto"/>
            <w:noWrap/>
            <w:hideMark/>
          </w:tcPr>
          <w:p w14:paraId="2DF57B52" w14:textId="77777777" w:rsidR="00BA3A05" w:rsidRPr="004063FF" w:rsidRDefault="00BA3A05" w:rsidP="00BA3A05">
            <w:pPr>
              <w:spacing w:after="0"/>
              <w:rPr>
                <w:rFonts w:asciiTheme="minorHAnsi" w:eastAsia="Times New Roman" w:hAnsiTheme="minorHAnsi" w:cstheme="minorHAnsi"/>
                <w:lang w:eastAsia="en-AU"/>
              </w:rPr>
            </w:pPr>
            <w:r w:rsidRPr="004063FF">
              <w:rPr>
                <w:rFonts w:asciiTheme="minorHAnsi" w:eastAsia="Times New Roman" w:hAnsiTheme="minorHAnsi" w:cstheme="minorHAnsi"/>
                <w:lang w:eastAsia="en-AU"/>
              </w:rPr>
              <w:t>Accountable officer trust accounts (AOTAs)</w:t>
            </w:r>
          </w:p>
        </w:tc>
        <w:tc>
          <w:tcPr>
            <w:tcW w:w="605" w:type="pct"/>
            <w:tcBorders>
              <w:top w:val="single" w:sz="4" w:space="0" w:color="auto"/>
              <w:left w:val="nil"/>
              <w:bottom w:val="single" w:sz="4" w:space="0" w:color="auto"/>
              <w:right w:val="single" w:sz="4" w:space="0" w:color="auto"/>
            </w:tcBorders>
            <w:shd w:val="clear" w:color="auto" w:fill="auto"/>
            <w:noWrap/>
            <w:hideMark/>
          </w:tcPr>
          <w:p w14:paraId="3D88BD59" w14:textId="77777777" w:rsidR="00BA3A05" w:rsidRPr="004063FF" w:rsidRDefault="00BA3A05" w:rsidP="00BA3A05">
            <w:pPr>
              <w:spacing w:after="0"/>
              <w:jc w:val="center"/>
              <w:rPr>
                <w:rFonts w:asciiTheme="minorHAnsi" w:eastAsia="Times New Roman" w:hAnsiTheme="minorHAnsi" w:cstheme="minorHAnsi"/>
                <w:lang w:eastAsia="en-AU"/>
              </w:rPr>
            </w:pPr>
            <w:r w:rsidRPr="004063FF">
              <w:rPr>
                <w:rFonts w:asciiTheme="minorHAnsi" w:eastAsia="Times New Roman" w:hAnsiTheme="minorHAnsi" w:cstheme="minorHAnsi"/>
                <w:lang w:eastAsia="en-AU"/>
              </w:rPr>
              <w:t>911100</w:t>
            </w:r>
          </w:p>
        </w:tc>
        <w:tc>
          <w:tcPr>
            <w:tcW w:w="2416" w:type="pct"/>
            <w:tcBorders>
              <w:top w:val="single" w:sz="4" w:space="0" w:color="auto"/>
              <w:left w:val="nil"/>
              <w:bottom w:val="single" w:sz="4" w:space="0" w:color="auto"/>
              <w:right w:val="single" w:sz="8" w:space="0" w:color="auto"/>
            </w:tcBorders>
            <w:shd w:val="clear" w:color="auto" w:fill="auto"/>
            <w:noWrap/>
            <w:hideMark/>
          </w:tcPr>
          <w:p w14:paraId="41D4E0E4" w14:textId="77777777" w:rsidR="00BA3A05" w:rsidRPr="004063FF" w:rsidRDefault="00BA3A05" w:rsidP="00BA3A05">
            <w:pPr>
              <w:spacing w:after="0"/>
              <w:rPr>
                <w:rFonts w:asciiTheme="minorHAnsi" w:eastAsia="Times New Roman" w:hAnsiTheme="minorHAnsi" w:cstheme="minorHAnsi"/>
                <w:lang w:eastAsia="en-AU"/>
              </w:rPr>
            </w:pPr>
            <w:r w:rsidRPr="004063FF">
              <w:rPr>
                <w:rFonts w:asciiTheme="minorHAnsi" w:eastAsia="Times New Roman" w:hAnsiTheme="minorHAnsi" w:cstheme="minorHAnsi"/>
                <w:lang w:eastAsia="en-AU"/>
              </w:rPr>
              <w:t>Accountable Officer Trust Accounts</w:t>
            </w:r>
          </w:p>
        </w:tc>
      </w:tr>
      <w:tr w:rsidR="00BA3A05" w:rsidRPr="004063FF" w14:paraId="07F51DFA" w14:textId="77777777" w:rsidTr="007100E7">
        <w:trPr>
          <w:trHeight w:val="255"/>
        </w:trPr>
        <w:tc>
          <w:tcPr>
            <w:tcW w:w="1980" w:type="pct"/>
            <w:tcBorders>
              <w:top w:val="single" w:sz="4" w:space="0" w:color="auto"/>
              <w:left w:val="single" w:sz="8" w:space="0" w:color="auto"/>
              <w:bottom w:val="single" w:sz="4" w:space="0" w:color="auto"/>
              <w:right w:val="single" w:sz="4" w:space="0" w:color="auto"/>
            </w:tcBorders>
            <w:shd w:val="clear" w:color="auto" w:fill="D9D9D9" w:themeFill="background1" w:themeFillShade="D9"/>
            <w:noWrap/>
            <w:hideMark/>
          </w:tcPr>
          <w:p w14:paraId="6C712728" w14:textId="77777777" w:rsidR="00BA3A05" w:rsidRPr="004063FF" w:rsidRDefault="00BA3A05" w:rsidP="00BA3A05">
            <w:pPr>
              <w:spacing w:after="0"/>
              <w:rPr>
                <w:rFonts w:asciiTheme="minorHAnsi" w:eastAsia="Times New Roman" w:hAnsiTheme="minorHAnsi" w:cstheme="minorHAnsi"/>
                <w:lang w:eastAsia="en-AU"/>
              </w:rPr>
            </w:pPr>
            <w:r w:rsidRPr="004063FF">
              <w:rPr>
                <w:rFonts w:asciiTheme="minorHAnsi" w:eastAsia="Times New Roman" w:hAnsiTheme="minorHAnsi" w:cstheme="minorHAnsi"/>
                <w:lang w:eastAsia="en-AU"/>
              </w:rPr>
              <w:t>Clearing accounts</w:t>
            </w:r>
          </w:p>
        </w:tc>
        <w:tc>
          <w:tcPr>
            <w:tcW w:w="605"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4DE3A56B" w14:textId="77777777" w:rsidR="00BA3A05" w:rsidRPr="004063FF" w:rsidRDefault="00BA3A05" w:rsidP="00BA3A05">
            <w:pPr>
              <w:spacing w:after="0"/>
              <w:jc w:val="center"/>
              <w:rPr>
                <w:rFonts w:asciiTheme="minorHAnsi" w:eastAsia="Times New Roman" w:hAnsiTheme="minorHAnsi" w:cstheme="minorHAnsi"/>
                <w:lang w:eastAsia="en-AU"/>
              </w:rPr>
            </w:pPr>
            <w:r w:rsidRPr="004063FF">
              <w:rPr>
                <w:rFonts w:asciiTheme="minorHAnsi" w:eastAsia="Times New Roman" w:hAnsiTheme="minorHAnsi" w:cstheme="minorHAnsi"/>
                <w:lang w:eastAsia="en-AU"/>
              </w:rPr>
              <w:t>911200</w:t>
            </w:r>
          </w:p>
          <w:p w14:paraId="4BF81E58" w14:textId="3CBCBAA7" w:rsidR="00BA3A05" w:rsidRPr="004063FF" w:rsidRDefault="00BA3A05" w:rsidP="00BA3A05">
            <w:pPr>
              <w:spacing w:after="0"/>
              <w:jc w:val="center"/>
              <w:rPr>
                <w:rFonts w:asciiTheme="minorHAnsi" w:eastAsia="Times New Roman" w:hAnsiTheme="minorHAnsi" w:cstheme="minorHAnsi"/>
                <w:lang w:eastAsia="en-AU"/>
              </w:rPr>
            </w:pPr>
            <w:r w:rsidRPr="004063FF">
              <w:rPr>
                <w:rFonts w:asciiTheme="minorHAnsi" w:eastAsia="Times New Roman" w:hAnsiTheme="minorHAnsi" w:cstheme="minorHAnsi"/>
                <w:lang w:eastAsia="en-AU"/>
              </w:rPr>
              <w:t>911700</w:t>
            </w:r>
          </w:p>
        </w:tc>
        <w:tc>
          <w:tcPr>
            <w:tcW w:w="2416" w:type="pct"/>
            <w:tcBorders>
              <w:top w:val="single" w:sz="4" w:space="0" w:color="auto"/>
              <w:left w:val="nil"/>
              <w:bottom w:val="single" w:sz="4" w:space="0" w:color="auto"/>
              <w:right w:val="single" w:sz="8" w:space="0" w:color="auto"/>
            </w:tcBorders>
            <w:shd w:val="clear" w:color="auto" w:fill="D9D9D9" w:themeFill="background1" w:themeFillShade="D9"/>
            <w:noWrap/>
            <w:hideMark/>
          </w:tcPr>
          <w:p w14:paraId="5DE6D57A" w14:textId="77777777" w:rsidR="00BA3A05" w:rsidRPr="004063FF" w:rsidRDefault="00BA3A05" w:rsidP="00BA3A05">
            <w:pPr>
              <w:spacing w:after="0"/>
              <w:rPr>
                <w:rFonts w:asciiTheme="minorHAnsi" w:eastAsia="Times New Roman" w:hAnsiTheme="minorHAnsi" w:cstheme="minorHAnsi"/>
                <w:lang w:eastAsia="en-AU"/>
              </w:rPr>
            </w:pPr>
            <w:r w:rsidRPr="004063FF">
              <w:rPr>
                <w:rFonts w:asciiTheme="minorHAnsi" w:eastAsia="Times New Roman" w:hAnsiTheme="minorHAnsi" w:cstheme="minorHAnsi"/>
                <w:lang w:eastAsia="en-AU"/>
              </w:rPr>
              <w:t>Clearing Money</w:t>
            </w:r>
          </w:p>
          <w:p w14:paraId="08B0F6B4" w14:textId="79C879F6" w:rsidR="00BA3A05" w:rsidRPr="004063FF" w:rsidRDefault="00BA3A05" w:rsidP="00BA3A05">
            <w:pPr>
              <w:spacing w:after="0"/>
              <w:rPr>
                <w:rFonts w:asciiTheme="minorHAnsi" w:eastAsia="Times New Roman" w:hAnsiTheme="minorHAnsi" w:cstheme="minorHAnsi"/>
                <w:lang w:eastAsia="en-AU"/>
              </w:rPr>
            </w:pPr>
            <w:r w:rsidRPr="004063FF">
              <w:rPr>
                <w:rFonts w:asciiTheme="minorHAnsi" w:eastAsia="Times New Roman" w:hAnsiTheme="minorHAnsi" w:cstheme="minorHAnsi"/>
                <w:lang w:eastAsia="en-AU"/>
              </w:rPr>
              <w:t>DBE ICT Clearing Account</w:t>
            </w:r>
          </w:p>
        </w:tc>
      </w:tr>
      <w:tr w:rsidR="00BA3A05" w:rsidRPr="004063FF" w14:paraId="0C4F3A62" w14:textId="77777777" w:rsidTr="00BA3A05">
        <w:trPr>
          <w:trHeight w:val="255"/>
        </w:trPr>
        <w:tc>
          <w:tcPr>
            <w:tcW w:w="1980" w:type="pct"/>
            <w:tcBorders>
              <w:top w:val="nil"/>
              <w:left w:val="single" w:sz="8" w:space="0" w:color="auto"/>
              <w:bottom w:val="single" w:sz="4" w:space="0" w:color="auto"/>
              <w:right w:val="single" w:sz="4" w:space="0" w:color="auto"/>
            </w:tcBorders>
            <w:shd w:val="clear" w:color="auto" w:fill="auto"/>
            <w:noWrap/>
            <w:hideMark/>
          </w:tcPr>
          <w:p w14:paraId="0DF2B1AD" w14:textId="77777777" w:rsidR="00BA3A05" w:rsidRPr="004063FF" w:rsidRDefault="00BA3A05" w:rsidP="00BA3A05">
            <w:pPr>
              <w:spacing w:after="0"/>
              <w:rPr>
                <w:rFonts w:asciiTheme="minorHAnsi" w:eastAsia="Times New Roman" w:hAnsiTheme="minorHAnsi" w:cstheme="minorHAnsi"/>
                <w:lang w:eastAsia="en-AU"/>
              </w:rPr>
            </w:pPr>
            <w:r w:rsidRPr="004063FF">
              <w:rPr>
                <w:rFonts w:asciiTheme="minorHAnsi" w:eastAsia="Times New Roman" w:hAnsiTheme="minorHAnsi" w:cstheme="minorHAnsi"/>
                <w:lang w:eastAsia="en-AU"/>
              </w:rPr>
              <w:t>Interest bearing deposits, and other deposits held</w:t>
            </w:r>
          </w:p>
        </w:tc>
        <w:tc>
          <w:tcPr>
            <w:tcW w:w="605" w:type="pct"/>
            <w:tcBorders>
              <w:top w:val="nil"/>
              <w:left w:val="nil"/>
              <w:bottom w:val="single" w:sz="4" w:space="0" w:color="auto"/>
              <w:right w:val="single" w:sz="4" w:space="0" w:color="auto"/>
            </w:tcBorders>
            <w:shd w:val="clear" w:color="auto" w:fill="auto"/>
            <w:noWrap/>
            <w:hideMark/>
          </w:tcPr>
          <w:p w14:paraId="123FCB2B" w14:textId="77777777" w:rsidR="00BA3A05" w:rsidRPr="004063FF" w:rsidRDefault="00BA3A05" w:rsidP="00BA3A05">
            <w:pPr>
              <w:spacing w:after="0"/>
              <w:jc w:val="center"/>
              <w:rPr>
                <w:rFonts w:asciiTheme="minorHAnsi" w:eastAsia="Times New Roman" w:hAnsiTheme="minorHAnsi" w:cstheme="minorHAnsi"/>
                <w:lang w:eastAsia="en-AU"/>
              </w:rPr>
            </w:pPr>
            <w:r w:rsidRPr="004063FF">
              <w:rPr>
                <w:rFonts w:asciiTheme="minorHAnsi" w:eastAsia="Times New Roman" w:hAnsiTheme="minorHAnsi" w:cstheme="minorHAnsi"/>
                <w:lang w:eastAsia="en-AU"/>
              </w:rPr>
              <w:t>911300</w:t>
            </w:r>
          </w:p>
          <w:p w14:paraId="3296DF63" w14:textId="78C7A62A" w:rsidR="00BA3A05" w:rsidRPr="004063FF" w:rsidRDefault="00BA3A05" w:rsidP="00BA3A05">
            <w:pPr>
              <w:spacing w:after="0"/>
              <w:jc w:val="center"/>
              <w:rPr>
                <w:rFonts w:asciiTheme="minorHAnsi" w:eastAsia="Times New Roman" w:hAnsiTheme="minorHAnsi" w:cstheme="minorHAnsi"/>
                <w:lang w:eastAsia="en-AU"/>
              </w:rPr>
            </w:pPr>
            <w:r w:rsidRPr="004063FF">
              <w:rPr>
                <w:rFonts w:asciiTheme="minorHAnsi" w:eastAsia="Times New Roman" w:hAnsiTheme="minorHAnsi" w:cstheme="minorHAnsi"/>
                <w:lang w:eastAsia="en-AU"/>
              </w:rPr>
              <w:t>911900</w:t>
            </w:r>
          </w:p>
        </w:tc>
        <w:tc>
          <w:tcPr>
            <w:tcW w:w="2416" w:type="pct"/>
            <w:tcBorders>
              <w:top w:val="nil"/>
              <w:left w:val="nil"/>
              <w:bottom w:val="single" w:sz="4" w:space="0" w:color="auto"/>
              <w:right w:val="single" w:sz="8" w:space="0" w:color="auto"/>
            </w:tcBorders>
            <w:shd w:val="clear" w:color="auto" w:fill="auto"/>
            <w:noWrap/>
            <w:hideMark/>
          </w:tcPr>
          <w:p w14:paraId="72C3FCFD" w14:textId="77777777" w:rsidR="00BA3A05" w:rsidRPr="004063FF" w:rsidRDefault="00BA3A05" w:rsidP="00BA3A05">
            <w:pPr>
              <w:spacing w:after="0"/>
              <w:rPr>
                <w:rFonts w:asciiTheme="minorHAnsi" w:eastAsia="Times New Roman" w:hAnsiTheme="minorHAnsi" w:cstheme="minorHAnsi"/>
                <w:lang w:eastAsia="en-AU"/>
              </w:rPr>
            </w:pPr>
            <w:r w:rsidRPr="004063FF">
              <w:rPr>
                <w:rFonts w:asciiTheme="minorHAnsi" w:eastAsia="Times New Roman" w:hAnsiTheme="minorHAnsi" w:cstheme="minorHAnsi"/>
                <w:lang w:eastAsia="en-AU"/>
              </w:rPr>
              <w:t>Interest Bearing Deposits</w:t>
            </w:r>
          </w:p>
          <w:p w14:paraId="6104B2E1" w14:textId="730E1544" w:rsidR="00BA3A05" w:rsidRPr="004063FF" w:rsidRDefault="00BA3A05" w:rsidP="00BA3A05">
            <w:pPr>
              <w:spacing w:after="0"/>
              <w:rPr>
                <w:rFonts w:asciiTheme="minorHAnsi" w:eastAsia="Times New Roman" w:hAnsiTheme="minorHAnsi" w:cstheme="minorHAnsi"/>
                <w:lang w:eastAsia="en-AU"/>
              </w:rPr>
            </w:pPr>
            <w:r w:rsidRPr="004063FF">
              <w:rPr>
                <w:rFonts w:asciiTheme="minorHAnsi" w:eastAsia="Times New Roman" w:hAnsiTheme="minorHAnsi" w:cstheme="minorHAnsi"/>
                <w:lang w:eastAsia="en-AU"/>
              </w:rPr>
              <w:t>Deposits Held - Other</w:t>
            </w:r>
          </w:p>
        </w:tc>
      </w:tr>
    </w:tbl>
    <w:p w14:paraId="1E48FD81" w14:textId="77777777" w:rsidR="007807E5" w:rsidRPr="00353299" w:rsidRDefault="007807E5" w:rsidP="00D64895">
      <w:pPr>
        <w:pStyle w:val="ListNumber"/>
        <w:numPr>
          <w:ilvl w:val="0"/>
          <w:numId w:val="0"/>
        </w:numPr>
        <w:ind w:left="284"/>
        <w:rPr>
          <w:rFonts w:asciiTheme="minorHAnsi" w:hAnsiTheme="minorHAnsi"/>
          <w:u w:val="single"/>
        </w:rPr>
      </w:pPr>
    </w:p>
    <w:p w14:paraId="464BBE36" w14:textId="1F39D705" w:rsidR="000B0084" w:rsidRPr="00A97E78" w:rsidRDefault="000B0084" w:rsidP="00353299">
      <w:pPr>
        <w:pStyle w:val="Heading4"/>
        <w:ind w:left="280"/>
        <w:rPr>
          <w:rFonts w:asciiTheme="minorHAnsi" w:hAnsiTheme="minorHAnsi"/>
        </w:rPr>
      </w:pPr>
      <w:r w:rsidRPr="00A97E78">
        <w:rPr>
          <w:rFonts w:asciiTheme="minorHAnsi" w:hAnsiTheme="minorHAnsi"/>
        </w:rPr>
        <w:t>Example</w:t>
      </w:r>
      <w:r w:rsidR="0093773D" w:rsidRPr="00353299">
        <w:rPr>
          <w:rFonts w:asciiTheme="minorHAnsi" w:hAnsiTheme="minorHAnsi"/>
        </w:rPr>
        <w:t xml:space="preserve"> 2</w:t>
      </w:r>
      <w:r w:rsidR="0093773D">
        <w:rPr>
          <w:rFonts w:asciiTheme="minorHAnsi" w:hAnsiTheme="minorHAnsi"/>
        </w:rPr>
        <w:t xml:space="preserve"> </w:t>
      </w:r>
      <w:r w:rsidR="0093773D" w:rsidRPr="00353299">
        <w:rPr>
          <w:rFonts w:asciiTheme="minorHAnsi" w:hAnsiTheme="minorHAnsi"/>
        </w:rPr>
        <w:t>- Calculation to demonstrate sufficient cash balance</w:t>
      </w:r>
    </w:p>
    <w:p w14:paraId="761B40EA" w14:textId="00CF2414" w:rsidR="000B0084" w:rsidRDefault="00EC497A" w:rsidP="007807E5">
      <w:pPr>
        <w:pStyle w:val="ListNumber"/>
        <w:numPr>
          <w:ilvl w:val="0"/>
          <w:numId w:val="0"/>
        </w:numPr>
        <w:ind w:left="284"/>
        <w:rPr>
          <w:rFonts w:asciiTheme="minorHAnsi" w:hAnsiTheme="minorHAnsi"/>
        </w:rPr>
      </w:pPr>
      <w:r w:rsidRPr="004063FF">
        <w:rPr>
          <w:rFonts w:asciiTheme="minorHAnsi" w:hAnsiTheme="minorHAnsi"/>
        </w:rPr>
        <w:t xml:space="preserve">Agency </w:t>
      </w:r>
      <w:r w:rsidR="00766229">
        <w:rPr>
          <w:rFonts w:asciiTheme="minorHAnsi" w:hAnsiTheme="minorHAnsi"/>
        </w:rPr>
        <w:t>B</w:t>
      </w:r>
      <w:r w:rsidRPr="004063FF">
        <w:rPr>
          <w:rFonts w:asciiTheme="minorHAnsi" w:hAnsiTheme="minorHAnsi"/>
        </w:rPr>
        <w:t xml:space="preserve"> is </w:t>
      </w:r>
      <w:r w:rsidR="000B0084" w:rsidRPr="004063FF">
        <w:rPr>
          <w:rFonts w:asciiTheme="minorHAnsi" w:hAnsiTheme="minorHAnsi"/>
        </w:rPr>
        <w:t xml:space="preserve">seeking </w:t>
      </w:r>
      <w:r w:rsidRPr="004063FF">
        <w:rPr>
          <w:rFonts w:asciiTheme="minorHAnsi" w:hAnsiTheme="minorHAnsi"/>
        </w:rPr>
        <w:t>to carryover external fund</w:t>
      </w:r>
      <w:r w:rsidR="00994B76" w:rsidRPr="004063FF">
        <w:rPr>
          <w:rFonts w:asciiTheme="minorHAnsi" w:hAnsiTheme="minorHAnsi"/>
        </w:rPr>
        <w:t>s</w:t>
      </w:r>
      <w:r w:rsidRPr="004063FF">
        <w:rPr>
          <w:rFonts w:asciiTheme="minorHAnsi" w:hAnsiTheme="minorHAnsi"/>
        </w:rPr>
        <w:t xml:space="preserve"> amounting to $5 million</w:t>
      </w:r>
      <w:r w:rsidR="00E5298C" w:rsidRPr="004063FF">
        <w:rPr>
          <w:rFonts w:asciiTheme="minorHAnsi" w:hAnsiTheme="minorHAnsi"/>
        </w:rPr>
        <w:t xml:space="preserve"> </w:t>
      </w:r>
      <w:r w:rsidR="0009005C" w:rsidRPr="004063FF">
        <w:rPr>
          <w:rFonts w:asciiTheme="minorHAnsi" w:hAnsiTheme="minorHAnsi"/>
        </w:rPr>
        <w:t>from 20</w:t>
      </w:r>
      <w:r w:rsidR="000B0084" w:rsidRPr="004063FF">
        <w:rPr>
          <w:rFonts w:asciiTheme="minorHAnsi" w:hAnsiTheme="minorHAnsi"/>
        </w:rPr>
        <w:t>21</w:t>
      </w:r>
      <w:r w:rsidR="005402EA" w:rsidRPr="004063FF">
        <w:rPr>
          <w:rFonts w:asciiTheme="minorHAnsi" w:hAnsiTheme="minorHAnsi"/>
        </w:rPr>
        <w:t>-</w:t>
      </w:r>
      <w:r w:rsidR="0009005C" w:rsidRPr="004063FF">
        <w:rPr>
          <w:rFonts w:asciiTheme="minorHAnsi" w:hAnsiTheme="minorHAnsi"/>
        </w:rPr>
        <w:t>2</w:t>
      </w:r>
      <w:r w:rsidR="000B0084" w:rsidRPr="004063FF">
        <w:rPr>
          <w:rFonts w:asciiTheme="minorHAnsi" w:hAnsiTheme="minorHAnsi"/>
        </w:rPr>
        <w:t>2</w:t>
      </w:r>
      <w:r w:rsidR="00994B76" w:rsidRPr="004063FF">
        <w:rPr>
          <w:rFonts w:asciiTheme="minorHAnsi" w:hAnsiTheme="minorHAnsi"/>
        </w:rPr>
        <w:t xml:space="preserve"> to</w:t>
      </w:r>
      <w:r w:rsidR="000B0084" w:rsidRPr="004063FF">
        <w:rPr>
          <w:rFonts w:asciiTheme="minorHAnsi" w:hAnsiTheme="minorHAnsi"/>
        </w:rPr>
        <w:t xml:space="preserve"> the</w:t>
      </w:r>
      <w:r w:rsidRPr="004063FF">
        <w:rPr>
          <w:rFonts w:asciiTheme="minorHAnsi" w:hAnsiTheme="minorHAnsi"/>
        </w:rPr>
        <w:t xml:space="preserve"> 20</w:t>
      </w:r>
      <w:r w:rsidR="0009005C" w:rsidRPr="004063FF">
        <w:rPr>
          <w:rFonts w:asciiTheme="minorHAnsi" w:hAnsiTheme="minorHAnsi"/>
        </w:rPr>
        <w:t>2</w:t>
      </w:r>
      <w:r w:rsidR="000B0084" w:rsidRPr="004063FF">
        <w:rPr>
          <w:rFonts w:asciiTheme="minorHAnsi" w:hAnsiTheme="minorHAnsi"/>
        </w:rPr>
        <w:t>2</w:t>
      </w:r>
      <w:r w:rsidR="005402EA" w:rsidRPr="004063FF">
        <w:rPr>
          <w:rFonts w:asciiTheme="minorHAnsi" w:hAnsiTheme="minorHAnsi"/>
        </w:rPr>
        <w:t>-</w:t>
      </w:r>
      <w:r w:rsidRPr="004063FF">
        <w:rPr>
          <w:rFonts w:asciiTheme="minorHAnsi" w:hAnsiTheme="minorHAnsi"/>
        </w:rPr>
        <w:t>2</w:t>
      </w:r>
      <w:r w:rsidR="000B0084" w:rsidRPr="004063FF">
        <w:rPr>
          <w:rFonts w:asciiTheme="minorHAnsi" w:hAnsiTheme="minorHAnsi"/>
        </w:rPr>
        <w:t>3</w:t>
      </w:r>
      <w:r w:rsidRPr="004063FF">
        <w:rPr>
          <w:rFonts w:asciiTheme="minorHAnsi" w:hAnsiTheme="minorHAnsi"/>
        </w:rPr>
        <w:t xml:space="preserve"> financial year. </w:t>
      </w:r>
    </w:p>
    <w:p w14:paraId="50262559" w14:textId="0F47A1C9" w:rsidR="00766229" w:rsidRDefault="00766229" w:rsidP="00766229">
      <w:pPr>
        <w:pStyle w:val="ListNumber"/>
        <w:numPr>
          <w:ilvl w:val="0"/>
          <w:numId w:val="0"/>
        </w:numPr>
        <w:ind w:left="284"/>
        <w:rPr>
          <w:rFonts w:asciiTheme="minorHAnsi" w:hAnsiTheme="minorHAnsi"/>
        </w:rPr>
      </w:pPr>
      <w:r w:rsidRPr="00A24634">
        <w:rPr>
          <w:rFonts w:asciiTheme="minorHAnsi" w:hAnsiTheme="minorHAnsi"/>
        </w:rPr>
        <w:t>Before submitting</w:t>
      </w:r>
      <w:r w:rsidR="009078DC">
        <w:rPr>
          <w:rFonts w:asciiTheme="minorHAnsi" w:hAnsiTheme="minorHAnsi"/>
        </w:rPr>
        <w:t xml:space="preserve"> the carryover request, Agency B</w:t>
      </w:r>
      <w:r w:rsidRPr="00A24634">
        <w:rPr>
          <w:rFonts w:asciiTheme="minorHAnsi" w:hAnsiTheme="minorHAnsi"/>
        </w:rPr>
        <w:t xml:space="preserve"> must demonstrate </w:t>
      </w:r>
      <w:r>
        <w:rPr>
          <w:rFonts w:asciiTheme="minorHAnsi" w:hAnsiTheme="minorHAnsi"/>
        </w:rPr>
        <w:t xml:space="preserve">it has sufficient cash balances </w:t>
      </w:r>
      <w:r w:rsidRPr="00A24634">
        <w:rPr>
          <w:rFonts w:asciiTheme="minorHAnsi" w:hAnsiTheme="minorHAnsi"/>
        </w:rPr>
        <w:t xml:space="preserve">relative to the </w:t>
      </w:r>
      <w:r w:rsidR="001A672B">
        <w:rPr>
          <w:rFonts w:asciiTheme="minorHAnsi" w:hAnsiTheme="minorHAnsi"/>
        </w:rPr>
        <w:t>proposed carryover amount</w:t>
      </w:r>
      <w:r w:rsidRPr="00A24634">
        <w:rPr>
          <w:rFonts w:asciiTheme="minorHAnsi" w:hAnsiTheme="minorHAnsi"/>
        </w:rPr>
        <w:t>.</w:t>
      </w:r>
    </w:p>
    <w:p w14:paraId="4CFCB763" w14:textId="60BF9CBB" w:rsidR="001D4B86" w:rsidRDefault="001D4B86" w:rsidP="00353299">
      <w:pPr>
        <w:pStyle w:val="ListNumber"/>
        <w:numPr>
          <w:ilvl w:val="0"/>
          <w:numId w:val="57"/>
        </w:numPr>
        <w:rPr>
          <w:rFonts w:asciiTheme="minorHAnsi" w:hAnsiTheme="minorHAnsi"/>
        </w:rPr>
      </w:pPr>
      <w:r w:rsidRPr="00353299">
        <w:rPr>
          <w:rFonts w:asciiTheme="minorHAnsi" w:hAnsiTheme="minorHAnsi"/>
          <w:b/>
        </w:rPr>
        <w:t xml:space="preserve">Step </w:t>
      </w:r>
      <w:r w:rsidR="006522D0" w:rsidRPr="00EC6F4D">
        <w:rPr>
          <w:rFonts w:asciiTheme="minorHAnsi" w:hAnsiTheme="minorHAnsi"/>
          <w:b/>
        </w:rPr>
        <w:t xml:space="preserve">1 </w:t>
      </w:r>
      <w:r w:rsidR="006522D0">
        <w:rPr>
          <w:rFonts w:asciiTheme="minorHAnsi" w:hAnsiTheme="minorHAnsi"/>
          <w:b/>
        </w:rPr>
        <w:t>–</w:t>
      </w:r>
      <w:r w:rsidR="001E11DB">
        <w:rPr>
          <w:rFonts w:asciiTheme="minorHAnsi" w:hAnsiTheme="minorHAnsi"/>
          <w:b/>
        </w:rPr>
        <w:t xml:space="preserve"> </w:t>
      </w:r>
      <w:r w:rsidR="006522D0" w:rsidRPr="00353299">
        <w:rPr>
          <w:rFonts w:asciiTheme="minorHAnsi" w:hAnsiTheme="minorHAnsi"/>
        </w:rPr>
        <w:t>U</w:t>
      </w:r>
      <w:r w:rsidRPr="00EC6F4D">
        <w:rPr>
          <w:rFonts w:asciiTheme="minorHAnsi" w:hAnsiTheme="minorHAnsi"/>
        </w:rPr>
        <w:t>se</w:t>
      </w:r>
      <w:r w:rsidRPr="004063FF">
        <w:rPr>
          <w:rFonts w:asciiTheme="minorHAnsi" w:hAnsiTheme="minorHAnsi"/>
        </w:rPr>
        <w:t xml:space="preserve"> </w:t>
      </w:r>
      <w:r w:rsidR="006522D0">
        <w:rPr>
          <w:rFonts w:asciiTheme="minorHAnsi" w:hAnsiTheme="minorHAnsi"/>
        </w:rPr>
        <w:t xml:space="preserve"> </w:t>
      </w:r>
      <w:r w:rsidRPr="004063FF">
        <w:rPr>
          <w:rFonts w:asciiTheme="minorHAnsi" w:hAnsiTheme="minorHAnsi"/>
        </w:rPr>
        <w:t>APEX</w:t>
      </w:r>
      <w:r w:rsidR="000323D1" w:rsidRPr="00353299">
        <w:rPr>
          <w:rFonts w:asciiTheme="minorHAnsi" w:hAnsiTheme="minorHAnsi"/>
          <w:vertAlign w:val="superscript"/>
        </w:rPr>
        <w:t>1</w:t>
      </w:r>
      <w:r w:rsidRPr="004063FF">
        <w:rPr>
          <w:rFonts w:asciiTheme="minorHAnsi" w:hAnsiTheme="minorHAnsi"/>
        </w:rPr>
        <w:t xml:space="preserve"> cash flow statement</w:t>
      </w:r>
      <w:r w:rsidR="001A672B">
        <w:rPr>
          <w:rFonts w:asciiTheme="minorHAnsi" w:hAnsiTheme="minorHAnsi"/>
        </w:rPr>
        <w:t xml:space="preserve"> to identify</w:t>
      </w:r>
      <w:r w:rsidRPr="004063FF">
        <w:rPr>
          <w:rFonts w:asciiTheme="minorHAnsi" w:hAnsiTheme="minorHAnsi"/>
        </w:rPr>
        <w:t xml:space="preserve"> opening cash balance </w:t>
      </w:r>
    </w:p>
    <w:p w14:paraId="42712E06" w14:textId="2E03AA78" w:rsidR="001D4B86" w:rsidRPr="004063FF" w:rsidRDefault="006522D0" w:rsidP="00353299">
      <w:pPr>
        <w:pStyle w:val="ListNumber"/>
        <w:numPr>
          <w:ilvl w:val="0"/>
          <w:numId w:val="57"/>
        </w:numPr>
        <w:rPr>
          <w:rFonts w:asciiTheme="minorHAnsi" w:hAnsiTheme="minorHAnsi"/>
        </w:rPr>
      </w:pPr>
      <w:r w:rsidRPr="00EC6F4D">
        <w:rPr>
          <w:rFonts w:asciiTheme="minorHAnsi" w:hAnsiTheme="minorHAnsi"/>
          <w:b/>
        </w:rPr>
        <w:t xml:space="preserve">Step 2 </w:t>
      </w:r>
      <w:r>
        <w:rPr>
          <w:rFonts w:asciiTheme="minorHAnsi" w:hAnsiTheme="minorHAnsi"/>
          <w:b/>
        </w:rPr>
        <w:t>–</w:t>
      </w:r>
      <w:r w:rsidRPr="00EC6F4D">
        <w:rPr>
          <w:rFonts w:asciiTheme="minorHAnsi" w:hAnsiTheme="minorHAnsi"/>
          <w:b/>
        </w:rPr>
        <w:t xml:space="preserve"> </w:t>
      </w:r>
      <w:r w:rsidR="001D4B86" w:rsidRPr="004063FF">
        <w:rPr>
          <w:rFonts w:asciiTheme="minorHAnsi" w:hAnsiTheme="minorHAnsi"/>
        </w:rPr>
        <w:t>Use APEX</w:t>
      </w:r>
      <w:r w:rsidR="000323D1" w:rsidRPr="00353299">
        <w:rPr>
          <w:rFonts w:asciiTheme="minorHAnsi" w:hAnsiTheme="minorHAnsi"/>
          <w:vertAlign w:val="superscript"/>
        </w:rPr>
        <w:t>1</w:t>
      </w:r>
      <w:r w:rsidR="001A672B">
        <w:rPr>
          <w:rFonts w:asciiTheme="minorHAnsi" w:hAnsiTheme="minorHAnsi"/>
        </w:rPr>
        <w:t xml:space="preserve"> trial balance to identify </w:t>
      </w:r>
      <w:r w:rsidR="00DC3C11" w:rsidRPr="004063FF">
        <w:rPr>
          <w:rFonts w:asciiTheme="minorHAnsi" w:hAnsiTheme="minorHAnsi"/>
        </w:rPr>
        <w:t>opening balance</w:t>
      </w:r>
      <w:r w:rsidR="001A672B">
        <w:rPr>
          <w:rFonts w:asciiTheme="minorHAnsi" w:hAnsiTheme="minorHAnsi"/>
        </w:rPr>
        <w:t>s</w:t>
      </w:r>
      <w:r w:rsidR="001D4B86" w:rsidRPr="004063FF">
        <w:rPr>
          <w:rFonts w:asciiTheme="minorHAnsi" w:hAnsiTheme="minorHAnsi"/>
        </w:rPr>
        <w:t xml:space="preserve"> for quarantined cash and deposits accounts (refer to Table 2</w:t>
      </w:r>
      <w:r w:rsidR="00DC3C11" w:rsidRPr="004063FF">
        <w:rPr>
          <w:rFonts w:asciiTheme="minorHAnsi" w:hAnsiTheme="minorHAnsi"/>
        </w:rPr>
        <w:t xml:space="preserve"> </w:t>
      </w:r>
      <w:r w:rsidR="001A672B">
        <w:rPr>
          <w:rFonts w:asciiTheme="minorHAnsi" w:hAnsiTheme="minorHAnsi"/>
        </w:rPr>
        <w:t xml:space="preserve">above </w:t>
      </w:r>
      <w:r w:rsidR="00DC3C11" w:rsidRPr="004063FF">
        <w:rPr>
          <w:rFonts w:asciiTheme="minorHAnsi" w:hAnsiTheme="minorHAnsi"/>
        </w:rPr>
        <w:t>for</w:t>
      </w:r>
      <w:r w:rsidR="001A672B">
        <w:rPr>
          <w:rFonts w:asciiTheme="minorHAnsi" w:hAnsiTheme="minorHAnsi"/>
        </w:rPr>
        <w:t xml:space="preserve"> relevant</w:t>
      </w:r>
      <w:r w:rsidR="00DC3C11" w:rsidRPr="004063FF">
        <w:rPr>
          <w:rFonts w:asciiTheme="minorHAnsi" w:hAnsiTheme="minorHAnsi"/>
        </w:rPr>
        <w:t xml:space="preserve"> account codes)</w:t>
      </w:r>
    </w:p>
    <w:p w14:paraId="01C8038C" w14:textId="51259FAE" w:rsidR="001D4B86" w:rsidRPr="004063FF" w:rsidRDefault="006522D0" w:rsidP="00353299">
      <w:pPr>
        <w:pStyle w:val="ListNumber"/>
        <w:numPr>
          <w:ilvl w:val="0"/>
          <w:numId w:val="57"/>
        </w:numPr>
        <w:rPr>
          <w:rFonts w:asciiTheme="minorHAnsi" w:hAnsiTheme="minorHAnsi"/>
        </w:rPr>
      </w:pPr>
      <w:r w:rsidRPr="00EC6F4D">
        <w:rPr>
          <w:rFonts w:asciiTheme="minorHAnsi" w:hAnsiTheme="minorHAnsi"/>
          <w:b/>
        </w:rPr>
        <w:t xml:space="preserve">Step 3 </w:t>
      </w:r>
      <w:r w:rsidRPr="00353299">
        <w:rPr>
          <w:rFonts w:asciiTheme="minorHAnsi" w:hAnsiTheme="minorHAnsi"/>
        </w:rPr>
        <w:t>–</w:t>
      </w:r>
      <w:r w:rsidRPr="00EC6F4D">
        <w:rPr>
          <w:rFonts w:asciiTheme="minorHAnsi" w:hAnsiTheme="minorHAnsi"/>
          <w:b/>
        </w:rPr>
        <w:t xml:space="preserve"> </w:t>
      </w:r>
      <w:r w:rsidR="001D4B86" w:rsidRPr="004063FF">
        <w:rPr>
          <w:rFonts w:asciiTheme="minorHAnsi" w:hAnsiTheme="minorHAnsi"/>
        </w:rPr>
        <w:t>I</w:t>
      </w:r>
      <w:r w:rsidR="00DC3C11" w:rsidRPr="004063FF">
        <w:rPr>
          <w:rFonts w:asciiTheme="minorHAnsi" w:hAnsiTheme="minorHAnsi"/>
        </w:rPr>
        <w:t>dentify</w:t>
      </w:r>
      <w:r w:rsidR="001D4B86" w:rsidRPr="004063FF">
        <w:rPr>
          <w:rFonts w:asciiTheme="minorHAnsi" w:hAnsiTheme="minorHAnsi"/>
        </w:rPr>
        <w:t xml:space="preserve"> previously approved carryovers which impact the use of cash balances in 2022-23 and future years</w:t>
      </w:r>
    </w:p>
    <w:p w14:paraId="0FFA66C8" w14:textId="73F5734C" w:rsidR="001D4B86" w:rsidRPr="004063FF" w:rsidRDefault="006522D0" w:rsidP="00353299">
      <w:pPr>
        <w:pStyle w:val="ListNumber"/>
        <w:numPr>
          <w:ilvl w:val="0"/>
          <w:numId w:val="58"/>
        </w:numPr>
        <w:rPr>
          <w:rFonts w:asciiTheme="minorHAnsi" w:hAnsiTheme="minorHAnsi"/>
        </w:rPr>
      </w:pPr>
      <w:r w:rsidRPr="00EC6F4D">
        <w:rPr>
          <w:rFonts w:asciiTheme="minorHAnsi" w:hAnsiTheme="minorHAnsi"/>
          <w:b/>
        </w:rPr>
        <w:t xml:space="preserve">Step </w:t>
      </w:r>
      <w:proofErr w:type="gramStart"/>
      <w:r w:rsidRPr="00EC6F4D">
        <w:rPr>
          <w:rFonts w:asciiTheme="minorHAnsi" w:hAnsiTheme="minorHAnsi"/>
          <w:b/>
        </w:rPr>
        <w:t>4</w:t>
      </w:r>
      <w:proofErr w:type="gramEnd"/>
      <w:r w:rsidRPr="00EC6F4D">
        <w:rPr>
          <w:rFonts w:asciiTheme="minorHAnsi" w:hAnsiTheme="minorHAnsi"/>
          <w:b/>
        </w:rPr>
        <w:t xml:space="preserve"> </w:t>
      </w:r>
      <w:r w:rsidRPr="00353299">
        <w:rPr>
          <w:rFonts w:asciiTheme="minorHAnsi" w:hAnsiTheme="minorHAnsi"/>
        </w:rPr>
        <w:t>–</w:t>
      </w:r>
      <w:r w:rsidRPr="00EC6F4D">
        <w:rPr>
          <w:rFonts w:asciiTheme="minorHAnsi" w:hAnsiTheme="minorHAnsi"/>
          <w:b/>
        </w:rPr>
        <w:t xml:space="preserve"> </w:t>
      </w:r>
      <w:r w:rsidR="001D4B86" w:rsidRPr="004063FF">
        <w:rPr>
          <w:rFonts w:asciiTheme="minorHAnsi" w:hAnsiTheme="minorHAnsi"/>
        </w:rPr>
        <w:t>Calculate revised cash b</w:t>
      </w:r>
      <w:r w:rsidR="002B2A61">
        <w:rPr>
          <w:rFonts w:asciiTheme="minorHAnsi" w:hAnsiTheme="minorHAnsi"/>
        </w:rPr>
        <w:t>alance by subtracting total</w:t>
      </w:r>
      <w:r w:rsidR="001D4B86" w:rsidRPr="004063FF">
        <w:rPr>
          <w:rFonts w:asciiTheme="minorHAnsi" w:hAnsiTheme="minorHAnsi"/>
        </w:rPr>
        <w:t xml:space="preserve"> quarantine</w:t>
      </w:r>
      <w:r w:rsidR="002B2A61">
        <w:rPr>
          <w:rFonts w:asciiTheme="minorHAnsi" w:hAnsiTheme="minorHAnsi"/>
        </w:rPr>
        <w:t xml:space="preserve">d cash and deposit accounts, </w:t>
      </w:r>
      <w:r w:rsidR="001D4B86" w:rsidRPr="004063FF">
        <w:rPr>
          <w:rFonts w:asciiTheme="minorHAnsi" w:hAnsiTheme="minorHAnsi"/>
        </w:rPr>
        <w:t>previ</w:t>
      </w:r>
      <w:r w:rsidR="009078DC">
        <w:rPr>
          <w:rFonts w:asciiTheme="minorHAnsi" w:hAnsiTheme="minorHAnsi"/>
        </w:rPr>
        <w:t>ously approved carryovers in</w:t>
      </w:r>
      <w:r w:rsidR="001D4B86" w:rsidRPr="004063FF">
        <w:rPr>
          <w:rFonts w:asciiTheme="minorHAnsi" w:hAnsiTheme="minorHAnsi"/>
        </w:rPr>
        <w:t xml:space="preserve"> 2022-23 and future years</w:t>
      </w:r>
      <w:r w:rsidR="002B2A61">
        <w:rPr>
          <w:rFonts w:asciiTheme="minorHAnsi" w:hAnsiTheme="minorHAnsi"/>
        </w:rPr>
        <w:t xml:space="preserve"> and unearned revenue opening balances</w:t>
      </w:r>
      <w:r w:rsidR="00E86E3A">
        <w:rPr>
          <w:rFonts w:asciiTheme="minorHAnsi" w:hAnsiTheme="minorHAnsi"/>
        </w:rPr>
        <w:t xml:space="preserve"> from the opening cash balance.</w:t>
      </w:r>
    </w:p>
    <w:p w14:paraId="01EF49B5" w14:textId="30514142" w:rsidR="00DC3C11" w:rsidRPr="004063FF" w:rsidRDefault="006522D0" w:rsidP="00353299">
      <w:pPr>
        <w:pStyle w:val="ListNumber"/>
        <w:numPr>
          <w:ilvl w:val="0"/>
          <w:numId w:val="58"/>
        </w:numPr>
        <w:rPr>
          <w:rFonts w:asciiTheme="minorHAnsi" w:hAnsiTheme="minorHAnsi"/>
        </w:rPr>
      </w:pPr>
      <w:r w:rsidRPr="00EC6F4D">
        <w:rPr>
          <w:rFonts w:asciiTheme="minorHAnsi" w:hAnsiTheme="minorHAnsi"/>
          <w:b/>
        </w:rPr>
        <w:t xml:space="preserve">Step </w:t>
      </w:r>
      <w:proofErr w:type="gramStart"/>
      <w:r w:rsidRPr="00EC6F4D">
        <w:rPr>
          <w:rFonts w:asciiTheme="minorHAnsi" w:hAnsiTheme="minorHAnsi"/>
          <w:b/>
        </w:rPr>
        <w:t>5</w:t>
      </w:r>
      <w:proofErr w:type="gramEnd"/>
      <w:r w:rsidRPr="00EC6F4D">
        <w:rPr>
          <w:rFonts w:asciiTheme="minorHAnsi" w:hAnsiTheme="minorHAnsi"/>
          <w:b/>
        </w:rPr>
        <w:t xml:space="preserve"> </w:t>
      </w:r>
      <w:r w:rsidRPr="00353299">
        <w:rPr>
          <w:rFonts w:asciiTheme="minorHAnsi" w:hAnsiTheme="minorHAnsi"/>
        </w:rPr>
        <w:t>–</w:t>
      </w:r>
      <w:r w:rsidRPr="00EC6F4D">
        <w:rPr>
          <w:rFonts w:asciiTheme="minorHAnsi" w:hAnsiTheme="minorHAnsi"/>
          <w:b/>
        </w:rPr>
        <w:t xml:space="preserve"> </w:t>
      </w:r>
      <w:r w:rsidR="00DC3C11" w:rsidRPr="004063FF">
        <w:rPr>
          <w:rFonts w:asciiTheme="minorHAnsi" w:hAnsiTheme="minorHAnsi"/>
        </w:rPr>
        <w:t>Compare the revised cas</w:t>
      </w:r>
      <w:r w:rsidR="002B2A61">
        <w:rPr>
          <w:rFonts w:asciiTheme="minorHAnsi" w:hAnsiTheme="minorHAnsi"/>
        </w:rPr>
        <w:t xml:space="preserve">h balance with proposed carryover request </w:t>
      </w:r>
      <w:r w:rsidR="00DC3C11" w:rsidRPr="004063FF">
        <w:rPr>
          <w:rFonts w:asciiTheme="minorHAnsi" w:hAnsiTheme="minorHAnsi"/>
        </w:rPr>
        <w:t>to</w:t>
      </w:r>
      <w:r w:rsidR="002B2A61">
        <w:rPr>
          <w:rFonts w:asciiTheme="minorHAnsi" w:hAnsiTheme="minorHAnsi"/>
        </w:rPr>
        <w:t xml:space="preserve"> determine if </w:t>
      </w:r>
      <w:r w:rsidR="00DC3C11" w:rsidRPr="004063FF">
        <w:rPr>
          <w:rFonts w:asciiTheme="minorHAnsi" w:hAnsiTheme="minorHAnsi"/>
        </w:rPr>
        <w:t>ther</w:t>
      </w:r>
      <w:r w:rsidR="002B2A61">
        <w:rPr>
          <w:rFonts w:asciiTheme="minorHAnsi" w:hAnsiTheme="minorHAnsi"/>
        </w:rPr>
        <w:t>e are sufficient cash balances</w:t>
      </w:r>
      <w:r w:rsidR="00DC3C11" w:rsidRPr="004063FF">
        <w:rPr>
          <w:rFonts w:asciiTheme="minorHAnsi" w:hAnsiTheme="minorHAnsi"/>
        </w:rPr>
        <w:t xml:space="preserve"> </w:t>
      </w:r>
      <w:r w:rsidR="002B2A61">
        <w:rPr>
          <w:rFonts w:asciiTheme="minorHAnsi" w:hAnsiTheme="minorHAnsi"/>
        </w:rPr>
        <w:t xml:space="preserve">to cover the </w:t>
      </w:r>
      <w:r w:rsidR="00A90B9C">
        <w:rPr>
          <w:rFonts w:asciiTheme="minorHAnsi" w:hAnsiTheme="minorHAnsi"/>
        </w:rPr>
        <w:t>carryover request</w:t>
      </w:r>
      <w:r w:rsidR="00DC3C11" w:rsidRPr="004063FF">
        <w:rPr>
          <w:rFonts w:asciiTheme="minorHAnsi" w:hAnsiTheme="minorHAnsi"/>
        </w:rPr>
        <w:t>.</w:t>
      </w:r>
    </w:p>
    <w:p w14:paraId="1BF28557" w14:textId="77777777" w:rsidR="00E86E3A" w:rsidRDefault="00E86E3A" w:rsidP="007807E5">
      <w:pPr>
        <w:pStyle w:val="ListNumber"/>
        <w:numPr>
          <w:ilvl w:val="0"/>
          <w:numId w:val="0"/>
        </w:numPr>
        <w:ind w:left="284"/>
        <w:rPr>
          <w:rFonts w:asciiTheme="minorHAnsi" w:hAnsiTheme="minorHAnsi"/>
        </w:rPr>
      </w:pPr>
    </w:p>
    <w:p w14:paraId="736754ED" w14:textId="1C2590BD" w:rsidR="007807E5" w:rsidRDefault="007F7756" w:rsidP="007807E5">
      <w:pPr>
        <w:pStyle w:val="ListNumber"/>
        <w:numPr>
          <w:ilvl w:val="0"/>
          <w:numId w:val="0"/>
        </w:numPr>
        <w:ind w:left="284"/>
        <w:rPr>
          <w:rFonts w:asciiTheme="minorHAnsi" w:hAnsiTheme="minorHAnsi"/>
        </w:rPr>
      </w:pPr>
      <w:r>
        <w:rPr>
          <w:rFonts w:asciiTheme="minorHAnsi" w:hAnsiTheme="minorHAnsi"/>
        </w:rPr>
        <w:t xml:space="preserve">The table below illustrates the calculation </w:t>
      </w:r>
      <w:r w:rsidR="00DC3C11" w:rsidRPr="004063FF">
        <w:rPr>
          <w:rFonts w:asciiTheme="minorHAnsi" w:hAnsiTheme="minorHAnsi"/>
        </w:rPr>
        <w:t xml:space="preserve">to demonstrate </w:t>
      </w:r>
      <w:r w:rsidR="007807E5" w:rsidRPr="004063FF">
        <w:rPr>
          <w:rFonts w:asciiTheme="minorHAnsi" w:hAnsiTheme="minorHAnsi"/>
        </w:rPr>
        <w:t>sufficient cash balances.</w:t>
      </w:r>
    </w:p>
    <w:p w14:paraId="065517A0" w14:textId="2EB61212" w:rsidR="001143D4" w:rsidRPr="00A0725C" w:rsidRDefault="001143D4" w:rsidP="00353299">
      <w:pPr>
        <w:pStyle w:val="ListNumber"/>
        <w:numPr>
          <w:ilvl w:val="0"/>
          <w:numId w:val="0"/>
        </w:numPr>
        <w:ind w:left="284"/>
        <w:rPr>
          <w:rFonts w:asciiTheme="minorHAnsi" w:hAnsiTheme="minorHAnsi"/>
          <w:b/>
        </w:rPr>
      </w:pPr>
      <w:r w:rsidRPr="00A97E78">
        <w:rPr>
          <w:rFonts w:asciiTheme="minorHAnsi" w:hAnsiTheme="minorHAnsi"/>
          <w:b/>
        </w:rPr>
        <w:t xml:space="preserve">Table 3 </w:t>
      </w:r>
      <w:r w:rsidR="000463C2" w:rsidRPr="0041491E">
        <w:rPr>
          <w:rFonts w:asciiTheme="minorHAnsi" w:hAnsiTheme="minorHAnsi"/>
          <w:b/>
        </w:rPr>
        <w:t xml:space="preserve">– Calculations to demonstrate </w:t>
      </w:r>
      <w:r w:rsidR="000463C2" w:rsidRPr="00EC6F4D">
        <w:rPr>
          <w:rFonts w:asciiTheme="minorHAnsi" w:hAnsiTheme="minorHAnsi"/>
          <w:b/>
        </w:rPr>
        <w:t>s</w:t>
      </w:r>
      <w:r w:rsidRPr="00A0725C">
        <w:rPr>
          <w:rFonts w:asciiTheme="minorHAnsi" w:hAnsiTheme="minorHAnsi"/>
          <w:b/>
        </w:rPr>
        <w:t xml:space="preserve">ufficient cash balances </w:t>
      </w:r>
    </w:p>
    <w:tbl>
      <w:tblPr>
        <w:tblW w:w="8580" w:type="dxa"/>
        <w:tblInd w:w="284" w:type="dxa"/>
        <w:tblLook w:val="04A0" w:firstRow="1" w:lastRow="0" w:firstColumn="1" w:lastColumn="0" w:noHBand="0" w:noVBand="1"/>
      </w:tblPr>
      <w:tblGrid>
        <w:gridCol w:w="7120"/>
        <w:gridCol w:w="1460"/>
      </w:tblGrid>
      <w:tr w:rsidR="00455F51" w:rsidRPr="004063FF" w14:paraId="45A3C09E" w14:textId="77777777" w:rsidTr="00455F51">
        <w:trPr>
          <w:trHeight w:val="855"/>
        </w:trPr>
        <w:tc>
          <w:tcPr>
            <w:tcW w:w="7120" w:type="dxa"/>
            <w:tcBorders>
              <w:top w:val="nil"/>
              <w:left w:val="nil"/>
              <w:bottom w:val="single" w:sz="4" w:space="0" w:color="auto"/>
              <w:right w:val="nil"/>
            </w:tcBorders>
            <w:shd w:val="clear" w:color="auto" w:fill="auto"/>
            <w:noWrap/>
            <w:vAlign w:val="center"/>
            <w:hideMark/>
          </w:tcPr>
          <w:p w14:paraId="21D12D11" w14:textId="77777777" w:rsidR="00455F51" w:rsidRPr="004063FF" w:rsidRDefault="00455F51" w:rsidP="00455F51">
            <w:pPr>
              <w:spacing w:after="0"/>
              <w:rPr>
                <w:rFonts w:asciiTheme="minorHAnsi" w:eastAsia="Times New Roman" w:hAnsiTheme="minorHAnsi" w:cs="Lato"/>
                <w:b/>
                <w:bCs/>
                <w:lang w:eastAsia="en-AU"/>
              </w:rPr>
            </w:pPr>
            <w:r w:rsidRPr="004063FF">
              <w:rPr>
                <w:rFonts w:asciiTheme="minorHAnsi" w:eastAsia="Times New Roman" w:hAnsiTheme="minorHAnsi" w:cs="Lato"/>
                <w:b/>
                <w:bCs/>
                <w:lang w:eastAsia="en-AU"/>
              </w:rPr>
              <w:t> </w:t>
            </w:r>
          </w:p>
        </w:tc>
        <w:tc>
          <w:tcPr>
            <w:tcW w:w="1460" w:type="dxa"/>
            <w:tcBorders>
              <w:top w:val="nil"/>
              <w:left w:val="nil"/>
              <w:bottom w:val="single" w:sz="4" w:space="0" w:color="auto"/>
              <w:right w:val="nil"/>
            </w:tcBorders>
            <w:shd w:val="clear" w:color="auto" w:fill="auto"/>
            <w:vAlign w:val="bottom"/>
            <w:hideMark/>
          </w:tcPr>
          <w:p w14:paraId="70BAB44C" w14:textId="19E0176E" w:rsidR="00455F51" w:rsidRPr="004063FF" w:rsidRDefault="00455F51" w:rsidP="00EC497A">
            <w:pPr>
              <w:spacing w:after="0"/>
              <w:jc w:val="center"/>
              <w:rPr>
                <w:rFonts w:asciiTheme="minorHAnsi" w:eastAsia="Times New Roman" w:hAnsiTheme="minorHAnsi" w:cs="Lato"/>
                <w:lang w:eastAsia="en-AU"/>
              </w:rPr>
            </w:pPr>
            <w:r w:rsidRPr="004063FF">
              <w:rPr>
                <w:rFonts w:asciiTheme="minorHAnsi" w:eastAsia="Times New Roman" w:hAnsiTheme="minorHAnsi" w:cs="Lato"/>
                <w:lang w:eastAsia="en-AU"/>
              </w:rPr>
              <w:t>Opening</w:t>
            </w:r>
            <w:r w:rsidRPr="004063FF">
              <w:rPr>
                <w:rFonts w:asciiTheme="minorHAnsi" w:eastAsia="Times New Roman" w:hAnsiTheme="minorHAnsi" w:cs="Lato"/>
                <w:lang w:eastAsia="en-AU"/>
              </w:rPr>
              <w:br/>
            </w:r>
            <w:r w:rsidRPr="004063FF">
              <w:rPr>
                <w:rFonts w:asciiTheme="minorHAnsi" w:eastAsia="Times New Roman" w:hAnsiTheme="minorHAnsi" w:cs="Lato"/>
                <w:b/>
                <w:bCs/>
                <w:lang w:eastAsia="en-AU"/>
              </w:rPr>
              <w:t>Actual Bal</w:t>
            </w:r>
            <w:r w:rsidRPr="004063FF">
              <w:rPr>
                <w:rFonts w:asciiTheme="minorHAnsi" w:eastAsia="Times New Roman" w:hAnsiTheme="minorHAnsi" w:cs="Lato"/>
                <w:lang w:eastAsia="en-AU"/>
              </w:rPr>
              <w:br/>
              <w:t>1 July 20</w:t>
            </w:r>
            <w:r w:rsidR="0009005C" w:rsidRPr="004063FF">
              <w:rPr>
                <w:rFonts w:asciiTheme="minorHAnsi" w:eastAsia="Times New Roman" w:hAnsiTheme="minorHAnsi" w:cs="Lato"/>
                <w:lang w:eastAsia="en-AU"/>
              </w:rPr>
              <w:t>2</w:t>
            </w:r>
            <w:r w:rsidR="001D4B86" w:rsidRPr="004063FF">
              <w:rPr>
                <w:rFonts w:asciiTheme="minorHAnsi" w:eastAsia="Times New Roman" w:hAnsiTheme="minorHAnsi" w:cs="Lato"/>
                <w:lang w:eastAsia="en-AU"/>
              </w:rPr>
              <w:t>2</w:t>
            </w:r>
          </w:p>
        </w:tc>
      </w:tr>
      <w:tr w:rsidR="00455F51" w:rsidRPr="004063FF" w14:paraId="4892F916" w14:textId="77777777" w:rsidTr="00455F51">
        <w:trPr>
          <w:trHeight w:val="285"/>
        </w:trPr>
        <w:tc>
          <w:tcPr>
            <w:tcW w:w="7120" w:type="dxa"/>
            <w:tcBorders>
              <w:top w:val="nil"/>
              <w:left w:val="nil"/>
              <w:bottom w:val="nil"/>
              <w:right w:val="nil"/>
            </w:tcBorders>
            <w:shd w:val="clear" w:color="auto" w:fill="auto"/>
            <w:noWrap/>
            <w:hideMark/>
          </w:tcPr>
          <w:p w14:paraId="362154BA" w14:textId="77777777" w:rsidR="00455F51" w:rsidRPr="004063FF" w:rsidRDefault="00455F51" w:rsidP="00455F51">
            <w:pPr>
              <w:spacing w:after="0"/>
              <w:jc w:val="center"/>
              <w:rPr>
                <w:rFonts w:asciiTheme="minorHAnsi" w:eastAsia="Times New Roman" w:hAnsiTheme="minorHAnsi" w:cs="Lato"/>
                <w:lang w:eastAsia="en-AU"/>
              </w:rPr>
            </w:pPr>
          </w:p>
        </w:tc>
        <w:tc>
          <w:tcPr>
            <w:tcW w:w="1460" w:type="dxa"/>
            <w:tcBorders>
              <w:top w:val="nil"/>
              <w:left w:val="nil"/>
              <w:bottom w:val="nil"/>
              <w:right w:val="nil"/>
            </w:tcBorders>
            <w:shd w:val="clear" w:color="auto" w:fill="auto"/>
            <w:noWrap/>
            <w:hideMark/>
          </w:tcPr>
          <w:p w14:paraId="37BC298E" w14:textId="72B8D5E2" w:rsidR="00455F51" w:rsidRPr="004063FF" w:rsidRDefault="008271C4" w:rsidP="00455F51">
            <w:pPr>
              <w:spacing w:after="0"/>
              <w:jc w:val="center"/>
              <w:rPr>
                <w:rFonts w:asciiTheme="minorHAnsi" w:eastAsia="Times New Roman" w:hAnsiTheme="minorHAnsi" w:cs="Lato"/>
                <w:lang w:eastAsia="en-AU"/>
              </w:rPr>
            </w:pPr>
            <w:r>
              <w:rPr>
                <w:rFonts w:asciiTheme="minorHAnsi" w:eastAsia="Times New Roman" w:hAnsiTheme="minorHAnsi" w:cs="Lato"/>
                <w:lang w:eastAsia="en-AU"/>
              </w:rPr>
              <w:t xml:space="preserve">     </w:t>
            </w:r>
            <w:r w:rsidR="00455F51" w:rsidRPr="004063FF">
              <w:rPr>
                <w:rFonts w:asciiTheme="minorHAnsi" w:eastAsia="Times New Roman" w:hAnsiTheme="minorHAnsi" w:cs="Lato"/>
                <w:lang w:eastAsia="en-AU"/>
              </w:rPr>
              <w:t>$000</w:t>
            </w:r>
          </w:p>
        </w:tc>
      </w:tr>
      <w:tr w:rsidR="00455F51" w:rsidRPr="004063FF" w14:paraId="3AD8BFA3" w14:textId="77777777" w:rsidTr="00455F51">
        <w:trPr>
          <w:trHeight w:val="285"/>
        </w:trPr>
        <w:tc>
          <w:tcPr>
            <w:tcW w:w="7120" w:type="dxa"/>
            <w:tcBorders>
              <w:top w:val="nil"/>
              <w:left w:val="nil"/>
              <w:bottom w:val="nil"/>
              <w:right w:val="nil"/>
            </w:tcBorders>
            <w:shd w:val="clear" w:color="auto" w:fill="auto"/>
            <w:noWrap/>
            <w:hideMark/>
          </w:tcPr>
          <w:p w14:paraId="496AAC4A" w14:textId="77777777" w:rsidR="00455F51" w:rsidRPr="004063FF" w:rsidRDefault="00455F51" w:rsidP="00455F51">
            <w:pPr>
              <w:spacing w:after="0"/>
              <w:jc w:val="center"/>
              <w:rPr>
                <w:rFonts w:asciiTheme="minorHAnsi" w:eastAsia="Times New Roman" w:hAnsiTheme="minorHAnsi" w:cs="Lato"/>
                <w:lang w:eastAsia="en-AU"/>
              </w:rPr>
            </w:pPr>
          </w:p>
        </w:tc>
        <w:tc>
          <w:tcPr>
            <w:tcW w:w="1460" w:type="dxa"/>
            <w:tcBorders>
              <w:top w:val="nil"/>
              <w:left w:val="nil"/>
              <w:bottom w:val="nil"/>
              <w:right w:val="nil"/>
            </w:tcBorders>
            <w:shd w:val="clear" w:color="auto" w:fill="auto"/>
            <w:noWrap/>
            <w:hideMark/>
          </w:tcPr>
          <w:p w14:paraId="1C6070EC" w14:textId="77777777" w:rsidR="00455F51" w:rsidRPr="004063FF" w:rsidRDefault="00455F51" w:rsidP="00455F51">
            <w:pPr>
              <w:spacing w:after="0"/>
              <w:jc w:val="center"/>
              <w:rPr>
                <w:rFonts w:asciiTheme="minorHAnsi" w:eastAsia="Times New Roman" w:hAnsiTheme="minorHAnsi"/>
                <w:sz w:val="20"/>
                <w:szCs w:val="20"/>
                <w:lang w:eastAsia="en-AU"/>
              </w:rPr>
            </w:pPr>
          </w:p>
        </w:tc>
      </w:tr>
      <w:tr w:rsidR="00455F51" w:rsidRPr="004063FF" w14:paraId="559A9D65" w14:textId="77777777" w:rsidTr="00455F51">
        <w:trPr>
          <w:trHeight w:val="300"/>
        </w:trPr>
        <w:tc>
          <w:tcPr>
            <w:tcW w:w="7120" w:type="dxa"/>
            <w:tcBorders>
              <w:top w:val="single" w:sz="4" w:space="0" w:color="auto"/>
              <w:left w:val="single" w:sz="4" w:space="0" w:color="auto"/>
              <w:bottom w:val="nil"/>
              <w:right w:val="nil"/>
            </w:tcBorders>
            <w:shd w:val="clear" w:color="000000" w:fill="D9D9D9"/>
            <w:noWrap/>
            <w:hideMark/>
          </w:tcPr>
          <w:p w14:paraId="283CA902" w14:textId="77777777" w:rsidR="00455F51" w:rsidRPr="004063FF" w:rsidRDefault="00455F51" w:rsidP="00455F51">
            <w:pPr>
              <w:spacing w:after="0"/>
              <w:rPr>
                <w:rFonts w:asciiTheme="minorHAnsi" w:eastAsia="Times New Roman" w:hAnsiTheme="minorHAnsi" w:cs="Lato"/>
                <w:b/>
                <w:bCs/>
                <w:lang w:eastAsia="en-AU"/>
              </w:rPr>
            </w:pPr>
            <w:r w:rsidRPr="004063FF">
              <w:rPr>
                <w:rFonts w:asciiTheme="minorHAnsi" w:eastAsia="Times New Roman" w:hAnsiTheme="minorHAnsi" w:cs="Lato"/>
                <w:b/>
                <w:bCs/>
                <w:lang w:eastAsia="en-AU"/>
              </w:rPr>
              <w:t>Cash at beginning of financial year</w:t>
            </w:r>
          </w:p>
        </w:tc>
        <w:tc>
          <w:tcPr>
            <w:tcW w:w="1460" w:type="dxa"/>
            <w:tcBorders>
              <w:top w:val="single" w:sz="4" w:space="0" w:color="auto"/>
              <w:left w:val="nil"/>
              <w:bottom w:val="nil"/>
              <w:right w:val="single" w:sz="4" w:space="0" w:color="auto"/>
            </w:tcBorders>
            <w:shd w:val="clear" w:color="000000" w:fill="D9D9D9"/>
            <w:hideMark/>
          </w:tcPr>
          <w:p w14:paraId="3A2C6E92" w14:textId="0EC6A2D8" w:rsidR="00455F51" w:rsidRPr="004063FF" w:rsidRDefault="00455F51" w:rsidP="0041491E">
            <w:pPr>
              <w:spacing w:after="0"/>
              <w:jc w:val="right"/>
              <w:rPr>
                <w:rFonts w:asciiTheme="minorHAnsi" w:eastAsia="Times New Roman" w:hAnsiTheme="minorHAnsi" w:cs="Lato"/>
                <w:b/>
                <w:bCs/>
                <w:lang w:eastAsia="en-AU"/>
              </w:rPr>
            </w:pPr>
            <w:r w:rsidRPr="004063FF">
              <w:rPr>
                <w:rFonts w:asciiTheme="minorHAnsi" w:eastAsia="Times New Roman" w:hAnsiTheme="minorHAnsi" w:cs="Lato"/>
                <w:b/>
                <w:bCs/>
                <w:lang w:eastAsia="en-AU"/>
              </w:rPr>
              <w:t xml:space="preserve"> </w:t>
            </w:r>
            <w:r w:rsidR="001143D4" w:rsidRPr="004063FF">
              <w:rPr>
                <w:rFonts w:asciiTheme="minorHAnsi" w:eastAsia="Times New Roman" w:hAnsiTheme="minorHAnsi" w:cs="Lato"/>
                <w:b/>
                <w:bCs/>
                <w:lang w:eastAsia="en-AU"/>
              </w:rPr>
              <w:t>12</w:t>
            </w:r>
            <w:r w:rsidRPr="004063FF">
              <w:rPr>
                <w:rFonts w:asciiTheme="minorHAnsi" w:eastAsia="Times New Roman" w:hAnsiTheme="minorHAnsi" w:cs="Lato"/>
                <w:b/>
                <w:bCs/>
                <w:lang w:eastAsia="en-AU"/>
              </w:rPr>
              <w:t xml:space="preserve"> 339</w:t>
            </w:r>
          </w:p>
        </w:tc>
      </w:tr>
      <w:tr w:rsidR="00455F51" w:rsidRPr="004063FF" w14:paraId="58540346" w14:textId="77777777" w:rsidTr="00455F51">
        <w:trPr>
          <w:trHeight w:val="285"/>
        </w:trPr>
        <w:tc>
          <w:tcPr>
            <w:tcW w:w="7120" w:type="dxa"/>
            <w:tcBorders>
              <w:top w:val="nil"/>
              <w:left w:val="single" w:sz="4" w:space="0" w:color="auto"/>
              <w:bottom w:val="nil"/>
              <w:right w:val="nil"/>
            </w:tcBorders>
            <w:shd w:val="clear" w:color="auto" w:fill="auto"/>
            <w:hideMark/>
          </w:tcPr>
          <w:p w14:paraId="27951B09" w14:textId="5E3E9FA6" w:rsidR="00455F51" w:rsidRPr="004063FF" w:rsidRDefault="00AE0694" w:rsidP="00455F51">
            <w:pPr>
              <w:spacing w:after="0"/>
              <w:rPr>
                <w:rFonts w:asciiTheme="minorHAnsi" w:eastAsia="Times New Roman" w:hAnsiTheme="minorHAnsi" w:cs="Lato"/>
                <w:lang w:eastAsia="en-AU"/>
              </w:rPr>
            </w:pPr>
            <w:r w:rsidRPr="004063FF">
              <w:rPr>
                <w:rFonts w:asciiTheme="minorHAnsi" w:eastAsia="Times New Roman" w:hAnsiTheme="minorHAnsi" w:cs="Lato"/>
                <w:i/>
                <w:lang w:eastAsia="en-AU"/>
              </w:rPr>
              <w:t>less</w:t>
            </w:r>
            <w:r w:rsidR="00455F51" w:rsidRPr="004063FF">
              <w:rPr>
                <w:rFonts w:asciiTheme="minorHAnsi" w:eastAsia="Times New Roman" w:hAnsiTheme="minorHAnsi" w:cs="Lato"/>
                <w:lang w:eastAsia="en-AU"/>
              </w:rPr>
              <w:t xml:space="preserve"> quarantined cash and deposit accounts</w:t>
            </w:r>
          </w:p>
        </w:tc>
        <w:tc>
          <w:tcPr>
            <w:tcW w:w="1460" w:type="dxa"/>
            <w:tcBorders>
              <w:top w:val="nil"/>
              <w:left w:val="nil"/>
              <w:bottom w:val="nil"/>
              <w:right w:val="single" w:sz="4" w:space="0" w:color="auto"/>
            </w:tcBorders>
            <w:shd w:val="clear" w:color="auto" w:fill="auto"/>
            <w:hideMark/>
          </w:tcPr>
          <w:p w14:paraId="1E3AFEF7" w14:textId="77777777" w:rsidR="00455F51" w:rsidRPr="004063FF" w:rsidRDefault="00455F51" w:rsidP="00455F51">
            <w:pPr>
              <w:spacing w:after="0"/>
              <w:rPr>
                <w:rFonts w:asciiTheme="minorHAnsi" w:eastAsia="Times New Roman" w:hAnsiTheme="minorHAnsi" w:cs="Lato"/>
                <w:i/>
                <w:iCs/>
                <w:lang w:eastAsia="en-AU"/>
              </w:rPr>
            </w:pPr>
            <w:r w:rsidRPr="004063FF">
              <w:rPr>
                <w:rFonts w:asciiTheme="minorHAnsi" w:eastAsia="Times New Roman" w:hAnsiTheme="minorHAnsi" w:cs="Lato"/>
                <w:i/>
                <w:iCs/>
                <w:lang w:eastAsia="en-AU"/>
              </w:rPr>
              <w:t> </w:t>
            </w:r>
          </w:p>
        </w:tc>
      </w:tr>
      <w:tr w:rsidR="00455F51" w:rsidRPr="004063FF" w14:paraId="6776F60F" w14:textId="77777777" w:rsidTr="00455F51">
        <w:trPr>
          <w:trHeight w:val="285"/>
        </w:trPr>
        <w:tc>
          <w:tcPr>
            <w:tcW w:w="7120" w:type="dxa"/>
            <w:tcBorders>
              <w:top w:val="nil"/>
              <w:left w:val="single" w:sz="4" w:space="0" w:color="auto"/>
              <w:bottom w:val="nil"/>
              <w:right w:val="nil"/>
            </w:tcBorders>
            <w:shd w:val="clear" w:color="auto" w:fill="auto"/>
            <w:hideMark/>
          </w:tcPr>
          <w:p w14:paraId="2A0E8174" w14:textId="77777777" w:rsidR="00455F51" w:rsidRPr="004063FF" w:rsidRDefault="00455F51" w:rsidP="00455F51">
            <w:pPr>
              <w:spacing w:after="0"/>
              <w:ind w:firstLineChars="100" w:firstLine="220"/>
              <w:rPr>
                <w:rFonts w:asciiTheme="minorHAnsi" w:eastAsia="Times New Roman" w:hAnsiTheme="minorHAnsi" w:cs="Lato"/>
                <w:lang w:eastAsia="en-AU"/>
              </w:rPr>
            </w:pPr>
            <w:r w:rsidRPr="004063FF">
              <w:rPr>
                <w:rFonts w:asciiTheme="minorHAnsi" w:eastAsia="Times New Roman" w:hAnsiTheme="minorHAnsi" w:cs="Lato"/>
                <w:lang w:eastAsia="en-AU"/>
              </w:rPr>
              <w:t>Advance accounts</w:t>
            </w:r>
          </w:p>
        </w:tc>
        <w:tc>
          <w:tcPr>
            <w:tcW w:w="1460" w:type="dxa"/>
            <w:tcBorders>
              <w:top w:val="nil"/>
              <w:left w:val="nil"/>
              <w:bottom w:val="nil"/>
              <w:right w:val="single" w:sz="4" w:space="0" w:color="auto"/>
            </w:tcBorders>
            <w:shd w:val="clear" w:color="auto" w:fill="auto"/>
            <w:hideMark/>
          </w:tcPr>
          <w:p w14:paraId="0988FDA2" w14:textId="77777777" w:rsidR="00455F51" w:rsidRPr="004063FF" w:rsidRDefault="00455F51" w:rsidP="00455F51">
            <w:pPr>
              <w:spacing w:after="0"/>
              <w:jc w:val="right"/>
              <w:rPr>
                <w:rFonts w:asciiTheme="minorHAnsi" w:eastAsia="Times New Roman" w:hAnsiTheme="minorHAnsi" w:cs="Lato"/>
                <w:lang w:eastAsia="en-AU"/>
              </w:rPr>
            </w:pPr>
            <w:r w:rsidRPr="004063FF">
              <w:rPr>
                <w:rFonts w:asciiTheme="minorHAnsi" w:eastAsia="Times New Roman" w:hAnsiTheme="minorHAnsi" w:cs="Lato"/>
                <w:lang w:eastAsia="en-AU"/>
              </w:rPr>
              <w:t xml:space="preserve">  283</w:t>
            </w:r>
          </w:p>
        </w:tc>
      </w:tr>
      <w:tr w:rsidR="00455F51" w:rsidRPr="004063FF" w14:paraId="43DB9EEF" w14:textId="77777777" w:rsidTr="00455F51">
        <w:trPr>
          <w:trHeight w:val="285"/>
        </w:trPr>
        <w:tc>
          <w:tcPr>
            <w:tcW w:w="7120" w:type="dxa"/>
            <w:tcBorders>
              <w:top w:val="nil"/>
              <w:left w:val="single" w:sz="4" w:space="0" w:color="auto"/>
              <w:bottom w:val="nil"/>
              <w:right w:val="nil"/>
            </w:tcBorders>
            <w:shd w:val="clear" w:color="auto" w:fill="auto"/>
            <w:hideMark/>
          </w:tcPr>
          <w:p w14:paraId="59CA7EDB" w14:textId="77777777" w:rsidR="00455F51" w:rsidRPr="004063FF" w:rsidRDefault="00455F51" w:rsidP="00455F51">
            <w:pPr>
              <w:spacing w:after="0"/>
              <w:ind w:firstLineChars="100" w:firstLine="220"/>
              <w:rPr>
                <w:rFonts w:asciiTheme="minorHAnsi" w:eastAsia="Times New Roman" w:hAnsiTheme="minorHAnsi" w:cs="Lato"/>
                <w:lang w:eastAsia="en-AU"/>
              </w:rPr>
            </w:pPr>
            <w:r w:rsidRPr="004063FF">
              <w:rPr>
                <w:rFonts w:asciiTheme="minorHAnsi" w:eastAsia="Times New Roman" w:hAnsiTheme="minorHAnsi" w:cs="Lato"/>
                <w:lang w:eastAsia="en-AU"/>
              </w:rPr>
              <w:t>External accounts</w:t>
            </w:r>
          </w:p>
        </w:tc>
        <w:tc>
          <w:tcPr>
            <w:tcW w:w="1460" w:type="dxa"/>
            <w:tcBorders>
              <w:top w:val="nil"/>
              <w:left w:val="nil"/>
              <w:bottom w:val="nil"/>
              <w:right w:val="single" w:sz="4" w:space="0" w:color="auto"/>
            </w:tcBorders>
            <w:shd w:val="clear" w:color="auto" w:fill="auto"/>
            <w:hideMark/>
          </w:tcPr>
          <w:p w14:paraId="4871767E" w14:textId="77777777" w:rsidR="00455F51" w:rsidRPr="004063FF" w:rsidRDefault="00455F51" w:rsidP="00455F51">
            <w:pPr>
              <w:spacing w:after="0"/>
              <w:jc w:val="right"/>
              <w:rPr>
                <w:rFonts w:asciiTheme="minorHAnsi" w:eastAsia="Times New Roman" w:hAnsiTheme="minorHAnsi" w:cs="Lato"/>
                <w:lang w:eastAsia="en-AU"/>
              </w:rPr>
            </w:pPr>
            <w:r w:rsidRPr="004063FF">
              <w:rPr>
                <w:rFonts w:asciiTheme="minorHAnsi" w:eastAsia="Times New Roman" w:hAnsiTheme="minorHAnsi" w:cs="Lato"/>
                <w:lang w:eastAsia="en-AU"/>
              </w:rPr>
              <w:t xml:space="preserve"> 1 618</w:t>
            </w:r>
          </w:p>
        </w:tc>
      </w:tr>
      <w:tr w:rsidR="00455F51" w:rsidRPr="004063FF" w14:paraId="1C0B2211" w14:textId="77777777" w:rsidTr="00455F51">
        <w:trPr>
          <w:trHeight w:val="285"/>
        </w:trPr>
        <w:tc>
          <w:tcPr>
            <w:tcW w:w="7120" w:type="dxa"/>
            <w:tcBorders>
              <w:top w:val="nil"/>
              <w:left w:val="single" w:sz="4" w:space="0" w:color="auto"/>
              <w:bottom w:val="nil"/>
              <w:right w:val="nil"/>
            </w:tcBorders>
            <w:shd w:val="clear" w:color="auto" w:fill="auto"/>
            <w:hideMark/>
          </w:tcPr>
          <w:p w14:paraId="5B6D0486" w14:textId="77777777" w:rsidR="00455F51" w:rsidRPr="004063FF" w:rsidRDefault="00455F51" w:rsidP="00455F51">
            <w:pPr>
              <w:spacing w:after="0"/>
              <w:ind w:firstLineChars="100" w:firstLine="220"/>
              <w:rPr>
                <w:rFonts w:asciiTheme="minorHAnsi" w:eastAsia="Times New Roman" w:hAnsiTheme="minorHAnsi" w:cs="Lato"/>
                <w:lang w:eastAsia="en-AU"/>
              </w:rPr>
            </w:pPr>
            <w:r w:rsidRPr="004063FF">
              <w:rPr>
                <w:rFonts w:asciiTheme="minorHAnsi" w:eastAsia="Times New Roman" w:hAnsiTheme="minorHAnsi" w:cs="Lato"/>
                <w:lang w:eastAsia="en-AU"/>
              </w:rPr>
              <w:t>Cash on hand</w:t>
            </w:r>
          </w:p>
        </w:tc>
        <w:tc>
          <w:tcPr>
            <w:tcW w:w="1460" w:type="dxa"/>
            <w:tcBorders>
              <w:top w:val="nil"/>
              <w:left w:val="nil"/>
              <w:bottom w:val="nil"/>
              <w:right w:val="single" w:sz="4" w:space="0" w:color="auto"/>
            </w:tcBorders>
            <w:shd w:val="clear" w:color="auto" w:fill="auto"/>
            <w:hideMark/>
          </w:tcPr>
          <w:p w14:paraId="00537062" w14:textId="77777777" w:rsidR="00455F51" w:rsidRPr="004063FF" w:rsidRDefault="00455F51" w:rsidP="00455F51">
            <w:pPr>
              <w:spacing w:after="0"/>
              <w:jc w:val="right"/>
              <w:rPr>
                <w:rFonts w:asciiTheme="minorHAnsi" w:eastAsia="Times New Roman" w:hAnsiTheme="minorHAnsi" w:cs="Lato"/>
                <w:lang w:eastAsia="en-AU"/>
              </w:rPr>
            </w:pPr>
            <w:r w:rsidRPr="004063FF">
              <w:rPr>
                <w:rFonts w:asciiTheme="minorHAnsi" w:eastAsia="Times New Roman" w:hAnsiTheme="minorHAnsi" w:cs="Lato"/>
                <w:lang w:eastAsia="en-AU"/>
              </w:rPr>
              <w:t xml:space="preserve">  48</w:t>
            </w:r>
          </w:p>
        </w:tc>
      </w:tr>
      <w:tr w:rsidR="00455F51" w:rsidRPr="004063FF" w14:paraId="488ECACA" w14:textId="77777777" w:rsidTr="00455F51">
        <w:trPr>
          <w:trHeight w:val="285"/>
        </w:trPr>
        <w:tc>
          <w:tcPr>
            <w:tcW w:w="7120" w:type="dxa"/>
            <w:tcBorders>
              <w:top w:val="nil"/>
              <w:left w:val="single" w:sz="4" w:space="0" w:color="auto"/>
              <w:bottom w:val="nil"/>
              <w:right w:val="nil"/>
            </w:tcBorders>
            <w:shd w:val="clear" w:color="auto" w:fill="auto"/>
            <w:hideMark/>
          </w:tcPr>
          <w:p w14:paraId="72269E12" w14:textId="77777777" w:rsidR="00455F51" w:rsidRPr="004063FF" w:rsidRDefault="00455F51" w:rsidP="00455F51">
            <w:pPr>
              <w:spacing w:after="0"/>
              <w:ind w:firstLineChars="100" w:firstLine="220"/>
              <w:rPr>
                <w:rFonts w:asciiTheme="minorHAnsi" w:eastAsia="Times New Roman" w:hAnsiTheme="minorHAnsi" w:cs="Lato"/>
                <w:lang w:eastAsia="en-AU"/>
              </w:rPr>
            </w:pPr>
            <w:r w:rsidRPr="004063FF">
              <w:rPr>
                <w:rFonts w:asciiTheme="minorHAnsi" w:eastAsia="Times New Roman" w:hAnsiTheme="minorHAnsi" w:cs="Lato"/>
                <w:lang w:eastAsia="en-AU"/>
              </w:rPr>
              <w:t>Accountable officer trust accounts (AOTAs)</w:t>
            </w:r>
          </w:p>
        </w:tc>
        <w:tc>
          <w:tcPr>
            <w:tcW w:w="1460" w:type="dxa"/>
            <w:tcBorders>
              <w:top w:val="nil"/>
              <w:left w:val="nil"/>
              <w:bottom w:val="nil"/>
              <w:right w:val="single" w:sz="4" w:space="0" w:color="auto"/>
            </w:tcBorders>
            <w:shd w:val="clear" w:color="auto" w:fill="auto"/>
            <w:hideMark/>
          </w:tcPr>
          <w:p w14:paraId="4E8B1418" w14:textId="77777777" w:rsidR="00455F51" w:rsidRPr="004063FF" w:rsidRDefault="00455F51" w:rsidP="00455F51">
            <w:pPr>
              <w:spacing w:after="0"/>
              <w:jc w:val="right"/>
              <w:rPr>
                <w:rFonts w:asciiTheme="minorHAnsi" w:eastAsia="Times New Roman" w:hAnsiTheme="minorHAnsi" w:cs="Lato"/>
                <w:lang w:eastAsia="en-AU"/>
              </w:rPr>
            </w:pPr>
            <w:r w:rsidRPr="004063FF">
              <w:rPr>
                <w:rFonts w:asciiTheme="minorHAnsi" w:eastAsia="Times New Roman" w:hAnsiTheme="minorHAnsi" w:cs="Lato"/>
                <w:lang w:eastAsia="en-AU"/>
              </w:rPr>
              <w:t xml:space="preserve"> 2 593</w:t>
            </w:r>
          </w:p>
        </w:tc>
      </w:tr>
      <w:tr w:rsidR="00455F51" w:rsidRPr="004063FF" w14:paraId="65F01B23" w14:textId="77777777" w:rsidTr="00455F51">
        <w:trPr>
          <w:trHeight w:val="285"/>
        </w:trPr>
        <w:tc>
          <w:tcPr>
            <w:tcW w:w="7120" w:type="dxa"/>
            <w:tcBorders>
              <w:top w:val="nil"/>
              <w:left w:val="single" w:sz="4" w:space="0" w:color="auto"/>
              <w:bottom w:val="nil"/>
              <w:right w:val="nil"/>
            </w:tcBorders>
            <w:shd w:val="clear" w:color="auto" w:fill="auto"/>
            <w:hideMark/>
          </w:tcPr>
          <w:p w14:paraId="29067AB4" w14:textId="77777777" w:rsidR="00455F51" w:rsidRPr="004063FF" w:rsidRDefault="00455F51" w:rsidP="00455F51">
            <w:pPr>
              <w:spacing w:after="0"/>
              <w:ind w:firstLineChars="100" w:firstLine="220"/>
              <w:rPr>
                <w:rFonts w:asciiTheme="minorHAnsi" w:eastAsia="Times New Roman" w:hAnsiTheme="minorHAnsi" w:cs="Lato"/>
                <w:lang w:eastAsia="en-AU"/>
              </w:rPr>
            </w:pPr>
            <w:r w:rsidRPr="004063FF">
              <w:rPr>
                <w:rFonts w:asciiTheme="minorHAnsi" w:eastAsia="Times New Roman" w:hAnsiTheme="minorHAnsi" w:cs="Lato"/>
                <w:lang w:eastAsia="en-AU"/>
              </w:rPr>
              <w:t>Clearing accounts</w:t>
            </w:r>
          </w:p>
        </w:tc>
        <w:tc>
          <w:tcPr>
            <w:tcW w:w="1460" w:type="dxa"/>
            <w:tcBorders>
              <w:top w:val="nil"/>
              <w:left w:val="nil"/>
              <w:bottom w:val="nil"/>
              <w:right w:val="single" w:sz="4" w:space="0" w:color="auto"/>
            </w:tcBorders>
            <w:shd w:val="clear" w:color="auto" w:fill="auto"/>
            <w:hideMark/>
          </w:tcPr>
          <w:p w14:paraId="789E24A1" w14:textId="77777777" w:rsidR="00455F51" w:rsidRPr="004063FF" w:rsidRDefault="00455F51" w:rsidP="00455F51">
            <w:pPr>
              <w:spacing w:after="0"/>
              <w:jc w:val="right"/>
              <w:rPr>
                <w:rFonts w:asciiTheme="minorHAnsi" w:eastAsia="Times New Roman" w:hAnsiTheme="minorHAnsi" w:cs="Lato"/>
                <w:lang w:eastAsia="en-AU"/>
              </w:rPr>
            </w:pPr>
            <w:r w:rsidRPr="004063FF">
              <w:rPr>
                <w:rFonts w:asciiTheme="minorHAnsi" w:eastAsia="Times New Roman" w:hAnsiTheme="minorHAnsi" w:cs="Lato"/>
                <w:lang w:eastAsia="en-AU"/>
              </w:rPr>
              <w:t xml:space="preserve">  522</w:t>
            </w:r>
          </w:p>
        </w:tc>
      </w:tr>
      <w:tr w:rsidR="00455F51" w:rsidRPr="004063FF" w14:paraId="2ED189B2" w14:textId="77777777" w:rsidTr="00455F51">
        <w:trPr>
          <w:trHeight w:val="285"/>
        </w:trPr>
        <w:tc>
          <w:tcPr>
            <w:tcW w:w="7120" w:type="dxa"/>
            <w:tcBorders>
              <w:top w:val="nil"/>
              <w:left w:val="single" w:sz="4" w:space="0" w:color="auto"/>
              <w:bottom w:val="nil"/>
              <w:right w:val="nil"/>
            </w:tcBorders>
            <w:shd w:val="clear" w:color="auto" w:fill="auto"/>
            <w:hideMark/>
          </w:tcPr>
          <w:p w14:paraId="474E0839" w14:textId="77777777" w:rsidR="00455F51" w:rsidRPr="004063FF" w:rsidRDefault="00455F51" w:rsidP="00455F51">
            <w:pPr>
              <w:spacing w:after="0"/>
              <w:ind w:firstLineChars="100" w:firstLine="220"/>
              <w:rPr>
                <w:rFonts w:asciiTheme="minorHAnsi" w:eastAsia="Times New Roman" w:hAnsiTheme="minorHAnsi" w:cs="Lato"/>
                <w:lang w:eastAsia="en-AU"/>
              </w:rPr>
            </w:pPr>
            <w:r w:rsidRPr="004063FF">
              <w:rPr>
                <w:rFonts w:asciiTheme="minorHAnsi" w:eastAsia="Times New Roman" w:hAnsiTheme="minorHAnsi" w:cs="Lato"/>
                <w:lang w:eastAsia="en-AU"/>
              </w:rPr>
              <w:t>Interest bearing deposits, and other deposits held</w:t>
            </w:r>
          </w:p>
        </w:tc>
        <w:tc>
          <w:tcPr>
            <w:tcW w:w="1460" w:type="dxa"/>
            <w:tcBorders>
              <w:top w:val="nil"/>
              <w:left w:val="nil"/>
              <w:bottom w:val="nil"/>
              <w:right w:val="single" w:sz="4" w:space="0" w:color="auto"/>
            </w:tcBorders>
            <w:shd w:val="clear" w:color="auto" w:fill="auto"/>
            <w:hideMark/>
          </w:tcPr>
          <w:p w14:paraId="179E4BE0" w14:textId="77777777" w:rsidR="00455F51" w:rsidRPr="004063FF" w:rsidRDefault="00455F51" w:rsidP="00455F51">
            <w:pPr>
              <w:spacing w:after="0"/>
              <w:jc w:val="right"/>
              <w:rPr>
                <w:rFonts w:asciiTheme="minorHAnsi" w:eastAsia="Times New Roman" w:hAnsiTheme="minorHAnsi" w:cs="Lato"/>
                <w:lang w:eastAsia="en-AU"/>
              </w:rPr>
            </w:pPr>
            <w:r w:rsidRPr="004063FF">
              <w:rPr>
                <w:rFonts w:asciiTheme="minorHAnsi" w:eastAsia="Times New Roman" w:hAnsiTheme="minorHAnsi" w:cs="Lato"/>
                <w:lang w:eastAsia="en-AU"/>
              </w:rPr>
              <w:t xml:space="preserve"> 1 086</w:t>
            </w:r>
          </w:p>
        </w:tc>
      </w:tr>
      <w:tr w:rsidR="00455F51" w:rsidRPr="004063FF" w14:paraId="55358EAC" w14:textId="77777777" w:rsidTr="00455F51">
        <w:trPr>
          <w:trHeight w:val="285"/>
        </w:trPr>
        <w:tc>
          <w:tcPr>
            <w:tcW w:w="7120" w:type="dxa"/>
            <w:tcBorders>
              <w:top w:val="nil"/>
              <w:left w:val="single" w:sz="4" w:space="0" w:color="auto"/>
              <w:bottom w:val="nil"/>
              <w:right w:val="nil"/>
            </w:tcBorders>
            <w:shd w:val="clear" w:color="auto" w:fill="auto"/>
            <w:hideMark/>
          </w:tcPr>
          <w:p w14:paraId="379C49C8" w14:textId="77777777" w:rsidR="00455F51" w:rsidRPr="004063FF" w:rsidRDefault="00455F51" w:rsidP="00455F51">
            <w:pPr>
              <w:spacing w:after="0"/>
              <w:ind w:firstLineChars="100" w:firstLine="220"/>
              <w:rPr>
                <w:rFonts w:asciiTheme="minorHAnsi" w:eastAsia="Times New Roman" w:hAnsiTheme="minorHAnsi" w:cs="Lato"/>
                <w:lang w:eastAsia="en-AU"/>
              </w:rPr>
            </w:pPr>
            <w:r w:rsidRPr="004063FF">
              <w:rPr>
                <w:rFonts w:asciiTheme="minorHAnsi" w:eastAsia="Times New Roman" w:hAnsiTheme="minorHAnsi" w:cs="Lato"/>
                <w:lang w:eastAsia="en-AU"/>
              </w:rPr>
              <w:t>Quarantined under legislation</w:t>
            </w:r>
          </w:p>
        </w:tc>
        <w:tc>
          <w:tcPr>
            <w:tcW w:w="1460" w:type="dxa"/>
            <w:tcBorders>
              <w:top w:val="nil"/>
              <w:left w:val="nil"/>
              <w:bottom w:val="nil"/>
              <w:right w:val="single" w:sz="4" w:space="0" w:color="auto"/>
            </w:tcBorders>
            <w:shd w:val="clear" w:color="auto" w:fill="auto"/>
            <w:hideMark/>
          </w:tcPr>
          <w:p w14:paraId="01C74884" w14:textId="77777777" w:rsidR="00455F51" w:rsidRPr="004063FF" w:rsidRDefault="00455F51" w:rsidP="00455F51">
            <w:pPr>
              <w:spacing w:after="0"/>
              <w:jc w:val="right"/>
              <w:rPr>
                <w:rFonts w:asciiTheme="minorHAnsi" w:eastAsia="Times New Roman" w:hAnsiTheme="minorHAnsi" w:cs="Lato"/>
                <w:lang w:eastAsia="en-AU"/>
              </w:rPr>
            </w:pPr>
            <w:r w:rsidRPr="004063FF">
              <w:rPr>
                <w:rFonts w:asciiTheme="minorHAnsi" w:eastAsia="Times New Roman" w:hAnsiTheme="minorHAnsi" w:cs="Lato"/>
                <w:lang w:eastAsia="en-AU"/>
              </w:rPr>
              <w:t xml:space="preserve">  0</w:t>
            </w:r>
          </w:p>
        </w:tc>
      </w:tr>
      <w:tr w:rsidR="00455F51" w:rsidRPr="004063FF" w14:paraId="35710CE2" w14:textId="77777777" w:rsidTr="00455F51">
        <w:trPr>
          <w:trHeight w:val="285"/>
        </w:trPr>
        <w:tc>
          <w:tcPr>
            <w:tcW w:w="7120" w:type="dxa"/>
            <w:tcBorders>
              <w:top w:val="nil"/>
              <w:left w:val="single" w:sz="4" w:space="0" w:color="auto"/>
              <w:bottom w:val="nil"/>
              <w:right w:val="nil"/>
            </w:tcBorders>
            <w:shd w:val="clear" w:color="000000" w:fill="D9D9D9"/>
            <w:hideMark/>
          </w:tcPr>
          <w:p w14:paraId="02AF4876" w14:textId="77777777" w:rsidR="00455F51" w:rsidRPr="004063FF" w:rsidRDefault="00455F51" w:rsidP="00455F51">
            <w:pPr>
              <w:spacing w:after="0"/>
              <w:ind w:firstLineChars="100" w:firstLine="220"/>
              <w:rPr>
                <w:rFonts w:asciiTheme="minorHAnsi" w:eastAsia="Times New Roman" w:hAnsiTheme="minorHAnsi" w:cs="Lato"/>
                <w:b/>
                <w:bCs/>
                <w:lang w:eastAsia="en-AU"/>
              </w:rPr>
            </w:pPr>
            <w:r w:rsidRPr="004063FF">
              <w:rPr>
                <w:rFonts w:asciiTheme="minorHAnsi" w:eastAsia="Times New Roman" w:hAnsiTheme="minorHAnsi" w:cs="Lato"/>
                <w:b/>
                <w:bCs/>
                <w:lang w:eastAsia="en-AU"/>
              </w:rPr>
              <w:t>Total quarantined cash and deposits</w:t>
            </w:r>
          </w:p>
        </w:tc>
        <w:tc>
          <w:tcPr>
            <w:tcW w:w="1460" w:type="dxa"/>
            <w:tcBorders>
              <w:top w:val="nil"/>
              <w:left w:val="nil"/>
              <w:bottom w:val="nil"/>
              <w:right w:val="single" w:sz="4" w:space="0" w:color="auto"/>
            </w:tcBorders>
            <w:shd w:val="clear" w:color="000000" w:fill="D9D9D9"/>
            <w:hideMark/>
          </w:tcPr>
          <w:p w14:paraId="197B9788" w14:textId="12167C78" w:rsidR="00455F51" w:rsidRPr="004063FF" w:rsidRDefault="00455F51" w:rsidP="0041491E">
            <w:pPr>
              <w:spacing w:after="0"/>
              <w:jc w:val="right"/>
              <w:rPr>
                <w:rFonts w:asciiTheme="minorHAnsi" w:eastAsia="Times New Roman" w:hAnsiTheme="minorHAnsi" w:cs="Lato"/>
                <w:b/>
                <w:bCs/>
                <w:lang w:eastAsia="en-AU"/>
              </w:rPr>
            </w:pPr>
            <w:r w:rsidRPr="004063FF">
              <w:rPr>
                <w:rFonts w:asciiTheme="minorHAnsi" w:eastAsia="Times New Roman" w:hAnsiTheme="minorHAnsi" w:cs="Lato"/>
                <w:b/>
                <w:bCs/>
                <w:lang w:eastAsia="en-AU"/>
              </w:rPr>
              <w:t xml:space="preserve"> 6 150</w:t>
            </w:r>
          </w:p>
        </w:tc>
      </w:tr>
      <w:tr w:rsidR="00455F51" w:rsidRPr="004063FF" w14:paraId="26DEB5EC" w14:textId="77777777" w:rsidTr="00455F51">
        <w:trPr>
          <w:trHeight w:val="285"/>
        </w:trPr>
        <w:tc>
          <w:tcPr>
            <w:tcW w:w="7120" w:type="dxa"/>
            <w:tcBorders>
              <w:top w:val="nil"/>
              <w:left w:val="single" w:sz="4" w:space="0" w:color="auto"/>
              <w:bottom w:val="nil"/>
              <w:right w:val="nil"/>
            </w:tcBorders>
            <w:shd w:val="clear" w:color="auto" w:fill="auto"/>
            <w:hideMark/>
          </w:tcPr>
          <w:p w14:paraId="4D0807BA" w14:textId="77777777" w:rsidR="00455F51" w:rsidRPr="004063FF" w:rsidRDefault="00455F51" w:rsidP="00455F51">
            <w:pPr>
              <w:spacing w:after="0"/>
              <w:rPr>
                <w:rFonts w:asciiTheme="minorHAnsi" w:eastAsia="Times New Roman" w:hAnsiTheme="minorHAnsi" w:cs="Lato"/>
                <w:lang w:eastAsia="en-AU"/>
              </w:rPr>
            </w:pPr>
            <w:r w:rsidRPr="004063FF">
              <w:rPr>
                <w:rFonts w:asciiTheme="minorHAnsi" w:eastAsia="Times New Roman" w:hAnsiTheme="minorHAnsi" w:cs="Lato"/>
                <w:lang w:eastAsia="en-AU"/>
              </w:rPr>
              <w:t> </w:t>
            </w:r>
          </w:p>
        </w:tc>
        <w:tc>
          <w:tcPr>
            <w:tcW w:w="1460" w:type="dxa"/>
            <w:tcBorders>
              <w:top w:val="nil"/>
              <w:left w:val="nil"/>
              <w:bottom w:val="nil"/>
              <w:right w:val="single" w:sz="4" w:space="0" w:color="auto"/>
            </w:tcBorders>
            <w:shd w:val="clear" w:color="auto" w:fill="auto"/>
            <w:hideMark/>
          </w:tcPr>
          <w:p w14:paraId="481D4B4D" w14:textId="77777777" w:rsidR="00455F51" w:rsidRPr="004063FF" w:rsidRDefault="00455F51" w:rsidP="00455F51">
            <w:pPr>
              <w:spacing w:after="0"/>
              <w:rPr>
                <w:rFonts w:asciiTheme="minorHAnsi" w:eastAsia="Times New Roman" w:hAnsiTheme="minorHAnsi" w:cs="Lato"/>
                <w:lang w:eastAsia="en-AU"/>
              </w:rPr>
            </w:pPr>
            <w:r w:rsidRPr="004063FF">
              <w:rPr>
                <w:rFonts w:asciiTheme="minorHAnsi" w:eastAsia="Times New Roman" w:hAnsiTheme="minorHAnsi" w:cs="Lato"/>
                <w:lang w:eastAsia="en-AU"/>
              </w:rPr>
              <w:t> </w:t>
            </w:r>
          </w:p>
        </w:tc>
      </w:tr>
      <w:tr w:rsidR="00455F51" w:rsidRPr="004063FF" w14:paraId="422CCD5E" w14:textId="77777777" w:rsidTr="00455F51">
        <w:trPr>
          <w:trHeight w:val="285"/>
        </w:trPr>
        <w:tc>
          <w:tcPr>
            <w:tcW w:w="7120" w:type="dxa"/>
            <w:tcBorders>
              <w:top w:val="nil"/>
              <w:left w:val="single" w:sz="4" w:space="0" w:color="auto"/>
              <w:bottom w:val="nil"/>
              <w:right w:val="nil"/>
            </w:tcBorders>
            <w:shd w:val="clear" w:color="000000" w:fill="D9D9D9"/>
            <w:hideMark/>
          </w:tcPr>
          <w:p w14:paraId="48F5D642" w14:textId="24DE7F99" w:rsidR="00455F51" w:rsidRPr="004063FF" w:rsidRDefault="00455F51" w:rsidP="00455F51">
            <w:pPr>
              <w:spacing w:after="0"/>
              <w:rPr>
                <w:rFonts w:asciiTheme="minorHAnsi" w:eastAsia="Times New Roman" w:hAnsiTheme="minorHAnsi" w:cs="Lato"/>
                <w:lang w:eastAsia="en-AU"/>
              </w:rPr>
            </w:pPr>
            <w:r w:rsidRPr="004063FF">
              <w:rPr>
                <w:rFonts w:asciiTheme="minorHAnsi" w:eastAsia="Times New Roman" w:hAnsiTheme="minorHAnsi" w:cs="Lato"/>
                <w:i/>
                <w:iCs/>
                <w:lang w:eastAsia="en-AU"/>
              </w:rPr>
              <w:t xml:space="preserve">less </w:t>
            </w:r>
            <w:r w:rsidR="00AE0694" w:rsidRPr="004063FF">
              <w:rPr>
                <w:rFonts w:asciiTheme="minorHAnsi" w:eastAsia="Times New Roman" w:hAnsiTheme="minorHAnsi" w:cs="Lato"/>
                <w:lang w:eastAsia="en-AU"/>
              </w:rPr>
              <w:t>p</w:t>
            </w:r>
            <w:r w:rsidRPr="004063FF">
              <w:rPr>
                <w:rFonts w:asciiTheme="minorHAnsi" w:eastAsia="Times New Roman" w:hAnsiTheme="minorHAnsi" w:cs="Lato"/>
                <w:lang w:eastAsia="en-AU"/>
              </w:rPr>
              <w:t>reviously approved (and sought) use of cash balances</w:t>
            </w:r>
          </w:p>
        </w:tc>
        <w:tc>
          <w:tcPr>
            <w:tcW w:w="1460" w:type="dxa"/>
            <w:tcBorders>
              <w:top w:val="nil"/>
              <w:left w:val="nil"/>
              <w:bottom w:val="nil"/>
              <w:right w:val="single" w:sz="4" w:space="0" w:color="auto"/>
            </w:tcBorders>
            <w:shd w:val="clear" w:color="000000" w:fill="D9D9D9"/>
            <w:hideMark/>
          </w:tcPr>
          <w:p w14:paraId="1A296C4F" w14:textId="1A27281F" w:rsidR="00455F51" w:rsidRPr="004063FF" w:rsidRDefault="00455F51" w:rsidP="0041491E">
            <w:pPr>
              <w:spacing w:after="0"/>
              <w:jc w:val="right"/>
              <w:rPr>
                <w:rFonts w:asciiTheme="minorHAnsi" w:eastAsia="Times New Roman" w:hAnsiTheme="minorHAnsi" w:cs="Lato"/>
                <w:b/>
                <w:bCs/>
                <w:lang w:eastAsia="en-AU"/>
              </w:rPr>
            </w:pPr>
            <w:r w:rsidRPr="004063FF">
              <w:rPr>
                <w:rFonts w:asciiTheme="minorHAnsi" w:eastAsia="Times New Roman" w:hAnsiTheme="minorHAnsi" w:cs="Lato"/>
                <w:b/>
                <w:bCs/>
                <w:lang w:eastAsia="en-AU"/>
              </w:rPr>
              <w:t xml:space="preserve">  0</w:t>
            </w:r>
          </w:p>
        </w:tc>
      </w:tr>
      <w:tr w:rsidR="00455F51" w:rsidRPr="004063FF" w14:paraId="4B9555F2" w14:textId="77777777" w:rsidTr="00455F51">
        <w:trPr>
          <w:trHeight w:val="285"/>
        </w:trPr>
        <w:tc>
          <w:tcPr>
            <w:tcW w:w="7120" w:type="dxa"/>
            <w:tcBorders>
              <w:top w:val="nil"/>
              <w:left w:val="single" w:sz="4" w:space="0" w:color="auto"/>
              <w:bottom w:val="nil"/>
              <w:right w:val="nil"/>
            </w:tcBorders>
            <w:shd w:val="clear" w:color="auto" w:fill="auto"/>
            <w:hideMark/>
          </w:tcPr>
          <w:p w14:paraId="4BCF719B" w14:textId="77777777" w:rsidR="00455F51" w:rsidRPr="004063FF" w:rsidRDefault="00455F51" w:rsidP="00455F51">
            <w:pPr>
              <w:spacing w:after="0"/>
              <w:rPr>
                <w:rFonts w:asciiTheme="minorHAnsi" w:eastAsia="Times New Roman" w:hAnsiTheme="minorHAnsi" w:cs="Lato"/>
                <w:lang w:eastAsia="en-AU"/>
              </w:rPr>
            </w:pPr>
            <w:r w:rsidRPr="004063FF">
              <w:rPr>
                <w:rFonts w:asciiTheme="minorHAnsi" w:eastAsia="Times New Roman" w:hAnsiTheme="minorHAnsi" w:cs="Lato"/>
                <w:lang w:eastAsia="en-AU"/>
              </w:rPr>
              <w:t> </w:t>
            </w:r>
          </w:p>
        </w:tc>
        <w:tc>
          <w:tcPr>
            <w:tcW w:w="1460" w:type="dxa"/>
            <w:tcBorders>
              <w:top w:val="nil"/>
              <w:left w:val="nil"/>
              <w:bottom w:val="nil"/>
              <w:right w:val="single" w:sz="4" w:space="0" w:color="auto"/>
            </w:tcBorders>
            <w:shd w:val="clear" w:color="auto" w:fill="auto"/>
            <w:hideMark/>
          </w:tcPr>
          <w:p w14:paraId="704614B5" w14:textId="77777777" w:rsidR="00455F51" w:rsidRPr="004063FF" w:rsidRDefault="00455F51" w:rsidP="00455F51">
            <w:pPr>
              <w:spacing w:after="0"/>
              <w:rPr>
                <w:rFonts w:asciiTheme="minorHAnsi" w:eastAsia="Times New Roman" w:hAnsiTheme="minorHAnsi" w:cs="Lato"/>
                <w:lang w:eastAsia="en-AU"/>
              </w:rPr>
            </w:pPr>
            <w:r w:rsidRPr="004063FF">
              <w:rPr>
                <w:rFonts w:asciiTheme="minorHAnsi" w:eastAsia="Times New Roman" w:hAnsiTheme="minorHAnsi" w:cs="Lato"/>
                <w:lang w:eastAsia="en-AU"/>
              </w:rPr>
              <w:t> </w:t>
            </w:r>
          </w:p>
        </w:tc>
      </w:tr>
      <w:tr w:rsidR="002B2A61" w:rsidRPr="004063FF" w14:paraId="558735C5" w14:textId="77777777" w:rsidTr="00353299">
        <w:trPr>
          <w:trHeight w:val="285"/>
        </w:trPr>
        <w:tc>
          <w:tcPr>
            <w:tcW w:w="7120" w:type="dxa"/>
            <w:tcBorders>
              <w:top w:val="nil"/>
              <w:left w:val="single" w:sz="4" w:space="0" w:color="auto"/>
              <w:bottom w:val="nil"/>
              <w:right w:val="nil"/>
            </w:tcBorders>
            <w:shd w:val="clear" w:color="auto" w:fill="D9D9D9" w:themeFill="background1" w:themeFillShade="D9"/>
          </w:tcPr>
          <w:p w14:paraId="0191F86F" w14:textId="3A56BA22" w:rsidR="002B2A61" w:rsidRPr="005273A1" w:rsidRDefault="002B2A61" w:rsidP="00455F51">
            <w:pPr>
              <w:spacing w:after="0"/>
              <w:rPr>
                <w:rFonts w:asciiTheme="minorHAnsi" w:eastAsia="Times New Roman" w:hAnsiTheme="minorHAnsi" w:cs="Lato"/>
                <w:lang w:eastAsia="en-AU"/>
              </w:rPr>
            </w:pPr>
            <w:r w:rsidRPr="00353299">
              <w:rPr>
                <w:rFonts w:asciiTheme="minorHAnsi" w:eastAsia="Times New Roman" w:hAnsiTheme="minorHAnsi" w:cs="Lato"/>
                <w:lang w:eastAsia="en-AU"/>
              </w:rPr>
              <w:t>l</w:t>
            </w:r>
            <w:r w:rsidRPr="00353299">
              <w:rPr>
                <w:rFonts w:asciiTheme="minorHAnsi" w:eastAsia="Times New Roman" w:hAnsiTheme="minorHAnsi" w:cs="Lato"/>
                <w:i/>
                <w:iCs/>
                <w:lang w:eastAsia="en-AU"/>
              </w:rPr>
              <w:t xml:space="preserve">ess </w:t>
            </w:r>
            <w:r w:rsidRPr="00353299">
              <w:rPr>
                <w:rFonts w:asciiTheme="minorHAnsi" w:eastAsia="Times New Roman" w:hAnsiTheme="minorHAnsi" w:cs="Lato"/>
                <w:lang w:eastAsia="en-AU"/>
              </w:rPr>
              <w:t xml:space="preserve"> unearned revenue opening balance</w:t>
            </w:r>
          </w:p>
        </w:tc>
        <w:tc>
          <w:tcPr>
            <w:tcW w:w="1460" w:type="dxa"/>
            <w:tcBorders>
              <w:top w:val="nil"/>
              <w:left w:val="nil"/>
              <w:bottom w:val="nil"/>
              <w:right w:val="single" w:sz="4" w:space="0" w:color="auto"/>
            </w:tcBorders>
            <w:shd w:val="clear" w:color="auto" w:fill="D9D9D9" w:themeFill="background1" w:themeFillShade="D9"/>
          </w:tcPr>
          <w:p w14:paraId="57F46302" w14:textId="3BA65570" w:rsidR="002B2A61" w:rsidRPr="004063FF" w:rsidRDefault="002B2A61" w:rsidP="00455F51">
            <w:pPr>
              <w:spacing w:after="0"/>
              <w:rPr>
                <w:rFonts w:asciiTheme="minorHAnsi" w:eastAsia="Times New Roman" w:hAnsiTheme="minorHAnsi" w:cs="Lato"/>
                <w:lang w:eastAsia="en-AU"/>
              </w:rPr>
            </w:pPr>
            <w:r>
              <w:rPr>
                <w:rFonts w:asciiTheme="minorHAnsi" w:eastAsia="Times New Roman" w:hAnsiTheme="minorHAnsi" w:cs="Lato"/>
                <w:lang w:eastAsia="en-AU"/>
              </w:rPr>
              <w:t xml:space="preserve">           1 000</w:t>
            </w:r>
          </w:p>
        </w:tc>
      </w:tr>
      <w:tr w:rsidR="002B2A61" w:rsidRPr="004063FF" w14:paraId="798242F5" w14:textId="77777777" w:rsidTr="00455F51">
        <w:trPr>
          <w:trHeight w:val="285"/>
        </w:trPr>
        <w:tc>
          <w:tcPr>
            <w:tcW w:w="7120" w:type="dxa"/>
            <w:tcBorders>
              <w:top w:val="nil"/>
              <w:left w:val="single" w:sz="4" w:space="0" w:color="auto"/>
              <w:bottom w:val="nil"/>
              <w:right w:val="nil"/>
            </w:tcBorders>
            <w:shd w:val="clear" w:color="auto" w:fill="auto"/>
          </w:tcPr>
          <w:p w14:paraId="5D24C996" w14:textId="77777777" w:rsidR="002B2A61" w:rsidRPr="005273A1" w:rsidRDefault="002B2A61" w:rsidP="00455F51">
            <w:pPr>
              <w:spacing w:after="0"/>
              <w:rPr>
                <w:rFonts w:asciiTheme="minorHAnsi" w:eastAsia="Times New Roman" w:hAnsiTheme="minorHAnsi" w:cs="Lato"/>
                <w:lang w:eastAsia="en-AU"/>
              </w:rPr>
            </w:pPr>
          </w:p>
        </w:tc>
        <w:tc>
          <w:tcPr>
            <w:tcW w:w="1460" w:type="dxa"/>
            <w:tcBorders>
              <w:top w:val="nil"/>
              <w:left w:val="nil"/>
              <w:bottom w:val="nil"/>
              <w:right w:val="single" w:sz="4" w:space="0" w:color="auto"/>
            </w:tcBorders>
            <w:shd w:val="clear" w:color="auto" w:fill="auto"/>
          </w:tcPr>
          <w:p w14:paraId="67566C36" w14:textId="77777777" w:rsidR="002B2A61" w:rsidRPr="004063FF" w:rsidRDefault="002B2A61" w:rsidP="00455F51">
            <w:pPr>
              <w:spacing w:after="0"/>
              <w:rPr>
                <w:rFonts w:asciiTheme="minorHAnsi" w:eastAsia="Times New Roman" w:hAnsiTheme="minorHAnsi" w:cs="Lato"/>
                <w:lang w:eastAsia="en-AU"/>
              </w:rPr>
            </w:pPr>
          </w:p>
        </w:tc>
      </w:tr>
      <w:tr w:rsidR="00455F51" w:rsidRPr="004063FF" w14:paraId="7C600177" w14:textId="77777777" w:rsidTr="00455F51">
        <w:trPr>
          <w:trHeight w:val="285"/>
        </w:trPr>
        <w:tc>
          <w:tcPr>
            <w:tcW w:w="7120" w:type="dxa"/>
            <w:tcBorders>
              <w:top w:val="nil"/>
              <w:left w:val="single" w:sz="4" w:space="0" w:color="auto"/>
              <w:bottom w:val="nil"/>
              <w:right w:val="nil"/>
            </w:tcBorders>
            <w:shd w:val="clear" w:color="000000" w:fill="D9D9D9"/>
            <w:vAlign w:val="center"/>
            <w:hideMark/>
          </w:tcPr>
          <w:p w14:paraId="3B0EF7DC" w14:textId="32B92FA6" w:rsidR="00455F51" w:rsidRPr="004063FF" w:rsidRDefault="005402EA" w:rsidP="005402EA">
            <w:pPr>
              <w:spacing w:after="0"/>
              <w:rPr>
                <w:rFonts w:asciiTheme="minorHAnsi" w:eastAsia="Times New Roman" w:hAnsiTheme="minorHAnsi" w:cs="Lato"/>
                <w:b/>
                <w:bCs/>
                <w:lang w:eastAsia="en-AU"/>
              </w:rPr>
            </w:pPr>
            <w:r w:rsidRPr="004063FF">
              <w:rPr>
                <w:rFonts w:asciiTheme="minorHAnsi" w:eastAsia="Times New Roman" w:hAnsiTheme="minorHAnsi" w:cs="Lato"/>
                <w:b/>
                <w:bCs/>
                <w:lang w:eastAsia="en-AU"/>
              </w:rPr>
              <w:t>Revised</w:t>
            </w:r>
            <w:r w:rsidR="00455F51" w:rsidRPr="004063FF">
              <w:rPr>
                <w:rFonts w:asciiTheme="minorHAnsi" w:eastAsia="Times New Roman" w:hAnsiTheme="minorHAnsi" w:cs="Lato"/>
                <w:b/>
                <w:bCs/>
                <w:lang w:eastAsia="en-AU"/>
              </w:rPr>
              <w:t xml:space="preserve"> cash balance</w:t>
            </w:r>
          </w:p>
        </w:tc>
        <w:tc>
          <w:tcPr>
            <w:tcW w:w="1460" w:type="dxa"/>
            <w:tcBorders>
              <w:top w:val="nil"/>
              <w:left w:val="nil"/>
              <w:bottom w:val="nil"/>
              <w:right w:val="single" w:sz="4" w:space="0" w:color="auto"/>
            </w:tcBorders>
            <w:shd w:val="clear" w:color="000000" w:fill="D9D9D9"/>
            <w:noWrap/>
            <w:vAlign w:val="center"/>
            <w:hideMark/>
          </w:tcPr>
          <w:p w14:paraId="48478FAF" w14:textId="44EF9719" w:rsidR="00455F51" w:rsidRPr="004063FF" w:rsidRDefault="00455F51" w:rsidP="0041491E">
            <w:pPr>
              <w:spacing w:after="0"/>
              <w:jc w:val="right"/>
              <w:rPr>
                <w:rFonts w:asciiTheme="minorHAnsi" w:eastAsia="Times New Roman" w:hAnsiTheme="minorHAnsi" w:cs="Lato"/>
                <w:b/>
                <w:bCs/>
                <w:lang w:eastAsia="en-AU"/>
              </w:rPr>
            </w:pPr>
            <w:r w:rsidRPr="004063FF">
              <w:rPr>
                <w:rFonts w:asciiTheme="minorHAnsi" w:eastAsia="Times New Roman" w:hAnsiTheme="minorHAnsi" w:cs="Lato"/>
                <w:b/>
                <w:bCs/>
                <w:lang w:eastAsia="en-AU"/>
              </w:rPr>
              <w:t xml:space="preserve"> </w:t>
            </w:r>
            <w:r w:rsidR="002B2A61">
              <w:rPr>
                <w:rFonts w:asciiTheme="minorHAnsi" w:eastAsia="Times New Roman" w:hAnsiTheme="minorHAnsi" w:cs="Lato"/>
                <w:b/>
                <w:bCs/>
                <w:lang w:eastAsia="en-AU"/>
              </w:rPr>
              <w:t>5</w:t>
            </w:r>
            <w:r w:rsidRPr="004063FF">
              <w:rPr>
                <w:rFonts w:asciiTheme="minorHAnsi" w:eastAsia="Times New Roman" w:hAnsiTheme="minorHAnsi" w:cs="Lato"/>
                <w:b/>
                <w:bCs/>
                <w:lang w:eastAsia="en-AU"/>
              </w:rPr>
              <w:t xml:space="preserve"> 189</w:t>
            </w:r>
          </w:p>
        </w:tc>
      </w:tr>
      <w:tr w:rsidR="00455F51" w:rsidRPr="004063FF" w14:paraId="30C17E4A" w14:textId="77777777" w:rsidTr="00455F51">
        <w:trPr>
          <w:trHeight w:val="285"/>
        </w:trPr>
        <w:tc>
          <w:tcPr>
            <w:tcW w:w="7120" w:type="dxa"/>
            <w:tcBorders>
              <w:top w:val="nil"/>
              <w:left w:val="single" w:sz="4" w:space="0" w:color="auto"/>
              <w:bottom w:val="nil"/>
              <w:right w:val="nil"/>
            </w:tcBorders>
            <w:shd w:val="clear" w:color="auto" w:fill="auto"/>
            <w:hideMark/>
          </w:tcPr>
          <w:p w14:paraId="0A252AB8" w14:textId="77777777" w:rsidR="00455F51" w:rsidRPr="004063FF" w:rsidRDefault="00455F51" w:rsidP="00455F51">
            <w:pPr>
              <w:spacing w:after="0"/>
              <w:rPr>
                <w:rFonts w:asciiTheme="minorHAnsi" w:eastAsia="Times New Roman" w:hAnsiTheme="minorHAnsi" w:cs="Lato"/>
                <w:lang w:eastAsia="en-AU"/>
              </w:rPr>
            </w:pPr>
            <w:r w:rsidRPr="004063FF">
              <w:rPr>
                <w:rFonts w:asciiTheme="minorHAnsi" w:eastAsia="Times New Roman" w:hAnsiTheme="minorHAnsi" w:cs="Lato"/>
                <w:lang w:eastAsia="en-AU"/>
              </w:rPr>
              <w:t> </w:t>
            </w:r>
          </w:p>
        </w:tc>
        <w:tc>
          <w:tcPr>
            <w:tcW w:w="1460" w:type="dxa"/>
            <w:tcBorders>
              <w:top w:val="nil"/>
              <w:left w:val="nil"/>
              <w:bottom w:val="nil"/>
              <w:right w:val="single" w:sz="4" w:space="0" w:color="auto"/>
            </w:tcBorders>
            <w:shd w:val="clear" w:color="auto" w:fill="auto"/>
            <w:hideMark/>
          </w:tcPr>
          <w:p w14:paraId="4EE48B51" w14:textId="77777777" w:rsidR="00455F51" w:rsidRPr="004063FF" w:rsidRDefault="00455F51" w:rsidP="00455F51">
            <w:pPr>
              <w:spacing w:after="0"/>
              <w:rPr>
                <w:rFonts w:asciiTheme="minorHAnsi" w:eastAsia="Times New Roman" w:hAnsiTheme="minorHAnsi" w:cs="Lato"/>
                <w:b/>
                <w:bCs/>
                <w:lang w:eastAsia="en-AU"/>
              </w:rPr>
            </w:pPr>
            <w:r w:rsidRPr="004063FF">
              <w:rPr>
                <w:rFonts w:asciiTheme="minorHAnsi" w:eastAsia="Times New Roman" w:hAnsiTheme="minorHAnsi" w:cs="Lato"/>
                <w:b/>
                <w:bCs/>
                <w:lang w:eastAsia="en-AU"/>
              </w:rPr>
              <w:t> </w:t>
            </w:r>
          </w:p>
        </w:tc>
      </w:tr>
      <w:tr w:rsidR="00455F51" w:rsidRPr="004063FF" w14:paraId="68223E67" w14:textId="77777777" w:rsidTr="00455F51">
        <w:trPr>
          <w:trHeight w:val="285"/>
        </w:trPr>
        <w:tc>
          <w:tcPr>
            <w:tcW w:w="7120" w:type="dxa"/>
            <w:tcBorders>
              <w:top w:val="nil"/>
              <w:left w:val="single" w:sz="4" w:space="0" w:color="auto"/>
              <w:bottom w:val="nil"/>
              <w:right w:val="nil"/>
            </w:tcBorders>
            <w:shd w:val="clear" w:color="000000" w:fill="D9D9D9"/>
            <w:hideMark/>
          </w:tcPr>
          <w:p w14:paraId="0A16AAE3" w14:textId="1364401F" w:rsidR="00455F51" w:rsidRPr="004063FF" w:rsidRDefault="00455F51" w:rsidP="00455F51">
            <w:pPr>
              <w:spacing w:after="0"/>
              <w:rPr>
                <w:rFonts w:asciiTheme="minorHAnsi" w:eastAsia="Times New Roman" w:hAnsiTheme="minorHAnsi" w:cs="Lato"/>
                <w:i/>
                <w:iCs/>
                <w:lang w:eastAsia="en-AU"/>
              </w:rPr>
            </w:pPr>
            <w:r w:rsidRPr="004063FF">
              <w:rPr>
                <w:rFonts w:asciiTheme="minorHAnsi" w:eastAsia="Times New Roman" w:hAnsiTheme="minorHAnsi" w:cs="Lato"/>
                <w:i/>
                <w:iCs/>
                <w:lang w:eastAsia="en-AU"/>
              </w:rPr>
              <w:t xml:space="preserve">less </w:t>
            </w:r>
            <w:r w:rsidR="00AE0694" w:rsidRPr="004063FF">
              <w:rPr>
                <w:rFonts w:asciiTheme="minorHAnsi" w:eastAsia="Times New Roman" w:hAnsiTheme="minorHAnsi" w:cs="Lato"/>
                <w:lang w:eastAsia="en-AU"/>
              </w:rPr>
              <w:t>**n</w:t>
            </w:r>
            <w:r w:rsidRPr="004063FF">
              <w:rPr>
                <w:rFonts w:asciiTheme="minorHAnsi" w:eastAsia="Times New Roman" w:hAnsiTheme="minorHAnsi" w:cs="Lato"/>
                <w:lang w:eastAsia="en-AU"/>
              </w:rPr>
              <w:t>ew** carryover requests</w:t>
            </w:r>
          </w:p>
        </w:tc>
        <w:tc>
          <w:tcPr>
            <w:tcW w:w="1460" w:type="dxa"/>
            <w:tcBorders>
              <w:top w:val="nil"/>
              <w:left w:val="nil"/>
              <w:bottom w:val="nil"/>
              <w:right w:val="single" w:sz="4" w:space="0" w:color="auto"/>
            </w:tcBorders>
            <w:shd w:val="clear" w:color="000000" w:fill="D9D9D9"/>
            <w:hideMark/>
          </w:tcPr>
          <w:p w14:paraId="22A67D51" w14:textId="77777777" w:rsidR="00455F51" w:rsidRPr="004063FF" w:rsidRDefault="00455F51" w:rsidP="00455F51">
            <w:pPr>
              <w:spacing w:after="0"/>
              <w:jc w:val="right"/>
              <w:rPr>
                <w:rFonts w:asciiTheme="minorHAnsi" w:eastAsia="Times New Roman" w:hAnsiTheme="minorHAnsi" w:cs="Lato"/>
                <w:b/>
                <w:bCs/>
                <w:lang w:eastAsia="en-AU"/>
              </w:rPr>
            </w:pPr>
            <w:r w:rsidRPr="004063FF">
              <w:rPr>
                <w:rFonts w:asciiTheme="minorHAnsi" w:eastAsia="Times New Roman" w:hAnsiTheme="minorHAnsi" w:cs="Lato"/>
                <w:b/>
                <w:bCs/>
                <w:lang w:eastAsia="en-AU"/>
              </w:rPr>
              <w:t xml:space="preserve"> 5 000</w:t>
            </w:r>
          </w:p>
        </w:tc>
      </w:tr>
      <w:tr w:rsidR="00455F51" w:rsidRPr="004063FF" w14:paraId="5E33AF0E" w14:textId="77777777" w:rsidTr="00455F51">
        <w:trPr>
          <w:trHeight w:val="285"/>
        </w:trPr>
        <w:tc>
          <w:tcPr>
            <w:tcW w:w="7120" w:type="dxa"/>
            <w:tcBorders>
              <w:top w:val="nil"/>
              <w:left w:val="single" w:sz="4" w:space="0" w:color="auto"/>
              <w:bottom w:val="nil"/>
              <w:right w:val="nil"/>
            </w:tcBorders>
            <w:shd w:val="clear" w:color="auto" w:fill="auto"/>
            <w:hideMark/>
          </w:tcPr>
          <w:p w14:paraId="04C0D52E" w14:textId="77777777" w:rsidR="00455F51" w:rsidRPr="004063FF" w:rsidRDefault="00455F51" w:rsidP="00455F51">
            <w:pPr>
              <w:spacing w:after="0"/>
              <w:rPr>
                <w:rFonts w:asciiTheme="minorHAnsi" w:eastAsia="Times New Roman" w:hAnsiTheme="minorHAnsi" w:cs="Lato"/>
                <w:b/>
                <w:bCs/>
                <w:lang w:eastAsia="en-AU"/>
              </w:rPr>
            </w:pPr>
            <w:r w:rsidRPr="004063FF">
              <w:rPr>
                <w:rFonts w:asciiTheme="minorHAnsi" w:eastAsia="Times New Roman" w:hAnsiTheme="minorHAnsi" w:cs="Lato"/>
                <w:b/>
                <w:bCs/>
                <w:lang w:eastAsia="en-AU"/>
              </w:rPr>
              <w:t> </w:t>
            </w:r>
          </w:p>
        </w:tc>
        <w:tc>
          <w:tcPr>
            <w:tcW w:w="1460" w:type="dxa"/>
            <w:tcBorders>
              <w:top w:val="nil"/>
              <w:left w:val="nil"/>
              <w:bottom w:val="nil"/>
              <w:right w:val="single" w:sz="4" w:space="0" w:color="auto"/>
            </w:tcBorders>
            <w:shd w:val="clear" w:color="auto" w:fill="auto"/>
            <w:hideMark/>
          </w:tcPr>
          <w:p w14:paraId="74BEFE6E" w14:textId="77777777" w:rsidR="00455F51" w:rsidRPr="004063FF" w:rsidRDefault="00455F51" w:rsidP="00455F51">
            <w:pPr>
              <w:spacing w:after="0"/>
              <w:rPr>
                <w:rFonts w:asciiTheme="minorHAnsi" w:eastAsia="Times New Roman" w:hAnsiTheme="minorHAnsi" w:cs="Lato"/>
                <w:b/>
                <w:bCs/>
                <w:lang w:eastAsia="en-AU"/>
              </w:rPr>
            </w:pPr>
            <w:r w:rsidRPr="004063FF">
              <w:rPr>
                <w:rFonts w:asciiTheme="minorHAnsi" w:eastAsia="Times New Roman" w:hAnsiTheme="minorHAnsi" w:cs="Lato"/>
                <w:b/>
                <w:bCs/>
                <w:lang w:eastAsia="en-AU"/>
              </w:rPr>
              <w:t> </w:t>
            </w:r>
          </w:p>
        </w:tc>
      </w:tr>
      <w:tr w:rsidR="00455F51" w:rsidRPr="004063FF" w14:paraId="547AF2DD" w14:textId="77777777" w:rsidTr="00455F51">
        <w:trPr>
          <w:trHeight w:val="285"/>
        </w:trPr>
        <w:tc>
          <w:tcPr>
            <w:tcW w:w="7120" w:type="dxa"/>
            <w:tcBorders>
              <w:top w:val="nil"/>
              <w:left w:val="single" w:sz="4" w:space="0" w:color="auto"/>
              <w:bottom w:val="single" w:sz="4" w:space="0" w:color="auto"/>
              <w:right w:val="nil"/>
            </w:tcBorders>
            <w:shd w:val="clear" w:color="000000" w:fill="D9D9D9"/>
            <w:vAlign w:val="center"/>
            <w:hideMark/>
          </w:tcPr>
          <w:p w14:paraId="7FCF97E7" w14:textId="77777777" w:rsidR="00455F51" w:rsidRPr="004063FF" w:rsidRDefault="00455F51" w:rsidP="00455F51">
            <w:pPr>
              <w:spacing w:after="0"/>
              <w:rPr>
                <w:rFonts w:asciiTheme="minorHAnsi" w:eastAsia="Times New Roman" w:hAnsiTheme="minorHAnsi" w:cs="Lato"/>
                <w:b/>
                <w:bCs/>
                <w:lang w:eastAsia="en-AU"/>
              </w:rPr>
            </w:pPr>
            <w:r w:rsidRPr="004063FF">
              <w:rPr>
                <w:rFonts w:asciiTheme="minorHAnsi" w:eastAsia="Times New Roman" w:hAnsiTheme="minorHAnsi" w:cs="Lato"/>
                <w:b/>
                <w:bCs/>
                <w:lang w:eastAsia="en-AU"/>
              </w:rPr>
              <w:t>Surplus cash (+) / Insufficient cash (-)</w:t>
            </w:r>
          </w:p>
        </w:tc>
        <w:tc>
          <w:tcPr>
            <w:tcW w:w="1460" w:type="dxa"/>
            <w:tcBorders>
              <w:top w:val="nil"/>
              <w:left w:val="nil"/>
              <w:bottom w:val="single" w:sz="4" w:space="0" w:color="auto"/>
              <w:right w:val="single" w:sz="4" w:space="0" w:color="auto"/>
            </w:tcBorders>
            <w:shd w:val="clear" w:color="000000" w:fill="D9D9D9"/>
            <w:hideMark/>
          </w:tcPr>
          <w:p w14:paraId="5A0387BB" w14:textId="36848681" w:rsidR="00455F51" w:rsidRPr="004063FF" w:rsidRDefault="00DC3C11" w:rsidP="0041491E">
            <w:pPr>
              <w:spacing w:after="0"/>
              <w:jc w:val="right"/>
              <w:rPr>
                <w:rFonts w:asciiTheme="minorHAnsi" w:eastAsia="Times New Roman" w:hAnsiTheme="minorHAnsi" w:cs="Lato"/>
                <w:b/>
                <w:bCs/>
                <w:lang w:eastAsia="en-AU"/>
              </w:rPr>
            </w:pPr>
            <w:r w:rsidRPr="004063FF">
              <w:rPr>
                <w:rFonts w:asciiTheme="minorHAnsi" w:eastAsia="Times New Roman" w:hAnsiTheme="minorHAnsi" w:cs="Lato"/>
                <w:b/>
                <w:bCs/>
                <w:lang w:eastAsia="en-AU"/>
              </w:rPr>
              <w:t xml:space="preserve">  </w:t>
            </w:r>
            <w:r w:rsidR="00455F51" w:rsidRPr="004063FF">
              <w:rPr>
                <w:rFonts w:asciiTheme="minorHAnsi" w:eastAsia="Times New Roman" w:hAnsiTheme="minorHAnsi" w:cs="Lato"/>
                <w:b/>
                <w:bCs/>
                <w:lang w:eastAsia="en-AU"/>
              </w:rPr>
              <w:t xml:space="preserve"> </w:t>
            </w:r>
            <w:r w:rsidR="001143D4" w:rsidRPr="004063FF">
              <w:rPr>
                <w:rFonts w:asciiTheme="minorHAnsi" w:eastAsia="Times New Roman" w:hAnsiTheme="minorHAnsi" w:cs="Lato"/>
                <w:b/>
                <w:bCs/>
                <w:lang w:eastAsia="en-AU"/>
              </w:rPr>
              <w:t>189</w:t>
            </w:r>
          </w:p>
        </w:tc>
      </w:tr>
    </w:tbl>
    <w:p w14:paraId="31A24240" w14:textId="2125E4BD" w:rsidR="00455F51" w:rsidRPr="004063FF" w:rsidRDefault="00E469BF" w:rsidP="00455F51">
      <w:pPr>
        <w:pStyle w:val="ListNumber"/>
        <w:numPr>
          <w:ilvl w:val="0"/>
          <w:numId w:val="0"/>
        </w:numPr>
        <w:spacing w:before="240"/>
        <w:ind w:left="284"/>
        <w:rPr>
          <w:rFonts w:asciiTheme="minorHAnsi" w:hAnsiTheme="minorHAnsi"/>
        </w:rPr>
      </w:pPr>
      <w:r w:rsidRPr="004063FF">
        <w:rPr>
          <w:rFonts w:asciiTheme="minorHAnsi" w:hAnsiTheme="minorHAnsi"/>
        </w:rPr>
        <w:t xml:space="preserve">From the example above, </w:t>
      </w:r>
      <w:r w:rsidR="000463C2" w:rsidRPr="004063FF">
        <w:rPr>
          <w:rFonts w:asciiTheme="minorHAnsi" w:hAnsiTheme="minorHAnsi"/>
        </w:rPr>
        <w:t>a</w:t>
      </w:r>
      <w:r w:rsidR="00455F51" w:rsidRPr="004063FF">
        <w:rPr>
          <w:rFonts w:asciiTheme="minorHAnsi" w:hAnsiTheme="minorHAnsi"/>
        </w:rPr>
        <w:t xml:space="preserve">gency </w:t>
      </w:r>
      <w:r w:rsidR="00A90B9C">
        <w:rPr>
          <w:rFonts w:asciiTheme="minorHAnsi" w:hAnsiTheme="minorHAnsi"/>
        </w:rPr>
        <w:t>B</w:t>
      </w:r>
      <w:r w:rsidR="00E86E3A">
        <w:rPr>
          <w:rFonts w:asciiTheme="minorHAnsi" w:hAnsiTheme="minorHAnsi"/>
        </w:rPr>
        <w:t>’s</w:t>
      </w:r>
      <w:r w:rsidR="00A90B9C">
        <w:rPr>
          <w:rFonts w:asciiTheme="minorHAnsi" w:hAnsiTheme="minorHAnsi"/>
        </w:rPr>
        <w:t xml:space="preserve"> </w:t>
      </w:r>
      <w:r w:rsidR="00AE0694" w:rsidRPr="004063FF">
        <w:rPr>
          <w:rFonts w:asciiTheme="minorHAnsi" w:hAnsiTheme="minorHAnsi"/>
        </w:rPr>
        <w:t>unrestricted</w:t>
      </w:r>
      <w:r w:rsidR="00455F51" w:rsidRPr="004063FF">
        <w:rPr>
          <w:rFonts w:asciiTheme="minorHAnsi" w:hAnsiTheme="minorHAnsi"/>
        </w:rPr>
        <w:t xml:space="preserve"> cash and deposits accounts balance</w:t>
      </w:r>
      <w:r w:rsidR="00A90B9C">
        <w:rPr>
          <w:rFonts w:asciiTheme="minorHAnsi" w:hAnsiTheme="minorHAnsi"/>
        </w:rPr>
        <w:t xml:space="preserve"> of</w:t>
      </w:r>
      <w:r w:rsidR="00455F51" w:rsidRPr="004063FF">
        <w:rPr>
          <w:rFonts w:asciiTheme="minorHAnsi" w:hAnsiTheme="minorHAnsi"/>
        </w:rPr>
        <w:t xml:space="preserve"> $</w:t>
      </w:r>
      <w:r w:rsidR="00E86E3A">
        <w:rPr>
          <w:rFonts w:asciiTheme="minorHAnsi" w:hAnsiTheme="minorHAnsi"/>
        </w:rPr>
        <w:t>5</w:t>
      </w:r>
      <w:r w:rsidR="00455F51" w:rsidRPr="004063FF">
        <w:rPr>
          <w:rFonts w:asciiTheme="minorHAnsi" w:hAnsiTheme="minorHAnsi"/>
        </w:rPr>
        <w:t xml:space="preserve">.189 million is </w:t>
      </w:r>
      <w:r w:rsidR="001143D4" w:rsidRPr="004063FF">
        <w:rPr>
          <w:rFonts w:asciiTheme="minorHAnsi" w:hAnsiTheme="minorHAnsi"/>
          <w:b/>
        </w:rPr>
        <w:t>greater</w:t>
      </w:r>
      <w:r w:rsidR="00455F51" w:rsidRPr="004063FF">
        <w:rPr>
          <w:rFonts w:asciiTheme="minorHAnsi" w:hAnsiTheme="minorHAnsi"/>
        </w:rPr>
        <w:t xml:space="preserve"> tha</w:t>
      </w:r>
      <w:r w:rsidR="00941315" w:rsidRPr="004063FF">
        <w:rPr>
          <w:rFonts w:asciiTheme="minorHAnsi" w:hAnsiTheme="minorHAnsi"/>
        </w:rPr>
        <w:t xml:space="preserve">n the </w:t>
      </w:r>
      <w:r w:rsidR="00E86E3A">
        <w:rPr>
          <w:rFonts w:asciiTheme="minorHAnsi" w:hAnsiTheme="minorHAnsi"/>
        </w:rPr>
        <w:t xml:space="preserve">proposed </w:t>
      </w:r>
      <w:r w:rsidR="00941315" w:rsidRPr="004063FF">
        <w:rPr>
          <w:rFonts w:asciiTheme="minorHAnsi" w:hAnsiTheme="minorHAnsi"/>
        </w:rPr>
        <w:t>carryover request</w:t>
      </w:r>
      <w:r w:rsidR="00AE0694" w:rsidRPr="004063FF">
        <w:rPr>
          <w:rFonts w:asciiTheme="minorHAnsi" w:hAnsiTheme="minorHAnsi"/>
        </w:rPr>
        <w:t xml:space="preserve"> </w:t>
      </w:r>
      <w:r w:rsidR="00E86E3A">
        <w:rPr>
          <w:rFonts w:asciiTheme="minorHAnsi" w:hAnsiTheme="minorHAnsi"/>
        </w:rPr>
        <w:t xml:space="preserve">of </w:t>
      </w:r>
      <w:r w:rsidR="00AE0694" w:rsidRPr="004063FF">
        <w:rPr>
          <w:rFonts w:asciiTheme="minorHAnsi" w:hAnsiTheme="minorHAnsi"/>
        </w:rPr>
        <w:t>$5 million.</w:t>
      </w:r>
      <w:r w:rsidR="00E86E3A">
        <w:rPr>
          <w:rFonts w:asciiTheme="minorHAnsi" w:hAnsiTheme="minorHAnsi"/>
        </w:rPr>
        <w:t xml:space="preserve"> As such, agency B has sufficient cash balances to cover the carryover requests and may progress request subject to meeting other conditions outlined in </w:t>
      </w:r>
      <w:r w:rsidR="00A90B9C">
        <w:rPr>
          <w:rFonts w:asciiTheme="minorHAnsi" w:hAnsiTheme="minorHAnsi"/>
        </w:rPr>
        <w:t>the Treasurer’s Direction - Carryover</w:t>
      </w:r>
      <w:r w:rsidR="009C2BF3">
        <w:rPr>
          <w:rFonts w:asciiTheme="minorHAnsi" w:hAnsiTheme="minorHAnsi"/>
        </w:rPr>
        <w:t>s</w:t>
      </w:r>
      <w:r w:rsidR="001143D4" w:rsidRPr="004063FF">
        <w:rPr>
          <w:rFonts w:asciiTheme="minorHAnsi" w:hAnsiTheme="minorHAnsi"/>
        </w:rPr>
        <w:t>.</w:t>
      </w:r>
    </w:p>
    <w:p w14:paraId="0D6A34F8" w14:textId="319DC29F" w:rsidR="00941315" w:rsidRPr="004063FF" w:rsidRDefault="00941315" w:rsidP="00455F51">
      <w:pPr>
        <w:pStyle w:val="ListNumber"/>
        <w:numPr>
          <w:ilvl w:val="0"/>
          <w:numId w:val="0"/>
        </w:numPr>
        <w:spacing w:before="240"/>
        <w:ind w:left="284"/>
        <w:rPr>
          <w:rFonts w:asciiTheme="minorHAnsi" w:hAnsiTheme="minorHAnsi"/>
        </w:rPr>
      </w:pPr>
      <w:r w:rsidRPr="004063FF">
        <w:rPr>
          <w:rFonts w:asciiTheme="minorHAnsi" w:hAnsiTheme="minorHAnsi"/>
        </w:rPr>
        <w:t xml:space="preserve">If the </w:t>
      </w:r>
      <w:r w:rsidR="00E024C0" w:rsidRPr="004063FF">
        <w:rPr>
          <w:rFonts w:asciiTheme="minorHAnsi" w:hAnsiTheme="minorHAnsi"/>
        </w:rPr>
        <w:t>revised</w:t>
      </w:r>
      <w:r w:rsidRPr="004063FF">
        <w:rPr>
          <w:rFonts w:asciiTheme="minorHAnsi" w:hAnsiTheme="minorHAnsi"/>
        </w:rPr>
        <w:t xml:space="preserve"> cash balance is less than the </w:t>
      </w:r>
      <w:r w:rsidR="00E86E3A">
        <w:rPr>
          <w:rFonts w:asciiTheme="minorHAnsi" w:hAnsiTheme="minorHAnsi"/>
        </w:rPr>
        <w:t xml:space="preserve">proposed </w:t>
      </w:r>
      <w:r w:rsidRPr="004063FF">
        <w:rPr>
          <w:rFonts w:asciiTheme="minorHAnsi" w:hAnsiTheme="minorHAnsi"/>
        </w:rPr>
        <w:t>carryover</w:t>
      </w:r>
      <w:r w:rsidR="00E86E3A">
        <w:rPr>
          <w:rFonts w:asciiTheme="minorHAnsi" w:hAnsiTheme="minorHAnsi"/>
        </w:rPr>
        <w:t xml:space="preserve"> </w:t>
      </w:r>
      <w:r w:rsidRPr="004063FF">
        <w:rPr>
          <w:rFonts w:asciiTheme="minorHAnsi" w:hAnsiTheme="minorHAnsi"/>
        </w:rPr>
        <w:t>reques</w:t>
      </w:r>
      <w:r w:rsidR="00994B76" w:rsidRPr="004063FF">
        <w:rPr>
          <w:rFonts w:asciiTheme="minorHAnsi" w:hAnsiTheme="minorHAnsi"/>
        </w:rPr>
        <w:t xml:space="preserve">t, </w:t>
      </w:r>
      <w:r w:rsidR="00E86E3A">
        <w:rPr>
          <w:rFonts w:asciiTheme="minorHAnsi" w:hAnsiTheme="minorHAnsi"/>
        </w:rPr>
        <w:t>a</w:t>
      </w:r>
      <w:r w:rsidR="00994B76" w:rsidRPr="004063FF">
        <w:rPr>
          <w:rFonts w:asciiTheme="minorHAnsi" w:hAnsiTheme="minorHAnsi"/>
        </w:rPr>
        <w:t xml:space="preserve">gency </w:t>
      </w:r>
      <w:r w:rsidR="00A90B9C">
        <w:rPr>
          <w:rFonts w:asciiTheme="minorHAnsi" w:hAnsiTheme="minorHAnsi"/>
        </w:rPr>
        <w:t>B</w:t>
      </w:r>
      <w:r w:rsidR="00E86E3A">
        <w:rPr>
          <w:rFonts w:asciiTheme="minorHAnsi" w:hAnsiTheme="minorHAnsi"/>
        </w:rPr>
        <w:t xml:space="preserve"> may </w:t>
      </w:r>
      <w:r w:rsidR="00307F56" w:rsidRPr="004063FF">
        <w:rPr>
          <w:rFonts w:asciiTheme="minorHAnsi" w:hAnsiTheme="minorHAnsi"/>
        </w:rPr>
        <w:t xml:space="preserve">request </w:t>
      </w:r>
      <w:r w:rsidR="00E469BF" w:rsidRPr="004063FF">
        <w:rPr>
          <w:rFonts w:asciiTheme="minorHAnsi" w:hAnsiTheme="minorHAnsi"/>
        </w:rPr>
        <w:t xml:space="preserve">a </w:t>
      </w:r>
      <w:r w:rsidR="00307F56" w:rsidRPr="004063FF">
        <w:rPr>
          <w:rFonts w:asciiTheme="minorHAnsi" w:hAnsiTheme="minorHAnsi"/>
        </w:rPr>
        <w:t xml:space="preserve">carryover only up to the amount of </w:t>
      </w:r>
      <w:r w:rsidR="00E86E3A">
        <w:rPr>
          <w:rFonts w:asciiTheme="minorHAnsi" w:hAnsiTheme="minorHAnsi"/>
        </w:rPr>
        <w:t>the revised cash balance.</w:t>
      </w:r>
    </w:p>
    <w:p w14:paraId="0D68F051" w14:textId="5EA9AD1E" w:rsidR="009F3941" w:rsidRPr="00E25138" w:rsidRDefault="009F3941" w:rsidP="00353299">
      <w:pPr>
        <w:pStyle w:val="ListNumber"/>
        <w:keepNext/>
        <w:keepLines/>
        <w:numPr>
          <w:ilvl w:val="0"/>
          <w:numId w:val="0"/>
        </w:numPr>
        <w:spacing w:before="240" w:after="200"/>
        <w:outlineLvl w:val="2"/>
        <w:rPr>
          <w:rFonts w:asciiTheme="minorHAnsi" w:hAnsiTheme="minorHAnsi"/>
        </w:rPr>
      </w:pPr>
    </w:p>
    <w:sectPr w:rsidR="009F3941" w:rsidRPr="00E25138" w:rsidSect="007F7A15">
      <w:headerReference w:type="default" r:id="rId10"/>
      <w:footerReference w:type="default" r:id="rId11"/>
      <w:headerReference w:type="first" r:id="rId12"/>
      <w:footerReference w:type="first" r:id="rId13"/>
      <w:footnotePr>
        <w:numRestart w:val="eachPage"/>
      </w:footnotePr>
      <w:endnotePr>
        <w:numFmt w:val="decimal"/>
        <w:numRestart w:val="eachSect"/>
      </w:endnotePr>
      <w:pgSz w:w="11906" w:h="16838" w:code="9"/>
      <w:pgMar w:top="794" w:right="794" w:bottom="794" w:left="794" w:header="794" w:footer="4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5A2E4" w14:textId="77777777" w:rsidR="00124732" w:rsidRDefault="00124732" w:rsidP="007332FF">
      <w:r>
        <w:separator/>
      </w:r>
    </w:p>
  </w:endnote>
  <w:endnote w:type="continuationSeparator" w:id="0">
    <w:p w14:paraId="338A0626" w14:textId="77777777" w:rsidR="00124732" w:rsidRDefault="00124732"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6D38F" w14:textId="77777777" w:rsidR="00FB2CD0" w:rsidRDefault="00FB2CD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FB2CD0" w:rsidRPr="00132658" w14:paraId="642504FE" w14:textId="77777777" w:rsidTr="00D47DC7">
      <w:trPr>
        <w:cantSplit/>
        <w:trHeight w:hRule="exact" w:val="850"/>
      </w:trPr>
      <w:tc>
        <w:tcPr>
          <w:tcW w:w="10318" w:type="dxa"/>
          <w:vAlign w:val="bottom"/>
        </w:tcPr>
        <w:p w14:paraId="516F0052" w14:textId="77777777" w:rsidR="00FB2CD0" w:rsidRDefault="00FB2CD0"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TREASURY AND FINANCE</w:t>
              </w:r>
            </w:sdtContent>
          </w:sdt>
        </w:p>
        <w:p w14:paraId="2A6C2ECB" w14:textId="32FC68AD" w:rsidR="00FB2CD0" w:rsidRPr="00CE6614" w:rsidRDefault="0003469D"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2-11-03T00:00:00Z">
                <w:dateFormat w:val="d MMMM yyyy"/>
                <w:lid w:val="en-AU"/>
                <w:storeMappedDataAs w:val="dateTime"/>
                <w:calendar w:val="gregorian"/>
              </w:date>
            </w:sdtPr>
            <w:sdtEndPr>
              <w:rPr>
                <w:rStyle w:val="PageNumber"/>
              </w:rPr>
            </w:sdtEndPr>
            <w:sdtContent>
              <w:r w:rsidR="00357028">
                <w:rPr>
                  <w:rStyle w:val="PageNumber"/>
                </w:rPr>
                <w:t>3 November 2022</w:t>
              </w:r>
            </w:sdtContent>
          </w:sdt>
          <w:r w:rsidR="00FB2CD0" w:rsidRPr="00CE6614">
            <w:rPr>
              <w:rStyle w:val="PageNumber"/>
            </w:rPr>
            <w:t xml:space="preserve"> | Version </w:t>
          </w:r>
          <w:r w:rsidR="00FB2CD0">
            <w:rPr>
              <w:rStyle w:val="PageNumber"/>
            </w:rPr>
            <w:t>2.0</w:t>
          </w:r>
        </w:p>
        <w:p w14:paraId="134BF5E5" w14:textId="68459066" w:rsidR="00FB2CD0" w:rsidRPr="00AC4488" w:rsidRDefault="00FB2CD0"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03469D">
            <w:rPr>
              <w:rStyle w:val="PageNumber"/>
              <w:noProof/>
            </w:rPr>
            <w:t>9</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03469D">
            <w:rPr>
              <w:rStyle w:val="PageNumber"/>
              <w:noProof/>
            </w:rPr>
            <w:t>10</w:t>
          </w:r>
          <w:r w:rsidRPr="00AC4488">
            <w:rPr>
              <w:rStyle w:val="PageNumber"/>
            </w:rPr>
            <w:fldChar w:fldCharType="end"/>
          </w:r>
        </w:p>
      </w:tc>
    </w:tr>
  </w:tbl>
  <w:p w14:paraId="7B3D63F4" w14:textId="77777777" w:rsidR="00FB2CD0" w:rsidRPr="00B11C67" w:rsidRDefault="00FB2CD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04E06" w14:textId="77777777" w:rsidR="00FB2CD0" w:rsidRDefault="00FB2CD0"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FB2CD0" w:rsidRPr="00132658" w14:paraId="4C4EDE5A" w14:textId="77777777" w:rsidTr="00B2229C">
      <w:trPr>
        <w:cantSplit/>
        <w:trHeight w:hRule="exact" w:val="1000"/>
      </w:trPr>
      <w:tc>
        <w:tcPr>
          <w:tcW w:w="7767" w:type="dxa"/>
          <w:vAlign w:val="bottom"/>
        </w:tcPr>
        <w:p w14:paraId="586E2E72" w14:textId="77777777" w:rsidR="00FB2CD0" w:rsidRDefault="00FB2CD0"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TREASURY AND FINANCE</w:t>
              </w:r>
            </w:sdtContent>
          </w:sdt>
        </w:p>
        <w:p w14:paraId="15F8A568" w14:textId="722EF126" w:rsidR="00FB2CD0" w:rsidRPr="00CE6614" w:rsidRDefault="0003469D"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2-11-03T00:00:00Z">
                <w:dateFormat w:val="d MMMM yyyy"/>
                <w:lid w:val="en-AU"/>
                <w:storeMappedDataAs w:val="dateTime"/>
                <w:calendar w:val="gregorian"/>
              </w:date>
            </w:sdtPr>
            <w:sdtEndPr>
              <w:rPr>
                <w:rStyle w:val="PageNumber"/>
              </w:rPr>
            </w:sdtEndPr>
            <w:sdtContent>
              <w:r w:rsidR="00357028">
                <w:rPr>
                  <w:rStyle w:val="PageNumber"/>
                </w:rPr>
                <w:t>3 November 2022</w:t>
              </w:r>
            </w:sdtContent>
          </w:sdt>
          <w:r w:rsidR="00FB2CD0" w:rsidRPr="00CE6614">
            <w:rPr>
              <w:rStyle w:val="PageNumber"/>
            </w:rPr>
            <w:t xml:space="preserve"> | Version </w:t>
          </w:r>
          <w:r w:rsidR="00FB2CD0">
            <w:rPr>
              <w:rStyle w:val="PageNumber"/>
            </w:rPr>
            <w:t>2.0</w:t>
          </w:r>
        </w:p>
        <w:p w14:paraId="7EEE4006" w14:textId="53767883" w:rsidR="00FB2CD0" w:rsidRPr="00CE30CF" w:rsidRDefault="00FB2CD0"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9C2BF3">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9C2BF3">
            <w:rPr>
              <w:rStyle w:val="PageNumber"/>
              <w:noProof/>
            </w:rPr>
            <w:t>10</w:t>
          </w:r>
          <w:r w:rsidRPr="00AC4488">
            <w:rPr>
              <w:rStyle w:val="PageNumber"/>
            </w:rPr>
            <w:fldChar w:fldCharType="end"/>
          </w:r>
        </w:p>
      </w:tc>
      <w:tc>
        <w:tcPr>
          <w:tcW w:w="2551" w:type="dxa"/>
          <w:vAlign w:val="bottom"/>
        </w:tcPr>
        <w:p w14:paraId="151B1DB1" w14:textId="77777777" w:rsidR="00FB2CD0" w:rsidRPr="001E14EB" w:rsidRDefault="00FB2CD0" w:rsidP="0071700C">
          <w:pPr>
            <w:spacing w:after="0"/>
            <w:jc w:val="right"/>
          </w:pPr>
          <w:r>
            <w:rPr>
              <w:noProof/>
              <w:lang w:eastAsia="en-AU"/>
            </w:rPr>
            <w:drawing>
              <wp:inline distT="0" distB="0" distL="0" distR="0" wp14:anchorId="48B50E5F" wp14:editId="64F53497">
                <wp:extent cx="1572479" cy="561600"/>
                <wp:effectExtent l="0" t="0" r="8890"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08B4EE60" w14:textId="77777777" w:rsidR="00FB2CD0" w:rsidRPr="00661BE1" w:rsidRDefault="00FB2CD0"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EF83B" w14:textId="77777777" w:rsidR="00124732" w:rsidRDefault="00124732" w:rsidP="007332FF">
      <w:r>
        <w:separator/>
      </w:r>
    </w:p>
  </w:footnote>
  <w:footnote w:type="continuationSeparator" w:id="0">
    <w:p w14:paraId="78C97746" w14:textId="77777777" w:rsidR="00124732" w:rsidRDefault="00124732" w:rsidP="007332FF">
      <w:r>
        <w:continuationSeparator/>
      </w:r>
    </w:p>
  </w:footnote>
  <w:footnote w:id="1">
    <w:p w14:paraId="37E01CCA" w14:textId="77777777" w:rsidR="00FB2CD0" w:rsidRDefault="00FB2CD0" w:rsidP="00023B05">
      <w:pPr>
        <w:pStyle w:val="FootnoteText"/>
      </w:pPr>
      <w:r>
        <w:rPr>
          <w:rStyle w:val="FootnoteReference"/>
        </w:rPr>
        <w:footnoteRef/>
      </w:r>
      <w:r>
        <w:t xml:space="preserve"> APEX is the Northern Territory Government’s primary budgeting, consolidation and reporting system, supporting the delivery of whole of government budgeting and financial reporting obligations.</w:t>
      </w:r>
    </w:p>
  </w:footnote>
  <w:footnote w:id="2">
    <w:p w14:paraId="48FE8F14" w14:textId="77777777" w:rsidR="00FB2CD0" w:rsidRDefault="00FB2CD0" w:rsidP="00FB2CD0">
      <w:pPr>
        <w:pStyle w:val="FootnoteText"/>
      </w:pPr>
      <w:r>
        <w:rPr>
          <w:rStyle w:val="FootnoteReference"/>
        </w:rPr>
        <w:footnoteRef/>
      </w:r>
      <w:r>
        <w:t xml:space="preserve"> APEX is the Northern Territory Government’s primary budgeting, consolidation and reporting system, supporting the delivery of whole of government budgeting and financial reporting obligations.</w:t>
      </w:r>
    </w:p>
  </w:footnote>
  <w:footnote w:id="3">
    <w:p w14:paraId="185D7791" w14:textId="4FA7E3AB" w:rsidR="00FB2CD0" w:rsidRDefault="00FB2CD0" w:rsidP="00DC5A7B">
      <w:pPr>
        <w:pStyle w:val="FootnoteText"/>
      </w:pPr>
      <w:r>
        <w:rPr>
          <w:rStyle w:val="FootnoteReference"/>
        </w:rPr>
        <w:footnoteRef/>
      </w:r>
      <w:r>
        <w:t xml:space="preserve"> APEX is the Northern Territory Government’s primary budgeting, consolidation and reporting system, supporting the delivery of whole of government budgeting and financial reporting obligations.</w:t>
      </w:r>
    </w:p>
  </w:footnote>
  <w:footnote w:id="4">
    <w:p w14:paraId="7FBD902B" w14:textId="7209ADD8" w:rsidR="00FB2CD0" w:rsidRDefault="00CF6E85" w:rsidP="00735EE7">
      <w:pPr>
        <w:pStyle w:val="FootnoteText"/>
      </w:pPr>
      <w:r>
        <w:rPr>
          <w:rStyle w:val="FootnoteReference"/>
        </w:rPr>
        <w:footnoteRef/>
      </w:r>
      <w:r>
        <w:t xml:space="preserve"> APEX is the Northern Territory Government’s primary budgeting, consolidation and reporting system, supporting the delivery of whole of government budgeting and financial reporting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523EA" w14:textId="3A44D31E" w:rsidR="00FB2CD0" w:rsidRPr="00162207" w:rsidRDefault="0003469D"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FB2CD0">
          <w:t>Frequently asked questions - Carryovers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49961E1D" w14:textId="42AB34C6" w:rsidR="00FB2CD0" w:rsidRDefault="00FB2CD0" w:rsidP="00435082">
        <w:pPr>
          <w:pStyle w:val="Title"/>
        </w:pPr>
        <w:r>
          <w:rPr>
            <w:rStyle w:val="TitleChar"/>
          </w:rPr>
          <w:t>Frequently asked questions - Carryovers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82882E0"/>
    <w:lvl w:ilvl="0">
      <w:start w:val="1"/>
      <w:numFmt w:val="decimal"/>
      <w:lvlText w:val="%1."/>
      <w:lvlJc w:val="left"/>
      <w:pPr>
        <w:tabs>
          <w:tab w:val="num" w:pos="360"/>
        </w:tabs>
        <w:ind w:left="360" w:hanging="360"/>
      </w:pPr>
    </w:lvl>
  </w:abstractNum>
  <w:abstractNum w:abstractNumId="1" w15:restartNumberingAfterBreak="0">
    <w:nsid w:val="030F0990"/>
    <w:multiLevelType w:val="multilevel"/>
    <w:tmpl w:val="0C78A7AC"/>
    <w:styleLink w:val="NTGTableList"/>
    <w:lvl w:ilvl="0">
      <w:start w:val="1"/>
      <w:numFmt w:val="bullet"/>
      <w:lvlText w:val=""/>
      <w:lvlJc w:val="left"/>
      <w:pPr>
        <w:ind w:left="284" w:hanging="284"/>
      </w:pPr>
      <w:rPr>
        <w:rFonts w:ascii="Symbol" w:hAnsi="Symbol" w:hint="default"/>
        <w:color w:val="auto"/>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color w:val="auto"/>
      </w:rPr>
    </w:lvl>
    <w:lvl w:ilvl="3">
      <w:start w:val="1"/>
      <w:numFmt w:val="bullet"/>
      <w:lvlText w:val=""/>
      <w:lvlJc w:val="left"/>
      <w:pPr>
        <w:ind w:left="1134" w:hanging="283"/>
      </w:pPr>
      <w:rPr>
        <w:rFonts w:ascii="Wingdings" w:hAnsi="Wingdings"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o"/>
      <w:lvlJc w:val="left"/>
      <w:pPr>
        <w:ind w:left="1985" w:hanging="284"/>
      </w:pPr>
      <w:rPr>
        <w:rFonts w:ascii="Courier New" w:hAnsi="Courier New" w:hint="default"/>
        <w:color w:val="auto"/>
      </w:rPr>
    </w:lvl>
    <w:lvl w:ilvl="7">
      <w:start w:val="1"/>
      <w:numFmt w:val="bullet"/>
      <w:lvlText w:val=""/>
      <w:lvlJc w:val="left"/>
      <w:pPr>
        <w:ind w:left="2268" w:hanging="283"/>
      </w:pPr>
      <w:rPr>
        <w:rFonts w:ascii="Wingdings" w:hAnsi="Wingdings" w:hint="default"/>
        <w:color w:val="auto"/>
      </w:rPr>
    </w:lvl>
    <w:lvl w:ilvl="8">
      <w:start w:val="1"/>
      <w:numFmt w:val="bullet"/>
      <w:lvlText w:val=""/>
      <w:lvlJc w:val="left"/>
      <w:pPr>
        <w:ind w:left="2552" w:hanging="284"/>
      </w:pPr>
      <w:rPr>
        <w:rFonts w:ascii="Wingdings" w:hAnsi="Wingdings" w:hint="default"/>
        <w:color w:val="auto"/>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08F017F"/>
    <w:multiLevelType w:val="hybridMultilevel"/>
    <w:tmpl w:val="1312201A"/>
    <w:lvl w:ilvl="0" w:tplc="0C09001B">
      <w:start w:val="1"/>
      <w:numFmt w:val="lowerRoman"/>
      <w:lvlText w:val="%1."/>
      <w:lvlJc w:val="right"/>
      <w:pPr>
        <w:ind w:left="928" w:hanging="360"/>
      </w:pPr>
      <w:rPr>
        <w:rFonts w:hint="default"/>
      </w:rPr>
    </w:lvl>
    <w:lvl w:ilvl="1" w:tplc="0C090003">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6A852E0"/>
    <w:multiLevelType w:val="hybridMultilevel"/>
    <w:tmpl w:val="E8D60D20"/>
    <w:lvl w:ilvl="0" w:tplc="0C09001B">
      <w:start w:val="1"/>
      <w:numFmt w:val="lowerRoman"/>
      <w:lvlText w:val="%1."/>
      <w:lvlJc w:val="right"/>
      <w:pPr>
        <w:ind w:left="3763" w:hanging="360"/>
      </w:pPr>
    </w:lvl>
    <w:lvl w:ilvl="1" w:tplc="0C09001B">
      <w:start w:val="1"/>
      <w:numFmt w:val="lowerRoman"/>
      <w:lvlText w:val="%2."/>
      <w:lvlJc w:val="right"/>
      <w:pPr>
        <w:ind w:left="4483" w:hanging="360"/>
      </w:pPr>
    </w:lvl>
    <w:lvl w:ilvl="2" w:tplc="0C09001B">
      <w:start w:val="1"/>
      <w:numFmt w:val="lowerRoman"/>
      <w:lvlText w:val="%3."/>
      <w:lvlJc w:val="right"/>
      <w:pPr>
        <w:ind w:left="5203" w:hanging="180"/>
      </w:pPr>
    </w:lvl>
    <w:lvl w:ilvl="3" w:tplc="0C09000F" w:tentative="1">
      <w:start w:val="1"/>
      <w:numFmt w:val="decimal"/>
      <w:lvlText w:val="%4."/>
      <w:lvlJc w:val="left"/>
      <w:pPr>
        <w:ind w:left="5923" w:hanging="360"/>
      </w:pPr>
    </w:lvl>
    <w:lvl w:ilvl="4" w:tplc="0C090019" w:tentative="1">
      <w:start w:val="1"/>
      <w:numFmt w:val="lowerLetter"/>
      <w:lvlText w:val="%5."/>
      <w:lvlJc w:val="left"/>
      <w:pPr>
        <w:ind w:left="6643" w:hanging="360"/>
      </w:pPr>
    </w:lvl>
    <w:lvl w:ilvl="5" w:tplc="0C09001B" w:tentative="1">
      <w:start w:val="1"/>
      <w:numFmt w:val="lowerRoman"/>
      <w:lvlText w:val="%6."/>
      <w:lvlJc w:val="right"/>
      <w:pPr>
        <w:ind w:left="7363" w:hanging="180"/>
      </w:pPr>
    </w:lvl>
    <w:lvl w:ilvl="6" w:tplc="0C09000F" w:tentative="1">
      <w:start w:val="1"/>
      <w:numFmt w:val="decimal"/>
      <w:lvlText w:val="%7."/>
      <w:lvlJc w:val="left"/>
      <w:pPr>
        <w:ind w:left="8083" w:hanging="360"/>
      </w:pPr>
    </w:lvl>
    <w:lvl w:ilvl="7" w:tplc="0C090019" w:tentative="1">
      <w:start w:val="1"/>
      <w:numFmt w:val="lowerLetter"/>
      <w:lvlText w:val="%8."/>
      <w:lvlJc w:val="left"/>
      <w:pPr>
        <w:ind w:left="8803" w:hanging="360"/>
      </w:pPr>
    </w:lvl>
    <w:lvl w:ilvl="8" w:tplc="0C09001B" w:tentative="1">
      <w:start w:val="1"/>
      <w:numFmt w:val="lowerRoman"/>
      <w:lvlText w:val="%9."/>
      <w:lvlJc w:val="right"/>
      <w:pPr>
        <w:ind w:left="9523" w:hanging="180"/>
      </w:pPr>
    </w:lvl>
  </w:abstractNum>
  <w:abstractNum w:abstractNumId="9" w15:restartNumberingAfterBreak="0">
    <w:nsid w:val="18D26C06"/>
    <w:multiLevelType w:val="multilevel"/>
    <w:tmpl w:val="3E5E177A"/>
    <w:name w:val="NTG Table Bullet List33222222222222222"/>
    <w:numStyleLink w:val="Tablenumberlist"/>
  </w:abstractNum>
  <w:abstractNum w:abstractNumId="10" w15:restartNumberingAfterBreak="0">
    <w:nsid w:val="19533A06"/>
    <w:multiLevelType w:val="multilevel"/>
    <w:tmpl w:val="3928FD02"/>
    <w:name w:val="NTG Table Bullet List3222"/>
    <w:numStyleLink w:val="Bulletlist"/>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D0744AE"/>
    <w:multiLevelType w:val="multilevel"/>
    <w:tmpl w:val="3E5E177A"/>
    <w:name w:val="NTG Table Bullet List3222322"/>
    <w:numStyleLink w:val="Tablenumberlist"/>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3C31FEF"/>
    <w:multiLevelType w:val="hybridMultilevel"/>
    <w:tmpl w:val="A69A0DF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7" w15:restartNumberingAfterBreak="0">
    <w:nsid w:val="24E93944"/>
    <w:multiLevelType w:val="multilevel"/>
    <w:tmpl w:val="BD7A8414"/>
    <w:styleLink w:val="NTGStandardList"/>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8" w15:restartNumberingAfterBreak="0">
    <w:nsid w:val="26345893"/>
    <w:multiLevelType w:val="multilevel"/>
    <w:tmpl w:val="4E6AC8F6"/>
    <w:name w:val="NTG Table Bullet List3322222222"/>
    <w:numStyleLink w:val="NTGStandardNumList"/>
  </w:abstractNum>
  <w:abstractNum w:abstractNumId="19" w15:restartNumberingAfterBreak="0">
    <w:nsid w:val="272E3F76"/>
    <w:multiLevelType w:val="multilevel"/>
    <w:tmpl w:val="3E5E177A"/>
    <w:name w:val="NTG Table Bullet List3322"/>
    <w:numStyleLink w:val="Tablenumberlist"/>
  </w:abstractNum>
  <w:abstractNum w:abstractNumId="20" w15:restartNumberingAfterBreak="0">
    <w:nsid w:val="27CE4608"/>
    <w:multiLevelType w:val="multilevel"/>
    <w:tmpl w:val="3E5E177A"/>
    <w:name w:val="NTG Table Bullet List33222"/>
    <w:numStyleLink w:val="Tablenumberlist"/>
  </w:abstractNum>
  <w:abstractNum w:abstractNumId="21" w15:restartNumberingAfterBreak="0">
    <w:nsid w:val="27D83E4D"/>
    <w:multiLevelType w:val="multilevel"/>
    <w:tmpl w:val="3928FD02"/>
    <w:numStyleLink w:val="Bulletlist"/>
  </w:abstractNum>
  <w:abstractNum w:abstractNumId="22"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3" w15:restartNumberingAfterBreak="0">
    <w:nsid w:val="2E693641"/>
    <w:multiLevelType w:val="multilevel"/>
    <w:tmpl w:val="3E5E177A"/>
    <w:name w:val="NTG Table Bullet List33"/>
    <w:numStyleLink w:val="Tablenumberlist"/>
  </w:abstractNum>
  <w:abstractNum w:abstractNumId="24" w15:restartNumberingAfterBreak="0">
    <w:nsid w:val="2EF077BC"/>
    <w:multiLevelType w:val="multilevel"/>
    <w:tmpl w:val="0C78A7AC"/>
    <w:name w:val="NTG Table Bullet List33222222222222222222"/>
    <w:numStyleLink w:val="Tablebulletlist"/>
  </w:abstractNum>
  <w:abstractNum w:abstractNumId="25" w15:restartNumberingAfterBreak="0">
    <w:nsid w:val="304462FC"/>
    <w:multiLevelType w:val="hybridMultilevel"/>
    <w:tmpl w:val="3B86F1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19B4971"/>
    <w:multiLevelType w:val="hybridMultilevel"/>
    <w:tmpl w:val="E3027CE0"/>
    <w:lvl w:ilvl="0" w:tplc="AE9AE000">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7" w15:restartNumberingAfterBreak="0">
    <w:nsid w:val="32DF44DA"/>
    <w:multiLevelType w:val="multilevel"/>
    <w:tmpl w:val="3E5E177A"/>
    <w:name w:val="NTG Table Bullet List3222323"/>
    <w:numStyleLink w:val="Tablenumberlist"/>
  </w:abstractNum>
  <w:abstractNum w:abstractNumId="28"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9" w15:restartNumberingAfterBreak="0">
    <w:nsid w:val="39110659"/>
    <w:multiLevelType w:val="hybridMultilevel"/>
    <w:tmpl w:val="4D620EC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3BE61945"/>
    <w:multiLevelType w:val="multilevel"/>
    <w:tmpl w:val="3928FD02"/>
    <w:name w:val="NTG Table Bullet List332222222222222222"/>
    <w:numStyleLink w:val="Bulletlist"/>
  </w:abstractNum>
  <w:abstractNum w:abstractNumId="31" w15:restartNumberingAfterBreak="0">
    <w:nsid w:val="3F2D6D8A"/>
    <w:multiLevelType w:val="hybridMultilevel"/>
    <w:tmpl w:val="1EEED596"/>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2" w15:restartNumberingAfterBreak="0">
    <w:nsid w:val="461D0C8A"/>
    <w:multiLevelType w:val="multilevel"/>
    <w:tmpl w:val="39746A98"/>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33" w15:restartNumberingAfterBreak="0">
    <w:nsid w:val="49FD3A20"/>
    <w:multiLevelType w:val="multilevel"/>
    <w:tmpl w:val="3E5E177A"/>
    <w:name w:val="NTG Table Bullet List3322222222222"/>
    <w:numStyleLink w:val="Tablenumberlist"/>
  </w:abstractNum>
  <w:abstractNum w:abstractNumId="3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6" w15:restartNumberingAfterBreak="0">
    <w:nsid w:val="4D90555D"/>
    <w:multiLevelType w:val="multilevel"/>
    <w:tmpl w:val="4E6AC8F6"/>
    <w:styleLink w:val="NTGStandardNumList"/>
    <w:lvl w:ilvl="0">
      <w:start w:val="1"/>
      <w:numFmt w:val="decimal"/>
      <w:lvlText w:val="%1."/>
      <w:lvlJc w:val="left"/>
      <w:pPr>
        <w:ind w:left="357" w:hanging="357"/>
      </w:pPr>
      <w:rPr>
        <w:rFonts w:hint="default"/>
      </w:rPr>
    </w:lvl>
    <w:lvl w:ilvl="1">
      <w:start w:val="1"/>
      <w:numFmt w:val="lowerLetter"/>
      <w:lvlText w:val="%2."/>
      <w:lvlJc w:val="left"/>
      <w:pPr>
        <w:ind w:left="925"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4DF31761"/>
    <w:multiLevelType w:val="hybridMultilevel"/>
    <w:tmpl w:val="190C67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02F6561"/>
    <w:multiLevelType w:val="hybridMultilevel"/>
    <w:tmpl w:val="70F6EA0C"/>
    <w:lvl w:ilvl="0" w:tplc="0C090019">
      <w:start w:val="1"/>
      <w:numFmt w:val="lowerLetter"/>
      <w:lvlText w:val="%1."/>
      <w:lvlJc w:val="left"/>
      <w:pPr>
        <w:ind w:left="1117" w:hanging="360"/>
      </w:pPr>
    </w:lvl>
    <w:lvl w:ilvl="1" w:tplc="0C09001B">
      <w:start w:val="1"/>
      <w:numFmt w:val="lowerRoman"/>
      <w:lvlText w:val="%2."/>
      <w:lvlJc w:val="right"/>
      <w:pPr>
        <w:ind w:left="1837" w:hanging="360"/>
      </w:pPr>
    </w:lvl>
    <w:lvl w:ilvl="2" w:tplc="0C09001B">
      <w:start w:val="1"/>
      <w:numFmt w:val="lowerRoman"/>
      <w:lvlText w:val="%3."/>
      <w:lvlJc w:val="right"/>
      <w:pPr>
        <w:ind w:left="2557" w:hanging="180"/>
      </w:pPr>
    </w:lvl>
    <w:lvl w:ilvl="3" w:tplc="0C09000F" w:tentative="1">
      <w:start w:val="1"/>
      <w:numFmt w:val="decimal"/>
      <w:lvlText w:val="%4."/>
      <w:lvlJc w:val="left"/>
      <w:pPr>
        <w:ind w:left="3277" w:hanging="360"/>
      </w:pPr>
    </w:lvl>
    <w:lvl w:ilvl="4" w:tplc="0C090019" w:tentative="1">
      <w:start w:val="1"/>
      <w:numFmt w:val="lowerLetter"/>
      <w:lvlText w:val="%5."/>
      <w:lvlJc w:val="left"/>
      <w:pPr>
        <w:ind w:left="3997" w:hanging="360"/>
      </w:pPr>
    </w:lvl>
    <w:lvl w:ilvl="5" w:tplc="0C09001B" w:tentative="1">
      <w:start w:val="1"/>
      <w:numFmt w:val="lowerRoman"/>
      <w:lvlText w:val="%6."/>
      <w:lvlJc w:val="right"/>
      <w:pPr>
        <w:ind w:left="4717" w:hanging="180"/>
      </w:pPr>
    </w:lvl>
    <w:lvl w:ilvl="6" w:tplc="0C09000F" w:tentative="1">
      <w:start w:val="1"/>
      <w:numFmt w:val="decimal"/>
      <w:lvlText w:val="%7."/>
      <w:lvlJc w:val="left"/>
      <w:pPr>
        <w:ind w:left="5437" w:hanging="360"/>
      </w:pPr>
    </w:lvl>
    <w:lvl w:ilvl="7" w:tplc="0C090019" w:tentative="1">
      <w:start w:val="1"/>
      <w:numFmt w:val="lowerLetter"/>
      <w:lvlText w:val="%8."/>
      <w:lvlJc w:val="left"/>
      <w:pPr>
        <w:ind w:left="6157" w:hanging="360"/>
      </w:pPr>
    </w:lvl>
    <w:lvl w:ilvl="8" w:tplc="0C09001B" w:tentative="1">
      <w:start w:val="1"/>
      <w:numFmt w:val="lowerRoman"/>
      <w:lvlText w:val="%9."/>
      <w:lvlJc w:val="right"/>
      <w:pPr>
        <w:ind w:left="6877" w:hanging="180"/>
      </w:pPr>
    </w:lvl>
  </w:abstractNum>
  <w:abstractNum w:abstractNumId="39" w15:restartNumberingAfterBreak="0">
    <w:nsid w:val="53842BC6"/>
    <w:multiLevelType w:val="multilevel"/>
    <w:tmpl w:val="0C78A7AC"/>
    <w:numStyleLink w:val="Tablebulletlist"/>
  </w:abstractNum>
  <w:abstractNum w:abstractNumId="4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1" w15:restartNumberingAfterBreak="0">
    <w:nsid w:val="55EE5AD0"/>
    <w:multiLevelType w:val="multilevel"/>
    <w:tmpl w:val="0C78A7AC"/>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42" w15:restartNumberingAfterBreak="0">
    <w:nsid w:val="56DA2CAE"/>
    <w:multiLevelType w:val="multilevel"/>
    <w:tmpl w:val="3E5E177A"/>
    <w:name w:val="NTG Table Bullet List332222222222222"/>
    <w:numStyleLink w:val="Tablenumberlist"/>
  </w:abstractNum>
  <w:abstractNum w:abstractNumId="43" w15:restartNumberingAfterBreak="0">
    <w:nsid w:val="583359D9"/>
    <w:multiLevelType w:val="multilevel"/>
    <w:tmpl w:val="3E5E177A"/>
    <w:name w:val="NTG Table Bullet List332222222"/>
    <w:numStyleLink w:val="Tablenumberlist"/>
  </w:abstractNum>
  <w:abstractNum w:abstractNumId="44" w15:restartNumberingAfterBreak="0">
    <w:nsid w:val="5B9A5FFE"/>
    <w:multiLevelType w:val="multilevel"/>
    <w:tmpl w:val="0C78A7AC"/>
    <w:name w:val="NTG Table Bullet List33222222222222"/>
    <w:numStyleLink w:val="Tablebulletlist"/>
  </w:abstractNum>
  <w:abstractNum w:abstractNumId="45" w15:restartNumberingAfterBreak="0">
    <w:nsid w:val="5BE53617"/>
    <w:multiLevelType w:val="hybridMultilevel"/>
    <w:tmpl w:val="A858C590"/>
    <w:lvl w:ilvl="0" w:tplc="94029CA4">
      <w:start w:val="6"/>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D444259"/>
    <w:multiLevelType w:val="multilevel"/>
    <w:tmpl w:val="0C78A7AC"/>
    <w:name w:val="NTG Table Bullet List332222"/>
    <w:numStyleLink w:val="Tablebulletlist"/>
  </w:abstractNum>
  <w:abstractNum w:abstractNumId="47" w15:restartNumberingAfterBreak="0">
    <w:nsid w:val="5F6A3CD6"/>
    <w:multiLevelType w:val="hybridMultilevel"/>
    <w:tmpl w:val="BBEE1C6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8" w15:restartNumberingAfterBreak="0">
    <w:nsid w:val="641E23C5"/>
    <w:multiLevelType w:val="hybridMultilevel"/>
    <w:tmpl w:val="EEE45C88"/>
    <w:lvl w:ilvl="0" w:tplc="62E43D18">
      <w:start w:val="1"/>
      <w:numFmt w:val="decimal"/>
      <w:lvlText w:val="%1."/>
      <w:lvlJc w:val="left"/>
      <w:pPr>
        <w:ind w:left="360" w:hanging="360"/>
      </w:pPr>
      <w:rPr>
        <w:rFonts w:ascii="Arial" w:eastAsia="Calibri" w:hAnsi="Arial" w:cs="Times New Roman"/>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6E3205F2">
      <w:numFmt w:val="bullet"/>
      <w:lvlText w:val="-"/>
      <w:lvlJc w:val="left"/>
      <w:pPr>
        <w:ind w:left="3240" w:hanging="360"/>
      </w:pPr>
      <w:rPr>
        <w:rFonts w:ascii="Lato" w:eastAsia="Calibri" w:hAnsi="Lato" w:cs="Times New Roman" w:hint="default"/>
      </w:r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64654A20"/>
    <w:multiLevelType w:val="hybridMultilevel"/>
    <w:tmpl w:val="0712B2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83B7E48"/>
    <w:multiLevelType w:val="hybridMultilevel"/>
    <w:tmpl w:val="E8D60D20"/>
    <w:lvl w:ilvl="0" w:tplc="0C09001B">
      <w:start w:val="1"/>
      <w:numFmt w:val="lowerRoman"/>
      <w:lvlText w:val="%1."/>
      <w:lvlJc w:val="right"/>
      <w:pPr>
        <w:ind w:left="3763" w:hanging="360"/>
      </w:pPr>
    </w:lvl>
    <w:lvl w:ilvl="1" w:tplc="0C09001B">
      <w:start w:val="1"/>
      <w:numFmt w:val="lowerRoman"/>
      <w:lvlText w:val="%2."/>
      <w:lvlJc w:val="right"/>
      <w:pPr>
        <w:ind w:left="4483" w:hanging="360"/>
      </w:pPr>
    </w:lvl>
    <w:lvl w:ilvl="2" w:tplc="0C09001B">
      <w:start w:val="1"/>
      <w:numFmt w:val="lowerRoman"/>
      <w:lvlText w:val="%3."/>
      <w:lvlJc w:val="right"/>
      <w:pPr>
        <w:ind w:left="5203" w:hanging="180"/>
      </w:pPr>
    </w:lvl>
    <w:lvl w:ilvl="3" w:tplc="0C09000F" w:tentative="1">
      <w:start w:val="1"/>
      <w:numFmt w:val="decimal"/>
      <w:lvlText w:val="%4."/>
      <w:lvlJc w:val="left"/>
      <w:pPr>
        <w:ind w:left="5923" w:hanging="360"/>
      </w:pPr>
    </w:lvl>
    <w:lvl w:ilvl="4" w:tplc="0C090019" w:tentative="1">
      <w:start w:val="1"/>
      <w:numFmt w:val="lowerLetter"/>
      <w:lvlText w:val="%5."/>
      <w:lvlJc w:val="left"/>
      <w:pPr>
        <w:ind w:left="6643" w:hanging="360"/>
      </w:pPr>
    </w:lvl>
    <w:lvl w:ilvl="5" w:tplc="0C09001B" w:tentative="1">
      <w:start w:val="1"/>
      <w:numFmt w:val="lowerRoman"/>
      <w:lvlText w:val="%6."/>
      <w:lvlJc w:val="right"/>
      <w:pPr>
        <w:ind w:left="7363" w:hanging="180"/>
      </w:pPr>
    </w:lvl>
    <w:lvl w:ilvl="6" w:tplc="0C09000F" w:tentative="1">
      <w:start w:val="1"/>
      <w:numFmt w:val="decimal"/>
      <w:lvlText w:val="%7."/>
      <w:lvlJc w:val="left"/>
      <w:pPr>
        <w:ind w:left="8083" w:hanging="360"/>
      </w:pPr>
    </w:lvl>
    <w:lvl w:ilvl="7" w:tplc="0C090019" w:tentative="1">
      <w:start w:val="1"/>
      <w:numFmt w:val="lowerLetter"/>
      <w:lvlText w:val="%8."/>
      <w:lvlJc w:val="left"/>
      <w:pPr>
        <w:ind w:left="8803" w:hanging="360"/>
      </w:pPr>
    </w:lvl>
    <w:lvl w:ilvl="8" w:tplc="0C09001B" w:tentative="1">
      <w:start w:val="1"/>
      <w:numFmt w:val="lowerRoman"/>
      <w:lvlText w:val="%9."/>
      <w:lvlJc w:val="right"/>
      <w:pPr>
        <w:ind w:left="9523" w:hanging="180"/>
      </w:pPr>
    </w:lvl>
  </w:abstractNum>
  <w:abstractNum w:abstractNumId="51" w15:restartNumberingAfterBreak="0">
    <w:nsid w:val="686A0A01"/>
    <w:multiLevelType w:val="hybridMultilevel"/>
    <w:tmpl w:val="9D7C147C"/>
    <w:lvl w:ilvl="0" w:tplc="A4467F22">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2" w15:restartNumberingAfterBreak="0">
    <w:nsid w:val="69262556"/>
    <w:multiLevelType w:val="multilevel"/>
    <w:tmpl w:val="3E5E177A"/>
    <w:name w:val="NTG Table Bullet List3322222222222222"/>
    <w:numStyleLink w:val="Tablenumberlist"/>
  </w:abstractNum>
  <w:abstractNum w:abstractNumId="53" w15:restartNumberingAfterBreak="0">
    <w:nsid w:val="6D786D58"/>
    <w:multiLevelType w:val="hybridMultilevel"/>
    <w:tmpl w:val="47087046"/>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4" w15:restartNumberingAfterBreak="0">
    <w:nsid w:val="7329464D"/>
    <w:multiLevelType w:val="hybridMultilevel"/>
    <w:tmpl w:val="A9CC998A"/>
    <w:lvl w:ilvl="0" w:tplc="012C3864">
      <w:start w:val="1"/>
      <w:numFmt w:val="lowerLetter"/>
      <w:lvlText w:val="%1."/>
      <w:lvlJc w:val="left"/>
      <w:pPr>
        <w:ind w:left="640" w:hanging="360"/>
      </w:pPr>
      <w:rPr>
        <w:rFonts w:hint="default"/>
      </w:rPr>
    </w:lvl>
    <w:lvl w:ilvl="1" w:tplc="0C090019" w:tentative="1">
      <w:start w:val="1"/>
      <w:numFmt w:val="lowerLetter"/>
      <w:lvlText w:val="%2."/>
      <w:lvlJc w:val="left"/>
      <w:pPr>
        <w:ind w:left="1360" w:hanging="360"/>
      </w:pPr>
    </w:lvl>
    <w:lvl w:ilvl="2" w:tplc="0C09001B" w:tentative="1">
      <w:start w:val="1"/>
      <w:numFmt w:val="lowerRoman"/>
      <w:lvlText w:val="%3."/>
      <w:lvlJc w:val="right"/>
      <w:pPr>
        <w:ind w:left="2080" w:hanging="180"/>
      </w:pPr>
    </w:lvl>
    <w:lvl w:ilvl="3" w:tplc="0C09000F" w:tentative="1">
      <w:start w:val="1"/>
      <w:numFmt w:val="decimal"/>
      <w:lvlText w:val="%4."/>
      <w:lvlJc w:val="left"/>
      <w:pPr>
        <w:ind w:left="2800" w:hanging="360"/>
      </w:pPr>
    </w:lvl>
    <w:lvl w:ilvl="4" w:tplc="0C090019" w:tentative="1">
      <w:start w:val="1"/>
      <w:numFmt w:val="lowerLetter"/>
      <w:lvlText w:val="%5."/>
      <w:lvlJc w:val="left"/>
      <w:pPr>
        <w:ind w:left="3520" w:hanging="360"/>
      </w:pPr>
    </w:lvl>
    <w:lvl w:ilvl="5" w:tplc="0C09001B" w:tentative="1">
      <w:start w:val="1"/>
      <w:numFmt w:val="lowerRoman"/>
      <w:lvlText w:val="%6."/>
      <w:lvlJc w:val="right"/>
      <w:pPr>
        <w:ind w:left="4240" w:hanging="180"/>
      </w:pPr>
    </w:lvl>
    <w:lvl w:ilvl="6" w:tplc="0C09000F" w:tentative="1">
      <w:start w:val="1"/>
      <w:numFmt w:val="decimal"/>
      <w:lvlText w:val="%7."/>
      <w:lvlJc w:val="left"/>
      <w:pPr>
        <w:ind w:left="4960" w:hanging="360"/>
      </w:pPr>
    </w:lvl>
    <w:lvl w:ilvl="7" w:tplc="0C090019" w:tentative="1">
      <w:start w:val="1"/>
      <w:numFmt w:val="lowerLetter"/>
      <w:lvlText w:val="%8."/>
      <w:lvlJc w:val="left"/>
      <w:pPr>
        <w:ind w:left="5680" w:hanging="360"/>
      </w:pPr>
    </w:lvl>
    <w:lvl w:ilvl="8" w:tplc="0C09001B" w:tentative="1">
      <w:start w:val="1"/>
      <w:numFmt w:val="lowerRoman"/>
      <w:lvlText w:val="%9."/>
      <w:lvlJc w:val="right"/>
      <w:pPr>
        <w:ind w:left="6400" w:hanging="180"/>
      </w:pPr>
    </w:lvl>
  </w:abstractNum>
  <w:abstractNum w:abstractNumId="55" w15:restartNumberingAfterBreak="0">
    <w:nsid w:val="7453664D"/>
    <w:multiLevelType w:val="multilevel"/>
    <w:tmpl w:val="0C78A7AC"/>
    <w:name w:val="NTG Table Bullet List3322222222222222222"/>
    <w:numStyleLink w:val="Tablebulletlist"/>
  </w:abstractNum>
  <w:abstractNum w:abstractNumId="56" w15:restartNumberingAfterBreak="0">
    <w:nsid w:val="74A35BE2"/>
    <w:multiLevelType w:val="hybridMultilevel"/>
    <w:tmpl w:val="B6FC65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76141D1E"/>
    <w:multiLevelType w:val="multilevel"/>
    <w:tmpl w:val="0C78A7AC"/>
    <w:name w:val="NTG Table Bullet List332222222222"/>
    <w:numStyleLink w:val="Tablebulletlist"/>
  </w:abstractNum>
  <w:abstractNum w:abstractNumId="58" w15:restartNumberingAfterBreak="0">
    <w:nsid w:val="79381989"/>
    <w:multiLevelType w:val="hybridMultilevel"/>
    <w:tmpl w:val="915ABD2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0" w15:restartNumberingAfterBreak="0">
    <w:nsid w:val="7CAF19B3"/>
    <w:multiLevelType w:val="hybridMultilevel"/>
    <w:tmpl w:val="B6FEC572"/>
    <w:lvl w:ilvl="0" w:tplc="36248DF0">
      <w:start w:val="1"/>
      <w:numFmt w:val="lowerRoman"/>
      <w:pStyle w:val="DTFListNumber1-Roman"/>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2" w15:restartNumberingAfterBreak="0">
    <w:nsid w:val="7FBC1511"/>
    <w:multiLevelType w:val="multilevel"/>
    <w:tmpl w:val="F3EE93D8"/>
    <w:lvl w:ilvl="0">
      <w:start w:val="1"/>
      <w:numFmt w:val="decimal"/>
      <w:pStyle w:val="ListNumber"/>
      <w:lvlText w:val="%1."/>
      <w:lvlJc w:val="left"/>
      <w:pPr>
        <w:ind w:left="1164" w:hanging="454"/>
      </w:pPr>
      <w:rPr>
        <w:rFonts w:hint="default"/>
      </w:rPr>
    </w:lvl>
    <w:lvl w:ilvl="1">
      <w:start w:val="1"/>
      <w:numFmt w:val="lowerLetter"/>
      <w:lvlText w:val="%2."/>
      <w:lvlJc w:val="left"/>
      <w:pPr>
        <w:ind w:left="1305" w:hanging="454"/>
      </w:pPr>
      <w:rPr>
        <w:rFonts w:hint="default"/>
      </w:rPr>
    </w:lvl>
    <w:lvl w:ilvl="2">
      <w:start w:val="1"/>
      <w:numFmt w:val="lowerRoman"/>
      <w:lvlText w:val="%3."/>
      <w:lvlJc w:val="left"/>
      <w:pPr>
        <w:ind w:left="1759" w:hanging="454"/>
      </w:pPr>
      <w:rPr>
        <w:rFonts w:hint="default"/>
      </w:rPr>
    </w:lvl>
    <w:lvl w:ilvl="3">
      <w:start w:val="1"/>
      <w:numFmt w:val="decimal"/>
      <w:lvlText w:val="%4."/>
      <w:lvlJc w:val="left"/>
      <w:pPr>
        <w:ind w:left="2213" w:hanging="454"/>
      </w:pPr>
      <w:rPr>
        <w:rFonts w:hint="default"/>
      </w:rPr>
    </w:lvl>
    <w:lvl w:ilvl="4">
      <w:start w:val="1"/>
      <w:numFmt w:val="lowerLetter"/>
      <w:lvlText w:val="%5."/>
      <w:lvlJc w:val="left"/>
      <w:pPr>
        <w:ind w:left="2667" w:hanging="454"/>
      </w:pPr>
      <w:rPr>
        <w:rFonts w:hint="default"/>
      </w:rPr>
    </w:lvl>
    <w:lvl w:ilvl="5">
      <w:start w:val="1"/>
      <w:numFmt w:val="lowerRoman"/>
      <w:lvlText w:val="%6."/>
      <w:lvlJc w:val="right"/>
      <w:pPr>
        <w:ind w:left="3121" w:hanging="454"/>
      </w:pPr>
      <w:rPr>
        <w:rFonts w:hint="default"/>
      </w:rPr>
    </w:lvl>
    <w:lvl w:ilvl="6">
      <w:start w:val="1"/>
      <w:numFmt w:val="decimal"/>
      <w:lvlText w:val="%7."/>
      <w:lvlJc w:val="left"/>
      <w:pPr>
        <w:ind w:left="3575" w:hanging="454"/>
      </w:pPr>
      <w:rPr>
        <w:rFonts w:hint="default"/>
      </w:rPr>
    </w:lvl>
    <w:lvl w:ilvl="7">
      <w:start w:val="1"/>
      <w:numFmt w:val="lowerLetter"/>
      <w:lvlText w:val="%8."/>
      <w:lvlJc w:val="left"/>
      <w:pPr>
        <w:ind w:left="4029" w:hanging="454"/>
      </w:pPr>
      <w:rPr>
        <w:rFonts w:hint="default"/>
      </w:rPr>
    </w:lvl>
    <w:lvl w:ilvl="8">
      <w:start w:val="1"/>
      <w:numFmt w:val="lowerRoman"/>
      <w:lvlText w:val="%9."/>
      <w:lvlJc w:val="right"/>
      <w:pPr>
        <w:ind w:left="4483" w:hanging="454"/>
      </w:pPr>
      <w:rPr>
        <w:rFonts w:hint="default"/>
      </w:rPr>
    </w:lvl>
  </w:abstractNum>
  <w:num w:numId="1">
    <w:abstractNumId w:val="28"/>
  </w:num>
  <w:num w:numId="2">
    <w:abstractNumId w:val="15"/>
  </w:num>
  <w:num w:numId="3">
    <w:abstractNumId w:val="59"/>
  </w:num>
  <w:num w:numId="4">
    <w:abstractNumId w:val="34"/>
  </w:num>
  <w:num w:numId="5">
    <w:abstractNumId w:val="22"/>
  </w:num>
  <w:num w:numId="6">
    <w:abstractNumId w:val="11"/>
  </w:num>
  <w:num w:numId="7">
    <w:abstractNumId w:val="39"/>
  </w:num>
  <w:num w:numId="8">
    <w:abstractNumId w:val="21"/>
  </w:num>
  <w:num w:numId="9">
    <w:abstractNumId w:val="36"/>
  </w:num>
  <w:num w:numId="10">
    <w:abstractNumId w:val="1"/>
  </w:num>
  <w:num w:numId="11">
    <w:abstractNumId w:val="41"/>
  </w:num>
  <w:num w:numId="12">
    <w:abstractNumId w:val="62"/>
  </w:num>
  <w:num w:numId="13">
    <w:abstractNumId w:val="32"/>
  </w:num>
  <w:num w:numId="14">
    <w:abstractNumId w:val="17"/>
  </w:num>
  <w:num w:numId="15">
    <w:abstractNumId w:val="60"/>
  </w:num>
  <w:num w:numId="16">
    <w:abstractNumId w:val="53"/>
  </w:num>
  <w:num w:numId="17">
    <w:abstractNumId w:val="31"/>
  </w:num>
  <w:num w:numId="18">
    <w:abstractNumId w:val="58"/>
  </w:num>
  <w:num w:numId="19">
    <w:abstractNumId w:val="0"/>
  </w:num>
  <w:num w:numId="20">
    <w:abstractNumId w:val="16"/>
  </w:num>
  <w:num w:numId="21">
    <w:abstractNumId w:val="29"/>
  </w:num>
  <w:num w:numId="22">
    <w:abstractNumId w:val="62"/>
  </w:num>
  <w:num w:numId="23">
    <w:abstractNumId w:val="62"/>
  </w:num>
  <w:num w:numId="24">
    <w:abstractNumId w:val="50"/>
  </w:num>
  <w:num w:numId="25">
    <w:abstractNumId w:val="38"/>
  </w:num>
  <w:num w:numId="26">
    <w:abstractNumId w:val="8"/>
  </w:num>
  <w:num w:numId="27">
    <w:abstractNumId w:val="62"/>
  </w:num>
  <w:num w:numId="28">
    <w:abstractNumId w:val="62"/>
  </w:num>
  <w:num w:numId="29">
    <w:abstractNumId w:val="62"/>
  </w:num>
  <w:num w:numId="30">
    <w:abstractNumId w:val="62"/>
  </w:num>
  <w:num w:numId="31">
    <w:abstractNumId w:val="62"/>
  </w:num>
  <w:num w:numId="32">
    <w:abstractNumId w:val="62"/>
  </w:num>
  <w:num w:numId="33">
    <w:abstractNumId w:val="62"/>
  </w:num>
  <w:num w:numId="34">
    <w:abstractNumId w:val="54"/>
  </w:num>
  <w:num w:numId="35">
    <w:abstractNumId w:val="6"/>
  </w:num>
  <w:num w:numId="36">
    <w:abstractNumId w:val="62"/>
  </w:num>
  <w:num w:numId="37">
    <w:abstractNumId w:val="51"/>
  </w:num>
  <w:num w:numId="38">
    <w:abstractNumId w:val="26"/>
  </w:num>
  <w:num w:numId="39">
    <w:abstractNumId w:val="62"/>
  </w:num>
  <w:num w:numId="40">
    <w:abstractNumId w:val="62"/>
  </w:num>
  <w:num w:numId="41">
    <w:abstractNumId w:val="62"/>
  </w:num>
  <w:num w:numId="42">
    <w:abstractNumId w:val="62"/>
  </w:num>
  <w:num w:numId="43">
    <w:abstractNumId w:val="62"/>
  </w:num>
  <w:num w:numId="44">
    <w:abstractNumId w:val="62"/>
  </w:num>
  <w:num w:numId="45">
    <w:abstractNumId w:val="62"/>
  </w:num>
  <w:num w:numId="46">
    <w:abstractNumId w:val="62"/>
  </w:num>
  <w:num w:numId="47">
    <w:abstractNumId w:val="49"/>
  </w:num>
  <w:num w:numId="48">
    <w:abstractNumId w:val="37"/>
  </w:num>
  <w:num w:numId="49">
    <w:abstractNumId w:val="48"/>
  </w:num>
  <w:num w:numId="50">
    <w:abstractNumId w:val="62"/>
  </w:num>
  <w:num w:numId="51">
    <w:abstractNumId w:val="62"/>
  </w:num>
  <w:num w:numId="52">
    <w:abstractNumId w:val="62"/>
  </w:num>
  <w:num w:numId="53">
    <w:abstractNumId w:val="47"/>
  </w:num>
  <w:num w:numId="54">
    <w:abstractNumId w:val="62"/>
  </w:num>
  <w:num w:numId="55">
    <w:abstractNumId w:val="62"/>
  </w:num>
  <w:num w:numId="56">
    <w:abstractNumId w:val="45"/>
  </w:num>
  <w:num w:numId="57">
    <w:abstractNumId w:val="56"/>
  </w:num>
  <w:num w:numId="58">
    <w:abstractNumId w:val="25"/>
  </w:num>
  <w:num w:numId="59">
    <w:abstractNumId w:val="62"/>
  </w:num>
  <w:num w:numId="60">
    <w:abstractNumId w:val="62"/>
  </w:num>
  <w:num w:numId="61">
    <w:abstractNumId w:val="62"/>
  </w:num>
  <w:num w:numId="62">
    <w:abstractNumId w:val="6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6145"/>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29C"/>
    <w:rsid w:val="00001DDF"/>
    <w:rsid w:val="0000322D"/>
    <w:rsid w:val="00006263"/>
    <w:rsid w:val="00007670"/>
    <w:rsid w:val="00010665"/>
    <w:rsid w:val="000115C2"/>
    <w:rsid w:val="0001187A"/>
    <w:rsid w:val="00012BF2"/>
    <w:rsid w:val="00013879"/>
    <w:rsid w:val="000162C2"/>
    <w:rsid w:val="0002393A"/>
    <w:rsid w:val="00023B05"/>
    <w:rsid w:val="00027DB8"/>
    <w:rsid w:val="00031A96"/>
    <w:rsid w:val="000323D1"/>
    <w:rsid w:val="00033591"/>
    <w:rsid w:val="0003469D"/>
    <w:rsid w:val="00040BF3"/>
    <w:rsid w:val="0004211C"/>
    <w:rsid w:val="00043E10"/>
    <w:rsid w:val="000463C2"/>
    <w:rsid w:val="00046C59"/>
    <w:rsid w:val="00051362"/>
    <w:rsid w:val="00051F45"/>
    <w:rsid w:val="00052953"/>
    <w:rsid w:val="0005341A"/>
    <w:rsid w:val="00056DEF"/>
    <w:rsid w:val="00056EDC"/>
    <w:rsid w:val="00064F31"/>
    <w:rsid w:val="0006635A"/>
    <w:rsid w:val="00067CC9"/>
    <w:rsid w:val="00067FAC"/>
    <w:rsid w:val="00070CAD"/>
    <w:rsid w:val="000717C1"/>
    <w:rsid w:val="000720BE"/>
    <w:rsid w:val="0007259C"/>
    <w:rsid w:val="000801B3"/>
    <w:rsid w:val="00080202"/>
    <w:rsid w:val="00080DCD"/>
    <w:rsid w:val="00080E22"/>
    <w:rsid w:val="00082573"/>
    <w:rsid w:val="000840A3"/>
    <w:rsid w:val="00085062"/>
    <w:rsid w:val="00086A5F"/>
    <w:rsid w:val="0009005C"/>
    <w:rsid w:val="000911EF"/>
    <w:rsid w:val="000915CD"/>
    <w:rsid w:val="00093955"/>
    <w:rsid w:val="000962C5"/>
    <w:rsid w:val="0009630D"/>
    <w:rsid w:val="00097865"/>
    <w:rsid w:val="000A0ED1"/>
    <w:rsid w:val="000A4317"/>
    <w:rsid w:val="000A45A4"/>
    <w:rsid w:val="000A559C"/>
    <w:rsid w:val="000A55AD"/>
    <w:rsid w:val="000B0084"/>
    <w:rsid w:val="000B2A07"/>
    <w:rsid w:val="000B2CA1"/>
    <w:rsid w:val="000B65C9"/>
    <w:rsid w:val="000B7CA0"/>
    <w:rsid w:val="000C073D"/>
    <w:rsid w:val="000C1560"/>
    <w:rsid w:val="000C2E5A"/>
    <w:rsid w:val="000C50B6"/>
    <w:rsid w:val="000C51A8"/>
    <w:rsid w:val="000C5D62"/>
    <w:rsid w:val="000D1F29"/>
    <w:rsid w:val="000D23DF"/>
    <w:rsid w:val="000D633D"/>
    <w:rsid w:val="000D75A6"/>
    <w:rsid w:val="000E1D0E"/>
    <w:rsid w:val="000E2DE3"/>
    <w:rsid w:val="000E342B"/>
    <w:rsid w:val="000E3ED2"/>
    <w:rsid w:val="000E5CC2"/>
    <w:rsid w:val="000E5DD2"/>
    <w:rsid w:val="000F2958"/>
    <w:rsid w:val="000F35B6"/>
    <w:rsid w:val="000F3850"/>
    <w:rsid w:val="000F47B0"/>
    <w:rsid w:val="000F5D79"/>
    <w:rsid w:val="000F604F"/>
    <w:rsid w:val="00101691"/>
    <w:rsid w:val="00104480"/>
    <w:rsid w:val="00104C4C"/>
    <w:rsid w:val="00104E7F"/>
    <w:rsid w:val="0010693F"/>
    <w:rsid w:val="001137EC"/>
    <w:rsid w:val="00114325"/>
    <w:rsid w:val="001143D4"/>
    <w:rsid w:val="001152F5"/>
    <w:rsid w:val="00115852"/>
    <w:rsid w:val="00117743"/>
    <w:rsid w:val="00117F5B"/>
    <w:rsid w:val="001235B6"/>
    <w:rsid w:val="00124732"/>
    <w:rsid w:val="00127F66"/>
    <w:rsid w:val="00132658"/>
    <w:rsid w:val="00132A5D"/>
    <w:rsid w:val="00135644"/>
    <w:rsid w:val="00145878"/>
    <w:rsid w:val="00145C29"/>
    <w:rsid w:val="00146005"/>
    <w:rsid w:val="00150DC0"/>
    <w:rsid w:val="0015137A"/>
    <w:rsid w:val="0015394D"/>
    <w:rsid w:val="00156CD4"/>
    <w:rsid w:val="0016153B"/>
    <w:rsid w:val="00162207"/>
    <w:rsid w:val="00164A3E"/>
    <w:rsid w:val="0016638A"/>
    <w:rsid w:val="00166FF6"/>
    <w:rsid w:val="00170828"/>
    <w:rsid w:val="00174A3B"/>
    <w:rsid w:val="00176123"/>
    <w:rsid w:val="00181620"/>
    <w:rsid w:val="001851FA"/>
    <w:rsid w:val="00187130"/>
    <w:rsid w:val="001925AA"/>
    <w:rsid w:val="001957AD"/>
    <w:rsid w:val="00196F8E"/>
    <w:rsid w:val="001A2B7F"/>
    <w:rsid w:val="001A39E8"/>
    <w:rsid w:val="001A3AFD"/>
    <w:rsid w:val="001A496C"/>
    <w:rsid w:val="001A4B96"/>
    <w:rsid w:val="001A576A"/>
    <w:rsid w:val="001A672B"/>
    <w:rsid w:val="001A72DF"/>
    <w:rsid w:val="001B28DA"/>
    <w:rsid w:val="001B2B6C"/>
    <w:rsid w:val="001B5423"/>
    <w:rsid w:val="001B73F3"/>
    <w:rsid w:val="001C4B99"/>
    <w:rsid w:val="001D01C4"/>
    <w:rsid w:val="001D1505"/>
    <w:rsid w:val="001D2546"/>
    <w:rsid w:val="001D4B86"/>
    <w:rsid w:val="001D4F99"/>
    <w:rsid w:val="001D52B0"/>
    <w:rsid w:val="001D5A18"/>
    <w:rsid w:val="001D7CA4"/>
    <w:rsid w:val="001E057F"/>
    <w:rsid w:val="001E11AA"/>
    <w:rsid w:val="001E11DB"/>
    <w:rsid w:val="001E14EB"/>
    <w:rsid w:val="001E1829"/>
    <w:rsid w:val="001F0D80"/>
    <w:rsid w:val="001F53EB"/>
    <w:rsid w:val="001F59E6"/>
    <w:rsid w:val="00203F1C"/>
    <w:rsid w:val="00205606"/>
    <w:rsid w:val="00206936"/>
    <w:rsid w:val="00206C6F"/>
    <w:rsid w:val="00206FBD"/>
    <w:rsid w:val="00207746"/>
    <w:rsid w:val="00210B47"/>
    <w:rsid w:val="0021159B"/>
    <w:rsid w:val="0021166D"/>
    <w:rsid w:val="002250BA"/>
    <w:rsid w:val="00230031"/>
    <w:rsid w:val="00231E84"/>
    <w:rsid w:val="00235C01"/>
    <w:rsid w:val="0024160A"/>
    <w:rsid w:val="00247343"/>
    <w:rsid w:val="00265C56"/>
    <w:rsid w:val="00266B37"/>
    <w:rsid w:val="002716CD"/>
    <w:rsid w:val="00274D4B"/>
    <w:rsid w:val="00277510"/>
    <w:rsid w:val="002806F5"/>
    <w:rsid w:val="00281577"/>
    <w:rsid w:val="002822E2"/>
    <w:rsid w:val="002874D0"/>
    <w:rsid w:val="00287D73"/>
    <w:rsid w:val="002926BC"/>
    <w:rsid w:val="00293A72"/>
    <w:rsid w:val="00294D13"/>
    <w:rsid w:val="00297604"/>
    <w:rsid w:val="002A0160"/>
    <w:rsid w:val="002A26BD"/>
    <w:rsid w:val="002A30C3"/>
    <w:rsid w:val="002A31D5"/>
    <w:rsid w:val="002A3536"/>
    <w:rsid w:val="002A6F6A"/>
    <w:rsid w:val="002A7712"/>
    <w:rsid w:val="002B14A6"/>
    <w:rsid w:val="002B206B"/>
    <w:rsid w:val="002B2A61"/>
    <w:rsid w:val="002B38F7"/>
    <w:rsid w:val="002B485A"/>
    <w:rsid w:val="002B4F50"/>
    <w:rsid w:val="002B5591"/>
    <w:rsid w:val="002B6AA4"/>
    <w:rsid w:val="002C1FE9"/>
    <w:rsid w:val="002C212C"/>
    <w:rsid w:val="002C3640"/>
    <w:rsid w:val="002C39B4"/>
    <w:rsid w:val="002C4FE5"/>
    <w:rsid w:val="002C7AFC"/>
    <w:rsid w:val="002D3A57"/>
    <w:rsid w:val="002D4BD1"/>
    <w:rsid w:val="002D6524"/>
    <w:rsid w:val="002D7D05"/>
    <w:rsid w:val="002E20C8"/>
    <w:rsid w:val="002E4290"/>
    <w:rsid w:val="002E66A6"/>
    <w:rsid w:val="002E68F6"/>
    <w:rsid w:val="002F0DB1"/>
    <w:rsid w:val="002F18FC"/>
    <w:rsid w:val="002F2885"/>
    <w:rsid w:val="002F3485"/>
    <w:rsid w:val="002F45A1"/>
    <w:rsid w:val="0030203D"/>
    <w:rsid w:val="003037F9"/>
    <w:rsid w:val="0030583E"/>
    <w:rsid w:val="003079BD"/>
    <w:rsid w:val="00307F56"/>
    <w:rsid w:val="00307FE1"/>
    <w:rsid w:val="0031251D"/>
    <w:rsid w:val="003164BA"/>
    <w:rsid w:val="00316C4E"/>
    <w:rsid w:val="003258E6"/>
    <w:rsid w:val="00326833"/>
    <w:rsid w:val="00327783"/>
    <w:rsid w:val="00331403"/>
    <w:rsid w:val="00331E68"/>
    <w:rsid w:val="003358FB"/>
    <w:rsid w:val="00336C21"/>
    <w:rsid w:val="00342283"/>
    <w:rsid w:val="0034346B"/>
    <w:rsid w:val="00343A87"/>
    <w:rsid w:val="00343C61"/>
    <w:rsid w:val="00344A36"/>
    <w:rsid w:val="003456F4"/>
    <w:rsid w:val="0034756F"/>
    <w:rsid w:val="00347FB6"/>
    <w:rsid w:val="003504FD"/>
    <w:rsid w:val="00350881"/>
    <w:rsid w:val="00353299"/>
    <w:rsid w:val="00354A92"/>
    <w:rsid w:val="00357028"/>
    <w:rsid w:val="00357D55"/>
    <w:rsid w:val="00363513"/>
    <w:rsid w:val="003657E5"/>
    <w:rsid w:val="0036589C"/>
    <w:rsid w:val="00371312"/>
    <w:rsid w:val="00371DC7"/>
    <w:rsid w:val="00377B21"/>
    <w:rsid w:val="00381251"/>
    <w:rsid w:val="00381B0D"/>
    <w:rsid w:val="00382A7F"/>
    <w:rsid w:val="00390862"/>
    <w:rsid w:val="00390CE3"/>
    <w:rsid w:val="00391AF8"/>
    <w:rsid w:val="003943E0"/>
    <w:rsid w:val="00394876"/>
    <w:rsid w:val="00394AAF"/>
    <w:rsid w:val="00394CE5"/>
    <w:rsid w:val="003A093E"/>
    <w:rsid w:val="003A2901"/>
    <w:rsid w:val="003A6341"/>
    <w:rsid w:val="003A7FB6"/>
    <w:rsid w:val="003B3178"/>
    <w:rsid w:val="003B3E8D"/>
    <w:rsid w:val="003B4504"/>
    <w:rsid w:val="003B67FD"/>
    <w:rsid w:val="003B6A61"/>
    <w:rsid w:val="003C1FB9"/>
    <w:rsid w:val="003C2198"/>
    <w:rsid w:val="003C4941"/>
    <w:rsid w:val="003D0F63"/>
    <w:rsid w:val="003D3F6B"/>
    <w:rsid w:val="003D42C0"/>
    <w:rsid w:val="003D46C3"/>
    <w:rsid w:val="003D4A8F"/>
    <w:rsid w:val="003D4D9B"/>
    <w:rsid w:val="003D5930"/>
    <w:rsid w:val="003D5B29"/>
    <w:rsid w:val="003D7818"/>
    <w:rsid w:val="003E2445"/>
    <w:rsid w:val="003E3BB2"/>
    <w:rsid w:val="003F5B58"/>
    <w:rsid w:val="003F737A"/>
    <w:rsid w:val="003F75AD"/>
    <w:rsid w:val="00401BA8"/>
    <w:rsid w:val="0040222A"/>
    <w:rsid w:val="004047BC"/>
    <w:rsid w:val="00405635"/>
    <w:rsid w:val="004063FF"/>
    <w:rsid w:val="004077ED"/>
    <w:rsid w:val="004100F7"/>
    <w:rsid w:val="00412460"/>
    <w:rsid w:val="004148E6"/>
    <w:rsid w:val="004148FF"/>
    <w:rsid w:val="0041491E"/>
    <w:rsid w:val="00414CB3"/>
    <w:rsid w:val="0041559F"/>
    <w:rsid w:val="0041563D"/>
    <w:rsid w:val="0041647A"/>
    <w:rsid w:val="00417D4C"/>
    <w:rsid w:val="00421EC1"/>
    <w:rsid w:val="004226D8"/>
    <w:rsid w:val="00426E25"/>
    <w:rsid w:val="00427D9C"/>
    <w:rsid w:val="00427E7E"/>
    <w:rsid w:val="00430A1B"/>
    <w:rsid w:val="0043465D"/>
    <w:rsid w:val="00435082"/>
    <w:rsid w:val="00435655"/>
    <w:rsid w:val="00435891"/>
    <w:rsid w:val="00443B6E"/>
    <w:rsid w:val="00450636"/>
    <w:rsid w:val="004510D0"/>
    <w:rsid w:val="004524FA"/>
    <w:rsid w:val="0045420A"/>
    <w:rsid w:val="00455373"/>
    <w:rsid w:val="004554D4"/>
    <w:rsid w:val="00455F51"/>
    <w:rsid w:val="00460F24"/>
    <w:rsid w:val="00461744"/>
    <w:rsid w:val="004623AD"/>
    <w:rsid w:val="00466185"/>
    <w:rsid w:val="00466303"/>
    <w:rsid w:val="004668A7"/>
    <w:rsid w:val="00466D96"/>
    <w:rsid w:val="00467747"/>
    <w:rsid w:val="00467B18"/>
    <w:rsid w:val="00470017"/>
    <w:rsid w:val="0047105A"/>
    <w:rsid w:val="00473C98"/>
    <w:rsid w:val="00474965"/>
    <w:rsid w:val="00476A1B"/>
    <w:rsid w:val="00481792"/>
    <w:rsid w:val="00481A40"/>
    <w:rsid w:val="004824EF"/>
    <w:rsid w:val="00482DF8"/>
    <w:rsid w:val="004864DE"/>
    <w:rsid w:val="0048781D"/>
    <w:rsid w:val="00494BE5"/>
    <w:rsid w:val="00494F8E"/>
    <w:rsid w:val="004A0EBA"/>
    <w:rsid w:val="004A1ECC"/>
    <w:rsid w:val="004A2538"/>
    <w:rsid w:val="004A331E"/>
    <w:rsid w:val="004A662B"/>
    <w:rsid w:val="004B0C15"/>
    <w:rsid w:val="004B0E92"/>
    <w:rsid w:val="004B1BD6"/>
    <w:rsid w:val="004B35EA"/>
    <w:rsid w:val="004B36AE"/>
    <w:rsid w:val="004B6500"/>
    <w:rsid w:val="004B69E4"/>
    <w:rsid w:val="004B6B52"/>
    <w:rsid w:val="004C4B1C"/>
    <w:rsid w:val="004C5278"/>
    <w:rsid w:val="004C6C39"/>
    <w:rsid w:val="004D075F"/>
    <w:rsid w:val="004D15B7"/>
    <w:rsid w:val="004D17B3"/>
    <w:rsid w:val="004D1B76"/>
    <w:rsid w:val="004D344E"/>
    <w:rsid w:val="004D4067"/>
    <w:rsid w:val="004D4316"/>
    <w:rsid w:val="004D464A"/>
    <w:rsid w:val="004D5368"/>
    <w:rsid w:val="004E019E"/>
    <w:rsid w:val="004E03BA"/>
    <w:rsid w:val="004E06EC"/>
    <w:rsid w:val="004E0A3F"/>
    <w:rsid w:val="004E2CB7"/>
    <w:rsid w:val="004F016A"/>
    <w:rsid w:val="004F3C65"/>
    <w:rsid w:val="004F4451"/>
    <w:rsid w:val="004F4B41"/>
    <w:rsid w:val="00500F94"/>
    <w:rsid w:val="0050167B"/>
    <w:rsid w:val="00502FB3"/>
    <w:rsid w:val="00503DE9"/>
    <w:rsid w:val="0050530C"/>
    <w:rsid w:val="00505DEA"/>
    <w:rsid w:val="00507782"/>
    <w:rsid w:val="00512A04"/>
    <w:rsid w:val="00513A9E"/>
    <w:rsid w:val="00520499"/>
    <w:rsid w:val="0052051A"/>
    <w:rsid w:val="005249F5"/>
    <w:rsid w:val="005260F7"/>
    <w:rsid w:val="00526C57"/>
    <w:rsid w:val="005273A1"/>
    <w:rsid w:val="005320E6"/>
    <w:rsid w:val="00534328"/>
    <w:rsid w:val="005378A7"/>
    <w:rsid w:val="005402EA"/>
    <w:rsid w:val="00543BD1"/>
    <w:rsid w:val="00543EE4"/>
    <w:rsid w:val="00546C22"/>
    <w:rsid w:val="00550639"/>
    <w:rsid w:val="005534E3"/>
    <w:rsid w:val="005550CD"/>
    <w:rsid w:val="00556113"/>
    <w:rsid w:val="00564C12"/>
    <w:rsid w:val="005652D3"/>
    <w:rsid w:val="005654B8"/>
    <w:rsid w:val="00570D94"/>
    <w:rsid w:val="005724E4"/>
    <w:rsid w:val="005747C9"/>
    <w:rsid w:val="005762CC"/>
    <w:rsid w:val="00582D3D"/>
    <w:rsid w:val="00584E46"/>
    <w:rsid w:val="00590040"/>
    <w:rsid w:val="005900F2"/>
    <w:rsid w:val="005904B7"/>
    <w:rsid w:val="00590A1B"/>
    <w:rsid w:val="005948A7"/>
    <w:rsid w:val="00595386"/>
    <w:rsid w:val="00597234"/>
    <w:rsid w:val="00597895"/>
    <w:rsid w:val="005A302A"/>
    <w:rsid w:val="005A4AC0"/>
    <w:rsid w:val="005A539B"/>
    <w:rsid w:val="005A5FDF"/>
    <w:rsid w:val="005B0FB7"/>
    <w:rsid w:val="005B122A"/>
    <w:rsid w:val="005B1FCB"/>
    <w:rsid w:val="005B3157"/>
    <w:rsid w:val="005B32E9"/>
    <w:rsid w:val="005B5AC2"/>
    <w:rsid w:val="005B60D7"/>
    <w:rsid w:val="005B763F"/>
    <w:rsid w:val="005C2833"/>
    <w:rsid w:val="005C5DAF"/>
    <w:rsid w:val="005C65FA"/>
    <w:rsid w:val="005C6C65"/>
    <w:rsid w:val="005C76EE"/>
    <w:rsid w:val="005D6224"/>
    <w:rsid w:val="005E144D"/>
    <w:rsid w:val="005E1500"/>
    <w:rsid w:val="005E3404"/>
    <w:rsid w:val="005E3A43"/>
    <w:rsid w:val="005E4B4E"/>
    <w:rsid w:val="005E739E"/>
    <w:rsid w:val="005E76B9"/>
    <w:rsid w:val="005F0B17"/>
    <w:rsid w:val="005F2B9B"/>
    <w:rsid w:val="005F4309"/>
    <w:rsid w:val="005F6602"/>
    <w:rsid w:val="005F77C7"/>
    <w:rsid w:val="00603257"/>
    <w:rsid w:val="00606060"/>
    <w:rsid w:val="0060635C"/>
    <w:rsid w:val="00611892"/>
    <w:rsid w:val="006151EE"/>
    <w:rsid w:val="006179E4"/>
    <w:rsid w:val="00617D79"/>
    <w:rsid w:val="00620675"/>
    <w:rsid w:val="00622910"/>
    <w:rsid w:val="006233D9"/>
    <w:rsid w:val="006254B6"/>
    <w:rsid w:val="00625EE4"/>
    <w:rsid w:val="00627FC8"/>
    <w:rsid w:val="0063571D"/>
    <w:rsid w:val="00642562"/>
    <w:rsid w:val="006433C3"/>
    <w:rsid w:val="00650F5B"/>
    <w:rsid w:val="006522D0"/>
    <w:rsid w:val="00652DE8"/>
    <w:rsid w:val="006541A1"/>
    <w:rsid w:val="00654979"/>
    <w:rsid w:val="006568DE"/>
    <w:rsid w:val="00663296"/>
    <w:rsid w:val="006670D7"/>
    <w:rsid w:val="00667C4A"/>
    <w:rsid w:val="006719EA"/>
    <w:rsid w:val="00671F13"/>
    <w:rsid w:val="006721E4"/>
    <w:rsid w:val="00672EC8"/>
    <w:rsid w:val="0067400A"/>
    <w:rsid w:val="006840BE"/>
    <w:rsid w:val="006847AD"/>
    <w:rsid w:val="006872A3"/>
    <w:rsid w:val="0069114B"/>
    <w:rsid w:val="00693B19"/>
    <w:rsid w:val="006944C1"/>
    <w:rsid w:val="006A4DE9"/>
    <w:rsid w:val="006A659A"/>
    <w:rsid w:val="006A756A"/>
    <w:rsid w:val="006B3095"/>
    <w:rsid w:val="006B6F2B"/>
    <w:rsid w:val="006C0EC2"/>
    <w:rsid w:val="006C2182"/>
    <w:rsid w:val="006C2D60"/>
    <w:rsid w:val="006C380A"/>
    <w:rsid w:val="006D328F"/>
    <w:rsid w:val="006D4DFC"/>
    <w:rsid w:val="006D66F7"/>
    <w:rsid w:val="006E704A"/>
    <w:rsid w:val="006F6980"/>
    <w:rsid w:val="00701F34"/>
    <w:rsid w:val="00702974"/>
    <w:rsid w:val="007038DB"/>
    <w:rsid w:val="00705C9D"/>
    <w:rsid w:val="00705F13"/>
    <w:rsid w:val="0070624C"/>
    <w:rsid w:val="007071CA"/>
    <w:rsid w:val="007100E7"/>
    <w:rsid w:val="00714BB2"/>
    <w:rsid w:val="00714F1D"/>
    <w:rsid w:val="00715225"/>
    <w:rsid w:val="0071700C"/>
    <w:rsid w:val="00720662"/>
    <w:rsid w:val="00720CC6"/>
    <w:rsid w:val="00722DDB"/>
    <w:rsid w:val="00724728"/>
    <w:rsid w:val="00724F98"/>
    <w:rsid w:val="00730B9B"/>
    <w:rsid w:val="00730D2E"/>
    <w:rsid w:val="007311AC"/>
    <w:rsid w:val="0073182E"/>
    <w:rsid w:val="007332FF"/>
    <w:rsid w:val="00735EE7"/>
    <w:rsid w:val="007408F5"/>
    <w:rsid w:val="00741EAE"/>
    <w:rsid w:val="00741FBE"/>
    <w:rsid w:val="007479D8"/>
    <w:rsid w:val="00755248"/>
    <w:rsid w:val="0076190B"/>
    <w:rsid w:val="0076355D"/>
    <w:rsid w:val="00763914"/>
    <w:rsid w:val="00763A2D"/>
    <w:rsid w:val="0076603E"/>
    <w:rsid w:val="00766229"/>
    <w:rsid w:val="007676A4"/>
    <w:rsid w:val="00770EFA"/>
    <w:rsid w:val="00777795"/>
    <w:rsid w:val="007807E5"/>
    <w:rsid w:val="007826E7"/>
    <w:rsid w:val="00783A57"/>
    <w:rsid w:val="00784C92"/>
    <w:rsid w:val="007859CD"/>
    <w:rsid w:val="00785C24"/>
    <w:rsid w:val="00786383"/>
    <w:rsid w:val="007907E4"/>
    <w:rsid w:val="007949F8"/>
    <w:rsid w:val="00796461"/>
    <w:rsid w:val="007A2FD1"/>
    <w:rsid w:val="007A45D5"/>
    <w:rsid w:val="007A4BA6"/>
    <w:rsid w:val="007A6A4F"/>
    <w:rsid w:val="007A7DA6"/>
    <w:rsid w:val="007B03F5"/>
    <w:rsid w:val="007B338A"/>
    <w:rsid w:val="007B44BE"/>
    <w:rsid w:val="007B5C09"/>
    <w:rsid w:val="007B5DA2"/>
    <w:rsid w:val="007B5DB8"/>
    <w:rsid w:val="007B7573"/>
    <w:rsid w:val="007C0966"/>
    <w:rsid w:val="007C19E7"/>
    <w:rsid w:val="007C5CFD"/>
    <w:rsid w:val="007C6D9F"/>
    <w:rsid w:val="007C7631"/>
    <w:rsid w:val="007D2EC5"/>
    <w:rsid w:val="007D44A7"/>
    <w:rsid w:val="007D4893"/>
    <w:rsid w:val="007E70CF"/>
    <w:rsid w:val="007E74A4"/>
    <w:rsid w:val="007F1B6F"/>
    <w:rsid w:val="007F263F"/>
    <w:rsid w:val="007F7756"/>
    <w:rsid w:val="007F7A15"/>
    <w:rsid w:val="008015A8"/>
    <w:rsid w:val="00804FD0"/>
    <w:rsid w:val="0080766E"/>
    <w:rsid w:val="00811169"/>
    <w:rsid w:val="00812EEC"/>
    <w:rsid w:val="008134CD"/>
    <w:rsid w:val="00815297"/>
    <w:rsid w:val="008170DB"/>
    <w:rsid w:val="00817BA1"/>
    <w:rsid w:val="00820DEB"/>
    <w:rsid w:val="00823022"/>
    <w:rsid w:val="0082634E"/>
    <w:rsid w:val="008271C4"/>
    <w:rsid w:val="008313C4"/>
    <w:rsid w:val="00835434"/>
    <w:rsid w:val="008358C0"/>
    <w:rsid w:val="00835FEE"/>
    <w:rsid w:val="00837BC7"/>
    <w:rsid w:val="00840448"/>
    <w:rsid w:val="00842838"/>
    <w:rsid w:val="0084718F"/>
    <w:rsid w:val="00847268"/>
    <w:rsid w:val="00854EC1"/>
    <w:rsid w:val="0085797F"/>
    <w:rsid w:val="00860FDA"/>
    <w:rsid w:val="00861DC3"/>
    <w:rsid w:val="008636A7"/>
    <w:rsid w:val="00867019"/>
    <w:rsid w:val="00872EF1"/>
    <w:rsid w:val="008735A9"/>
    <w:rsid w:val="008765D1"/>
    <w:rsid w:val="00877BC5"/>
    <w:rsid w:val="00877D20"/>
    <w:rsid w:val="00881C48"/>
    <w:rsid w:val="00882E34"/>
    <w:rsid w:val="00885512"/>
    <w:rsid w:val="00885B80"/>
    <w:rsid w:val="00885C30"/>
    <w:rsid w:val="00885E9B"/>
    <w:rsid w:val="0089368E"/>
    <w:rsid w:val="00893C96"/>
    <w:rsid w:val="00894D3A"/>
    <w:rsid w:val="0089500A"/>
    <w:rsid w:val="00897C94"/>
    <w:rsid w:val="008A4B30"/>
    <w:rsid w:val="008A4B69"/>
    <w:rsid w:val="008A52C1"/>
    <w:rsid w:val="008A7C12"/>
    <w:rsid w:val="008B03CE"/>
    <w:rsid w:val="008B529E"/>
    <w:rsid w:val="008B5485"/>
    <w:rsid w:val="008B58D2"/>
    <w:rsid w:val="008B5C4F"/>
    <w:rsid w:val="008C1708"/>
    <w:rsid w:val="008C17FB"/>
    <w:rsid w:val="008C70BB"/>
    <w:rsid w:val="008C7F4D"/>
    <w:rsid w:val="008D0862"/>
    <w:rsid w:val="008D1B00"/>
    <w:rsid w:val="008D549A"/>
    <w:rsid w:val="008D57B8"/>
    <w:rsid w:val="008D7169"/>
    <w:rsid w:val="008E03FC"/>
    <w:rsid w:val="008E1232"/>
    <w:rsid w:val="008E378B"/>
    <w:rsid w:val="008E510B"/>
    <w:rsid w:val="008E77A0"/>
    <w:rsid w:val="008F2705"/>
    <w:rsid w:val="008F2C7B"/>
    <w:rsid w:val="008F3A2A"/>
    <w:rsid w:val="008F3A45"/>
    <w:rsid w:val="008F663F"/>
    <w:rsid w:val="008F723F"/>
    <w:rsid w:val="008F72A4"/>
    <w:rsid w:val="00902A58"/>
    <w:rsid w:val="00902B13"/>
    <w:rsid w:val="00902F24"/>
    <w:rsid w:val="009078DC"/>
    <w:rsid w:val="00911941"/>
    <w:rsid w:val="0091715A"/>
    <w:rsid w:val="0092024D"/>
    <w:rsid w:val="00922481"/>
    <w:rsid w:val="009239C9"/>
    <w:rsid w:val="00924740"/>
    <w:rsid w:val="00925146"/>
    <w:rsid w:val="00925F0F"/>
    <w:rsid w:val="009267CB"/>
    <w:rsid w:val="00932F6B"/>
    <w:rsid w:val="0093479E"/>
    <w:rsid w:val="00936158"/>
    <w:rsid w:val="00936897"/>
    <w:rsid w:val="0093773D"/>
    <w:rsid w:val="00941315"/>
    <w:rsid w:val="009444F0"/>
    <w:rsid w:val="009468BC"/>
    <w:rsid w:val="009475D3"/>
    <w:rsid w:val="00947FAE"/>
    <w:rsid w:val="009511FA"/>
    <w:rsid w:val="009513A3"/>
    <w:rsid w:val="00960CE4"/>
    <w:rsid w:val="009616DF"/>
    <w:rsid w:val="00964A51"/>
    <w:rsid w:val="0096542F"/>
    <w:rsid w:val="00965F6A"/>
    <w:rsid w:val="00967943"/>
    <w:rsid w:val="00967FA7"/>
    <w:rsid w:val="00971645"/>
    <w:rsid w:val="009720E7"/>
    <w:rsid w:val="0097357A"/>
    <w:rsid w:val="00977919"/>
    <w:rsid w:val="00980807"/>
    <w:rsid w:val="00982876"/>
    <w:rsid w:val="00983000"/>
    <w:rsid w:val="00986C6D"/>
    <w:rsid w:val="009870FA"/>
    <w:rsid w:val="00990BF7"/>
    <w:rsid w:val="00991953"/>
    <w:rsid w:val="009921C3"/>
    <w:rsid w:val="00992CBB"/>
    <w:rsid w:val="009939F9"/>
    <w:rsid w:val="00994B76"/>
    <w:rsid w:val="0099551D"/>
    <w:rsid w:val="009971A4"/>
    <w:rsid w:val="009A0593"/>
    <w:rsid w:val="009A4A5B"/>
    <w:rsid w:val="009A5897"/>
    <w:rsid w:val="009A5F24"/>
    <w:rsid w:val="009B0B3E"/>
    <w:rsid w:val="009B1913"/>
    <w:rsid w:val="009B6657"/>
    <w:rsid w:val="009B6966"/>
    <w:rsid w:val="009B7839"/>
    <w:rsid w:val="009C2BF3"/>
    <w:rsid w:val="009C5268"/>
    <w:rsid w:val="009D0EB5"/>
    <w:rsid w:val="009D14F9"/>
    <w:rsid w:val="009D2B74"/>
    <w:rsid w:val="009D63FF"/>
    <w:rsid w:val="009E175D"/>
    <w:rsid w:val="009E2B38"/>
    <w:rsid w:val="009E3CC2"/>
    <w:rsid w:val="009F06BD"/>
    <w:rsid w:val="009F2A4D"/>
    <w:rsid w:val="009F3941"/>
    <w:rsid w:val="009F78FD"/>
    <w:rsid w:val="009F7D38"/>
    <w:rsid w:val="00A00828"/>
    <w:rsid w:val="00A03290"/>
    <w:rsid w:val="00A0387E"/>
    <w:rsid w:val="00A04C21"/>
    <w:rsid w:val="00A05BFD"/>
    <w:rsid w:val="00A0725C"/>
    <w:rsid w:val="00A07490"/>
    <w:rsid w:val="00A10655"/>
    <w:rsid w:val="00A10DEF"/>
    <w:rsid w:val="00A11A52"/>
    <w:rsid w:val="00A12B64"/>
    <w:rsid w:val="00A15E23"/>
    <w:rsid w:val="00A22C38"/>
    <w:rsid w:val="00A25193"/>
    <w:rsid w:val="00A26E80"/>
    <w:rsid w:val="00A31AE8"/>
    <w:rsid w:val="00A3739D"/>
    <w:rsid w:val="00A37DDA"/>
    <w:rsid w:val="00A45005"/>
    <w:rsid w:val="00A46A46"/>
    <w:rsid w:val="00A53176"/>
    <w:rsid w:val="00A54E86"/>
    <w:rsid w:val="00A567EE"/>
    <w:rsid w:val="00A57849"/>
    <w:rsid w:val="00A633DF"/>
    <w:rsid w:val="00A673C6"/>
    <w:rsid w:val="00A70DD8"/>
    <w:rsid w:val="00A748B7"/>
    <w:rsid w:val="00A76790"/>
    <w:rsid w:val="00A76A77"/>
    <w:rsid w:val="00A828F9"/>
    <w:rsid w:val="00A82EFF"/>
    <w:rsid w:val="00A849CF"/>
    <w:rsid w:val="00A85D0C"/>
    <w:rsid w:val="00A85D5C"/>
    <w:rsid w:val="00A87A9F"/>
    <w:rsid w:val="00A90B9C"/>
    <w:rsid w:val="00A925EC"/>
    <w:rsid w:val="00A929AA"/>
    <w:rsid w:val="00A92B6B"/>
    <w:rsid w:val="00A97E78"/>
    <w:rsid w:val="00AA2F74"/>
    <w:rsid w:val="00AA4ECA"/>
    <w:rsid w:val="00AA541E"/>
    <w:rsid w:val="00AA57F5"/>
    <w:rsid w:val="00AC0017"/>
    <w:rsid w:val="00AC0F46"/>
    <w:rsid w:val="00AC5712"/>
    <w:rsid w:val="00AD0DA4"/>
    <w:rsid w:val="00AD4169"/>
    <w:rsid w:val="00AD6D3A"/>
    <w:rsid w:val="00AE0694"/>
    <w:rsid w:val="00AE0859"/>
    <w:rsid w:val="00AE1DE1"/>
    <w:rsid w:val="00AE25C6"/>
    <w:rsid w:val="00AE2C74"/>
    <w:rsid w:val="00AE306C"/>
    <w:rsid w:val="00AF0D43"/>
    <w:rsid w:val="00AF28C1"/>
    <w:rsid w:val="00B00EC1"/>
    <w:rsid w:val="00B02023"/>
    <w:rsid w:val="00B02034"/>
    <w:rsid w:val="00B02EF1"/>
    <w:rsid w:val="00B05BFA"/>
    <w:rsid w:val="00B06C46"/>
    <w:rsid w:val="00B07C97"/>
    <w:rsid w:val="00B11C67"/>
    <w:rsid w:val="00B14257"/>
    <w:rsid w:val="00B15754"/>
    <w:rsid w:val="00B15AEC"/>
    <w:rsid w:val="00B16002"/>
    <w:rsid w:val="00B2046E"/>
    <w:rsid w:val="00B20E8B"/>
    <w:rsid w:val="00B21518"/>
    <w:rsid w:val="00B2229C"/>
    <w:rsid w:val="00B23774"/>
    <w:rsid w:val="00B257E1"/>
    <w:rsid w:val="00B2599A"/>
    <w:rsid w:val="00B27856"/>
    <w:rsid w:val="00B27AC4"/>
    <w:rsid w:val="00B304A8"/>
    <w:rsid w:val="00B343CC"/>
    <w:rsid w:val="00B35272"/>
    <w:rsid w:val="00B36D8A"/>
    <w:rsid w:val="00B41363"/>
    <w:rsid w:val="00B47B42"/>
    <w:rsid w:val="00B5084A"/>
    <w:rsid w:val="00B606A1"/>
    <w:rsid w:val="00B606EB"/>
    <w:rsid w:val="00B60750"/>
    <w:rsid w:val="00B614F7"/>
    <w:rsid w:val="00B61B26"/>
    <w:rsid w:val="00B63121"/>
    <w:rsid w:val="00B63786"/>
    <w:rsid w:val="00B65E6B"/>
    <w:rsid w:val="00B675B2"/>
    <w:rsid w:val="00B71BE7"/>
    <w:rsid w:val="00B7212A"/>
    <w:rsid w:val="00B7730C"/>
    <w:rsid w:val="00B81261"/>
    <w:rsid w:val="00B81862"/>
    <w:rsid w:val="00B8223E"/>
    <w:rsid w:val="00B832AE"/>
    <w:rsid w:val="00B86678"/>
    <w:rsid w:val="00B92F9B"/>
    <w:rsid w:val="00B941B3"/>
    <w:rsid w:val="00B96513"/>
    <w:rsid w:val="00BA1359"/>
    <w:rsid w:val="00BA1D47"/>
    <w:rsid w:val="00BA23B2"/>
    <w:rsid w:val="00BA3A05"/>
    <w:rsid w:val="00BA66F0"/>
    <w:rsid w:val="00BA739A"/>
    <w:rsid w:val="00BB2239"/>
    <w:rsid w:val="00BB2AE7"/>
    <w:rsid w:val="00BB6464"/>
    <w:rsid w:val="00BC1BB8"/>
    <w:rsid w:val="00BD7FE1"/>
    <w:rsid w:val="00BE1B87"/>
    <w:rsid w:val="00BE37CA"/>
    <w:rsid w:val="00BE4416"/>
    <w:rsid w:val="00BE6144"/>
    <w:rsid w:val="00BE635A"/>
    <w:rsid w:val="00BE64ED"/>
    <w:rsid w:val="00BF17E9"/>
    <w:rsid w:val="00BF2ABB"/>
    <w:rsid w:val="00BF5099"/>
    <w:rsid w:val="00BF5E56"/>
    <w:rsid w:val="00C046FE"/>
    <w:rsid w:val="00C10B5E"/>
    <w:rsid w:val="00C10F10"/>
    <w:rsid w:val="00C1407C"/>
    <w:rsid w:val="00C14CAE"/>
    <w:rsid w:val="00C15D4D"/>
    <w:rsid w:val="00C16E94"/>
    <w:rsid w:val="00C175DC"/>
    <w:rsid w:val="00C2257D"/>
    <w:rsid w:val="00C25B1C"/>
    <w:rsid w:val="00C268F1"/>
    <w:rsid w:val="00C2751F"/>
    <w:rsid w:val="00C30171"/>
    <w:rsid w:val="00C309D8"/>
    <w:rsid w:val="00C30F26"/>
    <w:rsid w:val="00C31D54"/>
    <w:rsid w:val="00C32F2C"/>
    <w:rsid w:val="00C35F68"/>
    <w:rsid w:val="00C408D0"/>
    <w:rsid w:val="00C43519"/>
    <w:rsid w:val="00C45263"/>
    <w:rsid w:val="00C456D9"/>
    <w:rsid w:val="00C51537"/>
    <w:rsid w:val="00C51AEC"/>
    <w:rsid w:val="00C52BC3"/>
    <w:rsid w:val="00C55A3E"/>
    <w:rsid w:val="00C55B44"/>
    <w:rsid w:val="00C56042"/>
    <w:rsid w:val="00C56649"/>
    <w:rsid w:val="00C602D9"/>
    <w:rsid w:val="00C61AFA"/>
    <w:rsid w:val="00C61D64"/>
    <w:rsid w:val="00C62099"/>
    <w:rsid w:val="00C62599"/>
    <w:rsid w:val="00C62A34"/>
    <w:rsid w:val="00C64EA3"/>
    <w:rsid w:val="00C6596B"/>
    <w:rsid w:val="00C65D50"/>
    <w:rsid w:val="00C72867"/>
    <w:rsid w:val="00C72F9C"/>
    <w:rsid w:val="00C75E81"/>
    <w:rsid w:val="00C804D6"/>
    <w:rsid w:val="00C81F8C"/>
    <w:rsid w:val="00C8394F"/>
    <w:rsid w:val="00C83BB6"/>
    <w:rsid w:val="00C83CAB"/>
    <w:rsid w:val="00C86609"/>
    <w:rsid w:val="00C86C35"/>
    <w:rsid w:val="00C91A57"/>
    <w:rsid w:val="00C92B4C"/>
    <w:rsid w:val="00C930F7"/>
    <w:rsid w:val="00C933F0"/>
    <w:rsid w:val="00C954F6"/>
    <w:rsid w:val="00CA2B7A"/>
    <w:rsid w:val="00CA36A0"/>
    <w:rsid w:val="00CA5D05"/>
    <w:rsid w:val="00CA6BC5"/>
    <w:rsid w:val="00CB0475"/>
    <w:rsid w:val="00CB1A12"/>
    <w:rsid w:val="00CB38CF"/>
    <w:rsid w:val="00CC03B3"/>
    <w:rsid w:val="00CC143F"/>
    <w:rsid w:val="00CC571B"/>
    <w:rsid w:val="00CC61CD"/>
    <w:rsid w:val="00CC6C02"/>
    <w:rsid w:val="00CC737B"/>
    <w:rsid w:val="00CD35F7"/>
    <w:rsid w:val="00CD5011"/>
    <w:rsid w:val="00CE36D1"/>
    <w:rsid w:val="00CE640F"/>
    <w:rsid w:val="00CE6569"/>
    <w:rsid w:val="00CE76BC"/>
    <w:rsid w:val="00CF1D26"/>
    <w:rsid w:val="00CF40A9"/>
    <w:rsid w:val="00CF4FFA"/>
    <w:rsid w:val="00CF540E"/>
    <w:rsid w:val="00CF6223"/>
    <w:rsid w:val="00CF6E85"/>
    <w:rsid w:val="00D02F07"/>
    <w:rsid w:val="00D0561D"/>
    <w:rsid w:val="00D066A3"/>
    <w:rsid w:val="00D133F4"/>
    <w:rsid w:val="00D14A0A"/>
    <w:rsid w:val="00D15D88"/>
    <w:rsid w:val="00D16406"/>
    <w:rsid w:val="00D23DCE"/>
    <w:rsid w:val="00D25A3A"/>
    <w:rsid w:val="00D25B11"/>
    <w:rsid w:val="00D25B20"/>
    <w:rsid w:val="00D27D49"/>
    <w:rsid w:val="00D27EBE"/>
    <w:rsid w:val="00D31B72"/>
    <w:rsid w:val="00D31F20"/>
    <w:rsid w:val="00D320DB"/>
    <w:rsid w:val="00D3377A"/>
    <w:rsid w:val="00D346A0"/>
    <w:rsid w:val="00D35D22"/>
    <w:rsid w:val="00D36A49"/>
    <w:rsid w:val="00D4091A"/>
    <w:rsid w:val="00D4300E"/>
    <w:rsid w:val="00D47DC7"/>
    <w:rsid w:val="00D50100"/>
    <w:rsid w:val="00D517C6"/>
    <w:rsid w:val="00D5254D"/>
    <w:rsid w:val="00D5309F"/>
    <w:rsid w:val="00D63C29"/>
    <w:rsid w:val="00D64895"/>
    <w:rsid w:val="00D6528D"/>
    <w:rsid w:val="00D7036E"/>
    <w:rsid w:val="00D71D84"/>
    <w:rsid w:val="00D72464"/>
    <w:rsid w:val="00D72A57"/>
    <w:rsid w:val="00D73F5C"/>
    <w:rsid w:val="00D768EB"/>
    <w:rsid w:val="00D77283"/>
    <w:rsid w:val="00D7777C"/>
    <w:rsid w:val="00D81E17"/>
    <w:rsid w:val="00D822AA"/>
    <w:rsid w:val="00D82D1E"/>
    <w:rsid w:val="00D832D9"/>
    <w:rsid w:val="00D85438"/>
    <w:rsid w:val="00D90F00"/>
    <w:rsid w:val="00D93F37"/>
    <w:rsid w:val="00D96804"/>
    <w:rsid w:val="00D975C0"/>
    <w:rsid w:val="00DA2F73"/>
    <w:rsid w:val="00DA5285"/>
    <w:rsid w:val="00DA6B64"/>
    <w:rsid w:val="00DB076A"/>
    <w:rsid w:val="00DB191D"/>
    <w:rsid w:val="00DB4F91"/>
    <w:rsid w:val="00DB6D0A"/>
    <w:rsid w:val="00DB7327"/>
    <w:rsid w:val="00DC06BE"/>
    <w:rsid w:val="00DC0B2F"/>
    <w:rsid w:val="00DC1F0F"/>
    <w:rsid w:val="00DC3117"/>
    <w:rsid w:val="00DC3C11"/>
    <w:rsid w:val="00DC4E2A"/>
    <w:rsid w:val="00DC5756"/>
    <w:rsid w:val="00DC5A7B"/>
    <w:rsid w:val="00DC5DD9"/>
    <w:rsid w:val="00DC61B3"/>
    <w:rsid w:val="00DC6D2D"/>
    <w:rsid w:val="00DD0023"/>
    <w:rsid w:val="00DD01CC"/>
    <w:rsid w:val="00DD06D6"/>
    <w:rsid w:val="00DD3AEB"/>
    <w:rsid w:val="00DD4E59"/>
    <w:rsid w:val="00DD63CB"/>
    <w:rsid w:val="00DE1BE3"/>
    <w:rsid w:val="00DE33B5"/>
    <w:rsid w:val="00DE5E18"/>
    <w:rsid w:val="00DF0487"/>
    <w:rsid w:val="00DF5EA4"/>
    <w:rsid w:val="00DF6C20"/>
    <w:rsid w:val="00E01CF7"/>
    <w:rsid w:val="00E024C0"/>
    <w:rsid w:val="00E02681"/>
    <w:rsid w:val="00E02792"/>
    <w:rsid w:val="00E034D8"/>
    <w:rsid w:val="00E04CC0"/>
    <w:rsid w:val="00E06F14"/>
    <w:rsid w:val="00E077DC"/>
    <w:rsid w:val="00E07B9A"/>
    <w:rsid w:val="00E11205"/>
    <w:rsid w:val="00E11D22"/>
    <w:rsid w:val="00E15816"/>
    <w:rsid w:val="00E160D5"/>
    <w:rsid w:val="00E16DC4"/>
    <w:rsid w:val="00E21DD4"/>
    <w:rsid w:val="00E23215"/>
    <w:rsid w:val="00E239FF"/>
    <w:rsid w:val="00E23D40"/>
    <w:rsid w:val="00E23D99"/>
    <w:rsid w:val="00E25138"/>
    <w:rsid w:val="00E27D7B"/>
    <w:rsid w:val="00E30556"/>
    <w:rsid w:val="00E30981"/>
    <w:rsid w:val="00E33136"/>
    <w:rsid w:val="00E34D7C"/>
    <w:rsid w:val="00E350EF"/>
    <w:rsid w:val="00E3723D"/>
    <w:rsid w:val="00E37493"/>
    <w:rsid w:val="00E44C89"/>
    <w:rsid w:val="00E457A6"/>
    <w:rsid w:val="00E45A88"/>
    <w:rsid w:val="00E469BF"/>
    <w:rsid w:val="00E47F52"/>
    <w:rsid w:val="00E5298C"/>
    <w:rsid w:val="00E54F9E"/>
    <w:rsid w:val="00E611E4"/>
    <w:rsid w:val="00E61620"/>
    <w:rsid w:val="00E61BA2"/>
    <w:rsid w:val="00E62046"/>
    <w:rsid w:val="00E63864"/>
    <w:rsid w:val="00E6403F"/>
    <w:rsid w:val="00E65278"/>
    <w:rsid w:val="00E65297"/>
    <w:rsid w:val="00E70DF3"/>
    <w:rsid w:val="00E73CC1"/>
    <w:rsid w:val="00E750DA"/>
    <w:rsid w:val="00E75451"/>
    <w:rsid w:val="00E75EA9"/>
    <w:rsid w:val="00E76AD6"/>
    <w:rsid w:val="00E770C4"/>
    <w:rsid w:val="00E84C5A"/>
    <w:rsid w:val="00E861DB"/>
    <w:rsid w:val="00E86E3A"/>
    <w:rsid w:val="00E908F1"/>
    <w:rsid w:val="00E93406"/>
    <w:rsid w:val="00E956C5"/>
    <w:rsid w:val="00E95C39"/>
    <w:rsid w:val="00EA1492"/>
    <w:rsid w:val="00EA2C39"/>
    <w:rsid w:val="00EB0A3C"/>
    <w:rsid w:val="00EB0A96"/>
    <w:rsid w:val="00EB1FFC"/>
    <w:rsid w:val="00EB2B8A"/>
    <w:rsid w:val="00EB42F9"/>
    <w:rsid w:val="00EB5B8E"/>
    <w:rsid w:val="00EB7700"/>
    <w:rsid w:val="00EB77F9"/>
    <w:rsid w:val="00EC497A"/>
    <w:rsid w:val="00EC4A1E"/>
    <w:rsid w:val="00EC4DB7"/>
    <w:rsid w:val="00EC5769"/>
    <w:rsid w:val="00EC666F"/>
    <w:rsid w:val="00EC6F4D"/>
    <w:rsid w:val="00EC70D2"/>
    <w:rsid w:val="00EC7D00"/>
    <w:rsid w:val="00ED0304"/>
    <w:rsid w:val="00ED4FF7"/>
    <w:rsid w:val="00ED5B7B"/>
    <w:rsid w:val="00ED7F46"/>
    <w:rsid w:val="00EE0119"/>
    <w:rsid w:val="00EE2F7B"/>
    <w:rsid w:val="00EE38FA"/>
    <w:rsid w:val="00EE3E2C"/>
    <w:rsid w:val="00EE5D23"/>
    <w:rsid w:val="00EE750D"/>
    <w:rsid w:val="00EF3CA4"/>
    <w:rsid w:val="00EF49A8"/>
    <w:rsid w:val="00EF6766"/>
    <w:rsid w:val="00EF7428"/>
    <w:rsid w:val="00EF7859"/>
    <w:rsid w:val="00F014DA"/>
    <w:rsid w:val="00F01676"/>
    <w:rsid w:val="00F02591"/>
    <w:rsid w:val="00F0586E"/>
    <w:rsid w:val="00F06276"/>
    <w:rsid w:val="00F101B0"/>
    <w:rsid w:val="00F109E5"/>
    <w:rsid w:val="00F133D6"/>
    <w:rsid w:val="00F15C3E"/>
    <w:rsid w:val="00F20E82"/>
    <w:rsid w:val="00F21D12"/>
    <w:rsid w:val="00F231C1"/>
    <w:rsid w:val="00F24C1A"/>
    <w:rsid w:val="00F24F87"/>
    <w:rsid w:val="00F26385"/>
    <w:rsid w:val="00F30AE1"/>
    <w:rsid w:val="00F323AE"/>
    <w:rsid w:val="00F40C6D"/>
    <w:rsid w:val="00F42B3B"/>
    <w:rsid w:val="00F46D50"/>
    <w:rsid w:val="00F47456"/>
    <w:rsid w:val="00F519E3"/>
    <w:rsid w:val="00F53664"/>
    <w:rsid w:val="00F5392A"/>
    <w:rsid w:val="00F55800"/>
    <w:rsid w:val="00F5696E"/>
    <w:rsid w:val="00F60EFF"/>
    <w:rsid w:val="00F63246"/>
    <w:rsid w:val="00F667EA"/>
    <w:rsid w:val="00F67D2D"/>
    <w:rsid w:val="00F709D4"/>
    <w:rsid w:val="00F74F98"/>
    <w:rsid w:val="00F76F95"/>
    <w:rsid w:val="00F81F76"/>
    <w:rsid w:val="00F82288"/>
    <w:rsid w:val="00F858F2"/>
    <w:rsid w:val="00F85D94"/>
    <w:rsid w:val="00F860CC"/>
    <w:rsid w:val="00F9343C"/>
    <w:rsid w:val="00F94398"/>
    <w:rsid w:val="00F95868"/>
    <w:rsid w:val="00FA4BEB"/>
    <w:rsid w:val="00FB2B56"/>
    <w:rsid w:val="00FB2CD0"/>
    <w:rsid w:val="00FB52C8"/>
    <w:rsid w:val="00FB55D5"/>
    <w:rsid w:val="00FC12BF"/>
    <w:rsid w:val="00FC2069"/>
    <w:rsid w:val="00FC2C60"/>
    <w:rsid w:val="00FC54D2"/>
    <w:rsid w:val="00FC5940"/>
    <w:rsid w:val="00FC5C72"/>
    <w:rsid w:val="00FC7A38"/>
    <w:rsid w:val="00FD3390"/>
    <w:rsid w:val="00FD3E6F"/>
    <w:rsid w:val="00FD4F24"/>
    <w:rsid w:val="00FD51B9"/>
    <w:rsid w:val="00FD5849"/>
    <w:rsid w:val="00FD6972"/>
    <w:rsid w:val="00FE03E4"/>
    <w:rsid w:val="00FE0F8A"/>
    <w:rsid w:val="00FE2A39"/>
    <w:rsid w:val="00FE337C"/>
    <w:rsid w:val="00FE5E64"/>
    <w:rsid w:val="00FF39CF"/>
    <w:rsid w:val="00FF50EE"/>
    <w:rsid w:val="00FF6AA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EF7C25"/>
  <w15:docId w15:val="{22F9874C-A076-40BE-A698-59605C6C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8"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1"/>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1"/>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1"/>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1"/>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9"/>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9"/>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9"/>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9"/>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9"/>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EE750D"/>
    <w:rPr>
      <w:rFonts w:ascii="Lato" w:hAnsi="Lato"/>
      <w:b/>
      <w:color w:val="1F1F5F" w:themeColor="text1"/>
    </w:rPr>
  </w:style>
  <w:style w:type="character" w:customStyle="1" w:styleId="Heading6Char">
    <w:name w:val="Heading 6 Char"/>
    <w:basedOn w:val="DefaultParagraphFont"/>
    <w:link w:val="Heading6"/>
    <w:uiPriority w:val="9"/>
    <w:rsid w:val="00EE750D"/>
    <w:rPr>
      <w:rFonts w:ascii="Lato" w:hAnsi="Lato"/>
      <w:b/>
      <w:color w:val="606060"/>
    </w:rPr>
  </w:style>
  <w:style w:type="character" w:customStyle="1" w:styleId="Heading7Char">
    <w:name w:val="Heading 7 Char"/>
    <w:basedOn w:val="DefaultParagraphFont"/>
    <w:link w:val="Heading7"/>
    <w:uiPriority w:val="9"/>
    <w:rsid w:val="00EE750D"/>
    <w:rPr>
      <w:rFonts w:ascii="Lato" w:hAnsi="Lato"/>
      <w:b/>
      <w:color w:val="1F1F5F" w:themeColor="text1"/>
    </w:rPr>
  </w:style>
  <w:style w:type="character" w:customStyle="1" w:styleId="Heading8Char">
    <w:name w:val="Heading 8 Char"/>
    <w:basedOn w:val="DefaultParagraphFont"/>
    <w:link w:val="Heading8"/>
    <w:uiPriority w:val="9"/>
    <w:rsid w:val="00EE750D"/>
    <w:rPr>
      <w:rFonts w:ascii="Lato" w:hAnsi="Lato"/>
      <w:b/>
      <w:color w:val="606060"/>
    </w:rPr>
  </w:style>
  <w:style w:type="character" w:customStyle="1" w:styleId="Heading9Char">
    <w:name w:val="Heading 9 Char"/>
    <w:basedOn w:val="DefaultParagraphFont"/>
    <w:link w:val="Heading9"/>
    <w:uiPriority w:val="9"/>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99"/>
    <w:qFormat/>
    <w:rsid w:val="008765D1"/>
    <w:pPr>
      <w:numPr>
        <w:numId w:val="12"/>
      </w:numPr>
      <w:spacing w:after="120"/>
    </w:pPr>
  </w:style>
  <w:style w:type="paragraph" w:styleId="ListNumber2">
    <w:name w:val="List Number 2"/>
    <w:aliases w:val="Number list level 2"/>
    <w:basedOn w:val="Normal"/>
    <w:uiPriority w:val="99"/>
    <w:rsid w:val="00A22C38"/>
    <w:pPr>
      <w:spacing w:after="120"/>
    </w:pPr>
  </w:style>
  <w:style w:type="paragraph" w:styleId="ListNumber3">
    <w:name w:val="List Number 3"/>
    <w:aliases w:val="Number list level 3"/>
    <w:basedOn w:val="Normal"/>
    <w:uiPriority w:val="99"/>
    <w:rsid w:val="00A22C38"/>
    <w:pPr>
      <w:spacing w:after="120"/>
    </w:pPr>
  </w:style>
  <w:style w:type="paragraph" w:styleId="ListNumber4">
    <w:name w:val="List Number 4"/>
    <w:aliases w:val="Number list level 4"/>
    <w:basedOn w:val="Normal"/>
    <w:uiPriority w:val="99"/>
    <w:rsid w:val="00A22C38"/>
    <w:pPr>
      <w:spacing w:after="120"/>
    </w:pPr>
  </w:style>
  <w:style w:type="paragraph" w:styleId="ListNumber5">
    <w:name w:val="List Number 5"/>
    <w:aliases w:val="List number 5 - with space"/>
    <w:basedOn w:val="Normal"/>
    <w:uiPriority w:val="99"/>
    <w:rsid w:val="00A22C38"/>
    <w:pPr>
      <w:spacing w:after="120"/>
    </w:pPr>
  </w:style>
  <w:style w:type="paragraph" w:styleId="ListBullet">
    <w:name w:val="List Bullet"/>
    <w:aliases w:val="Bullet list level 1"/>
    <w:basedOn w:val="Normal"/>
    <w:uiPriority w:val="99"/>
    <w:rsid w:val="00176123"/>
    <w:pPr>
      <w:numPr>
        <w:numId w:val="8"/>
      </w:numPr>
      <w:spacing w:after="120"/>
      <w:ind w:left="0" w:firstLine="0"/>
    </w:pPr>
  </w:style>
  <w:style w:type="paragraph" w:styleId="ListBullet2">
    <w:name w:val="List Bullet 2"/>
    <w:aliases w:val="Bullet list level 2"/>
    <w:basedOn w:val="Normal"/>
    <w:uiPriority w:val="99"/>
    <w:rsid w:val="006847AD"/>
    <w:pPr>
      <w:numPr>
        <w:ilvl w:val="1"/>
        <w:numId w:val="8"/>
      </w:numPr>
      <w:spacing w:after="120"/>
    </w:pPr>
  </w:style>
  <w:style w:type="paragraph" w:styleId="ListBullet3">
    <w:name w:val="List Bullet 3"/>
    <w:aliases w:val="Bullet list level 3"/>
    <w:basedOn w:val="Normal"/>
    <w:uiPriority w:val="99"/>
    <w:rsid w:val="006847AD"/>
    <w:pPr>
      <w:numPr>
        <w:ilvl w:val="2"/>
        <w:numId w:val="8"/>
      </w:numPr>
      <w:spacing w:after="120"/>
    </w:pPr>
  </w:style>
  <w:style w:type="paragraph" w:styleId="ListBullet4">
    <w:name w:val="List Bullet 4"/>
    <w:aliases w:val="Bullet list level 4"/>
    <w:basedOn w:val="Normal"/>
    <w:uiPriority w:val="99"/>
    <w:rsid w:val="006847AD"/>
    <w:pPr>
      <w:numPr>
        <w:ilvl w:val="3"/>
        <w:numId w:val="8"/>
      </w:numPr>
      <w:spacing w:after="120"/>
    </w:pPr>
  </w:style>
  <w:style w:type="paragraph" w:styleId="ListBullet5">
    <w:name w:val="List Bullet 5"/>
    <w:aliases w:val="Bullet list level 5"/>
    <w:basedOn w:val="Normal"/>
    <w:uiPriority w:val="99"/>
    <w:rsid w:val="004E2CB7"/>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numbering" w:customStyle="1" w:styleId="NTGStandardNumList">
    <w:name w:val="NTG Standard Num List"/>
    <w:uiPriority w:val="99"/>
    <w:rsid w:val="00B2229C"/>
    <w:pPr>
      <w:numPr>
        <w:numId w:val="9"/>
      </w:numPr>
    </w:pPr>
  </w:style>
  <w:style w:type="paragraph" w:customStyle="1" w:styleId="NTGTableBulletList1">
    <w:name w:val="NTG Table Bullet List 1"/>
    <w:semiHidden/>
    <w:qFormat/>
    <w:rsid w:val="00B2229C"/>
    <w:pPr>
      <w:numPr>
        <w:numId w:val="11"/>
      </w:numPr>
      <w:spacing w:after="20"/>
    </w:pPr>
  </w:style>
  <w:style w:type="paragraph" w:customStyle="1" w:styleId="NTGTableBulletList2">
    <w:name w:val="NTG Table Bullet List 2"/>
    <w:basedOn w:val="NTGTableBulletList1"/>
    <w:semiHidden/>
    <w:qFormat/>
    <w:rsid w:val="00B2229C"/>
    <w:pPr>
      <w:numPr>
        <w:ilvl w:val="1"/>
      </w:numPr>
    </w:pPr>
  </w:style>
  <w:style w:type="paragraph" w:customStyle="1" w:styleId="NTGTableBulletList3">
    <w:name w:val="NTG Table Bullet List 3"/>
    <w:basedOn w:val="NTGTableBulletList2"/>
    <w:semiHidden/>
    <w:qFormat/>
    <w:rsid w:val="00B2229C"/>
    <w:pPr>
      <w:numPr>
        <w:ilvl w:val="2"/>
      </w:numPr>
    </w:pPr>
  </w:style>
  <w:style w:type="paragraph" w:customStyle="1" w:styleId="NTGTableBulletList4">
    <w:name w:val="NTG Table Bullet List 4"/>
    <w:basedOn w:val="NTGTableBulletList3"/>
    <w:semiHidden/>
    <w:qFormat/>
    <w:rsid w:val="00B2229C"/>
    <w:pPr>
      <w:numPr>
        <w:ilvl w:val="3"/>
      </w:numPr>
    </w:pPr>
  </w:style>
  <w:style w:type="paragraph" w:customStyle="1" w:styleId="NTGTableBulletList5">
    <w:name w:val="NTG Table Bullet List 5"/>
    <w:basedOn w:val="NTGTableBulletList4"/>
    <w:semiHidden/>
    <w:qFormat/>
    <w:rsid w:val="00B2229C"/>
    <w:pPr>
      <w:numPr>
        <w:ilvl w:val="4"/>
      </w:numPr>
    </w:pPr>
  </w:style>
  <w:style w:type="paragraph" w:customStyle="1" w:styleId="NTGTableBulletList6">
    <w:name w:val="NTG Table Bullet List 6"/>
    <w:basedOn w:val="NTGTableBulletList5"/>
    <w:semiHidden/>
    <w:qFormat/>
    <w:rsid w:val="00B2229C"/>
    <w:pPr>
      <w:numPr>
        <w:ilvl w:val="5"/>
      </w:numPr>
    </w:pPr>
  </w:style>
  <w:style w:type="paragraph" w:customStyle="1" w:styleId="NTGTableBulletList7">
    <w:name w:val="NTG Table Bullet List 7"/>
    <w:basedOn w:val="NTGTableBulletList6"/>
    <w:semiHidden/>
    <w:qFormat/>
    <w:rsid w:val="00B2229C"/>
    <w:pPr>
      <w:numPr>
        <w:ilvl w:val="6"/>
      </w:numPr>
    </w:pPr>
  </w:style>
  <w:style w:type="paragraph" w:customStyle="1" w:styleId="NTGTableBulletList8">
    <w:name w:val="NTG Table Bullet List 8"/>
    <w:basedOn w:val="NTGTableBulletList7"/>
    <w:semiHidden/>
    <w:qFormat/>
    <w:rsid w:val="00B2229C"/>
    <w:pPr>
      <w:numPr>
        <w:ilvl w:val="7"/>
      </w:numPr>
    </w:pPr>
  </w:style>
  <w:style w:type="paragraph" w:customStyle="1" w:styleId="NTGTableBulletList9">
    <w:name w:val="NTG Table Bullet List 9"/>
    <w:basedOn w:val="NTGTableBulletList8"/>
    <w:semiHidden/>
    <w:qFormat/>
    <w:rsid w:val="00B2229C"/>
    <w:pPr>
      <w:numPr>
        <w:ilvl w:val="8"/>
      </w:numPr>
    </w:pPr>
  </w:style>
  <w:style w:type="numbering" w:customStyle="1" w:styleId="NTGTableList">
    <w:name w:val="NTG Table List"/>
    <w:uiPriority w:val="99"/>
    <w:rsid w:val="00B2229C"/>
    <w:pPr>
      <w:numPr>
        <w:numId w:val="10"/>
      </w:numPr>
    </w:pPr>
  </w:style>
  <w:style w:type="paragraph" w:customStyle="1" w:styleId="NTGTableNumList1">
    <w:name w:val="NTG Table Num List 1"/>
    <w:semiHidden/>
    <w:qFormat/>
    <w:rsid w:val="00820DEB"/>
    <w:pPr>
      <w:numPr>
        <w:numId w:val="13"/>
      </w:numPr>
      <w:spacing w:after="20"/>
    </w:pPr>
  </w:style>
  <w:style w:type="paragraph" w:customStyle="1" w:styleId="NTGTableNumList2">
    <w:name w:val="NTG Table Num List 2"/>
    <w:basedOn w:val="NTGTableNumList1"/>
    <w:semiHidden/>
    <w:qFormat/>
    <w:rsid w:val="00820DEB"/>
    <w:pPr>
      <w:numPr>
        <w:ilvl w:val="1"/>
      </w:numPr>
    </w:pPr>
  </w:style>
  <w:style w:type="paragraph" w:customStyle="1" w:styleId="NTGTableNumList3">
    <w:name w:val="NTG Table Num List 3"/>
    <w:basedOn w:val="NTGTableNumList2"/>
    <w:semiHidden/>
    <w:qFormat/>
    <w:rsid w:val="00820DEB"/>
    <w:pPr>
      <w:numPr>
        <w:ilvl w:val="2"/>
      </w:numPr>
    </w:pPr>
  </w:style>
  <w:style w:type="paragraph" w:customStyle="1" w:styleId="NTGTableNumList4">
    <w:name w:val="NTG Table Num List 4"/>
    <w:basedOn w:val="NTGTableNumList3"/>
    <w:semiHidden/>
    <w:qFormat/>
    <w:rsid w:val="00820DEB"/>
    <w:pPr>
      <w:numPr>
        <w:ilvl w:val="3"/>
      </w:numPr>
    </w:pPr>
  </w:style>
  <w:style w:type="paragraph" w:customStyle="1" w:styleId="NTGTableNumList5">
    <w:name w:val="NTG Table Num List 5"/>
    <w:basedOn w:val="NTGTableNumList4"/>
    <w:semiHidden/>
    <w:qFormat/>
    <w:rsid w:val="00820DEB"/>
    <w:pPr>
      <w:numPr>
        <w:ilvl w:val="4"/>
      </w:numPr>
    </w:pPr>
  </w:style>
  <w:style w:type="paragraph" w:customStyle="1" w:styleId="NTGTableNumList6">
    <w:name w:val="NTG Table Num List 6"/>
    <w:basedOn w:val="NTGTableNumList5"/>
    <w:semiHidden/>
    <w:qFormat/>
    <w:rsid w:val="00820DEB"/>
    <w:pPr>
      <w:numPr>
        <w:ilvl w:val="5"/>
      </w:numPr>
    </w:pPr>
  </w:style>
  <w:style w:type="paragraph" w:customStyle="1" w:styleId="NTGTableNumList7">
    <w:name w:val="NTG Table Num List 7"/>
    <w:basedOn w:val="NTGTableNumList6"/>
    <w:semiHidden/>
    <w:qFormat/>
    <w:rsid w:val="00820DEB"/>
    <w:pPr>
      <w:numPr>
        <w:ilvl w:val="6"/>
      </w:numPr>
    </w:pPr>
  </w:style>
  <w:style w:type="paragraph" w:customStyle="1" w:styleId="NTGTableNumList8">
    <w:name w:val="NTG Table Num List 8"/>
    <w:basedOn w:val="NTGTableNumList7"/>
    <w:semiHidden/>
    <w:qFormat/>
    <w:rsid w:val="00820DEB"/>
    <w:pPr>
      <w:numPr>
        <w:ilvl w:val="7"/>
      </w:numPr>
    </w:pPr>
  </w:style>
  <w:style w:type="paragraph" w:customStyle="1" w:styleId="NTGTableNumList9">
    <w:name w:val="NTG Table Num List 9"/>
    <w:basedOn w:val="NTGTableNumList8"/>
    <w:semiHidden/>
    <w:qFormat/>
    <w:rsid w:val="00820DEB"/>
    <w:pPr>
      <w:numPr>
        <w:ilvl w:val="8"/>
      </w:numPr>
    </w:pPr>
  </w:style>
  <w:style w:type="character" w:styleId="CommentReference">
    <w:name w:val="annotation reference"/>
    <w:basedOn w:val="DefaultParagraphFont"/>
    <w:uiPriority w:val="99"/>
    <w:semiHidden/>
    <w:unhideWhenUsed/>
    <w:rsid w:val="00820DEB"/>
    <w:rPr>
      <w:sz w:val="16"/>
      <w:szCs w:val="16"/>
    </w:rPr>
  </w:style>
  <w:style w:type="paragraph" w:styleId="CommentText">
    <w:name w:val="annotation text"/>
    <w:basedOn w:val="Normal"/>
    <w:link w:val="CommentTextChar"/>
    <w:uiPriority w:val="99"/>
    <w:unhideWhenUsed/>
    <w:rsid w:val="00820DEB"/>
    <w:rPr>
      <w:rFonts w:ascii="Arial" w:hAnsi="Arial"/>
      <w:sz w:val="20"/>
      <w:szCs w:val="20"/>
    </w:rPr>
  </w:style>
  <w:style w:type="character" w:customStyle="1" w:styleId="CommentTextChar">
    <w:name w:val="Comment Text Char"/>
    <w:basedOn w:val="DefaultParagraphFont"/>
    <w:link w:val="CommentText"/>
    <w:uiPriority w:val="99"/>
    <w:rsid w:val="00820DEB"/>
    <w:rPr>
      <w:sz w:val="20"/>
      <w:szCs w:val="20"/>
    </w:rPr>
  </w:style>
  <w:style w:type="table" w:customStyle="1" w:styleId="NTGTable0">
    <w:name w:val="NTG Table"/>
    <w:basedOn w:val="TableGrid"/>
    <w:uiPriority w:val="99"/>
    <w:rsid w:val="00667C4A"/>
    <w:pPr>
      <w:spacing w:after="40"/>
    </w:pPr>
    <w:tblPr>
      <w:tblStyleRowBandSize w:val="1"/>
      <w:tblStyleColBandSize w:val="1"/>
    </w:tblPr>
    <w:trPr>
      <w:cantSplit/>
    </w:trPr>
    <w:tcPr>
      <w:shd w:val="clear" w:color="auto" w:fill="auto"/>
    </w:tcPr>
    <w:tblStylePr w:type="firstRow">
      <w:pPr>
        <w:keepNext w:val="0"/>
        <w:keepLines w:val="0"/>
        <w:pageBreakBefore w:val="0"/>
        <w:widowControl/>
        <w:suppressLineNumbers w:val="0"/>
        <w:suppressAutoHyphens w:val="0"/>
        <w:wordWrap/>
        <w:spacing w:beforeLines="0" w:before="60" w:beforeAutospacing="0" w:afterLines="0" w:after="60" w:afterAutospacing="0" w:line="240" w:lineRule="auto"/>
        <w:ind w:leftChars="0" w:left="0" w:rightChars="0" w:right="0" w:firstLineChars="0" w:firstLine="0"/>
        <w:contextualSpacing w:val="0"/>
        <w:jc w:val="left"/>
        <w:outlineLvl w:val="9"/>
      </w:pPr>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Pr/>
      <w:tcPr>
        <w:shd w:val="clear" w:color="auto" w:fill="BFBFBF" w:themeFill="background1" w:themeFillShade="BF"/>
      </w:tc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Pr/>
      <w:tcPr>
        <w:shd w:val="clear" w:color="auto" w:fill="F2F2F2" w:themeFill="background1" w:themeFillShade="F2"/>
      </w:tcPr>
    </w:tblStylePr>
    <w:tblStylePr w:type="band1Horz">
      <w:rPr>
        <w:rFonts w:ascii="Arial" w:hAnsi="Arial"/>
        <w:sz w:val="22"/>
      </w:rPr>
    </w:tblStylePr>
    <w:tblStylePr w:type="band2Horz">
      <w:rPr>
        <w:rFonts w:ascii="Arial" w:hAnsi="Arial"/>
        <w:sz w:val="22"/>
      </w:rPr>
      <w:tblPr/>
      <w:tcPr>
        <w:shd w:val="clear" w:color="auto" w:fill="F2F2F2" w:themeFill="background1" w:themeFillShade="F2"/>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Revision">
    <w:name w:val="Revision"/>
    <w:hidden/>
    <w:uiPriority w:val="99"/>
    <w:semiHidden/>
    <w:rsid w:val="00D133F4"/>
    <w:pPr>
      <w:spacing w:after="0"/>
    </w:pPr>
    <w:rPr>
      <w:rFonts w:ascii="Lato" w:hAnsi="Lato"/>
    </w:rPr>
  </w:style>
  <w:style w:type="numbering" w:customStyle="1" w:styleId="NTGStandardList">
    <w:name w:val="NTG Standard List"/>
    <w:basedOn w:val="NoList"/>
    <w:rsid w:val="009B7839"/>
    <w:pPr>
      <w:numPr>
        <w:numId w:val="14"/>
      </w:numPr>
    </w:pPr>
  </w:style>
  <w:style w:type="paragraph" w:styleId="CommentSubject">
    <w:name w:val="annotation subject"/>
    <w:basedOn w:val="CommentText"/>
    <w:next w:val="CommentText"/>
    <w:link w:val="CommentSubjectChar"/>
    <w:uiPriority w:val="99"/>
    <w:semiHidden/>
    <w:unhideWhenUsed/>
    <w:rsid w:val="001F53EB"/>
    <w:rPr>
      <w:rFonts w:ascii="Lato" w:hAnsi="Lato"/>
      <w:b/>
      <w:bCs/>
    </w:rPr>
  </w:style>
  <w:style w:type="character" w:customStyle="1" w:styleId="CommentSubjectChar">
    <w:name w:val="Comment Subject Char"/>
    <w:basedOn w:val="CommentTextChar"/>
    <w:link w:val="CommentSubject"/>
    <w:uiPriority w:val="99"/>
    <w:semiHidden/>
    <w:rsid w:val="001F53EB"/>
    <w:rPr>
      <w:rFonts w:ascii="Lato" w:hAnsi="Lato"/>
      <w:b/>
      <w:bCs/>
      <w:sz w:val="20"/>
      <w:szCs w:val="20"/>
    </w:rPr>
  </w:style>
  <w:style w:type="paragraph" w:customStyle="1" w:styleId="DTFListNumber1-Roman">
    <w:name w:val="DTF List Number 1 - Roman"/>
    <w:basedOn w:val="Normal"/>
    <w:autoRedefine/>
    <w:qFormat/>
    <w:rsid w:val="004E03BA"/>
    <w:pPr>
      <w:numPr>
        <w:numId w:val="15"/>
      </w:numPr>
      <w:tabs>
        <w:tab w:val="left" w:pos="1276"/>
        <w:tab w:val="left" w:pos="4536"/>
      </w:tabs>
      <w:ind w:left="840" w:hanging="480"/>
    </w:pPr>
    <w:rPr>
      <w:rFonts w:ascii="Arial" w:eastAsia="Times New Roman" w:hAnsi="Arial" w:cs="Arial"/>
      <w:szCs w:val="20"/>
      <w:lang w:eastAsia="en-AU"/>
    </w:rPr>
  </w:style>
  <w:style w:type="paragraph" w:styleId="FootnoteText">
    <w:name w:val="footnote text"/>
    <w:basedOn w:val="Normal"/>
    <w:link w:val="FootnoteTextChar"/>
    <w:uiPriority w:val="99"/>
    <w:semiHidden/>
    <w:unhideWhenUsed/>
    <w:rsid w:val="00EC4A1E"/>
    <w:pPr>
      <w:spacing w:after="0"/>
    </w:pPr>
    <w:rPr>
      <w:sz w:val="20"/>
      <w:szCs w:val="20"/>
    </w:rPr>
  </w:style>
  <w:style w:type="character" w:customStyle="1" w:styleId="FootnoteTextChar">
    <w:name w:val="Footnote Text Char"/>
    <w:basedOn w:val="DefaultParagraphFont"/>
    <w:link w:val="FootnoteText"/>
    <w:uiPriority w:val="99"/>
    <w:semiHidden/>
    <w:rsid w:val="00EC4A1E"/>
    <w:rPr>
      <w:rFonts w:ascii="Lato" w:hAnsi="Lato"/>
      <w:sz w:val="20"/>
      <w:szCs w:val="20"/>
    </w:rPr>
  </w:style>
  <w:style w:type="character" w:styleId="FootnoteReference">
    <w:name w:val="footnote reference"/>
    <w:basedOn w:val="DefaultParagraphFont"/>
    <w:uiPriority w:val="99"/>
    <w:semiHidden/>
    <w:unhideWhenUsed/>
    <w:rsid w:val="00EC4A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136380424">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98542462">
      <w:bodyDiv w:val="1"/>
      <w:marLeft w:val="0"/>
      <w:marRight w:val="0"/>
      <w:marTop w:val="0"/>
      <w:marBottom w:val="0"/>
      <w:divBdr>
        <w:top w:val="none" w:sz="0" w:space="0" w:color="auto"/>
        <w:left w:val="none" w:sz="0" w:space="0" w:color="auto"/>
        <w:bottom w:val="none" w:sz="0" w:space="0" w:color="auto"/>
        <w:right w:val="none" w:sz="0" w:space="0" w:color="auto"/>
      </w:divBdr>
    </w:div>
    <w:div w:id="615721240">
      <w:bodyDiv w:val="1"/>
      <w:marLeft w:val="0"/>
      <w:marRight w:val="0"/>
      <w:marTop w:val="0"/>
      <w:marBottom w:val="0"/>
      <w:divBdr>
        <w:top w:val="none" w:sz="0" w:space="0" w:color="auto"/>
        <w:left w:val="none" w:sz="0" w:space="0" w:color="auto"/>
        <w:bottom w:val="none" w:sz="0" w:space="0" w:color="auto"/>
        <w:right w:val="none" w:sz="0" w:space="0" w:color="auto"/>
      </w:divBdr>
    </w:div>
    <w:div w:id="720135598">
      <w:bodyDiv w:val="1"/>
      <w:marLeft w:val="0"/>
      <w:marRight w:val="0"/>
      <w:marTop w:val="0"/>
      <w:marBottom w:val="0"/>
      <w:divBdr>
        <w:top w:val="none" w:sz="0" w:space="0" w:color="auto"/>
        <w:left w:val="none" w:sz="0" w:space="0" w:color="auto"/>
        <w:bottom w:val="none" w:sz="0" w:space="0" w:color="auto"/>
        <w:right w:val="none" w:sz="0" w:space="0" w:color="auto"/>
      </w:divBdr>
    </w:div>
    <w:div w:id="1149439042">
      <w:bodyDiv w:val="1"/>
      <w:marLeft w:val="0"/>
      <w:marRight w:val="0"/>
      <w:marTop w:val="0"/>
      <w:marBottom w:val="0"/>
      <w:divBdr>
        <w:top w:val="none" w:sz="0" w:space="0" w:color="auto"/>
        <w:left w:val="none" w:sz="0" w:space="0" w:color="auto"/>
        <w:bottom w:val="none" w:sz="0" w:space="0" w:color="auto"/>
        <w:right w:val="none" w:sz="0" w:space="0" w:color="auto"/>
      </w:divBdr>
    </w:div>
    <w:div w:id="1154494674">
      <w:bodyDiv w:val="1"/>
      <w:marLeft w:val="0"/>
      <w:marRight w:val="0"/>
      <w:marTop w:val="0"/>
      <w:marBottom w:val="0"/>
      <w:divBdr>
        <w:top w:val="none" w:sz="0" w:space="0" w:color="auto"/>
        <w:left w:val="none" w:sz="0" w:space="0" w:color="auto"/>
        <w:bottom w:val="none" w:sz="0" w:space="0" w:color="auto"/>
        <w:right w:val="none" w:sz="0" w:space="0" w:color="auto"/>
      </w:divBdr>
    </w:div>
    <w:div w:id="1181772739">
      <w:bodyDiv w:val="1"/>
      <w:marLeft w:val="0"/>
      <w:marRight w:val="0"/>
      <w:marTop w:val="0"/>
      <w:marBottom w:val="0"/>
      <w:divBdr>
        <w:top w:val="none" w:sz="0" w:space="0" w:color="auto"/>
        <w:left w:val="none" w:sz="0" w:space="0" w:color="auto"/>
        <w:bottom w:val="none" w:sz="0" w:space="0" w:color="auto"/>
        <w:right w:val="none" w:sz="0" w:space="0" w:color="auto"/>
      </w:divBdr>
    </w:div>
    <w:div w:id="1566334944">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01086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2022-11-03T00:00:00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B2502C-61DA-449E-B685-E2D44461B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3722</Words>
  <Characters>21220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Frequently asked questions - Carryovers</vt:lpstr>
    </vt:vector>
  </TitlesOfParts>
  <Company>TREASURY AND FINANCE</Company>
  <LinksUpToDate>false</LinksUpToDate>
  <CharactersWithSpaces>24893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 Carryovers</dc:title>
  <dc:creator>Department of Treasury and Finance</dc:creator>
  <cp:lastModifiedBy>Adwoa Tetteh</cp:lastModifiedBy>
  <cp:revision>4</cp:revision>
  <cp:lastPrinted>2022-10-26T03:36:00Z</cp:lastPrinted>
  <dcterms:created xsi:type="dcterms:W3CDTF">2022-11-03T06:14:00Z</dcterms:created>
  <dcterms:modified xsi:type="dcterms:W3CDTF">2022-11-03T06:29:00Z</dcterms:modified>
</cp:coreProperties>
</file>