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220AA" w14:textId="77777777" w:rsidR="00B14257" w:rsidRDefault="00B2229C" w:rsidP="00B2229C">
      <w:pPr>
        <w:pStyle w:val="Heading1"/>
        <w:spacing w:before="0"/>
      </w:pPr>
      <w:r>
        <w:t>Treasurer’s Directions (mandatory)</w:t>
      </w:r>
    </w:p>
    <w:tbl>
      <w:tblPr>
        <w:tblStyle w:val="NTGtable"/>
        <w:tblW w:w="10343" w:type="dxa"/>
        <w:tblLook w:val="04A0" w:firstRow="1" w:lastRow="0" w:firstColumn="1" w:lastColumn="0" w:noHBand="0" w:noVBand="1"/>
        <w:tblDescription w:val="Details about this Treasurer's Direction."/>
      </w:tblPr>
      <w:tblGrid>
        <w:gridCol w:w="1980"/>
        <w:gridCol w:w="8363"/>
      </w:tblGrid>
      <w:tr w:rsidR="00B2229C" w:rsidRPr="00D133F4" w14:paraId="44E73CF7" w14:textId="77777777" w:rsidTr="008765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tcPr>
          <w:p w14:paraId="7EABEA14" w14:textId="77777777" w:rsidR="00B2229C" w:rsidRPr="00343C61" w:rsidRDefault="00B2229C" w:rsidP="00B2229C">
            <w:pPr>
              <w:rPr>
                <w:bCs/>
              </w:rPr>
            </w:pPr>
            <w:r w:rsidRPr="00D133F4">
              <w:rPr>
                <w:bCs/>
              </w:rPr>
              <w:t>Purpose</w:t>
            </w:r>
          </w:p>
        </w:tc>
        <w:tc>
          <w:tcPr>
            <w:tcW w:w="8363" w:type="dxa"/>
            <w:shd w:val="clear" w:color="auto" w:fill="auto"/>
          </w:tcPr>
          <w:p w14:paraId="243FF6AE" w14:textId="1B42B0A1" w:rsidR="00B2229C" w:rsidRPr="00D133F4" w:rsidRDefault="001C3B42" w:rsidP="00B2229C">
            <w:pPr>
              <w:cnfStyle w:val="100000000000" w:firstRow="1" w:lastRow="0" w:firstColumn="0" w:lastColumn="0" w:oddVBand="0" w:evenVBand="0" w:oddHBand="0" w:evenHBand="0" w:firstRowFirstColumn="0" w:firstRowLastColumn="0" w:lastRowFirstColumn="0" w:lastRowLastColumn="0"/>
              <w:rPr>
                <w:b w:val="0"/>
              </w:rPr>
            </w:pPr>
            <w:r w:rsidRPr="001C3B42">
              <w:rPr>
                <w:b w:val="0"/>
                <w:bCs/>
              </w:rPr>
              <w:t>To establish minimum requirements for the recognition, measurement and management of leases.</w:t>
            </w:r>
          </w:p>
        </w:tc>
      </w:tr>
      <w:tr w:rsidR="00B2229C" w:rsidRPr="00D133F4" w14:paraId="3B7D6971" w14:textId="77777777" w:rsidTr="00B22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325F85E3" w14:textId="77777777" w:rsidR="00B2229C" w:rsidRPr="00343C61" w:rsidRDefault="00B2229C" w:rsidP="00B2229C">
            <w:pPr>
              <w:rPr>
                <w:b/>
                <w:bCs/>
              </w:rPr>
            </w:pPr>
            <w:r w:rsidRPr="00343C61">
              <w:rPr>
                <w:b/>
                <w:bCs/>
              </w:rPr>
              <w:t>Operative date</w:t>
            </w:r>
          </w:p>
        </w:tc>
        <w:tc>
          <w:tcPr>
            <w:tcW w:w="8363" w:type="dxa"/>
          </w:tcPr>
          <w:p w14:paraId="15A02378" w14:textId="44942521" w:rsidR="00B2229C" w:rsidRPr="00D133F4" w:rsidRDefault="00C52014" w:rsidP="00B2229C">
            <w:pPr>
              <w:cnfStyle w:val="000000100000" w:firstRow="0" w:lastRow="0" w:firstColumn="0" w:lastColumn="0" w:oddVBand="0" w:evenVBand="0" w:oddHBand="1" w:evenHBand="0" w:firstRowFirstColumn="0" w:firstRowLastColumn="0" w:lastRowFirstColumn="0" w:lastRowLastColumn="0"/>
            </w:pPr>
            <w:r w:rsidRPr="001470F4">
              <w:t xml:space="preserve">Effective from </w:t>
            </w:r>
            <w:r w:rsidR="00541FD2">
              <w:t>23 September 2019</w:t>
            </w:r>
          </w:p>
        </w:tc>
      </w:tr>
      <w:tr w:rsidR="00B2229C" w:rsidRPr="00D133F4" w14:paraId="1A2F46B4" w14:textId="77777777" w:rsidTr="001470F4">
        <w:trPr>
          <w:cnfStyle w:val="000000010000" w:firstRow="0" w:lastRow="0" w:firstColumn="0" w:lastColumn="0" w:oddVBand="0" w:evenVBand="0" w:oddHBand="0" w:evenHBand="1"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5542EC64" w14:textId="77777777" w:rsidR="00B2229C" w:rsidRPr="00343C61" w:rsidRDefault="00B2229C" w:rsidP="00B2229C">
            <w:pPr>
              <w:rPr>
                <w:b/>
                <w:bCs/>
              </w:rPr>
            </w:pPr>
            <w:r w:rsidRPr="00343C61">
              <w:rPr>
                <w:b/>
                <w:bCs/>
              </w:rPr>
              <w:t>References</w:t>
            </w:r>
          </w:p>
        </w:tc>
        <w:tc>
          <w:tcPr>
            <w:tcW w:w="8363" w:type="dxa"/>
            <w:shd w:val="clear" w:color="auto" w:fill="auto"/>
          </w:tcPr>
          <w:p w14:paraId="61DD24A1" w14:textId="509E9DBE" w:rsidR="00E97C6B" w:rsidRDefault="002A36DA" w:rsidP="001C3B42">
            <w:pPr>
              <w:pStyle w:val="NTGTableBulletList1"/>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Guidance document</w:t>
            </w:r>
            <w:r w:rsidR="000A1BAB">
              <w:rPr>
                <w:rFonts w:ascii="Lato" w:hAnsi="Lato"/>
              </w:rPr>
              <w:t xml:space="preserve"> – Treasurer’s delegations</w:t>
            </w:r>
            <w:r>
              <w:rPr>
                <w:rFonts w:ascii="Lato" w:hAnsi="Lato"/>
              </w:rPr>
              <w:t xml:space="preserve">  </w:t>
            </w:r>
          </w:p>
          <w:p w14:paraId="34B8F895" w14:textId="12BE5B9E" w:rsidR="001C3B42" w:rsidRDefault="001C3B42" w:rsidP="001C3B42">
            <w:pPr>
              <w:pStyle w:val="NTGTableBulletList1"/>
              <w:cnfStyle w:val="000000010000" w:firstRow="0" w:lastRow="0" w:firstColumn="0" w:lastColumn="0" w:oddVBand="0" w:evenVBand="0" w:oddHBand="0" w:evenHBand="1" w:firstRowFirstColumn="0" w:firstRowLastColumn="0" w:lastRowFirstColumn="0" w:lastRowLastColumn="0"/>
              <w:rPr>
                <w:rFonts w:ascii="Lato" w:hAnsi="Lato"/>
              </w:rPr>
            </w:pPr>
            <w:r w:rsidRPr="001C3B42">
              <w:rPr>
                <w:rFonts w:ascii="Lato" w:hAnsi="Lato"/>
              </w:rPr>
              <w:t>Treasurer's Directions:</w:t>
            </w:r>
          </w:p>
          <w:p w14:paraId="2BCD6D54" w14:textId="5E8BCD67" w:rsidR="001C3B42" w:rsidRDefault="001C3B42" w:rsidP="0081438A">
            <w:pPr>
              <w:pStyle w:val="NTGTableBulletList1"/>
              <w:numPr>
                <w:ilvl w:val="0"/>
                <w:numId w:val="15"/>
              </w:numPr>
              <w:cnfStyle w:val="000000010000" w:firstRow="0" w:lastRow="0" w:firstColumn="0" w:lastColumn="0" w:oddVBand="0" w:evenVBand="0" w:oddHBand="0" w:evenHBand="1" w:firstRowFirstColumn="0" w:firstRowLastColumn="0" w:lastRowFirstColumn="0" w:lastRowLastColumn="0"/>
              <w:rPr>
                <w:rFonts w:ascii="Lato" w:hAnsi="Lato"/>
              </w:rPr>
            </w:pPr>
            <w:r w:rsidRPr="001C3B42">
              <w:rPr>
                <w:rFonts w:ascii="Lato" w:hAnsi="Lato"/>
              </w:rPr>
              <w:t>R2.1 Agency Financial Statements</w:t>
            </w:r>
          </w:p>
          <w:p w14:paraId="3453DAFC" w14:textId="6DDF196D" w:rsidR="001C3B42" w:rsidRDefault="001C3B42" w:rsidP="0081438A">
            <w:pPr>
              <w:pStyle w:val="NTGTableBulletList1"/>
              <w:numPr>
                <w:ilvl w:val="0"/>
                <w:numId w:val="15"/>
              </w:numPr>
              <w:cnfStyle w:val="000000010000" w:firstRow="0" w:lastRow="0" w:firstColumn="0" w:lastColumn="0" w:oddVBand="0" w:evenVBand="0" w:oddHBand="0" w:evenHBand="1" w:firstRowFirstColumn="0" w:firstRowLastColumn="0" w:lastRowFirstColumn="0" w:lastRowLastColumn="0"/>
              <w:rPr>
                <w:rFonts w:ascii="Lato" w:hAnsi="Lato"/>
              </w:rPr>
            </w:pPr>
            <w:r w:rsidRPr="001C3B42">
              <w:rPr>
                <w:rFonts w:ascii="Lato" w:hAnsi="Lato"/>
              </w:rPr>
              <w:t>R3.1 GBD Financial Statements</w:t>
            </w:r>
          </w:p>
          <w:p w14:paraId="1F22F1C1" w14:textId="13072A4F" w:rsidR="00E97C6B" w:rsidRPr="00E97C6B" w:rsidRDefault="00E97C6B">
            <w:pPr>
              <w:pStyle w:val="NTGTableBulletList1"/>
              <w:cnfStyle w:val="000000010000" w:firstRow="0" w:lastRow="0" w:firstColumn="0" w:lastColumn="0" w:oddVBand="0" w:evenVBand="0" w:oddHBand="0" w:evenHBand="1" w:firstRowFirstColumn="0" w:firstRowLastColumn="0" w:lastRowFirstColumn="0" w:lastRowLastColumn="0"/>
              <w:rPr>
                <w:rFonts w:ascii="Lato" w:hAnsi="Lato"/>
              </w:rPr>
            </w:pPr>
            <w:r>
              <w:rPr>
                <w:rFonts w:ascii="Lato" w:hAnsi="Lato"/>
              </w:rPr>
              <w:t>Treasurer’s instruments of delegations</w:t>
            </w:r>
          </w:p>
          <w:p w14:paraId="3AA25F10" w14:textId="7B5B6967" w:rsidR="001C3B42" w:rsidRPr="001C3B42" w:rsidRDefault="001C3B42" w:rsidP="001C3B42">
            <w:pPr>
              <w:pStyle w:val="NTGTableBulletList1"/>
              <w:cnfStyle w:val="000000010000" w:firstRow="0" w:lastRow="0" w:firstColumn="0" w:lastColumn="0" w:oddVBand="0" w:evenVBand="0" w:oddHBand="0" w:evenHBand="1" w:firstRowFirstColumn="0" w:firstRowLastColumn="0" w:lastRowFirstColumn="0" w:lastRowLastColumn="0"/>
              <w:rPr>
                <w:rFonts w:ascii="Lato" w:hAnsi="Lato"/>
              </w:rPr>
            </w:pPr>
            <w:r w:rsidRPr="001C3B42">
              <w:rPr>
                <w:rFonts w:ascii="Lato" w:hAnsi="Lato"/>
              </w:rPr>
              <w:t>Australian Accounting Standards AASB 16 Leases (AASB 16) and relevant amendments</w:t>
            </w:r>
          </w:p>
          <w:p w14:paraId="08435562" w14:textId="5895822A" w:rsidR="001C3B42" w:rsidRPr="00EB1FFC" w:rsidRDefault="001C3B42" w:rsidP="001470F4">
            <w:pPr>
              <w:pStyle w:val="NTGTableBulletList1"/>
              <w:cnfStyle w:val="000000010000" w:firstRow="0" w:lastRow="0" w:firstColumn="0" w:lastColumn="0" w:oddVBand="0" w:evenVBand="0" w:oddHBand="0" w:evenHBand="1" w:firstRowFirstColumn="0" w:firstRowLastColumn="0" w:lastRowFirstColumn="0" w:lastRowLastColumn="0"/>
              <w:rPr>
                <w:rFonts w:ascii="Lato" w:hAnsi="Lato"/>
                <w:i/>
              </w:rPr>
            </w:pPr>
            <w:r w:rsidRPr="001470F4">
              <w:rPr>
                <w:i/>
              </w:rPr>
              <w:t>Financial Management Act 1995</w:t>
            </w:r>
            <w:r w:rsidRPr="001C3B42">
              <w:rPr>
                <w:rFonts w:ascii="Lato" w:hAnsi="Lato"/>
              </w:rPr>
              <w:t xml:space="preserve"> (FMA)</w:t>
            </w:r>
          </w:p>
        </w:tc>
      </w:tr>
    </w:tbl>
    <w:p w14:paraId="22B8206A" w14:textId="0631BF29" w:rsidR="00B2229C" w:rsidRDefault="007C7061" w:rsidP="00B2229C">
      <w:pPr>
        <w:pStyle w:val="Heading1"/>
      </w:pPr>
      <w:r w:rsidRPr="007C7061">
        <w:t>Lease definition and scope</w:t>
      </w:r>
    </w:p>
    <w:p w14:paraId="4BC4A1D7" w14:textId="77777777" w:rsidR="007C7061" w:rsidRDefault="007C7061" w:rsidP="007C7061">
      <w:pPr>
        <w:pStyle w:val="ListNumber"/>
        <w:ind w:left="357" w:hanging="357"/>
      </w:pPr>
      <w:r>
        <w:t>A lease is a contract, or part of a contract, that conveys the right to control the use of an asset for a period of time in exchange for consideration.</w:t>
      </w:r>
      <w:bookmarkStart w:id="0" w:name="_GoBack"/>
      <w:bookmarkEnd w:id="0"/>
    </w:p>
    <w:p w14:paraId="518181C2" w14:textId="77777777" w:rsidR="007C7061" w:rsidRDefault="007C7061" w:rsidP="007C7061">
      <w:pPr>
        <w:pStyle w:val="ListNumber"/>
        <w:ind w:left="357" w:hanging="357"/>
      </w:pPr>
      <w:r>
        <w:t>Under a lease agreement, the lessor is the legal owner of the asset and gives the lessee the right to control the use of that asset in return for a series of payments.</w:t>
      </w:r>
    </w:p>
    <w:p w14:paraId="705BC258" w14:textId="77777777" w:rsidR="007C7061" w:rsidRPr="00D16B74" w:rsidRDefault="007C7061" w:rsidP="007C7061">
      <w:pPr>
        <w:pStyle w:val="ListNumber"/>
        <w:ind w:left="357" w:hanging="357"/>
      </w:pPr>
      <w:r w:rsidRPr="004842F4">
        <w:t>Where a contract contains a lease and non-lease components, an accountable officer must account for these separately where the non-lease component is material.</w:t>
      </w:r>
    </w:p>
    <w:p w14:paraId="0B3BA621" w14:textId="6FEC479E" w:rsidR="007C7061" w:rsidRDefault="007C7061" w:rsidP="007C7061">
      <w:pPr>
        <w:pStyle w:val="ListNumber"/>
        <w:ind w:left="357" w:hanging="357"/>
      </w:pPr>
      <w:r>
        <w:t>Pursuant to paragraph 3, where consideration of each component is not readily identifiable within the contract, an accountable officer may use judgment and document assumptions to allocate appropriate consideration to each component.</w:t>
      </w:r>
    </w:p>
    <w:p w14:paraId="5684698A" w14:textId="00716BF6" w:rsidR="007C7061" w:rsidRDefault="007C7061" w:rsidP="007C7061">
      <w:pPr>
        <w:pStyle w:val="Heading2"/>
      </w:pPr>
      <w:r>
        <w:t>Lease exclusions</w:t>
      </w:r>
    </w:p>
    <w:p w14:paraId="7B9209BF" w14:textId="77777777" w:rsidR="007C7061" w:rsidRDefault="007C7061" w:rsidP="007C7061">
      <w:pPr>
        <w:pStyle w:val="ListNumber"/>
        <w:ind w:left="357" w:hanging="357"/>
      </w:pPr>
      <w:bookmarkStart w:id="1" w:name="_Ref34841525"/>
      <w:r>
        <w:t>The following lease arrangements are excluded from the scope of AASB 16 and this Treasurer's Direction:</w:t>
      </w:r>
      <w:bookmarkEnd w:id="1"/>
    </w:p>
    <w:p w14:paraId="2C8CD155" w14:textId="77777777" w:rsidR="007C7061" w:rsidRDefault="007C7061" w:rsidP="0081438A">
      <w:pPr>
        <w:pStyle w:val="ListNumber"/>
        <w:numPr>
          <w:ilvl w:val="0"/>
          <w:numId w:val="14"/>
        </w:numPr>
        <w:ind w:left="709"/>
      </w:pPr>
      <w:r>
        <w:t>exploration leases for minerals, oils, natural gas</w:t>
      </w:r>
    </w:p>
    <w:p w14:paraId="314787EA" w14:textId="77777777" w:rsidR="007C7061" w:rsidRDefault="007C7061" w:rsidP="0081438A">
      <w:pPr>
        <w:pStyle w:val="ListNumber"/>
        <w:numPr>
          <w:ilvl w:val="0"/>
          <w:numId w:val="14"/>
        </w:numPr>
        <w:ind w:left="709"/>
      </w:pPr>
      <w:r>
        <w:t>biological assets</w:t>
      </w:r>
    </w:p>
    <w:p w14:paraId="2035F447" w14:textId="77777777" w:rsidR="007C7061" w:rsidRDefault="007C7061" w:rsidP="0081438A">
      <w:pPr>
        <w:pStyle w:val="ListNumber"/>
        <w:numPr>
          <w:ilvl w:val="0"/>
          <w:numId w:val="14"/>
        </w:numPr>
        <w:ind w:left="709"/>
      </w:pPr>
      <w:r>
        <w:t>service concession arrangements</w:t>
      </w:r>
    </w:p>
    <w:p w14:paraId="50E8FA38" w14:textId="32C8F7AF" w:rsidR="007C7061" w:rsidRDefault="007C7061" w:rsidP="0081438A">
      <w:pPr>
        <w:pStyle w:val="ListNumber"/>
        <w:numPr>
          <w:ilvl w:val="0"/>
          <w:numId w:val="14"/>
        </w:numPr>
        <w:ind w:left="709"/>
      </w:pPr>
      <w:r>
        <w:t xml:space="preserve">licences of intellectual property granted by a lessor </w:t>
      </w:r>
    </w:p>
    <w:p w14:paraId="14D4198D" w14:textId="6B70C69F" w:rsidR="007C7061" w:rsidRDefault="00CC10C0" w:rsidP="0081438A">
      <w:pPr>
        <w:pStyle w:val="ListNumber"/>
        <w:numPr>
          <w:ilvl w:val="0"/>
          <w:numId w:val="14"/>
        </w:numPr>
        <w:ind w:left="709"/>
      </w:pPr>
      <w:proofErr w:type="gramStart"/>
      <w:r>
        <w:t>and</w:t>
      </w:r>
      <w:proofErr w:type="gramEnd"/>
      <w:r>
        <w:t xml:space="preserve"> </w:t>
      </w:r>
      <w:r w:rsidR="007C7061">
        <w:t>rights held by a lessee under licensing agreements, for example motion picture films, video recordings, plays, manuscripts, patents and copyrights.</w:t>
      </w:r>
    </w:p>
    <w:p w14:paraId="27E4FC95" w14:textId="77777777" w:rsidR="007C7061" w:rsidRDefault="007C7061" w:rsidP="007C7061">
      <w:pPr>
        <w:pStyle w:val="ListNumber"/>
        <w:ind w:left="357" w:hanging="357"/>
      </w:pPr>
      <w:bookmarkStart w:id="2" w:name="_Ref34841020"/>
      <w:r>
        <w:lastRenderedPageBreak/>
        <w:t>Where an agency is a lessee, the following lease arrangements must not be accounted for in the statement of financial position, and must be expensed directly in the operating statement as a lease payment over the lease term:</w:t>
      </w:r>
      <w:bookmarkEnd w:id="2"/>
    </w:p>
    <w:p w14:paraId="16BAA91D" w14:textId="77777777" w:rsidR="007C7061" w:rsidRDefault="007C7061" w:rsidP="0081438A">
      <w:pPr>
        <w:pStyle w:val="ListNumber"/>
        <w:numPr>
          <w:ilvl w:val="0"/>
          <w:numId w:val="17"/>
        </w:numPr>
        <w:ind w:left="709"/>
      </w:pPr>
      <w:bookmarkStart w:id="3" w:name="_Ref34841016"/>
      <w:r>
        <w:t>Inter-governmental leases or subleases - Lease arrangements between Northern Territory Government agencies or consolidated entities in the general government sector</w:t>
      </w:r>
      <w:bookmarkEnd w:id="3"/>
    </w:p>
    <w:p w14:paraId="11F66DDE" w14:textId="77777777" w:rsidR="007C7061" w:rsidRDefault="007C7061" w:rsidP="0081438A">
      <w:pPr>
        <w:pStyle w:val="ListNumber"/>
        <w:numPr>
          <w:ilvl w:val="0"/>
          <w:numId w:val="17"/>
        </w:numPr>
        <w:ind w:left="709"/>
      </w:pPr>
      <w:r>
        <w:t>Short term leases - Lease agreements with a lease term of 12 months or less and with no purchase option</w:t>
      </w:r>
    </w:p>
    <w:p w14:paraId="35E19732" w14:textId="5F1E62DB" w:rsidR="007C7061" w:rsidRDefault="007C7061" w:rsidP="0081438A">
      <w:pPr>
        <w:pStyle w:val="ListNumber"/>
        <w:numPr>
          <w:ilvl w:val="0"/>
          <w:numId w:val="17"/>
        </w:numPr>
        <w:ind w:left="709"/>
      </w:pPr>
      <w:r>
        <w:t xml:space="preserve">Low value lease assets - Lease arrangements with a leased asset value, when new, of less than </w:t>
      </w:r>
      <w:r>
        <w:br/>
        <w:t>$10 000 (GST exclusive) and not subject to a sublease arrangement</w:t>
      </w:r>
    </w:p>
    <w:p w14:paraId="2A721FD3" w14:textId="77777777" w:rsidR="007C7061" w:rsidRDefault="007C7061" w:rsidP="0081438A">
      <w:pPr>
        <w:pStyle w:val="ListNumber"/>
        <w:numPr>
          <w:ilvl w:val="0"/>
          <w:numId w:val="17"/>
        </w:numPr>
        <w:ind w:left="709"/>
      </w:pPr>
      <w:r>
        <w:t>Leases of other intangible assets - Rights held by a lessee on other intangible assets (for example, computer software programs)</w:t>
      </w:r>
    </w:p>
    <w:p w14:paraId="773BA024" w14:textId="064B9FEF" w:rsidR="007C7061" w:rsidRDefault="007C7061" w:rsidP="0081438A">
      <w:pPr>
        <w:pStyle w:val="ListNumber"/>
        <w:ind w:left="357" w:hanging="357"/>
      </w:pPr>
      <w:bookmarkStart w:id="4" w:name="_Ref34841535"/>
      <w:r>
        <w:t xml:space="preserve">Government business divisions (GBD) are not permitted to apply exclusions as per </w:t>
      </w:r>
      <w:r w:rsidR="00E21242">
        <w:fldChar w:fldCharType="begin"/>
      </w:r>
      <w:r w:rsidR="00E21242">
        <w:instrText xml:space="preserve"> REF _Ref34841020 \r \h </w:instrText>
      </w:r>
      <w:r w:rsidR="00E21242">
        <w:fldChar w:fldCharType="separate"/>
      </w:r>
      <w:proofErr w:type="gramStart"/>
      <w:r w:rsidR="004842F4">
        <w:t>6</w:t>
      </w:r>
      <w:proofErr w:type="gramEnd"/>
      <w:r w:rsidR="00E21242">
        <w:fldChar w:fldCharType="end"/>
      </w:r>
      <w:r w:rsidR="00E21242">
        <w:t>.</w:t>
      </w:r>
      <w:r w:rsidR="00E21242">
        <w:fldChar w:fldCharType="begin"/>
      </w:r>
      <w:r w:rsidR="00E21242">
        <w:instrText xml:space="preserve"> REF _Ref34841016 \r \h </w:instrText>
      </w:r>
      <w:r w:rsidR="00E21242">
        <w:fldChar w:fldCharType="separate"/>
      </w:r>
      <w:proofErr w:type="gramStart"/>
      <w:r w:rsidR="004842F4">
        <w:t>a</w:t>
      </w:r>
      <w:proofErr w:type="gramEnd"/>
      <w:r w:rsidR="00E21242">
        <w:fldChar w:fldCharType="end"/>
      </w:r>
      <w:r>
        <w:t>.</w:t>
      </w:r>
      <w:bookmarkEnd w:id="4"/>
    </w:p>
    <w:p w14:paraId="0CC03EC1" w14:textId="2C68085E" w:rsidR="00820DEB" w:rsidRDefault="00961451" w:rsidP="00961451">
      <w:pPr>
        <w:pStyle w:val="Heading1"/>
      </w:pPr>
      <w:r w:rsidRPr="00961451">
        <w:t>Lease term</w:t>
      </w:r>
    </w:p>
    <w:p w14:paraId="0451F683" w14:textId="77777777" w:rsidR="00961451" w:rsidRDefault="00961451" w:rsidP="00961451">
      <w:pPr>
        <w:pStyle w:val="ListNumber"/>
        <w:ind w:left="357" w:hanging="357"/>
      </w:pPr>
      <w:r>
        <w:t>A lease term is the non-cancellable period for which a lessee has the right to use an underlying asset, together with:</w:t>
      </w:r>
    </w:p>
    <w:p w14:paraId="576AAAAC" w14:textId="77777777" w:rsidR="00961451" w:rsidRDefault="00961451" w:rsidP="0081438A">
      <w:pPr>
        <w:pStyle w:val="ListNumber"/>
        <w:numPr>
          <w:ilvl w:val="0"/>
          <w:numId w:val="18"/>
        </w:numPr>
        <w:ind w:left="709"/>
      </w:pPr>
      <w:r>
        <w:t xml:space="preserve">periods covered by an option to extend the lease, if the lessee is reasonably certain to exercise that option and can enforce the extension without the agreement of the lessor </w:t>
      </w:r>
    </w:p>
    <w:p w14:paraId="47BAE430" w14:textId="6620B06D" w:rsidR="00EB1FFC" w:rsidRDefault="00961451" w:rsidP="0081438A">
      <w:pPr>
        <w:pStyle w:val="ListNumber"/>
        <w:numPr>
          <w:ilvl w:val="0"/>
          <w:numId w:val="18"/>
        </w:numPr>
        <w:ind w:left="709"/>
      </w:pPr>
      <w:proofErr w:type="gramStart"/>
      <w:r>
        <w:t>and</w:t>
      </w:r>
      <w:proofErr w:type="gramEnd"/>
      <w:r>
        <w:t xml:space="preserve"> periods covered by an option to terminate the lease, if the lessee is reasonably certain not to exercise that option or the termination option is controlled by the lessor.</w:t>
      </w:r>
    </w:p>
    <w:p w14:paraId="5B74FE14" w14:textId="5C17E78A" w:rsidR="00961451" w:rsidRDefault="00961451" w:rsidP="00961451">
      <w:pPr>
        <w:pStyle w:val="Heading1"/>
      </w:pPr>
      <w:r>
        <w:t>Risk management</w:t>
      </w:r>
    </w:p>
    <w:p w14:paraId="1C1A8C86" w14:textId="1A49B7AE" w:rsidR="00961451" w:rsidRPr="00961451" w:rsidRDefault="00961451" w:rsidP="00961451">
      <w:pPr>
        <w:pStyle w:val="Heading2"/>
      </w:pPr>
      <w:r>
        <w:t>Risk assessment</w:t>
      </w:r>
    </w:p>
    <w:p w14:paraId="3A6B35F6" w14:textId="132D614E" w:rsidR="00961451" w:rsidRDefault="00961451" w:rsidP="00961451">
      <w:pPr>
        <w:pStyle w:val="ListNumber"/>
        <w:ind w:left="357" w:hanging="357"/>
      </w:pPr>
      <w:r>
        <w:t xml:space="preserve">An accountable officer must conduct and document a risk assessment prior to following the approval process outlined in paragraphs </w:t>
      </w:r>
      <w:r w:rsidR="00E21242">
        <w:fldChar w:fldCharType="begin"/>
      </w:r>
      <w:r w:rsidR="00E21242">
        <w:instrText xml:space="preserve"> REF _Ref34841064 \r \h </w:instrText>
      </w:r>
      <w:r w:rsidR="00E21242">
        <w:fldChar w:fldCharType="separate"/>
      </w:r>
      <w:r w:rsidR="004842F4">
        <w:t>14</w:t>
      </w:r>
      <w:r w:rsidR="00E21242">
        <w:fldChar w:fldCharType="end"/>
      </w:r>
      <w:r>
        <w:t xml:space="preserve"> to </w:t>
      </w:r>
      <w:r w:rsidR="00E21242">
        <w:fldChar w:fldCharType="begin"/>
      </w:r>
      <w:r w:rsidR="00E21242">
        <w:instrText xml:space="preserve"> REF _Ref34841074 \r \h </w:instrText>
      </w:r>
      <w:r w:rsidR="00E21242">
        <w:fldChar w:fldCharType="separate"/>
      </w:r>
      <w:r w:rsidR="004842F4">
        <w:t>15</w:t>
      </w:r>
      <w:r w:rsidR="00E21242">
        <w:fldChar w:fldCharType="end"/>
      </w:r>
      <w:r>
        <w:t xml:space="preserve"> and </w:t>
      </w:r>
      <w:r w:rsidR="00E21242">
        <w:fldChar w:fldCharType="begin"/>
      </w:r>
      <w:r w:rsidR="00E21242">
        <w:instrText xml:space="preserve"> REF _Ref34841087 \r \h </w:instrText>
      </w:r>
      <w:r w:rsidR="00E21242">
        <w:fldChar w:fldCharType="separate"/>
      </w:r>
      <w:r w:rsidR="004842F4">
        <w:t>27</w:t>
      </w:r>
      <w:r w:rsidR="00E21242">
        <w:fldChar w:fldCharType="end"/>
      </w:r>
      <w:r>
        <w:t xml:space="preserve"> to </w:t>
      </w:r>
      <w:r w:rsidR="00E21242">
        <w:fldChar w:fldCharType="begin"/>
      </w:r>
      <w:r w:rsidR="00E21242">
        <w:instrText xml:space="preserve"> REF _Ref34841099 \r \h </w:instrText>
      </w:r>
      <w:r w:rsidR="00E21242">
        <w:fldChar w:fldCharType="separate"/>
      </w:r>
      <w:r w:rsidR="004842F4">
        <w:t>31</w:t>
      </w:r>
      <w:r w:rsidR="00E21242">
        <w:fldChar w:fldCharType="end"/>
      </w:r>
      <w:r>
        <w:t xml:space="preserve"> to determine the risks assumed for lease arrangements:</w:t>
      </w:r>
    </w:p>
    <w:p w14:paraId="3E01E540" w14:textId="77777777" w:rsidR="00961451" w:rsidRDefault="00961451" w:rsidP="0081438A">
      <w:pPr>
        <w:pStyle w:val="ListNumber"/>
        <w:numPr>
          <w:ilvl w:val="0"/>
          <w:numId w:val="19"/>
        </w:numPr>
        <w:ind w:left="709"/>
      </w:pPr>
      <w:r>
        <w:t xml:space="preserve">are commensurate with the objectives, scope and benefits of the lease arrangement </w:t>
      </w:r>
    </w:p>
    <w:p w14:paraId="69C49BA5" w14:textId="77777777" w:rsidR="00961451" w:rsidRDefault="00961451" w:rsidP="0081438A">
      <w:pPr>
        <w:pStyle w:val="ListNumber"/>
        <w:numPr>
          <w:ilvl w:val="0"/>
          <w:numId w:val="19"/>
        </w:numPr>
        <w:ind w:left="709"/>
      </w:pPr>
      <w:proofErr w:type="gramStart"/>
      <w:r>
        <w:t>and</w:t>
      </w:r>
      <w:proofErr w:type="gramEnd"/>
      <w:r>
        <w:t xml:space="preserve"> do not present unacceptable risk exposure to the NT Government.</w:t>
      </w:r>
    </w:p>
    <w:p w14:paraId="3693E926" w14:textId="77777777" w:rsidR="00961451" w:rsidRDefault="00961451" w:rsidP="00961451">
      <w:pPr>
        <w:pStyle w:val="Heading2"/>
      </w:pPr>
      <w:r>
        <w:t>Monitoring and evaluation</w:t>
      </w:r>
    </w:p>
    <w:p w14:paraId="63643955" w14:textId="77777777" w:rsidR="00961451" w:rsidRDefault="00961451" w:rsidP="00961451">
      <w:pPr>
        <w:pStyle w:val="ListNumber"/>
        <w:ind w:left="357" w:hanging="357"/>
      </w:pPr>
      <w:r>
        <w:t>An accountable officer must monitor risks relating to lease arrangements which must include at a minimum:</w:t>
      </w:r>
    </w:p>
    <w:p w14:paraId="16F86C9D" w14:textId="77777777" w:rsidR="00961451" w:rsidRDefault="00961451" w:rsidP="0081438A">
      <w:pPr>
        <w:pStyle w:val="ListNumber"/>
        <w:numPr>
          <w:ilvl w:val="0"/>
          <w:numId w:val="20"/>
        </w:numPr>
        <w:ind w:left="709"/>
      </w:pPr>
      <w:r>
        <w:t>monitoring, evaluating and documenting identified risks at least once every financial year</w:t>
      </w:r>
    </w:p>
    <w:p w14:paraId="536B8ABE" w14:textId="77777777" w:rsidR="00961451" w:rsidRDefault="00961451" w:rsidP="0081438A">
      <w:pPr>
        <w:pStyle w:val="ListNumber"/>
        <w:numPr>
          <w:ilvl w:val="0"/>
          <w:numId w:val="20"/>
        </w:numPr>
        <w:ind w:left="709"/>
      </w:pPr>
      <w:proofErr w:type="gramStart"/>
      <w:r>
        <w:t>where</w:t>
      </w:r>
      <w:proofErr w:type="gramEnd"/>
      <w:r>
        <w:t xml:space="preserve"> applicable, taking action to mitigate or minimise identified risks within a reasonable timeframe.</w:t>
      </w:r>
    </w:p>
    <w:p w14:paraId="1CDEF377" w14:textId="48CACB98" w:rsidR="00961451" w:rsidRDefault="00961451" w:rsidP="00961451">
      <w:pPr>
        <w:pStyle w:val="Heading1"/>
      </w:pPr>
      <w:r>
        <w:t>Accounting by lessor</w:t>
      </w:r>
    </w:p>
    <w:p w14:paraId="0594A8E2" w14:textId="77777777" w:rsidR="00961451" w:rsidRDefault="00961451" w:rsidP="00961451">
      <w:pPr>
        <w:pStyle w:val="ListNumber"/>
        <w:ind w:left="357" w:hanging="357"/>
      </w:pPr>
      <w:r>
        <w:t>Where an agency is a lessor in the lease arrangement, it must classify each of its lease agreements as either finance or operating leases at the inception date.</w:t>
      </w:r>
    </w:p>
    <w:p w14:paraId="331F8AAB" w14:textId="77777777" w:rsidR="00961451" w:rsidRDefault="00961451" w:rsidP="00961451">
      <w:pPr>
        <w:pStyle w:val="ListNumber"/>
        <w:ind w:left="357" w:hanging="357"/>
      </w:pPr>
      <w:r>
        <w:lastRenderedPageBreak/>
        <w:t>A finance lease is an arrangement where the lessor transfers substantially all the risks and rewards incidental to the use of the leased asset to the lessee.</w:t>
      </w:r>
    </w:p>
    <w:p w14:paraId="5C178E2C" w14:textId="77777777" w:rsidR="00961451" w:rsidRDefault="00961451" w:rsidP="00961451">
      <w:pPr>
        <w:pStyle w:val="ListNumber"/>
        <w:ind w:left="357" w:hanging="357"/>
      </w:pPr>
      <w:r>
        <w:t>An operating lease is an arrangement where the lessor effectively retains substantially all the risk and rewards of ownership of the leased asset.</w:t>
      </w:r>
    </w:p>
    <w:p w14:paraId="0EB615D7" w14:textId="77777777" w:rsidR="00961451" w:rsidRDefault="00961451" w:rsidP="00961451">
      <w:pPr>
        <w:pStyle w:val="Heading2"/>
      </w:pPr>
      <w:r>
        <w:t>Approval process</w:t>
      </w:r>
    </w:p>
    <w:p w14:paraId="7A708323" w14:textId="77777777" w:rsidR="00961451" w:rsidRDefault="00961451" w:rsidP="00961451">
      <w:pPr>
        <w:pStyle w:val="ListNumber"/>
        <w:ind w:left="357" w:hanging="357"/>
      </w:pPr>
      <w:bookmarkStart w:id="5" w:name="_Ref34841064"/>
      <w:r>
        <w:t>Lease arrangements classified as finance lease, is a form of lending and can only be approved in accordance with section 31 of the FMA, by either:</w:t>
      </w:r>
      <w:bookmarkEnd w:id="5"/>
    </w:p>
    <w:p w14:paraId="4963D218" w14:textId="77777777" w:rsidR="00961451" w:rsidRDefault="00961451" w:rsidP="0081438A">
      <w:pPr>
        <w:pStyle w:val="ListNumber"/>
        <w:numPr>
          <w:ilvl w:val="0"/>
          <w:numId w:val="21"/>
        </w:numPr>
        <w:ind w:left="709"/>
      </w:pPr>
      <w:r>
        <w:t xml:space="preserve">the Treasurer or </w:t>
      </w:r>
    </w:p>
    <w:p w14:paraId="157FD0A4" w14:textId="77777777" w:rsidR="00961451" w:rsidRDefault="00961451" w:rsidP="0081438A">
      <w:pPr>
        <w:pStyle w:val="ListNumber"/>
        <w:numPr>
          <w:ilvl w:val="0"/>
          <w:numId w:val="21"/>
        </w:numPr>
        <w:ind w:left="709"/>
      </w:pPr>
      <w:bookmarkStart w:id="6" w:name="_Ref34841126"/>
      <w:proofErr w:type="gramStart"/>
      <w:r>
        <w:t>a</w:t>
      </w:r>
      <w:proofErr w:type="gramEnd"/>
      <w:r>
        <w:t xml:space="preserve"> delegate authorised by section 39(1) of the FMA.</w:t>
      </w:r>
      <w:bookmarkEnd w:id="6"/>
    </w:p>
    <w:p w14:paraId="6373E8F6" w14:textId="0BEB140C" w:rsidR="00961451" w:rsidRDefault="00961451" w:rsidP="00961451">
      <w:pPr>
        <w:pStyle w:val="ListNumber"/>
        <w:ind w:left="357" w:hanging="357"/>
      </w:pPr>
      <w:bookmarkStart w:id="7" w:name="_Ref34841074"/>
      <w:r>
        <w:t xml:space="preserve">Pursuant to paragraph </w:t>
      </w:r>
      <w:r w:rsidR="00E21242">
        <w:fldChar w:fldCharType="begin"/>
      </w:r>
      <w:r w:rsidR="00E21242">
        <w:instrText xml:space="preserve"> REF _Ref34841064 \r \h </w:instrText>
      </w:r>
      <w:r w:rsidR="00E21242">
        <w:fldChar w:fldCharType="separate"/>
      </w:r>
      <w:r w:rsidR="004842F4">
        <w:t>14</w:t>
      </w:r>
      <w:r w:rsidR="00E21242">
        <w:fldChar w:fldCharType="end"/>
      </w:r>
      <w:r w:rsidR="00E21242">
        <w:t>.</w:t>
      </w:r>
      <w:r w:rsidR="00E21242">
        <w:fldChar w:fldCharType="begin"/>
      </w:r>
      <w:r w:rsidR="00E21242">
        <w:instrText xml:space="preserve"> REF _Ref34841126 \r \h </w:instrText>
      </w:r>
      <w:r w:rsidR="00E21242">
        <w:fldChar w:fldCharType="separate"/>
      </w:r>
      <w:r w:rsidR="004842F4">
        <w:t>b</w:t>
      </w:r>
      <w:r w:rsidR="00E21242">
        <w:fldChar w:fldCharType="end"/>
      </w:r>
      <w:r>
        <w:t>, an accountable officer may approve finance lease arrangements when all the following criteria are met:</w:t>
      </w:r>
      <w:bookmarkEnd w:id="7"/>
    </w:p>
    <w:p w14:paraId="70BD06D9" w14:textId="77777777" w:rsidR="00961451" w:rsidRDefault="00961451" w:rsidP="0081438A">
      <w:pPr>
        <w:pStyle w:val="ListNumber"/>
        <w:numPr>
          <w:ilvl w:val="0"/>
          <w:numId w:val="22"/>
        </w:numPr>
        <w:ind w:left="709"/>
      </w:pPr>
      <w:r>
        <w:t>leasing the asset is the most appropriate course of action</w:t>
      </w:r>
    </w:p>
    <w:p w14:paraId="1EBC98BD" w14:textId="77777777" w:rsidR="00961451" w:rsidRDefault="00961451" w:rsidP="0081438A">
      <w:pPr>
        <w:pStyle w:val="ListNumber"/>
        <w:numPr>
          <w:ilvl w:val="0"/>
          <w:numId w:val="22"/>
        </w:numPr>
        <w:ind w:left="709"/>
      </w:pPr>
      <w:r>
        <w:t xml:space="preserve">the total lease receivable per contract is assessed as having a value of less than $500 000 (GST exclusive) </w:t>
      </w:r>
    </w:p>
    <w:p w14:paraId="443C3F56" w14:textId="77777777" w:rsidR="00961451" w:rsidRDefault="00961451" w:rsidP="0081438A">
      <w:pPr>
        <w:pStyle w:val="ListNumber"/>
        <w:numPr>
          <w:ilvl w:val="0"/>
          <w:numId w:val="22"/>
        </w:numPr>
        <w:ind w:left="709"/>
      </w:pPr>
      <w:proofErr w:type="gramStart"/>
      <w:r>
        <w:t>and</w:t>
      </w:r>
      <w:proofErr w:type="gramEnd"/>
      <w:r>
        <w:t xml:space="preserve"> the lease arrangement is within the accountable officer's area of responsibility.</w:t>
      </w:r>
    </w:p>
    <w:p w14:paraId="56569451" w14:textId="77777777" w:rsidR="00961451" w:rsidRDefault="00961451" w:rsidP="00961451">
      <w:pPr>
        <w:pStyle w:val="Heading2"/>
      </w:pPr>
      <w:r>
        <w:t>Recognition and measurement</w:t>
      </w:r>
    </w:p>
    <w:p w14:paraId="5284CB9B" w14:textId="77777777" w:rsidR="00961451" w:rsidRDefault="00961451" w:rsidP="00961451">
      <w:pPr>
        <w:pStyle w:val="Heading3"/>
      </w:pPr>
      <w:r>
        <w:t xml:space="preserve">Finance lease </w:t>
      </w:r>
    </w:p>
    <w:p w14:paraId="4B83CD87" w14:textId="77777777" w:rsidR="00961451" w:rsidRDefault="00961451" w:rsidP="00961451">
      <w:pPr>
        <w:pStyle w:val="Heading4"/>
      </w:pPr>
      <w:r>
        <w:t>Initial measurement</w:t>
      </w:r>
    </w:p>
    <w:p w14:paraId="1A70942E" w14:textId="77777777" w:rsidR="00961451" w:rsidRDefault="00961451" w:rsidP="00961451">
      <w:pPr>
        <w:pStyle w:val="ListNumber"/>
        <w:ind w:left="357" w:hanging="357"/>
      </w:pPr>
      <w:r>
        <w:t xml:space="preserve">Agencies must recognise a receivable equal to the net investment in the lease and derecognise the underlying asset on the statement of financial position. </w:t>
      </w:r>
    </w:p>
    <w:p w14:paraId="6BF15DE8" w14:textId="77777777" w:rsidR="00961451" w:rsidRDefault="00961451" w:rsidP="00961451">
      <w:pPr>
        <w:pStyle w:val="ListNumber"/>
        <w:ind w:left="357" w:hanging="357"/>
      </w:pPr>
      <w:r>
        <w:t>The net investment is to be measured at the present value of future lease receipts over the lease term.</w:t>
      </w:r>
    </w:p>
    <w:p w14:paraId="25AC8C23" w14:textId="77777777" w:rsidR="00961451" w:rsidRDefault="00961451" w:rsidP="00961451">
      <w:pPr>
        <w:pStyle w:val="ListNumber"/>
        <w:ind w:left="357" w:hanging="357"/>
      </w:pPr>
      <w:r>
        <w:t>Agencies must use an appropriate discount rate commensurate with the lease term to calculate the present value of the net investment if the interest rate implicit in the lease arrangement cannot be readily determined.</w:t>
      </w:r>
    </w:p>
    <w:p w14:paraId="6788E21F" w14:textId="77777777" w:rsidR="00961451" w:rsidRDefault="00961451" w:rsidP="00961451">
      <w:pPr>
        <w:pStyle w:val="Heading4"/>
      </w:pPr>
      <w:r>
        <w:t>Subsequent measurement</w:t>
      </w:r>
    </w:p>
    <w:p w14:paraId="09579D13" w14:textId="77777777" w:rsidR="00961451" w:rsidRDefault="00961451" w:rsidP="00961451">
      <w:pPr>
        <w:pStyle w:val="ListNumber"/>
        <w:ind w:left="357" w:hanging="357"/>
      </w:pPr>
      <w:r>
        <w:t>Agencies must annually recognise lease interest income and a reduction to the lease receivable equivalent to the lease receipt over the lease term.</w:t>
      </w:r>
    </w:p>
    <w:p w14:paraId="0131A544" w14:textId="77777777" w:rsidR="00961451" w:rsidRDefault="00961451" w:rsidP="00961451">
      <w:pPr>
        <w:pStyle w:val="ListNumber"/>
        <w:ind w:left="357" w:hanging="357"/>
      </w:pPr>
      <w:r>
        <w:t>An accountable officer must ensure at each reporting date:</w:t>
      </w:r>
    </w:p>
    <w:p w14:paraId="689DE07E" w14:textId="77777777" w:rsidR="00961451" w:rsidRDefault="00961451" w:rsidP="0081438A">
      <w:pPr>
        <w:pStyle w:val="ListNumber"/>
        <w:numPr>
          <w:ilvl w:val="0"/>
          <w:numId w:val="23"/>
        </w:numPr>
        <w:ind w:left="709"/>
      </w:pPr>
      <w:r>
        <w:t xml:space="preserve">lease receivables are assessed for impairment and the outcome documented </w:t>
      </w:r>
    </w:p>
    <w:p w14:paraId="0BBA23DC" w14:textId="77777777" w:rsidR="00961451" w:rsidRDefault="00961451" w:rsidP="0081438A">
      <w:pPr>
        <w:pStyle w:val="ListNumber"/>
        <w:numPr>
          <w:ilvl w:val="0"/>
          <w:numId w:val="23"/>
        </w:numPr>
        <w:ind w:left="709"/>
      </w:pPr>
      <w:proofErr w:type="gramStart"/>
      <w:r>
        <w:t>and</w:t>
      </w:r>
      <w:proofErr w:type="gramEnd"/>
      <w:r>
        <w:t xml:space="preserve"> where applicable, impairment losses are measured and recognised.</w:t>
      </w:r>
    </w:p>
    <w:p w14:paraId="7EFE64F1" w14:textId="77777777" w:rsidR="00961451" w:rsidRDefault="00961451" w:rsidP="00961451">
      <w:pPr>
        <w:pStyle w:val="Heading3"/>
      </w:pPr>
      <w:r>
        <w:t xml:space="preserve">Operating lease </w:t>
      </w:r>
    </w:p>
    <w:p w14:paraId="00737055" w14:textId="77777777" w:rsidR="00961451" w:rsidRDefault="00961451" w:rsidP="00961451">
      <w:pPr>
        <w:pStyle w:val="ListNumber"/>
        <w:ind w:left="357" w:hanging="357"/>
      </w:pPr>
      <w:r>
        <w:t>Agencies must recognise lease payments as income in the comprehensive operating statement on a straight-line basis over the lease term, unless another systematic basis is more representative.</w:t>
      </w:r>
    </w:p>
    <w:p w14:paraId="67A92D3D" w14:textId="77777777" w:rsidR="00961451" w:rsidRDefault="00961451" w:rsidP="00961451">
      <w:pPr>
        <w:pStyle w:val="Heading3"/>
      </w:pPr>
      <w:r>
        <w:t>Sublease arrangement</w:t>
      </w:r>
    </w:p>
    <w:p w14:paraId="60397E7C" w14:textId="77777777" w:rsidR="00961451" w:rsidRDefault="00961451" w:rsidP="00961451">
      <w:pPr>
        <w:pStyle w:val="ListNumber"/>
        <w:ind w:left="357" w:hanging="357"/>
      </w:pPr>
      <w:r>
        <w:t>A sublease is an arrangement where the underlying asset is re-leased by a lessee (intermediate lessor) to another party, and the lease (head lease) between the head lessor and original lessee remains in effect.</w:t>
      </w:r>
    </w:p>
    <w:p w14:paraId="18B653FC" w14:textId="7F73E32E" w:rsidR="00961451" w:rsidRDefault="00961451" w:rsidP="00961451">
      <w:pPr>
        <w:pStyle w:val="ListNumber"/>
        <w:ind w:left="357" w:hanging="357"/>
      </w:pPr>
      <w:bookmarkStart w:id="8" w:name="_Ref34841176"/>
      <w:r>
        <w:t xml:space="preserve">Sublease arrangements are only to be assessed in accordance with paragraph </w:t>
      </w:r>
      <w:r w:rsidR="00E21242">
        <w:fldChar w:fldCharType="begin"/>
      </w:r>
      <w:r w:rsidR="00E21242">
        <w:instrText xml:space="preserve"> REF _Ref34841158 \r \h </w:instrText>
      </w:r>
      <w:r w:rsidR="00E21242">
        <w:fldChar w:fldCharType="separate"/>
      </w:r>
      <w:r w:rsidR="004842F4">
        <w:t>25</w:t>
      </w:r>
      <w:r w:rsidR="00E21242">
        <w:fldChar w:fldCharType="end"/>
      </w:r>
      <w:r>
        <w:t xml:space="preserve"> where all the following criteria are met:</w:t>
      </w:r>
      <w:bookmarkEnd w:id="8"/>
      <w:r>
        <w:t xml:space="preserve"> </w:t>
      </w:r>
    </w:p>
    <w:p w14:paraId="25C0A478" w14:textId="77777777" w:rsidR="00961451" w:rsidRDefault="00961451" w:rsidP="0081438A">
      <w:pPr>
        <w:pStyle w:val="ListNumber"/>
        <w:numPr>
          <w:ilvl w:val="0"/>
          <w:numId w:val="24"/>
        </w:numPr>
        <w:ind w:left="709"/>
      </w:pPr>
      <w:bookmarkStart w:id="9" w:name="_Ref34841183"/>
      <w:r>
        <w:t>the sublease is to a party external to government or a government owned corporation</w:t>
      </w:r>
      <w:bookmarkEnd w:id="9"/>
    </w:p>
    <w:p w14:paraId="6A7252BA" w14:textId="77777777" w:rsidR="00961451" w:rsidRDefault="00961451" w:rsidP="0081438A">
      <w:pPr>
        <w:pStyle w:val="ListNumber"/>
        <w:numPr>
          <w:ilvl w:val="0"/>
          <w:numId w:val="24"/>
        </w:numPr>
        <w:ind w:left="709"/>
      </w:pPr>
      <w:r>
        <w:t xml:space="preserve">the subleased asset is material in proportion to the entire asset </w:t>
      </w:r>
    </w:p>
    <w:p w14:paraId="3EDCA02F" w14:textId="77777777" w:rsidR="00961451" w:rsidRDefault="00961451" w:rsidP="0081438A">
      <w:pPr>
        <w:pStyle w:val="ListNumber"/>
        <w:numPr>
          <w:ilvl w:val="0"/>
          <w:numId w:val="24"/>
        </w:numPr>
        <w:ind w:left="709"/>
      </w:pPr>
      <w:proofErr w:type="gramStart"/>
      <w:r>
        <w:t>and</w:t>
      </w:r>
      <w:proofErr w:type="gramEnd"/>
      <w:r>
        <w:t xml:space="preserve"> is not a peppercorn lease.</w:t>
      </w:r>
    </w:p>
    <w:p w14:paraId="30F9F328" w14:textId="12C1F9C4" w:rsidR="00961451" w:rsidRDefault="00961451" w:rsidP="00961451">
      <w:pPr>
        <w:pStyle w:val="ListNumber"/>
        <w:ind w:left="357" w:hanging="357"/>
      </w:pPr>
      <w:bookmarkStart w:id="10" w:name="_Ref34841211"/>
      <w:r>
        <w:t xml:space="preserve">Pursuant to paragraph </w:t>
      </w:r>
      <w:r w:rsidR="00E21242">
        <w:fldChar w:fldCharType="begin"/>
      </w:r>
      <w:r w:rsidR="00E21242">
        <w:instrText xml:space="preserve"> REF _Ref34841176 \r \h </w:instrText>
      </w:r>
      <w:r w:rsidR="00E21242">
        <w:fldChar w:fldCharType="separate"/>
      </w:r>
      <w:r w:rsidR="004842F4">
        <w:t>23</w:t>
      </w:r>
      <w:r w:rsidR="00E21242">
        <w:fldChar w:fldCharType="end"/>
      </w:r>
      <w:r w:rsidR="00E21242">
        <w:t>.</w:t>
      </w:r>
      <w:r w:rsidR="00E21242">
        <w:fldChar w:fldCharType="begin"/>
      </w:r>
      <w:r w:rsidR="00E21242">
        <w:instrText xml:space="preserve"> REF _Ref34841183 \r \h </w:instrText>
      </w:r>
      <w:r w:rsidR="00E21242">
        <w:fldChar w:fldCharType="separate"/>
      </w:r>
      <w:proofErr w:type="gramStart"/>
      <w:r w:rsidR="004842F4">
        <w:t>a</w:t>
      </w:r>
      <w:proofErr w:type="gramEnd"/>
      <w:r w:rsidR="00E21242">
        <w:fldChar w:fldCharType="end"/>
      </w:r>
      <w:r>
        <w:t>, for a GBD, a sublease includes arrangements with Northern Territory Government agencies or consolidated entities in the general government sector.</w:t>
      </w:r>
      <w:bookmarkEnd w:id="10"/>
    </w:p>
    <w:p w14:paraId="7FF21554" w14:textId="6C805CAC" w:rsidR="00961451" w:rsidRDefault="00961451" w:rsidP="00961451">
      <w:pPr>
        <w:pStyle w:val="ListNumber"/>
        <w:ind w:left="357" w:hanging="357"/>
      </w:pPr>
      <w:bookmarkStart w:id="11" w:name="_Ref34841158"/>
      <w:r>
        <w:t xml:space="preserve">Pursuant to paragraph </w:t>
      </w:r>
      <w:r w:rsidR="00E21242">
        <w:fldChar w:fldCharType="begin"/>
      </w:r>
      <w:r w:rsidR="00E21242">
        <w:instrText xml:space="preserve"> REF _Ref34841176 \r \h </w:instrText>
      </w:r>
      <w:r w:rsidR="00E21242">
        <w:fldChar w:fldCharType="separate"/>
      </w:r>
      <w:r w:rsidR="004842F4">
        <w:t>23</w:t>
      </w:r>
      <w:r w:rsidR="00E21242">
        <w:fldChar w:fldCharType="end"/>
      </w:r>
      <w:r>
        <w:t xml:space="preserve"> and </w:t>
      </w:r>
      <w:r w:rsidR="00E21242">
        <w:fldChar w:fldCharType="begin"/>
      </w:r>
      <w:r w:rsidR="00E21242">
        <w:instrText xml:space="preserve"> REF _Ref34841211 \r \h </w:instrText>
      </w:r>
      <w:r w:rsidR="00E21242">
        <w:fldChar w:fldCharType="separate"/>
      </w:r>
      <w:r w:rsidR="004842F4">
        <w:t>24</w:t>
      </w:r>
      <w:r w:rsidR="00E21242">
        <w:fldChar w:fldCharType="end"/>
      </w:r>
      <w:r>
        <w:t>, an intermediate lessor must classify subleases as follows:</w:t>
      </w:r>
      <w:bookmarkEnd w:id="11"/>
    </w:p>
    <w:p w14:paraId="05292284" w14:textId="77777777" w:rsidR="00961451" w:rsidRDefault="00961451" w:rsidP="0081438A">
      <w:pPr>
        <w:pStyle w:val="ListNumber"/>
        <w:numPr>
          <w:ilvl w:val="0"/>
          <w:numId w:val="25"/>
        </w:numPr>
        <w:ind w:left="709"/>
      </w:pPr>
      <w:r>
        <w:t>the sublease shall be classified as a finance lease if:</w:t>
      </w:r>
    </w:p>
    <w:p w14:paraId="161DE41E" w14:textId="77777777" w:rsidR="00961451" w:rsidRDefault="00961451" w:rsidP="0081438A">
      <w:pPr>
        <w:pStyle w:val="ListNumber3"/>
        <w:numPr>
          <w:ilvl w:val="2"/>
          <w:numId w:val="16"/>
        </w:numPr>
        <w:ind w:left="1134" w:hanging="141"/>
      </w:pPr>
      <w:r>
        <w:t xml:space="preserve">the lease term is more than 12 months and forms majority of the expected term of the right-of-use asset under the head lease arrangement </w:t>
      </w:r>
    </w:p>
    <w:p w14:paraId="13C5154A" w14:textId="77777777" w:rsidR="00961451" w:rsidRDefault="00961451" w:rsidP="0081438A">
      <w:pPr>
        <w:pStyle w:val="ListNumber3"/>
        <w:numPr>
          <w:ilvl w:val="2"/>
          <w:numId w:val="16"/>
        </w:numPr>
        <w:ind w:left="1134" w:hanging="141"/>
      </w:pPr>
      <w:proofErr w:type="gramStart"/>
      <w:r>
        <w:t>and</w:t>
      </w:r>
      <w:proofErr w:type="gramEnd"/>
      <w:r>
        <w:t xml:space="preserve"> is assessed and deemed as material by the accountable officer.</w:t>
      </w:r>
    </w:p>
    <w:p w14:paraId="0ACE68D1" w14:textId="77777777" w:rsidR="00961451" w:rsidRDefault="00961451" w:rsidP="0081438A">
      <w:pPr>
        <w:pStyle w:val="ListNumber"/>
        <w:numPr>
          <w:ilvl w:val="0"/>
          <w:numId w:val="25"/>
        </w:numPr>
        <w:ind w:left="709"/>
      </w:pPr>
      <w:r>
        <w:t xml:space="preserve"> </w:t>
      </w:r>
      <w:proofErr w:type="gramStart"/>
      <w:r>
        <w:t>otherwise</w:t>
      </w:r>
      <w:proofErr w:type="gramEnd"/>
      <w:r>
        <w:t>, the sublease shall be classified as an operating lease.</w:t>
      </w:r>
    </w:p>
    <w:p w14:paraId="2B97BE7E" w14:textId="77777777" w:rsidR="00961451" w:rsidRDefault="00961451" w:rsidP="00961451">
      <w:pPr>
        <w:pStyle w:val="Heading1"/>
      </w:pPr>
      <w:r>
        <w:t>Accounting by lessee</w:t>
      </w:r>
    </w:p>
    <w:p w14:paraId="2CC68D81" w14:textId="55CDF3A8" w:rsidR="00961451" w:rsidRDefault="00961451" w:rsidP="004B569A">
      <w:pPr>
        <w:pStyle w:val="ListNumber"/>
        <w:ind w:left="357" w:hanging="357"/>
      </w:pPr>
      <w:r>
        <w:t>Where an agency is a lessee in the lease arrangement, it shall recognise a right-of-use asset and lease liability at the commencement date of the lease arrangement in the statement of financial position.</w:t>
      </w:r>
    </w:p>
    <w:p w14:paraId="582F5E69" w14:textId="77777777" w:rsidR="00961451" w:rsidRDefault="00961451" w:rsidP="00961451">
      <w:pPr>
        <w:pStyle w:val="Heading2"/>
      </w:pPr>
      <w:r>
        <w:t>Approval process</w:t>
      </w:r>
    </w:p>
    <w:p w14:paraId="2C45C61A" w14:textId="485E6166" w:rsidR="00961451" w:rsidRDefault="00961451" w:rsidP="00961451">
      <w:pPr>
        <w:pStyle w:val="ListNumber"/>
        <w:ind w:left="357" w:hanging="357"/>
      </w:pPr>
      <w:bookmarkStart w:id="12" w:name="_Ref34841087"/>
      <w:r>
        <w:t xml:space="preserve">Lease arrangements, with the exception of arrangements falling under paragraph </w:t>
      </w:r>
      <w:r w:rsidR="00E21242">
        <w:fldChar w:fldCharType="begin"/>
      </w:r>
      <w:r w:rsidR="00E21242">
        <w:instrText xml:space="preserve"> REF _Ref34841020 \r \h </w:instrText>
      </w:r>
      <w:r w:rsidR="00E21242">
        <w:fldChar w:fldCharType="separate"/>
      </w:r>
      <w:r w:rsidR="004842F4">
        <w:t>6</w:t>
      </w:r>
      <w:r w:rsidR="00E21242">
        <w:fldChar w:fldCharType="end"/>
      </w:r>
      <w:r>
        <w:t>, are a form of borrowing and can only be approved in accordance with section 32 of the FMA by either</w:t>
      </w:r>
      <w:bookmarkEnd w:id="12"/>
      <w:r>
        <w:t xml:space="preserve"> </w:t>
      </w:r>
    </w:p>
    <w:p w14:paraId="0BCD92C3" w14:textId="77777777" w:rsidR="00961451" w:rsidRDefault="00961451" w:rsidP="0081438A">
      <w:pPr>
        <w:pStyle w:val="ListNumber"/>
        <w:numPr>
          <w:ilvl w:val="0"/>
          <w:numId w:val="26"/>
        </w:numPr>
        <w:ind w:left="709"/>
      </w:pPr>
      <w:r>
        <w:t xml:space="preserve">the Treasurer  </w:t>
      </w:r>
    </w:p>
    <w:p w14:paraId="688408F8" w14:textId="77777777" w:rsidR="00961451" w:rsidRDefault="00961451" w:rsidP="0081438A">
      <w:pPr>
        <w:pStyle w:val="ListNumber"/>
        <w:numPr>
          <w:ilvl w:val="0"/>
          <w:numId w:val="26"/>
        </w:numPr>
        <w:ind w:left="709"/>
      </w:pPr>
      <w:bookmarkStart w:id="13" w:name="_Ref34841249"/>
      <w:proofErr w:type="gramStart"/>
      <w:r>
        <w:t>or</w:t>
      </w:r>
      <w:proofErr w:type="gramEnd"/>
      <w:r>
        <w:t xml:space="preserve"> a delegate authorised by section 39(1) of the FMA.</w:t>
      </w:r>
      <w:bookmarkEnd w:id="13"/>
    </w:p>
    <w:p w14:paraId="2C5912E6" w14:textId="4B644646" w:rsidR="00961451" w:rsidRDefault="00961451" w:rsidP="00961451">
      <w:pPr>
        <w:pStyle w:val="ListNumber"/>
        <w:ind w:left="357" w:hanging="357"/>
      </w:pPr>
      <w:r>
        <w:t xml:space="preserve">Pursuant to paragraph </w:t>
      </w:r>
      <w:r w:rsidR="00E21242">
        <w:fldChar w:fldCharType="begin"/>
      </w:r>
      <w:r w:rsidR="00E21242">
        <w:instrText xml:space="preserve"> REF _Ref34841087 \r \h </w:instrText>
      </w:r>
      <w:r w:rsidR="00E21242">
        <w:fldChar w:fldCharType="separate"/>
      </w:r>
      <w:r w:rsidR="004842F4">
        <w:t>27</w:t>
      </w:r>
      <w:r w:rsidR="00E21242">
        <w:fldChar w:fldCharType="end"/>
      </w:r>
      <w:r w:rsidR="00E21242">
        <w:t>.</w:t>
      </w:r>
      <w:r w:rsidR="00E21242">
        <w:fldChar w:fldCharType="begin"/>
      </w:r>
      <w:r w:rsidR="00E21242">
        <w:instrText xml:space="preserve"> REF _Ref34841249 \r \h </w:instrText>
      </w:r>
      <w:r w:rsidR="00E21242">
        <w:fldChar w:fldCharType="separate"/>
      </w:r>
      <w:r w:rsidR="004842F4">
        <w:t>b</w:t>
      </w:r>
      <w:r w:rsidR="00E21242">
        <w:fldChar w:fldCharType="end"/>
      </w:r>
      <w:r>
        <w:t>, an accountable officer may approve a lease contract when all of the following criteria are met:</w:t>
      </w:r>
    </w:p>
    <w:p w14:paraId="7036BE3E" w14:textId="77777777" w:rsidR="00961451" w:rsidRDefault="00961451" w:rsidP="0081438A">
      <w:pPr>
        <w:pStyle w:val="ListNumber"/>
        <w:numPr>
          <w:ilvl w:val="0"/>
          <w:numId w:val="27"/>
        </w:numPr>
        <w:ind w:left="709"/>
      </w:pPr>
      <w:r>
        <w:t>leasing the asset is the most appropriate course of action</w:t>
      </w:r>
    </w:p>
    <w:p w14:paraId="7F2D55AB" w14:textId="77777777" w:rsidR="00961451" w:rsidRDefault="00961451" w:rsidP="0081438A">
      <w:pPr>
        <w:pStyle w:val="ListNumber"/>
        <w:numPr>
          <w:ilvl w:val="0"/>
          <w:numId w:val="27"/>
        </w:numPr>
        <w:ind w:left="709"/>
      </w:pPr>
      <w:r>
        <w:t xml:space="preserve">the total lease liability per contract is assessed as having a value of less than $500 000 (GST exclusive) </w:t>
      </w:r>
    </w:p>
    <w:p w14:paraId="093C78C9" w14:textId="77777777" w:rsidR="00961451" w:rsidRDefault="00961451" w:rsidP="0081438A">
      <w:pPr>
        <w:pStyle w:val="ListNumber"/>
        <w:numPr>
          <w:ilvl w:val="0"/>
          <w:numId w:val="27"/>
        </w:numPr>
        <w:ind w:left="709"/>
      </w:pPr>
      <w:proofErr w:type="gramStart"/>
      <w:r>
        <w:t>and</w:t>
      </w:r>
      <w:proofErr w:type="gramEnd"/>
      <w:r>
        <w:t xml:space="preserve"> is within the accountable officer's area of responsibility.</w:t>
      </w:r>
    </w:p>
    <w:p w14:paraId="6FF26DA4" w14:textId="7D5ED9E9" w:rsidR="00961451" w:rsidRDefault="00961451" w:rsidP="00CC10C0">
      <w:pPr>
        <w:pStyle w:val="ListNumber"/>
        <w:ind w:left="357" w:hanging="357"/>
      </w:pPr>
      <w:r>
        <w:t xml:space="preserve">Pursuant to paragraph </w:t>
      </w:r>
      <w:r w:rsidR="00E21242">
        <w:fldChar w:fldCharType="begin"/>
      </w:r>
      <w:r w:rsidR="00E21242">
        <w:instrText xml:space="preserve"> REF _Ref34841087 \r \h </w:instrText>
      </w:r>
      <w:r w:rsidR="00E21242">
        <w:fldChar w:fldCharType="separate"/>
      </w:r>
      <w:r w:rsidR="004842F4">
        <w:t>27</w:t>
      </w:r>
      <w:r w:rsidR="00E21242">
        <w:fldChar w:fldCharType="end"/>
      </w:r>
      <w:r w:rsidR="00E21242">
        <w:t>.</w:t>
      </w:r>
      <w:r w:rsidR="00E21242">
        <w:fldChar w:fldCharType="begin"/>
      </w:r>
      <w:r w:rsidR="00E21242">
        <w:instrText xml:space="preserve"> REF _Ref34841249 \r \h </w:instrText>
      </w:r>
      <w:r w:rsidR="00E21242">
        <w:fldChar w:fldCharType="separate"/>
      </w:r>
      <w:r w:rsidR="004842F4">
        <w:t>b</w:t>
      </w:r>
      <w:r w:rsidR="00E21242">
        <w:fldChar w:fldCharType="end"/>
      </w:r>
      <w:r>
        <w:t xml:space="preserve">, the accountable officer of Department of Corporate and </w:t>
      </w:r>
      <w:r w:rsidR="00A67A97">
        <w:t>Digital Development</w:t>
      </w:r>
      <w:r>
        <w:t xml:space="preserve"> may approve a lease contract when all of the following criteria are met:</w:t>
      </w:r>
    </w:p>
    <w:p w14:paraId="42651661" w14:textId="77777777" w:rsidR="00961451" w:rsidRDefault="00961451" w:rsidP="0081438A">
      <w:pPr>
        <w:pStyle w:val="ListNumber"/>
        <w:numPr>
          <w:ilvl w:val="0"/>
          <w:numId w:val="28"/>
        </w:numPr>
        <w:ind w:left="709"/>
      </w:pPr>
      <w:r>
        <w:t>leasing the asset is the most appropriate course of action</w:t>
      </w:r>
    </w:p>
    <w:p w14:paraId="3B184CFF" w14:textId="77777777" w:rsidR="00961451" w:rsidRDefault="00961451" w:rsidP="0081438A">
      <w:pPr>
        <w:pStyle w:val="ListNumber"/>
        <w:numPr>
          <w:ilvl w:val="0"/>
          <w:numId w:val="28"/>
        </w:numPr>
        <w:ind w:left="709"/>
      </w:pPr>
      <w:proofErr w:type="gramStart"/>
      <w:r>
        <w:t>and</w:t>
      </w:r>
      <w:proofErr w:type="gramEnd"/>
      <w:r>
        <w:t xml:space="preserve"> the borrowing arrangement is a lease of commercial property or Aboriginal land including those entered into on behalf of Northern Territory Government agencies. </w:t>
      </w:r>
    </w:p>
    <w:p w14:paraId="2E4EB099" w14:textId="3ADAB548" w:rsidR="00961451" w:rsidRDefault="00961451" w:rsidP="00CC10C0">
      <w:pPr>
        <w:pStyle w:val="ListNumber"/>
        <w:ind w:left="357" w:hanging="357"/>
      </w:pPr>
      <w:r>
        <w:t xml:space="preserve">Pursuant to paragraph </w:t>
      </w:r>
      <w:r w:rsidR="00E21242">
        <w:fldChar w:fldCharType="begin"/>
      </w:r>
      <w:r w:rsidR="00E21242">
        <w:instrText xml:space="preserve"> REF _Ref34841087 \r \h </w:instrText>
      </w:r>
      <w:r w:rsidR="00E21242">
        <w:fldChar w:fldCharType="separate"/>
      </w:r>
      <w:r w:rsidR="004842F4">
        <w:t>27</w:t>
      </w:r>
      <w:r w:rsidR="00E21242">
        <w:fldChar w:fldCharType="end"/>
      </w:r>
      <w:r w:rsidR="00E21242">
        <w:t>.</w:t>
      </w:r>
      <w:r w:rsidR="00E21242">
        <w:fldChar w:fldCharType="begin"/>
      </w:r>
      <w:r w:rsidR="00E21242">
        <w:instrText xml:space="preserve"> REF _Ref34841249 \r \h </w:instrText>
      </w:r>
      <w:r w:rsidR="00E21242">
        <w:fldChar w:fldCharType="separate"/>
      </w:r>
      <w:r w:rsidR="004842F4">
        <w:t>b</w:t>
      </w:r>
      <w:r w:rsidR="00E21242">
        <w:fldChar w:fldCharType="end"/>
      </w:r>
      <w:r>
        <w:t xml:space="preserve">, the accountable officer of Department of </w:t>
      </w:r>
      <w:r w:rsidR="00A67A97">
        <w:t>Environment, Parks and Water Security</w:t>
      </w:r>
      <w:r>
        <w:t xml:space="preserve"> may approve a lease contract when all of the following criteria are met:</w:t>
      </w:r>
    </w:p>
    <w:p w14:paraId="1BD9AEE2" w14:textId="77777777" w:rsidR="00961451" w:rsidRDefault="00961451" w:rsidP="0081438A">
      <w:pPr>
        <w:pStyle w:val="ListNumber"/>
        <w:numPr>
          <w:ilvl w:val="0"/>
          <w:numId w:val="29"/>
        </w:numPr>
        <w:ind w:left="709"/>
      </w:pPr>
      <w:r>
        <w:t>leasing the asset is the most appropriate course of action</w:t>
      </w:r>
    </w:p>
    <w:p w14:paraId="0916CAA7" w14:textId="2105A9E3" w:rsidR="00961451" w:rsidRDefault="00961451" w:rsidP="0081438A">
      <w:pPr>
        <w:pStyle w:val="ListNumber"/>
        <w:numPr>
          <w:ilvl w:val="0"/>
          <w:numId w:val="29"/>
        </w:numPr>
        <w:ind w:left="709"/>
      </w:pPr>
      <w:proofErr w:type="gramStart"/>
      <w:r>
        <w:t>and</w:t>
      </w:r>
      <w:proofErr w:type="gramEnd"/>
      <w:r>
        <w:t xml:space="preserve"> the borrowing arrangement is a lease of Aboriginal land for national parks. </w:t>
      </w:r>
    </w:p>
    <w:p w14:paraId="4A692523" w14:textId="2E5CD069" w:rsidR="00961451" w:rsidRDefault="00961451" w:rsidP="00CC10C0">
      <w:pPr>
        <w:pStyle w:val="ListNumber"/>
        <w:ind w:left="357" w:hanging="357"/>
      </w:pPr>
      <w:bookmarkStart w:id="14" w:name="_Ref34841099"/>
      <w:r>
        <w:t xml:space="preserve">Pursuant to paragraph </w:t>
      </w:r>
      <w:r w:rsidR="00E21242">
        <w:fldChar w:fldCharType="begin"/>
      </w:r>
      <w:r w:rsidR="00E21242">
        <w:instrText xml:space="preserve"> REF _Ref34841087 \r \h </w:instrText>
      </w:r>
      <w:r w:rsidR="00E21242">
        <w:fldChar w:fldCharType="separate"/>
      </w:r>
      <w:r w:rsidR="004842F4">
        <w:t>27</w:t>
      </w:r>
      <w:r w:rsidR="00E21242">
        <w:fldChar w:fldCharType="end"/>
      </w:r>
      <w:r w:rsidR="00E21242">
        <w:t>.</w:t>
      </w:r>
      <w:r w:rsidR="00E21242">
        <w:fldChar w:fldCharType="begin"/>
      </w:r>
      <w:r w:rsidR="00E21242">
        <w:instrText xml:space="preserve"> REF _Ref34841249 \r \h </w:instrText>
      </w:r>
      <w:r w:rsidR="00E21242">
        <w:fldChar w:fldCharType="separate"/>
      </w:r>
      <w:r w:rsidR="004842F4">
        <w:t>b</w:t>
      </w:r>
      <w:r w:rsidR="00E21242">
        <w:fldChar w:fldCharType="end"/>
      </w:r>
      <w:r>
        <w:t xml:space="preserve">, an accountable officer of Department of </w:t>
      </w:r>
      <w:r w:rsidR="00A67A97">
        <w:t>Territory Families,</w:t>
      </w:r>
      <w:r>
        <w:t xml:space="preserve"> Housing and Communit</w:t>
      </w:r>
      <w:r w:rsidR="00A67A97">
        <w:t>ies</w:t>
      </w:r>
      <w:r>
        <w:t xml:space="preserve"> may approve a lease contract when all of the following criteria are met:</w:t>
      </w:r>
      <w:bookmarkEnd w:id="14"/>
    </w:p>
    <w:p w14:paraId="3EC27998" w14:textId="77777777" w:rsidR="00961451" w:rsidRDefault="00961451" w:rsidP="0081438A">
      <w:pPr>
        <w:pStyle w:val="ListNumber"/>
        <w:numPr>
          <w:ilvl w:val="0"/>
          <w:numId w:val="30"/>
        </w:numPr>
        <w:ind w:left="709"/>
      </w:pPr>
      <w:r>
        <w:t>leasing the asset is the most appropriate course of action</w:t>
      </w:r>
    </w:p>
    <w:p w14:paraId="45BF99CE" w14:textId="77777777" w:rsidR="00961451" w:rsidRDefault="00961451" w:rsidP="0081438A">
      <w:pPr>
        <w:pStyle w:val="ListNumber"/>
        <w:numPr>
          <w:ilvl w:val="0"/>
          <w:numId w:val="30"/>
        </w:numPr>
        <w:ind w:left="709"/>
      </w:pPr>
      <w:proofErr w:type="gramStart"/>
      <w:r>
        <w:t>and</w:t>
      </w:r>
      <w:proofErr w:type="gramEnd"/>
      <w:r>
        <w:t xml:space="preserve"> the borrowing arrangement is a lease for public or government employee housing and land used for those purposes. </w:t>
      </w:r>
    </w:p>
    <w:p w14:paraId="627C48A7" w14:textId="77777777" w:rsidR="00961451" w:rsidRDefault="00961451" w:rsidP="00CC10C0">
      <w:pPr>
        <w:pStyle w:val="Heading2"/>
      </w:pPr>
      <w:r>
        <w:t>Recognition and measurement</w:t>
      </w:r>
    </w:p>
    <w:p w14:paraId="54FC202F" w14:textId="77777777" w:rsidR="00961451" w:rsidRDefault="00961451" w:rsidP="00CC10C0">
      <w:pPr>
        <w:pStyle w:val="Heading3"/>
      </w:pPr>
      <w:r>
        <w:t>Initial measurement</w:t>
      </w:r>
    </w:p>
    <w:p w14:paraId="676B8C08" w14:textId="77777777" w:rsidR="00961451" w:rsidRDefault="00961451" w:rsidP="00CC10C0">
      <w:pPr>
        <w:pStyle w:val="ListNumber"/>
        <w:ind w:left="357" w:hanging="357"/>
      </w:pPr>
      <w:r>
        <w:t>All right-of-use assets including assets under lease arrangement with significantly below market terms and conditions (such as peppercorn leases) must be measured at cost.</w:t>
      </w:r>
    </w:p>
    <w:p w14:paraId="23E7EA65" w14:textId="77777777" w:rsidR="00961451" w:rsidRDefault="00961451" w:rsidP="00CC10C0">
      <w:pPr>
        <w:pStyle w:val="ListNumber"/>
        <w:ind w:left="357" w:hanging="357"/>
      </w:pPr>
      <w:r>
        <w:t>Lease liability must be measured at the present value of unpaid lease payments over the lease term.</w:t>
      </w:r>
    </w:p>
    <w:p w14:paraId="1317F637" w14:textId="77777777" w:rsidR="00961451" w:rsidRDefault="00961451" w:rsidP="00CC10C0">
      <w:pPr>
        <w:pStyle w:val="ListNumber"/>
        <w:ind w:left="357" w:hanging="357"/>
      </w:pPr>
      <w:r>
        <w:t>Agencies must use the Northern Territory Treasury Corporation's institutional bond rates to calculate the present value of the lease liability if the interest rate implicit in the lease arrangement cannot be readily determined.</w:t>
      </w:r>
    </w:p>
    <w:p w14:paraId="194D6770" w14:textId="77777777" w:rsidR="00961451" w:rsidRDefault="00961451" w:rsidP="00CC10C0">
      <w:pPr>
        <w:pStyle w:val="Heading3"/>
      </w:pPr>
      <w:r>
        <w:t>Subsequent measurement</w:t>
      </w:r>
    </w:p>
    <w:p w14:paraId="4985E3CB" w14:textId="77777777" w:rsidR="00961451" w:rsidRDefault="00961451" w:rsidP="00CC10C0">
      <w:pPr>
        <w:pStyle w:val="ListNumber"/>
        <w:ind w:left="357" w:hanging="357"/>
      </w:pPr>
      <w:bookmarkStart w:id="15" w:name="_Ref34841383"/>
      <w:r>
        <w:t>Right-of-use asset must be measured:</w:t>
      </w:r>
      <w:bookmarkEnd w:id="15"/>
    </w:p>
    <w:p w14:paraId="3080ADC0" w14:textId="77777777" w:rsidR="00961451" w:rsidRDefault="00961451" w:rsidP="0081438A">
      <w:pPr>
        <w:pStyle w:val="ListNumber"/>
        <w:numPr>
          <w:ilvl w:val="0"/>
          <w:numId w:val="31"/>
        </w:numPr>
        <w:ind w:left="709"/>
      </w:pPr>
      <w:bookmarkStart w:id="16" w:name="_Ref34841391"/>
      <w:r>
        <w:t>at fair value and must adopt the cost approach valuation technique where the fair value approximates cost unless another valuation method is deemed appropriate</w:t>
      </w:r>
      <w:bookmarkEnd w:id="16"/>
      <w:r>
        <w:t xml:space="preserve"> </w:t>
      </w:r>
    </w:p>
    <w:p w14:paraId="539671C5" w14:textId="77777777" w:rsidR="00961451" w:rsidRDefault="00961451" w:rsidP="0081438A">
      <w:pPr>
        <w:pStyle w:val="ListNumber"/>
        <w:numPr>
          <w:ilvl w:val="0"/>
          <w:numId w:val="31"/>
        </w:numPr>
        <w:ind w:left="709"/>
      </w:pPr>
      <w:r>
        <w:t xml:space="preserve">assessed for impairment annually </w:t>
      </w:r>
    </w:p>
    <w:p w14:paraId="4D97764C" w14:textId="28FC3DBA" w:rsidR="00961451" w:rsidRDefault="00961451" w:rsidP="0081438A">
      <w:pPr>
        <w:pStyle w:val="ListNumber"/>
        <w:numPr>
          <w:ilvl w:val="0"/>
          <w:numId w:val="31"/>
        </w:numPr>
        <w:ind w:left="709"/>
      </w:pPr>
      <w:bookmarkStart w:id="17" w:name="_Ref34841430"/>
      <w:proofErr w:type="gramStart"/>
      <w:r>
        <w:t>and</w:t>
      </w:r>
      <w:proofErr w:type="gramEnd"/>
      <w:r>
        <w:t xml:space="preserve"> adjusted for any </w:t>
      </w:r>
      <w:proofErr w:type="spellStart"/>
      <w:r>
        <w:t>remeasurement</w:t>
      </w:r>
      <w:proofErr w:type="spellEnd"/>
      <w:r>
        <w:t xml:space="preserve"> of the lease liability as per paragraphs </w:t>
      </w:r>
      <w:r w:rsidR="00E21242">
        <w:fldChar w:fldCharType="begin"/>
      </w:r>
      <w:r w:rsidR="00E21242">
        <w:instrText xml:space="preserve"> REF _Ref34841360 \r \h </w:instrText>
      </w:r>
      <w:r w:rsidR="00E21242">
        <w:fldChar w:fldCharType="separate"/>
      </w:r>
      <w:r w:rsidR="004842F4">
        <w:t>38</w:t>
      </w:r>
      <w:r w:rsidR="00E21242">
        <w:fldChar w:fldCharType="end"/>
      </w:r>
      <w:r>
        <w:t xml:space="preserve"> to </w:t>
      </w:r>
      <w:r w:rsidR="00E21242">
        <w:fldChar w:fldCharType="begin"/>
      </w:r>
      <w:r w:rsidR="00E21242">
        <w:instrText xml:space="preserve"> REF _Ref34841370 \r \h </w:instrText>
      </w:r>
      <w:r w:rsidR="00E21242">
        <w:fldChar w:fldCharType="separate"/>
      </w:r>
      <w:r w:rsidR="004842F4">
        <w:t>40</w:t>
      </w:r>
      <w:r w:rsidR="00E21242">
        <w:fldChar w:fldCharType="end"/>
      </w:r>
      <w:r>
        <w:t>.</w:t>
      </w:r>
      <w:bookmarkEnd w:id="17"/>
    </w:p>
    <w:p w14:paraId="46A21262" w14:textId="20CB5AC9" w:rsidR="00961451" w:rsidRDefault="00961451" w:rsidP="00CC10C0">
      <w:pPr>
        <w:pStyle w:val="ListNumber"/>
        <w:ind w:left="357" w:hanging="357"/>
      </w:pPr>
      <w:r>
        <w:t xml:space="preserve">Lease arrangements with significantly below market terms and conditions (such as peppercorn or concessionary leases) </w:t>
      </w:r>
      <w:proofErr w:type="gramStart"/>
      <w:r>
        <w:t>are excluded</w:t>
      </w:r>
      <w:proofErr w:type="gramEnd"/>
      <w:r>
        <w:t xml:space="preserve"> from the requirements of paragraph </w:t>
      </w:r>
      <w:r w:rsidR="00E21242">
        <w:fldChar w:fldCharType="begin"/>
      </w:r>
      <w:r w:rsidR="00E21242">
        <w:instrText xml:space="preserve"> REF _Ref34841383 \r \h </w:instrText>
      </w:r>
      <w:r w:rsidR="00E21242">
        <w:fldChar w:fldCharType="separate"/>
      </w:r>
      <w:r w:rsidR="004842F4">
        <w:t>35</w:t>
      </w:r>
      <w:r w:rsidR="00E21242">
        <w:fldChar w:fldCharType="end"/>
      </w:r>
      <w:r>
        <w:t>.</w:t>
      </w:r>
      <w:r w:rsidR="00E21242">
        <w:fldChar w:fldCharType="begin"/>
      </w:r>
      <w:r w:rsidR="00E21242">
        <w:instrText xml:space="preserve"> REF _Ref34841391 \r \h </w:instrText>
      </w:r>
      <w:r w:rsidR="00E21242">
        <w:fldChar w:fldCharType="separate"/>
      </w:r>
      <w:proofErr w:type="gramStart"/>
      <w:r w:rsidR="004842F4">
        <w:t>a</w:t>
      </w:r>
      <w:proofErr w:type="gramEnd"/>
      <w:r w:rsidR="00E21242">
        <w:fldChar w:fldCharType="end"/>
      </w:r>
      <w:r>
        <w:t xml:space="preserve"> and must be measured at cost.</w:t>
      </w:r>
    </w:p>
    <w:p w14:paraId="52A80C19" w14:textId="77777777" w:rsidR="00961451" w:rsidRDefault="00961451" w:rsidP="00CC10C0">
      <w:pPr>
        <w:pStyle w:val="ListNumber"/>
        <w:ind w:left="357" w:hanging="357"/>
      </w:pPr>
      <w:bookmarkStart w:id="18" w:name="_Ref34841439"/>
      <w:r>
        <w:t>Lease liability must be measured by:</w:t>
      </w:r>
      <w:bookmarkEnd w:id="18"/>
    </w:p>
    <w:p w14:paraId="13E4F466" w14:textId="77777777" w:rsidR="00961451" w:rsidRDefault="00961451" w:rsidP="0081438A">
      <w:pPr>
        <w:pStyle w:val="ListNumber"/>
        <w:numPr>
          <w:ilvl w:val="0"/>
          <w:numId w:val="32"/>
        </w:numPr>
        <w:ind w:left="709"/>
      </w:pPr>
      <w:r>
        <w:t>increasing the carrying amount to reflect interest on the lease liability</w:t>
      </w:r>
    </w:p>
    <w:p w14:paraId="5180B450" w14:textId="77777777" w:rsidR="00961451" w:rsidRDefault="00961451" w:rsidP="0081438A">
      <w:pPr>
        <w:pStyle w:val="ListNumber"/>
        <w:numPr>
          <w:ilvl w:val="0"/>
          <w:numId w:val="32"/>
        </w:numPr>
        <w:ind w:left="709"/>
      </w:pPr>
      <w:r>
        <w:t xml:space="preserve">reducing the carrying amount to reflect lease payments made </w:t>
      </w:r>
    </w:p>
    <w:p w14:paraId="519230EF" w14:textId="21F12573" w:rsidR="00961451" w:rsidRDefault="00961451" w:rsidP="0081438A">
      <w:pPr>
        <w:pStyle w:val="ListNumber"/>
        <w:numPr>
          <w:ilvl w:val="0"/>
          <w:numId w:val="32"/>
        </w:numPr>
        <w:ind w:left="709"/>
      </w:pPr>
      <w:bookmarkStart w:id="19" w:name="_Ref34841445"/>
      <w:proofErr w:type="gramStart"/>
      <w:r>
        <w:t>and</w:t>
      </w:r>
      <w:proofErr w:type="gramEnd"/>
      <w:r>
        <w:t xml:space="preserve"> adjusted for </w:t>
      </w:r>
      <w:proofErr w:type="spellStart"/>
      <w:r>
        <w:t>remeasurement</w:t>
      </w:r>
      <w:proofErr w:type="spellEnd"/>
      <w:r>
        <w:t xml:space="preserve"> to reflect any reassessment or lease modifications as per paragraphs </w:t>
      </w:r>
      <w:r w:rsidR="00D17751">
        <w:fldChar w:fldCharType="begin"/>
      </w:r>
      <w:r w:rsidR="00D17751">
        <w:instrText xml:space="preserve"> REF _Ref34841360 \r \h </w:instrText>
      </w:r>
      <w:r w:rsidR="00D17751">
        <w:fldChar w:fldCharType="separate"/>
      </w:r>
      <w:r w:rsidR="004842F4">
        <w:t>38</w:t>
      </w:r>
      <w:r w:rsidR="00D17751">
        <w:fldChar w:fldCharType="end"/>
      </w:r>
      <w:r w:rsidR="00D17751">
        <w:t xml:space="preserve"> to </w:t>
      </w:r>
      <w:r w:rsidR="00D17751">
        <w:fldChar w:fldCharType="begin"/>
      </w:r>
      <w:r w:rsidR="00D17751">
        <w:instrText xml:space="preserve"> REF _Ref34841370 \r \h </w:instrText>
      </w:r>
      <w:r w:rsidR="00D17751">
        <w:fldChar w:fldCharType="separate"/>
      </w:r>
      <w:r w:rsidR="004842F4">
        <w:t>40</w:t>
      </w:r>
      <w:r w:rsidR="00D17751">
        <w:fldChar w:fldCharType="end"/>
      </w:r>
      <w:r>
        <w:t>.</w:t>
      </w:r>
      <w:bookmarkEnd w:id="19"/>
    </w:p>
    <w:p w14:paraId="706C32CA" w14:textId="77777777" w:rsidR="00961451" w:rsidRDefault="00961451" w:rsidP="00CC10C0">
      <w:pPr>
        <w:pStyle w:val="Heading3"/>
      </w:pPr>
      <w:proofErr w:type="spellStart"/>
      <w:r>
        <w:t>Remeasurement</w:t>
      </w:r>
      <w:proofErr w:type="spellEnd"/>
    </w:p>
    <w:p w14:paraId="01E553CA" w14:textId="33E30393" w:rsidR="00961451" w:rsidRDefault="00961451" w:rsidP="00CC10C0">
      <w:pPr>
        <w:pStyle w:val="ListNumber"/>
        <w:ind w:left="357" w:hanging="357"/>
      </w:pPr>
      <w:bookmarkStart w:id="20" w:name="_Ref34841360"/>
      <w:r>
        <w:t xml:space="preserve">Pursuant to paragraphs </w:t>
      </w:r>
      <w:r w:rsidR="00D17751">
        <w:fldChar w:fldCharType="begin"/>
      </w:r>
      <w:r w:rsidR="00D17751">
        <w:instrText xml:space="preserve"> REF _Ref34841383 \r \h </w:instrText>
      </w:r>
      <w:r w:rsidR="00D17751">
        <w:fldChar w:fldCharType="separate"/>
      </w:r>
      <w:r w:rsidR="004842F4">
        <w:t>35</w:t>
      </w:r>
      <w:r w:rsidR="00D17751">
        <w:fldChar w:fldCharType="end"/>
      </w:r>
      <w:r>
        <w:t>.</w:t>
      </w:r>
      <w:r w:rsidR="00D17751">
        <w:fldChar w:fldCharType="begin"/>
      </w:r>
      <w:r w:rsidR="00D17751">
        <w:instrText xml:space="preserve"> REF _Ref34841430 \r \h </w:instrText>
      </w:r>
      <w:r w:rsidR="00D17751">
        <w:fldChar w:fldCharType="separate"/>
      </w:r>
      <w:proofErr w:type="gramStart"/>
      <w:r w:rsidR="004842F4">
        <w:t>c</w:t>
      </w:r>
      <w:proofErr w:type="gramEnd"/>
      <w:r w:rsidR="00D17751">
        <w:fldChar w:fldCharType="end"/>
      </w:r>
      <w:r>
        <w:t xml:space="preserve"> and </w:t>
      </w:r>
      <w:r w:rsidR="00D17751">
        <w:fldChar w:fldCharType="begin"/>
      </w:r>
      <w:r w:rsidR="00D17751">
        <w:instrText xml:space="preserve"> REF _Ref34841439 \r \h </w:instrText>
      </w:r>
      <w:r w:rsidR="00D17751">
        <w:fldChar w:fldCharType="separate"/>
      </w:r>
      <w:r w:rsidR="004842F4">
        <w:t>37</w:t>
      </w:r>
      <w:r w:rsidR="00D17751">
        <w:fldChar w:fldCharType="end"/>
      </w:r>
      <w:r>
        <w:t>.</w:t>
      </w:r>
      <w:r w:rsidR="00D17751">
        <w:fldChar w:fldCharType="begin"/>
      </w:r>
      <w:r w:rsidR="00D17751">
        <w:instrText xml:space="preserve"> REF _Ref34841445 \r \h </w:instrText>
      </w:r>
      <w:r w:rsidR="00D17751">
        <w:fldChar w:fldCharType="separate"/>
      </w:r>
      <w:proofErr w:type="gramStart"/>
      <w:r w:rsidR="004842F4">
        <w:t>c</w:t>
      </w:r>
      <w:proofErr w:type="gramEnd"/>
      <w:r w:rsidR="00D17751">
        <w:fldChar w:fldCharType="end"/>
      </w:r>
      <w:r>
        <w:t>, a lessee must remeasure the lease liability as an adjustment to the right-of-use asset to reflect changes in lease payments.</w:t>
      </w:r>
      <w:bookmarkEnd w:id="20"/>
    </w:p>
    <w:p w14:paraId="55CC2F25" w14:textId="77777777" w:rsidR="00961451" w:rsidRDefault="00961451" w:rsidP="00CC10C0">
      <w:pPr>
        <w:pStyle w:val="ListNumber"/>
        <w:ind w:left="357" w:hanging="357"/>
      </w:pPr>
      <w:bookmarkStart w:id="21" w:name="_Ref34841460"/>
      <w:proofErr w:type="spellStart"/>
      <w:r>
        <w:t>Remeasurement</w:t>
      </w:r>
      <w:proofErr w:type="spellEnd"/>
      <w:r>
        <w:t xml:space="preserve"> triggers include one or more of the following changes to:</w:t>
      </w:r>
      <w:bookmarkEnd w:id="21"/>
    </w:p>
    <w:p w14:paraId="15397237" w14:textId="77777777" w:rsidR="00961451" w:rsidRDefault="00961451" w:rsidP="0081438A">
      <w:pPr>
        <w:pStyle w:val="ListNumber"/>
        <w:numPr>
          <w:ilvl w:val="0"/>
          <w:numId w:val="33"/>
        </w:numPr>
        <w:ind w:left="709"/>
      </w:pPr>
      <w:bookmarkStart w:id="22" w:name="_Ref34841466"/>
      <w:r>
        <w:t>lease term</w:t>
      </w:r>
      <w:bookmarkEnd w:id="22"/>
    </w:p>
    <w:p w14:paraId="57DF754E" w14:textId="77777777" w:rsidR="00961451" w:rsidRDefault="00961451" w:rsidP="0081438A">
      <w:pPr>
        <w:pStyle w:val="ListNumber"/>
        <w:numPr>
          <w:ilvl w:val="0"/>
          <w:numId w:val="33"/>
        </w:numPr>
        <w:ind w:left="709"/>
      </w:pPr>
      <w:bookmarkStart w:id="23" w:name="_Ref34841479"/>
      <w:r>
        <w:t>assessment of purchase option</w:t>
      </w:r>
      <w:bookmarkEnd w:id="23"/>
    </w:p>
    <w:p w14:paraId="32A41C8F" w14:textId="77777777" w:rsidR="00961451" w:rsidRDefault="00961451" w:rsidP="0081438A">
      <w:pPr>
        <w:pStyle w:val="ListNumber"/>
        <w:numPr>
          <w:ilvl w:val="0"/>
          <w:numId w:val="33"/>
        </w:numPr>
        <w:ind w:left="709"/>
      </w:pPr>
      <w:bookmarkStart w:id="24" w:name="_Ref34841498"/>
      <w:r>
        <w:t>amounts expected to be payable under a residual guarantee</w:t>
      </w:r>
      <w:bookmarkEnd w:id="24"/>
    </w:p>
    <w:p w14:paraId="5CE87104" w14:textId="77777777" w:rsidR="00961451" w:rsidRDefault="00961451" w:rsidP="0081438A">
      <w:pPr>
        <w:pStyle w:val="ListNumber"/>
        <w:numPr>
          <w:ilvl w:val="0"/>
          <w:numId w:val="33"/>
        </w:numPr>
        <w:ind w:left="709"/>
      </w:pPr>
      <w:bookmarkStart w:id="25" w:name="_Ref34841514"/>
      <w:proofErr w:type="gramStart"/>
      <w:r>
        <w:t>future</w:t>
      </w:r>
      <w:proofErr w:type="gramEnd"/>
      <w:r>
        <w:t xml:space="preserve"> lease payments resulting from a change to an indexation rate or market rental rates.</w:t>
      </w:r>
      <w:bookmarkEnd w:id="25"/>
    </w:p>
    <w:p w14:paraId="5C4482D7" w14:textId="77777777" w:rsidR="00961451" w:rsidRDefault="00961451" w:rsidP="00CC10C0">
      <w:pPr>
        <w:pStyle w:val="ListNumber"/>
        <w:ind w:left="357" w:hanging="357"/>
      </w:pPr>
      <w:bookmarkStart w:id="26" w:name="_Ref34841370"/>
      <w:r>
        <w:t>Lease liability shall be remeasured by discounting the revised lease payments:</w:t>
      </w:r>
      <w:bookmarkEnd w:id="26"/>
    </w:p>
    <w:p w14:paraId="4B5C4A85" w14:textId="2D3ADC18" w:rsidR="00961451" w:rsidRDefault="00961451" w:rsidP="0081438A">
      <w:pPr>
        <w:pStyle w:val="ListNumber"/>
        <w:numPr>
          <w:ilvl w:val="0"/>
          <w:numId w:val="34"/>
        </w:numPr>
        <w:ind w:left="709"/>
      </w:pPr>
      <w:proofErr w:type="gramStart"/>
      <w:r>
        <w:t>using</w:t>
      </w:r>
      <w:proofErr w:type="gramEnd"/>
      <w:r>
        <w:t xml:space="preserve"> a revised discount rate for the remainder of the lease term pursuant to paragraphs </w:t>
      </w:r>
      <w:r w:rsidR="00D17751">
        <w:fldChar w:fldCharType="begin"/>
      </w:r>
      <w:r w:rsidR="00D17751">
        <w:instrText xml:space="preserve"> REF _Ref34841460 \r \h </w:instrText>
      </w:r>
      <w:r w:rsidR="00D17751">
        <w:fldChar w:fldCharType="separate"/>
      </w:r>
      <w:r w:rsidR="004842F4">
        <w:t>39</w:t>
      </w:r>
      <w:r w:rsidR="00D17751">
        <w:fldChar w:fldCharType="end"/>
      </w:r>
      <w:r>
        <w:t>.</w:t>
      </w:r>
      <w:r w:rsidR="00D17751">
        <w:fldChar w:fldCharType="begin"/>
      </w:r>
      <w:r w:rsidR="00D17751">
        <w:instrText xml:space="preserve"> REF _Ref34841466 \r \h </w:instrText>
      </w:r>
      <w:r w:rsidR="00D17751">
        <w:fldChar w:fldCharType="separate"/>
      </w:r>
      <w:proofErr w:type="gramStart"/>
      <w:r w:rsidR="004842F4">
        <w:t>a</w:t>
      </w:r>
      <w:proofErr w:type="gramEnd"/>
      <w:r w:rsidR="00D17751">
        <w:fldChar w:fldCharType="end"/>
      </w:r>
      <w:r>
        <w:t xml:space="preserve"> and </w:t>
      </w:r>
      <w:r w:rsidR="00D17751">
        <w:fldChar w:fldCharType="begin"/>
      </w:r>
      <w:r w:rsidR="00D17751">
        <w:instrText xml:space="preserve"> REF _Ref34841460 \r \h </w:instrText>
      </w:r>
      <w:r w:rsidR="00D17751">
        <w:fldChar w:fldCharType="separate"/>
      </w:r>
      <w:r w:rsidR="004842F4">
        <w:t>39</w:t>
      </w:r>
      <w:r w:rsidR="00D17751">
        <w:fldChar w:fldCharType="end"/>
      </w:r>
      <w:r>
        <w:t>.</w:t>
      </w:r>
      <w:r w:rsidR="00D17751">
        <w:fldChar w:fldCharType="begin"/>
      </w:r>
      <w:r w:rsidR="00D17751">
        <w:instrText xml:space="preserve"> REF _Ref34841479 \r \h </w:instrText>
      </w:r>
      <w:r w:rsidR="00D17751">
        <w:fldChar w:fldCharType="separate"/>
      </w:r>
      <w:r w:rsidR="004842F4">
        <w:t>b</w:t>
      </w:r>
      <w:r w:rsidR="00D17751">
        <w:fldChar w:fldCharType="end"/>
      </w:r>
      <w:r>
        <w:t xml:space="preserve"> </w:t>
      </w:r>
    </w:p>
    <w:p w14:paraId="46342716" w14:textId="463EC645" w:rsidR="00820DEB" w:rsidRDefault="00961451" w:rsidP="0081438A">
      <w:pPr>
        <w:pStyle w:val="ListNumber"/>
        <w:numPr>
          <w:ilvl w:val="0"/>
          <w:numId w:val="34"/>
        </w:numPr>
        <w:ind w:left="709"/>
      </w:pPr>
      <w:proofErr w:type="gramStart"/>
      <w:r>
        <w:t>or</w:t>
      </w:r>
      <w:proofErr w:type="gramEnd"/>
      <w:r>
        <w:t xml:space="preserve"> unchanged discount rate pursuant to paragraphs </w:t>
      </w:r>
      <w:r w:rsidR="00D17751">
        <w:fldChar w:fldCharType="begin"/>
      </w:r>
      <w:r w:rsidR="00D17751">
        <w:instrText xml:space="preserve"> REF _Ref34841460 \r \h </w:instrText>
      </w:r>
      <w:r w:rsidR="00D17751">
        <w:fldChar w:fldCharType="separate"/>
      </w:r>
      <w:r w:rsidR="004842F4">
        <w:t>39</w:t>
      </w:r>
      <w:r w:rsidR="00D17751">
        <w:fldChar w:fldCharType="end"/>
      </w:r>
      <w:r>
        <w:t>.</w:t>
      </w:r>
      <w:r w:rsidR="00D17751">
        <w:fldChar w:fldCharType="begin"/>
      </w:r>
      <w:r w:rsidR="00D17751">
        <w:instrText xml:space="preserve"> REF _Ref34841498 \r \h </w:instrText>
      </w:r>
      <w:r w:rsidR="00D17751">
        <w:fldChar w:fldCharType="separate"/>
      </w:r>
      <w:proofErr w:type="gramStart"/>
      <w:r w:rsidR="004842F4">
        <w:t>c</w:t>
      </w:r>
      <w:proofErr w:type="gramEnd"/>
      <w:r w:rsidR="00D17751">
        <w:fldChar w:fldCharType="end"/>
      </w:r>
      <w:r>
        <w:t xml:space="preserve"> and </w:t>
      </w:r>
      <w:r w:rsidR="00D17751">
        <w:fldChar w:fldCharType="begin"/>
      </w:r>
      <w:r w:rsidR="00D17751">
        <w:instrText xml:space="preserve"> REF _Ref34841460 \r \h </w:instrText>
      </w:r>
      <w:r w:rsidR="00D17751">
        <w:fldChar w:fldCharType="separate"/>
      </w:r>
      <w:r w:rsidR="004842F4">
        <w:t>39</w:t>
      </w:r>
      <w:r w:rsidR="00D17751">
        <w:fldChar w:fldCharType="end"/>
      </w:r>
      <w:r>
        <w:t>.</w:t>
      </w:r>
      <w:r w:rsidR="00D17751">
        <w:fldChar w:fldCharType="begin"/>
      </w:r>
      <w:r w:rsidR="00D17751">
        <w:instrText xml:space="preserve"> REF _Ref34841514 \r \h </w:instrText>
      </w:r>
      <w:r w:rsidR="00D17751">
        <w:fldChar w:fldCharType="separate"/>
      </w:r>
      <w:proofErr w:type="gramStart"/>
      <w:r w:rsidR="004842F4">
        <w:t>d</w:t>
      </w:r>
      <w:proofErr w:type="gramEnd"/>
      <w:r w:rsidR="00D17751">
        <w:fldChar w:fldCharType="end"/>
      </w:r>
      <w:r>
        <w:t>.</w:t>
      </w:r>
    </w:p>
    <w:p w14:paraId="41806A67" w14:textId="6A8F8405" w:rsidR="00CC10C0" w:rsidRPr="00CC10C0" w:rsidRDefault="00CC10C0" w:rsidP="00CC10C0">
      <w:pPr>
        <w:pStyle w:val="Heading1"/>
      </w:pPr>
      <w:r>
        <w:t>Management and recordkeeping</w:t>
      </w:r>
    </w:p>
    <w:p w14:paraId="66826CD1" w14:textId="77777777" w:rsidR="00CC10C0" w:rsidRDefault="00CC10C0" w:rsidP="00CC10C0">
      <w:pPr>
        <w:pStyle w:val="ListNumber"/>
        <w:ind w:left="357" w:hanging="357"/>
      </w:pPr>
      <w:r>
        <w:t>An accountable officer must consider at a minimum the following:</w:t>
      </w:r>
    </w:p>
    <w:p w14:paraId="349578D9" w14:textId="77777777" w:rsidR="00CC10C0" w:rsidRDefault="00CC10C0" w:rsidP="0081438A">
      <w:pPr>
        <w:pStyle w:val="ListNumber"/>
        <w:numPr>
          <w:ilvl w:val="0"/>
          <w:numId w:val="35"/>
        </w:numPr>
        <w:ind w:left="709"/>
      </w:pPr>
      <w:r>
        <w:t>safeguarding and protecting the assets against loss or damage</w:t>
      </w:r>
    </w:p>
    <w:p w14:paraId="6549FE63" w14:textId="77777777" w:rsidR="00CC10C0" w:rsidRDefault="00CC10C0" w:rsidP="0081438A">
      <w:pPr>
        <w:pStyle w:val="ListNumber"/>
        <w:numPr>
          <w:ilvl w:val="0"/>
          <w:numId w:val="35"/>
        </w:numPr>
        <w:ind w:left="709"/>
      </w:pPr>
      <w:r>
        <w:t xml:space="preserve">monitoring of asset condition, use and performance </w:t>
      </w:r>
    </w:p>
    <w:p w14:paraId="62B108D5" w14:textId="77777777" w:rsidR="00CC10C0" w:rsidRDefault="00CC10C0" w:rsidP="0081438A">
      <w:pPr>
        <w:pStyle w:val="ListNumber"/>
        <w:numPr>
          <w:ilvl w:val="0"/>
          <w:numId w:val="35"/>
        </w:numPr>
        <w:ind w:left="709"/>
      </w:pPr>
      <w:proofErr w:type="gramStart"/>
      <w:r>
        <w:t>and</w:t>
      </w:r>
      <w:proofErr w:type="gramEnd"/>
      <w:r>
        <w:t xml:space="preserve"> asset life cycle management, taking into account asset planning, acquisition, operation, including maintenance and disposal.</w:t>
      </w:r>
    </w:p>
    <w:p w14:paraId="3CACD0A9" w14:textId="0A87B606" w:rsidR="00CC10C0" w:rsidRDefault="00CC10C0" w:rsidP="00CC10C0">
      <w:pPr>
        <w:pStyle w:val="ListNumber"/>
        <w:ind w:left="357" w:hanging="357"/>
      </w:pPr>
      <w:r>
        <w:t xml:space="preserve">An accountable officer is responsible for keeping records relating to lease arrangements (excluding leases as per paragraph </w:t>
      </w:r>
      <w:r w:rsidR="00D17751">
        <w:fldChar w:fldCharType="begin"/>
      </w:r>
      <w:r w:rsidR="00D17751">
        <w:instrText xml:space="preserve"> REF _Ref34841525 \r \h </w:instrText>
      </w:r>
      <w:r w:rsidR="00D17751">
        <w:fldChar w:fldCharType="separate"/>
      </w:r>
      <w:r w:rsidR="004842F4">
        <w:t>5</w:t>
      </w:r>
      <w:r w:rsidR="00D17751">
        <w:fldChar w:fldCharType="end"/>
      </w:r>
      <w:r>
        <w:t xml:space="preserve"> to </w:t>
      </w:r>
      <w:r w:rsidR="00D17751">
        <w:fldChar w:fldCharType="begin"/>
      </w:r>
      <w:r w:rsidR="00D17751">
        <w:instrText xml:space="preserve"> REF _Ref34841535 \r \h </w:instrText>
      </w:r>
      <w:r w:rsidR="00D17751">
        <w:fldChar w:fldCharType="separate"/>
      </w:r>
      <w:r w:rsidR="004842F4">
        <w:t>7</w:t>
      </w:r>
      <w:r w:rsidR="00D17751">
        <w:fldChar w:fldCharType="end"/>
      </w:r>
      <w:r>
        <w:t>) entered into by his or her agency and, at a minimum, must:</w:t>
      </w:r>
    </w:p>
    <w:p w14:paraId="4CCDB1D8" w14:textId="77777777" w:rsidR="00CC10C0" w:rsidRDefault="00CC10C0" w:rsidP="0081438A">
      <w:pPr>
        <w:pStyle w:val="ListNumber"/>
        <w:numPr>
          <w:ilvl w:val="0"/>
          <w:numId w:val="36"/>
        </w:numPr>
        <w:ind w:left="709"/>
      </w:pPr>
      <w:r>
        <w:t>establish processes to collect and manage records of lease arrangements, including documenting assumptions and calculations used to determine the recognition and measurement impact in the statement of financial position and operating statements</w:t>
      </w:r>
    </w:p>
    <w:p w14:paraId="0A2C8C21" w14:textId="77777777" w:rsidR="00CC10C0" w:rsidRDefault="00CC10C0" w:rsidP="0081438A">
      <w:pPr>
        <w:pStyle w:val="ListNumber"/>
        <w:numPr>
          <w:ilvl w:val="0"/>
          <w:numId w:val="36"/>
        </w:numPr>
        <w:ind w:left="709"/>
      </w:pPr>
      <w:proofErr w:type="gramStart"/>
      <w:r>
        <w:t>ensure</w:t>
      </w:r>
      <w:proofErr w:type="gramEnd"/>
      <w:r>
        <w:t xml:space="preserve"> records are maintained in a register of lease arrangements.</w:t>
      </w:r>
    </w:p>
    <w:p w14:paraId="6A088D9A" w14:textId="77777777" w:rsidR="00CC10C0" w:rsidRDefault="00CC10C0" w:rsidP="0081438A">
      <w:pPr>
        <w:pStyle w:val="ListNumber"/>
        <w:ind w:left="357" w:hanging="357"/>
      </w:pPr>
      <w:r>
        <w:t>Register of lease arrangements is not required where an agency has never had any lease arrangement.</w:t>
      </w:r>
    </w:p>
    <w:p w14:paraId="652D2EF3" w14:textId="77777777" w:rsidR="00CC10C0" w:rsidRDefault="00CC10C0" w:rsidP="0081438A">
      <w:pPr>
        <w:pStyle w:val="ListNumber"/>
        <w:ind w:left="357" w:hanging="357"/>
      </w:pPr>
      <w:r>
        <w:t>An accountable officer must retain records relating to lease arrangements, for the specified minimum period, in accordance with the agency's records disposal schedule.</w:t>
      </w:r>
    </w:p>
    <w:p w14:paraId="116F1099" w14:textId="77777777" w:rsidR="00CC10C0" w:rsidRDefault="00CC10C0" w:rsidP="0081438A">
      <w:pPr>
        <w:pStyle w:val="Heading1"/>
      </w:pPr>
      <w:r>
        <w:t>Reporting</w:t>
      </w:r>
    </w:p>
    <w:p w14:paraId="6CDC7BC5" w14:textId="77777777" w:rsidR="00CC10C0" w:rsidRDefault="00CC10C0" w:rsidP="0081438A">
      <w:pPr>
        <w:pStyle w:val="ListNumber"/>
        <w:ind w:left="357" w:hanging="357"/>
      </w:pPr>
      <w:r>
        <w:t>An accountable officer must classify and present leases in accordance with the Treasurer's Direction on agency (or government business division) financial statements.</w:t>
      </w:r>
    </w:p>
    <w:p w14:paraId="61852BA0" w14:textId="77777777" w:rsidR="00CC10C0" w:rsidRDefault="00CC10C0" w:rsidP="0081438A">
      <w:pPr>
        <w:pStyle w:val="ListNumber"/>
        <w:ind w:left="357" w:hanging="357"/>
      </w:pPr>
      <w:r>
        <w:t>Upon request, an accountable officer must provide Department of Treasury and Finance a copy of the leases register and any other relevant information as necessary.</w:t>
      </w:r>
    </w:p>
    <w:p w14:paraId="40E1D2C3" w14:textId="77777777" w:rsidR="00667C4A" w:rsidRDefault="00667C4A" w:rsidP="00667C4A">
      <w:pPr>
        <w:pStyle w:val="ListNumber"/>
        <w:numPr>
          <w:ilvl w:val="0"/>
          <w:numId w:val="0"/>
        </w:numPr>
        <w:ind w:left="851"/>
      </w:pPr>
    </w:p>
    <w:p w14:paraId="0C3CC149" w14:textId="1C288F17" w:rsidR="00D133F4" w:rsidRDefault="00D133F4" w:rsidP="00343C61">
      <w:pPr>
        <w:pStyle w:val="Heading1"/>
      </w:pPr>
      <w:r>
        <w:t>Change history</w:t>
      </w:r>
    </w:p>
    <w:tbl>
      <w:tblPr>
        <w:tblStyle w:val="NTGtable"/>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1418"/>
        <w:gridCol w:w="1979"/>
        <w:gridCol w:w="2268"/>
        <w:gridCol w:w="4536"/>
      </w:tblGrid>
      <w:tr w:rsidR="00667C4A" w:rsidRPr="003A2424" w14:paraId="234D6C84" w14:textId="77777777" w:rsidTr="001470F4">
        <w:trPr>
          <w:cnfStyle w:val="100000000000" w:firstRow="1" w:lastRow="0" w:firstColumn="0" w:lastColumn="0" w:oddVBand="0" w:evenVBand="0" w:oddHBand="0" w:evenHBand="0" w:firstRowFirstColumn="0" w:firstRowLastColumn="0" w:lastRowFirstColumn="0" w:lastRowLastColumn="0"/>
          <w:tblHeader/>
        </w:trPr>
        <w:tc>
          <w:tcPr>
            <w:tcW w:w="1418" w:type="dxa"/>
          </w:tcPr>
          <w:p w14:paraId="12DE696D" w14:textId="77777777" w:rsidR="00667C4A" w:rsidRPr="00667C4A" w:rsidRDefault="00667C4A" w:rsidP="00667C4A">
            <w:r w:rsidRPr="0008622A">
              <w:t>Version</w:t>
            </w:r>
          </w:p>
        </w:tc>
        <w:tc>
          <w:tcPr>
            <w:tcW w:w="1979" w:type="dxa"/>
          </w:tcPr>
          <w:p w14:paraId="797F3AE2" w14:textId="77777777" w:rsidR="00667C4A" w:rsidRPr="00667C4A" w:rsidRDefault="00667C4A" w:rsidP="00667C4A">
            <w:r w:rsidRPr="0008622A">
              <w:t>Date</w:t>
            </w:r>
          </w:p>
        </w:tc>
        <w:tc>
          <w:tcPr>
            <w:tcW w:w="2268" w:type="dxa"/>
          </w:tcPr>
          <w:p w14:paraId="2102EA76" w14:textId="77777777" w:rsidR="00667C4A" w:rsidRPr="00667C4A" w:rsidRDefault="00667C4A" w:rsidP="00667C4A">
            <w:r w:rsidRPr="0008622A">
              <w:t>Author</w:t>
            </w:r>
          </w:p>
        </w:tc>
        <w:tc>
          <w:tcPr>
            <w:tcW w:w="4536" w:type="dxa"/>
          </w:tcPr>
          <w:p w14:paraId="07E97C2D" w14:textId="77777777" w:rsidR="00667C4A" w:rsidRPr="00667C4A" w:rsidRDefault="00667C4A" w:rsidP="00667C4A">
            <w:r w:rsidRPr="0008622A">
              <w:t>Change details</w:t>
            </w:r>
          </w:p>
        </w:tc>
      </w:tr>
      <w:tr w:rsidR="0081438A" w:rsidRPr="003A2424" w14:paraId="1530D9BE" w14:textId="77777777" w:rsidTr="001470F4">
        <w:tc>
          <w:tcPr>
            <w:tcW w:w="1418" w:type="dxa"/>
          </w:tcPr>
          <w:p w14:paraId="6C48D732" w14:textId="77777777" w:rsidR="0081438A" w:rsidRDefault="0081438A" w:rsidP="0081438A">
            <w:pPr>
              <w:spacing w:before="60" w:after="60"/>
            </w:pPr>
            <w:r>
              <w:t>1.0</w:t>
            </w:r>
          </w:p>
        </w:tc>
        <w:tc>
          <w:tcPr>
            <w:tcW w:w="1979" w:type="dxa"/>
          </w:tcPr>
          <w:p w14:paraId="417491CD" w14:textId="615E8469" w:rsidR="0081438A" w:rsidRDefault="0081438A" w:rsidP="0081438A">
            <w:pPr>
              <w:spacing w:before="60" w:after="60"/>
            </w:pPr>
            <w:r w:rsidRPr="008B3D25">
              <w:t>December 2010</w:t>
            </w:r>
          </w:p>
        </w:tc>
        <w:tc>
          <w:tcPr>
            <w:tcW w:w="2268" w:type="dxa"/>
          </w:tcPr>
          <w:p w14:paraId="300A2A09" w14:textId="6A1A11AE" w:rsidR="0081438A" w:rsidRDefault="0081438A" w:rsidP="0081438A">
            <w:pPr>
              <w:spacing w:before="60" w:after="60"/>
            </w:pPr>
            <w:r w:rsidRPr="008B3D25">
              <w:t>DTF Financial Policy</w:t>
            </w:r>
          </w:p>
        </w:tc>
        <w:tc>
          <w:tcPr>
            <w:tcW w:w="4536" w:type="dxa"/>
          </w:tcPr>
          <w:p w14:paraId="10FB5677" w14:textId="008F91E9" w:rsidR="0081438A" w:rsidRPr="003A2424" w:rsidRDefault="0081438A" w:rsidP="0081438A">
            <w:pPr>
              <w:spacing w:before="60" w:after="60"/>
            </w:pPr>
            <w:r w:rsidRPr="008B3D25">
              <w:t>Initial version</w:t>
            </w:r>
          </w:p>
        </w:tc>
      </w:tr>
      <w:tr w:rsidR="0081438A" w:rsidRPr="003A2424" w14:paraId="26ED38CF" w14:textId="77777777" w:rsidTr="001470F4">
        <w:tc>
          <w:tcPr>
            <w:tcW w:w="1418" w:type="dxa"/>
          </w:tcPr>
          <w:p w14:paraId="0E1DFE95" w14:textId="3D21EA36" w:rsidR="0081438A" w:rsidRDefault="008177A9">
            <w:pPr>
              <w:spacing w:before="60" w:after="60"/>
            </w:pPr>
            <w:r>
              <w:t>1</w:t>
            </w:r>
            <w:r w:rsidR="0081438A">
              <w:t>.</w:t>
            </w:r>
            <w:r>
              <w:t>1</w:t>
            </w:r>
          </w:p>
        </w:tc>
        <w:tc>
          <w:tcPr>
            <w:tcW w:w="1979" w:type="dxa"/>
          </w:tcPr>
          <w:p w14:paraId="2FBC4238" w14:textId="1EDD5816" w:rsidR="0081438A" w:rsidRDefault="0081438A" w:rsidP="0081438A">
            <w:pPr>
              <w:spacing w:before="60" w:after="60"/>
            </w:pPr>
            <w:r w:rsidRPr="008B3D25">
              <w:t>September 2019</w:t>
            </w:r>
          </w:p>
        </w:tc>
        <w:tc>
          <w:tcPr>
            <w:tcW w:w="2268" w:type="dxa"/>
          </w:tcPr>
          <w:p w14:paraId="644518A3" w14:textId="6549DD92" w:rsidR="0081438A" w:rsidRDefault="0081438A" w:rsidP="0081438A">
            <w:pPr>
              <w:spacing w:before="60" w:after="60"/>
            </w:pPr>
            <w:r w:rsidRPr="008B3D25">
              <w:t>DTF Financial Policy</w:t>
            </w:r>
          </w:p>
        </w:tc>
        <w:tc>
          <w:tcPr>
            <w:tcW w:w="4536" w:type="dxa"/>
          </w:tcPr>
          <w:p w14:paraId="49CF0B31" w14:textId="72C04802" w:rsidR="0081438A" w:rsidRPr="003A2424" w:rsidRDefault="0081438A" w:rsidP="0081438A">
            <w:pPr>
              <w:spacing w:before="60" w:after="60"/>
            </w:pPr>
            <w:r w:rsidRPr="008B3D25">
              <w:t>Compliance with the new accounting standard AASB 16 Leases and delegation changes</w:t>
            </w:r>
            <w:r w:rsidR="004842F4">
              <w:t xml:space="preserve"> – refer to Treasury Circular L12-19</w:t>
            </w:r>
          </w:p>
        </w:tc>
      </w:tr>
      <w:tr w:rsidR="0081438A" w:rsidRPr="003A2424" w14:paraId="7DD8F55D" w14:textId="77777777" w:rsidTr="001470F4">
        <w:tc>
          <w:tcPr>
            <w:tcW w:w="1418" w:type="dxa"/>
          </w:tcPr>
          <w:p w14:paraId="2012D34B" w14:textId="31E97847" w:rsidR="0081438A" w:rsidRDefault="008177A9">
            <w:pPr>
              <w:spacing w:before="60" w:after="60"/>
            </w:pPr>
            <w:r>
              <w:t>1</w:t>
            </w:r>
            <w:r w:rsidR="0081438A">
              <w:t>.</w:t>
            </w:r>
            <w:r>
              <w:t>2</w:t>
            </w:r>
          </w:p>
        </w:tc>
        <w:tc>
          <w:tcPr>
            <w:tcW w:w="1979" w:type="dxa"/>
          </w:tcPr>
          <w:p w14:paraId="0D409BD9" w14:textId="0425C4E8" w:rsidR="0081438A" w:rsidRPr="008B3D25" w:rsidRDefault="00183CD9">
            <w:pPr>
              <w:spacing w:before="60" w:after="60"/>
            </w:pPr>
            <w:r>
              <w:t>June</w:t>
            </w:r>
            <w:r w:rsidR="00D6594F">
              <w:t xml:space="preserve"> 2021</w:t>
            </w:r>
          </w:p>
        </w:tc>
        <w:tc>
          <w:tcPr>
            <w:tcW w:w="2268" w:type="dxa"/>
          </w:tcPr>
          <w:p w14:paraId="02A77EC5" w14:textId="5C20B1CD" w:rsidR="0081438A" w:rsidRPr="008B3D25" w:rsidRDefault="0081438A" w:rsidP="0081438A">
            <w:pPr>
              <w:spacing w:before="60" w:after="60"/>
            </w:pPr>
            <w:r w:rsidRPr="008B3D25">
              <w:t>DTF Financial Policy</w:t>
            </w:r>
          </w:p>
        </w:tc>
        <w:tc>
          <w:tcPr>
            <w:tcW w:w="4536" w:type="dxa"/>
          </w:tcPr>
          <w:p w14:paraId="6EB7021D" w14:textId="61538076" w:rsidR="0081438A" w:rsidRPr="008B3D25" w:rsidRDefault="00C52014">
            <w:pPr>
              <w:spacing w:before="60" w:after="60"/>
            </w:pPr>
            <w:r>
              <w:t>Reflect</w:t>
            </w:r>
            <w:r w:rsidR="00D6594F">
              <w:t xml:space="preserve"> impact of machinery of government changes</w:t>
            </w:r>
            <w:r w:rsidR="00647593">
              <w:t xml:space="preserve"> </w:t>
            </w:r>
            <w:r>
              <w:t xml:space="preserve">on approval process </w:t>
            </w:r>
            <w:r w:rsidR="00647593">
              <w:t>and removal of transitional requirements</w:t>
            </w:r>
            <w:r w:rsidR="004842F4">
              <w:t xml:space="preserve"> – refer to Treasury Circular L07-21</w:t>
            </w:r>
          </w:p>
        </w:tc>
      </w:tr>
    </w:tbl>
    <w:p w14:paraId="6D5B78C5" w14:textId="77777777" w:rsidR="00667C4A" w:rsidRDefault="00667C4A" w:rsidP="0041647A">
      <w:pPr>
        <w:pStyle w:val="ListNumber"/>
        <w:numPr>
          <w:ilvl w:val="0"/>
          <w:numId w:val="0"/>
        </w:numPr>
      </w:pPr>
    </w:p>
    <w:sectPr w:rsidR="00667C4A" w:rsidSect="00B2229C">
      <w:headerReference w:type="default" r:id="rId9"/>
      <w:footerReference w:type="default" r:id="rId10"/>
      <w:headerReference w:type="first" r:id="rId11"/>
      <w:footerReference w:type="first" r:id="rId12"/>
      <w:pgSz w:w="11906" w:h="16838" w:code="9"/>
      <w:pgMar w:top="794" w:right="794" w:bottom="794" w:left="794" w:header="794"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919A1" w14:textId="77777777" w:rsidR="00D601D7" w:rsidRDefault="00D601D7" w:rsidP="007332FF">
      <w:r>
        <w:separator/>
      </w:r>
    </w:p>
  </w:endnote>
  <w:endnote w:type="continuationSeparator" w:id="0">
    <w:p w14:paraId="467EE480" w14:textId="77777777" w:rsidR="00D601D7" w:rsidRDefault="00D601D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D38F"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42504FE" w14:textId="77777777" w:rsidTr="00D47DC7">
      <w:trPr>
        <w:cantSplit/>
        <w:trHeight w:hRule="exact" w:val="850"/>
      </w:trPr>
      <w:tc>
        <w:tcPr>
          <w:tcW w:w="10318" w:type="dxa"/>
          <w:vAlign w:val="bottom"/>
        </w:tcPr>
        <w:p w14:paraId="516F0052"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2229C">
                <w:rPr>
                  <w:rStyle w:val="PageNumber"/>
                  <w:b/>
                </w:rPr>
                <w:t>TREASURY AND FINANCE</w:t>
              </w:r>
            </w:sdtContent>
          </w:sdt>
        </w:p>
        <w:p w14:paraId="52BA9A37" w14:textId="77777777" w:rsidR="00183CD9" w:rsidRPr="00CE6614" w:rsidRDefault="00183CD9" w:rsidP="00183CD9">
          <w:pPr>
            <w:spacing w:after="0"/>
            <w:rPr>
              <w:rStyle w:val="PageNumber"/>
            </w:rPr>
          </w:pPr>
          <w:r>
            <w:rPr>
              <w:rStyle w:val="PageNumber"/>
            </w:rPr>
            <w:t xml:space="preserve">June 2021 </w:t>
          </w:r>
          <w:r w:rsidRPr="00CE6614">
            <w:rPr>
              <w:rStyle w:val="PageNumber"/>
            </w:rPr>
            <w:t xml:space="preserve">| Version </w:t>
          </w:r>
          <w:r>
            <w:rPr>
              <w:rStyle w:val="PageNumber"/>
            </w:rPr>
            <w:t>1.2</w:t>
          </w:r>
        </w:p>
        <w:p w14:paraId="134BF5E5" w14:textId="504EF995"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470F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470F4">
            <w:rPr>
              <w:rStyle w:val="PageNumber"/>
              <w:noProof/>
            </w:rPr>
            <w:t>6</w:t>
          </w:r>
          <w:r w:rsidRPr="00AC4488">
            <w:rPr>
              <w:rStyle w:val="PageNumber"/>
            </w:rPr>
            <w:fldChar w:fldCharType="end"/>
          </w:r>
        </w:p>
      </w:tc>
    </w:tr>
  </w:tbl>
  <w:p w14:paraId="7B3D63F4"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4E06"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4C4EDE5A" w14:textId="77777777" w:rsidTr="00B2229C">
      <w:trPr>
        <w:cantSplit/>
        <w:trHeight w:hRule="exact" w:val="1000"/>
      </w:trPr>
      <w:tc>
        <w:tcPr>
          <w:tcW w:w="7767" w:type="dxa"/>
          <w:vAlign w:val="bottom"/>
        </w:tcPr>
        <w:p w14:paraId="586E2E72"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2229C">
                <w:rPr>
                  <w:rStyle w:val="PageNumber"/>
                  <w:b/>
                </w:rPr>
                <w:t>TREASURY AND FINANCE</w:t>
              </w:r>
            </w:sdtContent>
          </w:sdt>
        </w:p>
        <w:p w14:paraId="4AEBE528" w14:textId="05E09E86" w:rsidR="008177A9" w:rsidRPr="00CE6614" w:rsidRDefault="00C52014" w:rsidP="008177A9">
          <w:pPr>
            <w:spacing w:after="0"/>
            <w:rPr>
              <w:rStyle w:val="PageNumber"/>
            </w:rPr>
          </w:pPr>
          <w:r>
            <w:rPr>
              <w:rStyle w:val="PageNumber"/>
            </w:rPr>
            <w:t>June</w:t>
          </w:r>
          <w:r w:rsidR="008177A9">
            <w:rPr>
              <w:rStyle w:val="PageNumber"/>
            </w:rPr>
            <w:t xml:space="preserve"> 2021 </w:t>
          </w:r>
          <w:r w:rsidR="008177A9" w:rsidRPr="00CE6614">
            <w:rPr>
              <w:rStyle w:val="PageNumber"/>
            </w:rPr>
            <w:t xml:space="preserve">| Version </w:t>
          </w:r>
          <w:r>
            <w:rPr>
              <w:rStyle w:val="PageNumber"/>
            </w:rPr>
            <w:t>1.2</w:t>
          </w:r>
        </w:p>
        <w:p w14:paraId="7EEE4006" w14:textId="7C24BAC8"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470F4">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470F4">
            <w:rPr>
              <w:rStyle w:val="PageNumber"/>
              <w:noProof/>
            </w:rPr>
            <w:t>6</w:t>
          </w:r>
          <w:r w:rsidRPr="00AC4488">
            <w:rPr>
              <w:rStyle w:val="PageNumber"/>
            </w:rPr>
            <w:fldChar w:fldCharType="end"/>
          </w:r>
        </w:p>
      </w:tc>
      <w:tc>
        <w:tcPr>
          <w:tcW w:w="2551" w:type="dxa"/>
          <w:vAlign w:val="bottom"/>
        </w:tcPr>
        <w:p w14:paraId="151B1DB1" w14:textId="77777777" w:rsidR="0071700C" w:rsidRPr="001E14EB" w:rsidRDefault="0071700C" w:rsidP="0071700C">
          <w:pPr>
            <w:spacing w:after="0"/>
            <w:jc w:val="right"/>
          </w:pPr>
          <w:r>
            <w:rPr>
              <w:noProof/>
              <w:lang w:eastAsia="en-AU"/>
            </w:rPr>
            <w:drawing>
              <wp:inline distT="0" distB="0" distL="0" distR="0" wp14:anchorId="48B50E5F" wp14:editId="64F53497">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8B4EE60"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77263" w14:textId="77777777" w:rsidR="00D601D7" w:rsidRDefault="00D601D7" w:rsidP="007332FF">
      <w:r>
        <w:separator/>
      </w:r>
    </w:p>
  </w:footnote>
  <w:footnote w:type="continuationSeparator" w:id="0">
    <w:p w14:paraId="0F89508F" w14:textId="77777777" w:rsidR="00D601D7" w:rsidRDefault="00D601D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23EA" w14:textId="51B00A13" w:rsidR="00983000" w:rsidRPr="00162207" w:rsidRDefault="001470F4"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1C3B42">
          <w:t>Treasurer’s Directions – Leases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961E1D" w14:textId="009D01E0" w:rsidR="00E54F9E" w:rsidRDefault="00B2229C" w:rsidP="00435082">
        <w:pPr>
          <w:pStyle w:val="Title"/>
        </w:pPr>
        <w:r>
          <w:rPr>
            <w:rStyle w:val="TitleChar"/>
          </w:rPr>
          <w:t xml:space="preserve">Treasurer’s Directions – </w:t>
        </w:r>
        <w:r w:rsidR="001C3B42">
          <w:rPr>
            <w:rStyle w:val="TitleChar"/>
          </w:rPr>
          <w:t>Leases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0C78A7AC"/>
    <w:styleLink w:val="NTGTableList"/>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1" w15:restartNumberingAfterBreak="0">
    <w:nsid w:val="09077302"/>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BD52AD8"/>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42D24C2"/>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1EBD768B"/>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8EA60DD"/>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C4576C"/>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0C05C9"/>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D93F7E"/>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3DD6477"/>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8571CD7"/>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450338C8"/>
    <w:multiLevelType w:val="hybridMultilevel"/>
    <w:tmpl w:val="29FC00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1D0C8A"/>
    <w:multiLevelType w:val="multilevel"/>
    <w:tmpl w:val="39746A98"/>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34" w15:restartNumberingAfterBreak="0">
    <w:nsid w:val="49580111"/>
    <w:multiLevelType w:val="hybridMultilevel"/>
    <w:tmpl w:val="15384268"/>
    <w:lvl w:ilvl="0" w:tplc="2AD6CFCA">
      <w:start w:val="1"/>
      <w:numFmt w:val="lowerLetter"/>
      <w:lvlText w:val="%1."/>
      <w:lvlJc w:val="left"/>
      <w:pPr>
        <w:ind w:left="1117" w:hanging="360"/>
      </w:pPr>
    </w:lvl>
    <w:lvl w:ilvl="1" w:tplc="0C09001B">
      <w:start w:val="1"/>
      <w:numFmt w:val="lowerRoman"/>
      <w:lvlText w:val="%2."/>
      <w:lvlJc w:val="right"/>
      <w:pPr>
        <w:ind w:left="1837" w:hanging="360"/>
      </w:pPr>
    </w:lvl>
    <w:lvl w:ilvl="2" w:tplc="0C09001B">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35" w15:restartNumberingAfterBreak="0">
    <w:nsid w:val="49FD3A20"/>
    <w:multiLevelType w:val="multilevel"/>
    <w:tmpl w:val="3E5E177A"/>
    <w:name w:val="NTG Table Bullet List3322222222222"/>
    <w:numStyleLink w:val="Tablenumberlist"/>
  </w:abstractNum>
  <w:abstractNum w:abstractNumId="36" w15:restartNumberingAfterBreak="0">
    <w:nsid w:val="4A241B15"/>
    <w:multiLevelType w:val="hybridMultilevel"/>
    <w:tmpl w:val="70F6EA0C"/>
    <w:lvl w:ilvl="0" w:tplc="0C090019">
      <w:start w:val="1"/>
      <w:numFmt w:val="lowerLetter"/>
      <w:lvlText w:val="%1."/>
      <w:lvlJc w:val="left"/>
      <w:pPr>
        <w:ind w:left="1117" w:hanging="360"/>
      </w:pPr>
    </w:lvl>
    <w:lvl w:ilvl="1" w:tplc="0C09001B">
      <w:start w:val="1"/>
      <w:numFmt w:val="lowerRoman"/>
      <w:lvlText w:val="%2."/>
      <w:lvlJc w:val="right"/>
      <w:pPr>
        <w:ind w:left="1837" w:hanging="360"/>
      </w:pPr>
    </w:lvl>
    <w:lvl w:ilvl="2" w:tplc="0C09001B">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925"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52BC376F"/>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3842BC6"/>
    <w:multiLevelType w:val="multilevel"/>
    <w:tmpl w:val="0C78A7AC"/>
    <w:numStyleLink w:val="Tablebulletlist"/>
  </w:abstractNum>
  <w:abstractNum w:abstractNumId="4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5EE5AD0"/>
    <w:multiLevelType w:val="multilevel"/>
    <w:tmpl w:val="0C78A7AC"/>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44" w15:restartNumberingAfterBreak="0">
    <w:nsid w:val="56DA2CAE"/>
    <w:multiLevelType w:val="multilevel"/>
    <w:tmpl w:val="3E5E177A"/>
    <w:name w:val="NTG Table Bullet List332222222222222"/>
    <w:numStyleLink w:val="Tablenumberlist"/>
  </w:abstractNum>
  <w:abstractNum w:abstractNumId="45" w15:restartNumberingAfterBreak="0">
    <w:nsid w:val="583359D9"/>
    <w:multiLevelType w:val="multilevel"/>
    <w:tmpl w:val="3E5E177A"/>
    <w:name w:val="NTG Table Bullet List332222222"/>
    <w:numStyleLink w:val="Tablenumberlist"/>
  </w:abstractNum>
  <w:abstractNum w:abstractNumId="46" w15:restartNumberingAfterBreak="0">
    <w:nsid w:val="5ABA576D"/>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B9A5FFE"/>
    <w:multiLevelType w:val="multilevel"/>
    <w:tmpl w:val="0C78A7AC"/>
    <w:name w:val="NTG Table Bullet List33222222222222"/>
    <w:numStyleLink w:val="Tablebulletlist"/>
  </w:abstractNum>
  <w:abstractNum w:abstractNumId="48" w15:restartNumberingAfterBreak="0">
    <w:nsid w:val="5D444259"/>
    <w:multiLevelType w:val="multilevel"/>
    <w:tmpl w:val="0C78A7AC"/>
    <w:name w:val="NTG Table Bullet List332222"/>
    <w:numStyleLink w:val="Tablebulletlist"/>
  </w:abstractNum>
  <w:abstractNum w:abstractNumId="49" w15:restartNumberingAfterBreak="0">
    <w:nsid w:val="5E8E4957"/>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1781075"/>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86717A1"/>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9262556"/>
    <w:multiLevelType w:val="multilevel"/>
    <w:tmpl w:val="3E5E177A"/>
    <w:name w:val="NTG Table Bullet List3322222222222222"/>
    <w:numStyleLink w:val="Tablenumberlist"/>
  </w:abstractNum>
  <w:abstractNum w:abstractNumId="53" w15:restartNumberingAfterBreak="0">
    <w:nsid w:val="6BF737EB"/>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E057C2A"/>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F515035"/>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314230A"/>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453664D"/>
    <w:multiLevelType w:val="multilevel"/>
    <w:tmpl w:val="0C78A7AC"/>
    <w:name w:val="NTG Table Bullet List3322222222222222222"/>
    <w:numStyleLink w:val="Tablebulletlist"/>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81F03A7"/>
    <w:multiLevelType w:val="hybridMultilevel"/>
    <w:tmpl w:val="AD42329A"/>
    <w:lvl w:ilvl="0" w:tplc="4F26D0F4">
      <w:start w:val="1"/>
      <w:numFmt w:val="lowerLetter"/>
      <w:lvlText w:val="%1."/>
      <w:lvlJc w:val="left"/>
      <w:pPr>
        <w:ind w:left="11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2" w15:restartNumberingAfterBreak="0">
    <w:nsid w:val="7FBC1511"/>
    <w:multiLevelType w:val="multilevel"/>
    <w:tmpl w:val="F3EE93D8"/>
    <w:lvl w:ilvl="0">
      <w:start w:val="1"/>
      <w:numFmt w:val="decimal"/>
      <w:pStyle w:val="ListNumber"/>
      <w:lvlText w:val="%1."/>
      <w:lvlJc w:val="left"/>
      <w:pPr>
        <w:ind w:left="1022"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num w:numId="1">
    <w:abstractNumId w:val="29"/>
  </w:num>
  <w:num w:numId="2">
    <w:abstractNumId w:val="16"/>
  </w:num>
  <w:num w:numId="3">
    <w:abstractNumId w:val="60"/>
  </w:num>
  <w:num w:numId="4">
    <w:abstractNumId w:val="37"/>
  </w:num>
  <w:num w:numId="5">
    <w:abstractNumId w:val="24"/>
  </w:num>
  <w:num w:numId="6">
    <w:abstractNumId w:val="11"/>
  </w:num>
  <w:num w:numId="7">
    <w:abstractNumId w:val="41"/>
  </w:num>
  <w:num w:numId="8">
    <w:abstractNumId w:val="19"/>
  </w:num>
  <w:num w:numId="9">
    <w:abstractNumId w:val="39"/>
  </w:num>
  <w:num w:numId="10">
    <w:abstractNumId w:val="0"/>
  </w:num>
  <w:num w:numId="11">
    <w:abstractNumId w:val="43"/>
  </w:num>
  <w:num w:numId="12">
    <w:abstractNumId w:val="62"/>
  </w:num>
  <w:num w:numId="13">
    <w:abstractNumId w:val="33"/>
  </w:num>
  <w:num w:numId="14">
    <w:abstractNumId w:val="34"/>
  </w:num>
  <w:num w:numId="15">
    <w:abstractNumId w:val="32"/>
  </w:num>
  <w:num w:numId="16">
    <w:abstractNumId w:val="36"/>
  </w:num>
  <w:num w:numId="17">
    <w:abstractNumId w:val="49"/>
  </w:num>
  <w:num w:numId="18">
    <w:abstractNumId w:val="21"/>
  </w:num>
  <w:num w:numId="19">
    <w:abstractNumId w:val="54"/>
  </w:num>
  <w:num w:numId="20">
    <w:abstractNumId w:val="7"/>
  </w:num>
  <w:num w:numId="21">
    <w:abstractNumId w:val="15"/>
  </w:num>
  <w:num w:numId="22">
    <w:abstractNumId w:val="53"/>
  </w:num>
  <w:num w:numId="23">
    <w:abstractNumId w:val="30"/>
  </w:num>
  <w:num w:numId="24">
    <w:abstractNumId w:val="50"/>
  </w:num>
  <w:num w:numId="25">
    <w:abstractNumId w:val="59"/>
  </w:num>
  <w:num w:numId="26">
    <w:abstractNumId w:val="20"/>
  </w:num>
  <w:num w:numId="27">
    <w:abstractNumId w:val="1"/>
  </w:num>
  <w:num w:numId="28">
    <w:abstractNumId w:val="56"/>
  </w:num>
  <w:num w:numId="29">
    <w:abstractNumId w:val="3"/>
  </w:num>
  <w:num w:numId="30">
    <w:abstractNumId w:val="23"/>
  </w:num>
  <w:num w:numId="31">
    <w:abstractNumId w:val="22"/>
  </w:num>
  <w:num w:numId="32">
    <w:abstractNumId w:val="51"/>
  </w:num>
  <w:num w:numId="33">
    <w:abstractNumId w:val="46"/>
  </w:num>
  <w:num w:numId="34">
    <w:abstractNumId w:val="40"/>
  </w:num>
  <w:num w:numId="35">
    <w:abstractNumId w:val="28"/>
  </w:num>
  <w:num w:numId="36">
    <w:abstractNumId w:val="55"/>
  </w:num>
  <w:num w:numId="37">
    <w:abstractNumId w:val="43"/>
  </w:num>
  <w:num w:numId="38">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9C"/>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1BAB"/>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470F4"/>
    <w:rsid w:val="00150DC0"/>
    <w:rsid w:val="0015394D"/>
    <w:rsid w:val="00156CD4"/>
    <w:rsid w:val="0016153B"/>
    <w:rsid w:val="00162207"/>
    <w:rsid w:val="00164A3E"/>
    <w:rsid w:val="00166FF6"/>
    <w:rsid w:val="00176123"/>
    <w:rsid w:val="00181620"/>
    <w:rsid w:val="00183CD9"/>
    <w:rsid w:val="00187130"/>
    <w:rsid w:val="001957AD"/>
    <w:rsid w:val="00196F8E"/>
    <w:rsid w:val="001A2B7F"/>
    <w:rsid w:val="001A3AFD"/>
    <w:rsid w:val="001A496C"/>
    <w:rsid w:val="001A576A"/>
    <w:rsid w:val="001B28DA"/>
    <w:rsid w:val="001B2B6C"/>
    <w:rsid w:val="001C3B42"/>
    <w:rsid w:val="001D01C4"/>
    <w:rsid w:val="001D4F99"/>
    <w:rsid w:val="001D52B0"/>
    <w:rsid w:val="001D5A18"/>
    <w:rsid w:val="001D7CA4"/>
    <w:rsid w:val="001E057F"/>
    <w:rsid w:val="001E14EB"/>
    <w:rsid w:val="001F5737"/>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36DA"/>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3C61"/>
    <w:rsid w:val="00344A36"/>
    <w:rsid w:val="003456F4"/>
    <w:rsid w:val="0034756F"/>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1647A"/>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1792"/>
    <w:rsid w:val="00482DF8"/>
    <w:rsid w:val="004842F4"/>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1FD2"/>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4309"/>
    <w:rsid w:val="005F6602"/>
    <w:rsid w:val="005F77C7"/>
    <w:rsid w:val="00620675"/>
    <w:rsid w:val="00622910"/>
    <w:rsid w:val="006254B6"/>
    <w:rsid w:val="00627FC8"/>
    <w:rsid w:val="006433C3"/>
    <w:rsid w:val="00647593"/>
    <w:rsid w:val="00650F5B"/>
    <w:rsid w:val="006670D7"/>
    <w:rsid w:val="00667C4A"/>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34D1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C7061"/>
    <w:rsid w:val="007D4893"/>
    <w:rsid w:val="007E70CF"/>
    <w:rsid w:val="007E74A4"/>
    <w:rsid w:val="007F1B6F"/>
    <w:rsid w:val="007F263F"/>
    <w:rsid w:val="008015A8"/>
    <w:rsid w:val="0080766E"/>
    <w:rsid w:val="00811169"/>
    <w:rsid w:val="0081438A"/>
    <w:rsid w:val="00815297"/>
    <w:rsid w:val="008170DB"/>
    <w:rsid w:val="008177A9"/>
    <w:rsid w:val="00817BA1"/>
    <w:rsid w:val="00820DEB"/>
    <w:rsid w:val="00823022"/>
    <w:rsid w:val="0082634E"/>
    <w:rsid w:val="008313C4"/>
    <w:rsid w:val="00835434"/>
    <w:rsid w:val="008358C0"/>
    <w:rsid w:val="00835FEE"/>
    <w:rsid w:val="00842838"/>
    <w:rsid w:val="00854EC1"/>
    <w:rsid w:val="0085797F"/>
    <w:rsid w:val="00861DC3"/>
    <w:rsid w:val="00867019"/>
    <w:rsid w:val="00872EF1"/>
    <w:rsid w:val="008735A9"/>
    <w:rsid w:val="008765D1"/>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451"/>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C5AA1"/>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67A97"/>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229C"/>
    <w:rsid w:val="00B257E1"/>
    <w:rsid w:val="00B2599A"/>
    <w:rsid w:val="00B27AC4"/>
    <w:rsid w:val="00B33096"/>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C62AF"/>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014"/>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10C0"/>
    <w:rsid w:val="00CC571B"/>
    <w:rsid w:val="00CC61CD"/>
    <w:rsid w:val="00CC6C02"/>
    <w:rsid w:val="00CC737B"/>
    <w:rsid w:val="00CD5011"/>
    <w:rsid w:val="00CE640F"/>
    <w:rsid w:val="00CE76BC"/>
    <w:rsid w:val="00CF540E"/>
    <w:rsid w:val="00D02F07"/>
    <w:rsid w:val="00D133F4"/>
    <w:rsid w:val="00D14B53"/>
    <w:rsid w:val="00D15D88"/>
    <w:rsid w:val="00D16B74"/>
    <w:rsid w:val="00D17751"/>
    <w:rsid w:val="00D27D49"/>
    <w:rsid w:val="00D27EBE"/>
    <w:rsid w:val="00D36A49"/>
    <w:rsid w:val="00D45EAE"/>
    <w:rsid w:val="00D47DC7"/>
    <w:rsid w:val="00D517C6"/>
    <w:rsid w:val="00D601D7"/>
    <w:rsid w:val="00D6594F"/>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1242"/>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97C6B"/>
    <w:rsid w:val="00EA2C39"/>
    <w:rsid w:val="00EB0A3C"/>
    <w:rsid w:val="00EB0A96"/>
    <w:rsid w:val="00EB1FFC"/>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EF7C25"/>
  <w15:docId w15:val="{22F9874C-A076-40BE-A698-59605C6C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1"/>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1"/>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1"/>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1"/>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9"/>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E750D"/>
    <w:rPr>
      <w:rFonts w:ascii="Lato" w:hAnsi="Lato"/>
      <w:b/>
      <w:color w:val="1F1F5F" w:themeColor="text1"/>
    </w:rPr>
  </w:style>
  <w:style w:type="character" w:customStyle="1" w:styleId="Heading6Char">
    <w:name w:val="Heading 6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8765D1"/>
    <w:pPr>
      <w:numPr>
        <w:numId w:val="12"/>
      </w:num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numbering" w:customStyle="1" w:styleId="NTGStandardNumList">
    <w:name w:val="NTG Standard Num List"/>
    <w:uiPriority w:val="99"/>
    <w:rsid w:val="00B2229C"/>
    <w:pPr>
      <w:numPr>
        <w:numId w:val="9"/>
      </w:numPr>
    </w:pPr>
  </w:style>
  <w:style w:type="paragraph" w:customStyle="1" w:styleId="NTGTableBulletList1">
    <w:name w:val="NTG Table Bullet List 1"/>
    <w:semiHidden/>
    <w:qFormat/>
    <w:rsid w:val="00B2229C"/>
    <w:pPr>
      <w:numPr>
        <w:numId w:val="11"/>
      </w:numPr>
      <w:spacing w:after="20"/>
    </w:pPr>
  </w:style>
  <w:style w:type="paragraph" w:customStyle="1" w:styleId="NTGTableBulletList2">
    <w:name w:val="NTG Table Bullet List 2"/>
    <w:basedOn w:val="NTGTableBulletList1"/>
    <w:semiHidden/>
    <w:qFormat/>
    <w:rsid w:val="00B2229C"/>
    <w:pPr>
      <w:numPr>
        <w:ilvl w:val="1"/>
      </w:numPr>
    </w:pPr>
  </w:style>
  <w:style w:type="paragraph" w:customStyle="1" w:styleId="NTGTableBulletList3">
    <w:name w:val="NTG Table Bullet List 3"/>
    <w:basedOn w:val="NTGTableBulletList2"/>
    <w:semiHidden/>
    <w:qFormat/>
    <w:rsid w:val="00B2229C"/>
    <w:pPr>
      <w:numPr>
        <w:ilvl w:val="2"/>
      </w:numPr>
    </w:pPr>
  </w:style>
  <w:style w:type="paragraph" w:customStyle="1" w:styleId="NTGTableBulletList4">
    <w:name w:val="NTG Table Bullet List 4"/>
    <w:basedOn w:val="NTGTableBulletList3"/>
    <w:semiHidden/>
    <w:qFormat/>
    <w:rsid w:val="00B2229C"/>
    <w:pPr>
      <w:numPr>
        <w:ilvl w:val="3"/>
      </w:numPr>
    </w:pPr>
  </w:style>
  <w:style w:type="paragraph" w:customStyle="1" w:styleId="NTGTableBulletList5">
    <w:name w:val="NTG Table Bullet List 5"/>
    <w:basedOn w:val="NTGTableBulletList4"/>
    <w:semiHidden/>
    <w:qFormat/>
    <w:rsid w:val="00B2229C"/>
    <w:pPr>
      <w:numPr>
        <w:ilvl w:val="4"/>
      </w:numPr>
    </w:pPr>
  </w:style>
  <w:style w:type="paragraph" w:customStyle="1" w:styleId="NTGTableBulletList6">
    <w:name w:val="NTG Table Bullet List 6"/>
    <w:basedOn w:val="NTGTableBulletList5"/>
    <w:semiHidden/>
    <w:qFormat/>
    <w:rsid w:val="00B2229C"/>
    <w:pPr>
      <w:numPr>
        <w:ilvl w:val="5"/>
      </w:numPr>
    </w:pPr>
  </w:style>
  <w:style w:type="paragraph" w:customStyle="1" w:styleId="NTGTableBulletList7">
    <w:name w:val="NTG Table Bullet List 7"/>
    <w:basedOn w:val="NTGTableBulletList6"/>
    <w:semiHidden/>
    <w:qFormat/>
    <w:rsid w:val="00B2229C"/>
    <w:pPr>
      <w:numPr>
        <w:ilvl w:val="6"/>
      </w:numPr>
    </w:pPr>
  </w:style>
  <w:style w:type="paragraph" w:customStyle="1" w:styleId="NTGTableBulletList8">
    <w:name w:val="NTG Table Bullet List 8"/>
    <w:basedOn w:val="NTGTableBulletList7"/>
    <w:semiHidden/>
    <w:qFormat/>
    <w:rsid w:val="00B2229C"/>
    <w:pPr>
      <w:numPr>
        <w:ilvl w:val="7"/>
      </w:numPr>
    </w:pPr>
  </w:style>
  <w:style w:type="paragraph" w:customStyle="1" w:styleId="NTGTableBulletList9">
    <w:name w:val="NTG Table Bullet List 9"/>
    <w:basedOn w:val="NTGTableBulletList8"/>
    <w:semiHidden/>
    <w:qFormat/>
    <w:rsid w:val="00B2229C"/>
    <w:pPr>
      <w:numPr>
        <w:ilvl w:val="8"/>
      </w:numPr>
    </w:pPr>
  </w:style>
  <w:style w:type="numbering" w:customStyle="1" w:styleId="NTGTableList">
    <w:name w:val="NTG Table List"/>
    <w:uiPriority w:val="99"/>
    <w:rsid w:val="00B2229C"/>
    <w:pPr>
      <w:numPr>
        <w:numId w:val="10"/>
      </w:numPr>
    </w:pPr>
  </w:style>
  <w:style w:type="paragraph" w:customStyle="1" w:styleId="NTGTableNumList1">
    <w:name w:val="NTG Table Num List 1"/>
    <w:semiHidden/>
    <w:qFormat/>
    <w:rsid w:val="00820DEB"/>
    <w:pPr>
      <w:numPr>
        <w:numId w:val="13"/>
      </w:numPr>
      <w:spacing w:after="20"/>
    </w:pPr>
  </w:style>
  <w:style w:type="paragraph" w:customStyle="1" w:styleId="NTGTableNumList2">
    <w:name w:val="NTG Table Num List 2"/>
    <w:basedOn w:val="NTGTableNumList1"/>
    <w:semiHidden/>
    <w:qFormat/>
    <w:rsid w:val="00820DEB"/>
    <w:pPr>
      <w:numPr>
        <w:ilvl w:val="1"/>
      </w:numPr>
    </w:pPr>
  </w:style>
  <w:style w:type="paragraph" w:customStyle="1" w:styleId="NTGTableNumList3">
    <w:name w:val="NTG Table Num List 3"/>
    <w:basedOn w:val="NTGTableNumList2"/>
    <w:semiHidden/>
    <w:qFormat/>
    <w:rsid w:val="00820DEB"/>
    <w:pPr>
      <w:numPr>
        <w:ilvl w:val="2"/>
      </w:numPr>
    </w:pPr>
  </w:style>
  <w:style w:type="paragraph" w:customStyle="1" w:styleId="NTGTableNumList4">
    <w:name w:val="NTG Table Num List 4"/>
    <w:basedOn w:val="NTGTableNumList3"/>
    <w:semiHidden/>
    <w:qFormat/>
    <w:rsid w:val="00820DEB"/>
    <w:pPr>
      <w:numPr>
        <w:ilvl w:val="3"/>
      </w:numPr>
    </w:pPr>
  </w:style>
  <w:style w:type="paragraph" w:customStyle="1" w:styleId="NTGTableNumList5">
    <w:name w:val="NTG Table Num List 5"/>
    <w:basedOn w:val="NTGTableNumList4"/>
    <w:semiHidden/>
    <w:qFormat/>
    <w:rsid w:val="00820DEB"/>
    <w:pPr>
      <w:numPr>
        <w:ilvl w:val="4"/>
      </w:numPr>
    </w:pPr>
  </w:style>
  <w:style w:type="paragraph" w:customStyle="1" w:styleId="NTGTableNumList6">
    <w:name w:val="NTG Table Num List 6"/>
    <w:basedOn w:val="NTGTableNumList5"/>
    <w:semiHidden/>
    <w:qFormat/>
    <w:rsid w:val="00820DEB"/>
    <w:pPr>
      <w:numPr>
        <w:ilvl w:val="5"/>
      </w:numPr>
    </w:pPr>
  </w:style>
  <w:style w:type="paragraph" w:customStyle="1" w:styleId="NTGTableNumList7">
    <w:name w:val="NTG Table Num List 7"/>
    <w:basedOn w:val="NTGTableNumList6"/>
    <w:semiHidden/>
    <w:qFormat/>
    <w:rsid w:val="00820DEB"/>
    <w:pPr>
      <w:numPr>
        <w:ilvl w:val="6"/>
      </w:numPr>
    </w:pPr>
  </w:style>
  <w:style w:type="paragraph" w:customStyle="1" w:styleId="NTGTableNumList8">
    <w:name w:val="NTG Table Num List 8"/>
    <w:basedOn w:val="NTGTableNumList7"/>
    <w:semiHidden/>
    <w:qFormat/>
    <w:rsid w:val="00820DEB"/>
    <w:pPr>
      <w:numPr>
        <w:ilvl w:val="7"/>
      </w:numPr>
    </w:pPr>
  </w:style>
  <w:style w:type="paragraph" w:customStyle="1" w:styleId="NTGTableNumList9">
    <w:name w:val="NTG Table Num List 9"/>
    <w:basedOn w:val="NTGTableNumList8"/>
    <w:semiHidden/>
    <w:qFormat/>
    <w:rsid w:val="00820DEB"/>
    <w:pPr>
      <w:numPr>
        <w:ilvl w:val="8"/>
      </w:numPr>
    </w:pPr>
  </w:style>
  <w:style w:type="character" w:styleId="CommentReference">
    <w:name w:val="annotation reference"/>
    <w:basedOn w:val="DefaultParagraphFont"/>
    <w:uiPriority w:val="99"/>
    <w:semiHidden/>
    <w:unhideWhenUsed/>
    <w:rsid w:val="00820DEB"/>
    <w:rPr>
      <w:sz w:val="16"/>
      <w:szCs w:val="16"/>
    </w:rPr>
  </w:style>
  <w:style w:type="paragraph" w:styleId="CommentText">
    <w:name w:val="annotation text"/>
    <w:basedOn w:val="Normal"/>
    <w:link w:val="CommentTextChar"/>
    <w:uiPriority w:val="99"/>
    <w:unhideWhenUsed/>
    <w:rsid w:val="00820DEB"/>
    <w:rPr>
      <w:rFonts w:ascii="Arial" w:hAnsi="Arial"/>
      <w:sz w:val="20"/>
      <w:szCs w:val="20"/>
    </w:rPr>
  </w:style>
  <w:style w:type="character" w:customStyle="1" w:styleId="CommentTextChar">
    <w:name w:val="Comment Text Char"/>
    <w:basedOn w:val="DefaultParagraphFont"/>
    <w:link w:val="CommentText"/>
    <w:uiPriority w:val="99"/>
    <w:rsid w:val="00820DEB"/>
    <w:rPr>
      <w:sz w:val="20"/>
      <w:szCs w:val="20"/>
    </w:rPr>
  </w:style>
  <w:style w:type="table" w:customStyle="1" w:styleId="NTGTable0">
    <w:name w:val="NTG Table"/>
    <w:basedOn w:val="TableGrid"/>
    <w:uiPriority w:val="99"/>
    <w:rsid w:val="00667C4A"/>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D133F4"/>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45320-A653-492D-A6E7-CB8FC537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document - portrait.dotx</Template>
  <TotalTime>262</TotalTime>
  <Pages>6</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Treasurer’s Directions – Leases</vt:lpstr>
    </vt:vector>
  </TitlesOfParts>
  <Company>TREASURY AND FINANCE</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Directions – Leases</dc:title>
  <dc:creator>Department of Treasury and Finance</dc:creator>
  <cp:lastModifiedBy>Ana Watkins</cp:lastModifiedBy>
  <cp:revision>21</cp:revision>
  <cp:lastPrinted>2021-06-21T03:30:00Z</cp:lastPrinted>
  <dcterms:created xsi:type="dcterms:W3CDTF">2020-03-04T04:57:00Z</dcterms:created>
  <dcterms:modified xsi:type="dcterms:W3CDTF">2021-06-25T04:49:00Z</dcterms:modified>
</cp:coreProperties>
</file>